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43DECE" w14:textId="1525672A" w:rsidR="00497B85" w:rsidRPr="00772037" w:rsidRDefault="00497B85" w:rsidP="00772037">
      <w:pPr>
        <w:spacing w:after="120"/>
        <w:ind w:left="2124"/>
        <w:rPr>
          <w:rFonts w:asciiTheme="majorHAnsi" w:hAnsiTheme="majorHAnsi" w:cstheme="majorHAnsi"/>
        </w:rPr>
      </w:pPr>
      <w:bookmarkStart w:id="0" w:name="_GoBack"/>
      <w:bookmarkEnd w:id="0"/>
    </w:p>
    <w:p w14:paraId="5ADDC9B1" w14:textId="54349712" w:rsidR="00497B85" w:rsidRPr="00772037" w:rsidRDefault="00294DC7" w:rsidP="00772037">
      <w:pPr>
        <w:spacing w:after="120"/>
        <w:jc w:val="center"/>
        <w:rPr>
          <w:rFonts w:asciiTheme="majorHAnsi" w:hAnsiTheme="majorHAnsi" w:cstheme="majorHAnsi"/>
        </w:rPr>
      </w:pPr>
      <w:r w:rsidRPr="00772037">
        <w:rPr>
          <w:rFonts w:asciiTheme="majorHAnsi" w:hAnsiTheme="majorHAnsi" w:cstheme="majorHAnsi"/>
          <w:noProof/>
          <w:lang w:val="en-US"/>
        </w:rPr>
        <w:drawing>
          <wp:inline distT="0" distB="0" distL="0" distR="0" wp14:anchorId="03F55FEA" wp14:editId="385710FA">
            <wp:extent cx="3135540" cy="1044000"/>
            <wp:effectExtent l="0" t="0" r="8255"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rizontal_color.png"/>
                    <pic:cNvPicPr/>
                  </pic:nvPicPr>
                  <pic:blipFill>
                    <a:blip r:embed="rId10"/>
                    <a:stretch>
                      <a:fillRect/>
                    </a:stretch>
                  </pic:blipFill>
                  <pic:spPr>
                    <a:xfrm>
                      <a:off x="0" y="0"/>
                      <a:ext cx="3135540" cy="1044000"/>
                    </a:xfrm>
                    <a:prstGeom prst="rect">
                      <a:avLst/>
                    </a:prstGeom>
                  </pic:spPr>
                </pic:pic>
              </a:graphicData>
            </a:graphic>
          </wp:inline>
        </w:drawing>
      </w:r>
    </w:p>
    <w:p w14:paraId="098F84D7" w14:textId="7F331CFC" w:rsidR="00497B85" w:rsidRPr="00772037" w:rsidRDefault="00497B85" w:rsidP="00772037">
      <w:pPr>
        <w:spacing w:after="120"/>
        <w:rPr>
          <w:rFonts w:asciiTheme="majorHAnsi" w:hAnsiTheme="majorHAnsi" w:cstheme="majorHAnsi"/>
        </w:rPr>
      </w:pPr>
    </w:p>
    <w:p w14:paraId="6F44CF52" w14:textId="77777777" w:rsidR="00294DC7" w:rsidRPr="00772037" w:rsidRDefault="00294DC7" w:rsidP="00772037">
      <w:pPr>
        <w:spacing w:after="120"/>
        <w:rPr>
          <w:rFonts w:asciiTheme="majorHAnsi" w:hAnsiTheme="majorHAnsi" w:cstheme="majorHAnsi"/>
        </w:rPr>
      </w:pPr>
    </w:p>
    <w:p w14:paraId="6F457468" w14:textId="77777777" w:rsidR="00772037" w:rsidRPr="00772037" w:rsidRDefault="00772037" w:rsidP="00A80645">
      <w:pPr>
        <w:pBdr>
          <w:top w:val="single" w:sz="24" w:space="1" w:color="00B0F0"/>
        </w:pBdr>
        <w:spacing w:after="120"/>
        <w:jc w:val="right"/>
        <w:rPr>
          <w:rFonts w:asciiTheme="majorHAnsi" w:hAnsiTheme="majorHAnsi" w:cstheme="majorHAnsi"/>
          <w:color w:val="1F497D" w:themeColor="text2"/>
        </w:rPr>
      </w:pPr>
    </w:p>
    <w:p w14:paraId="7C03D44B" w14:textId="70AC6390" w:rsidR="00772037" w:rsidRPr="001C4A44" w:rsidRDefault="00772037" w:rsidP="00772037">
      <w:pPr>
        <w:spacing w:after="120"/>
        <w:jc w:val="center"/>
        <w:rPr>
          <w:rFonts w:asciiTheme="majorHAnsi" w:hAnsiTheme="majorHAnsi" w:cstheme="majorHAnsi"/>
          <w:b/>
          <w:bCs/>
          <w:color w:val="000000" w:themeColor="text1"/>
          <w:sz w:val="24"/>
          <w:szCs w:val="24"/>
          <w:lang w:val="en-US"/>
        </w:rPr>
      </w:pPr>
      <w:r w:rsidRPr="001C4A44">
        <w:rPr>
          <w:rFonts w:asciiTheme="majorHAnsi" w:hAnsiTheme="majorHAnsi" w:cstheme="majorHAnsi"/>
          <w:b/>
          <w:bCs/>
          <w:color w:val="000000" w:themeColor="text1"/>
          <w:sz w:val="24"/>
          <w:szCs w:val="24"/>
          <w:lang w:val="en-US"/>
        </w:rPr>
        <w:t>UNCT-SWAP GENDER EQUALITY SCORECARD</w:t>
      </w:r>
      <w:r w:rsidR="00A80645" w:rsidRPr="001C4A44">
        <w:rPr>
          <w:rFonts w:asciiTheme="majorHAnsi" w:hAnsiTheme="majorHAnsi" w:cstheme="majorHAnsi"/>
          <w:b/>
          <w:bCs/>
          <w:color w:val="000000" w:themeColor="text1"/>
          <w:sz w:val="24"/>
          <w:szCs w:val="24"/>
          <w:lang w:val="en-US"/>
        </w:rPr>
        <w:t xml:space="preserve"> MÉXICO</w:t>
      </w:r>
    </w:p>
    <w:p w14:paraId="568FBBC8" w14:textId="77777777" w:rsidR="00772037" w:rsidRPr="001C4A44" w:rsidRDefault="00772037" w:rsidP="00772037">
      <w:pPr>
        <w:spacing w:after="120"/>
        <w:jc w:val="right"/>
        <w:rPr>
          <w:rFonts w:asciiTheme="majorHAnsi" w:hAnsiTheme="majorHAnsi" w:cstheme="majorHAnsi"/>
          <w:b/>
          <w:bCs/>
          <w:color w:val="000000" w:themeColor="text1"/>
          <w:sz w:val="24"/>
          <w:szCs w:val="24"/>
          <w:lang w:val="en-US"/>
        </w:rPr>
      </w:pPr>
    </w:p>
    <w:p w14:paraId="6323C730" w14:textId="77777777" w:rsidR="00772037" w:rsidRPr="001C4A44" w:rsidRDefault="00772037" w:rsidP="00772037">
      <w:pPr>
        <w:spacing w:after="120"/>
        <w:jc w:val="right"/>
        <w:rPr>
          <w:rFonts w:asciiTheme="majorHAnsi" w:hAnsiTheme="majorHAnsi" w:cstheme="majorHAnsi"/>
          <w:b/>
          <w:bCs/>
          <w:color w:val="000000" w:themeColor="text1"/>
          <w:sz w:val="24"/>
          <w:szCs w:val="24"/>
          <w:lang w:val="en-US"/>
        </w:rPr>
      </w:pPr>
    </w:p>
    <w:p w14:paraId="63EB51CC" w14:textId="01BAD695" w:rsidR="00772037" w:rsidRPr="001C4A44" w:rsidRDefault="00377C3D" w:rsidP="00A80645">
      <w:pPr>
        <w:spacing w:after="120"/>
        <w:jc w:val="center"/>
        <w:rPr>
          <w:rFonts w:asciiTheme="majorHAnsi" w:hAnsiTheme="majorHAnsi" w:cstheme="majorHAnsi"/>
          <w:b/>
          <w:bCs/>
          <w:color w:val="000000" w:themeColor="text1"/>
          <w:sz w:val="24"/>
          <w:szCs w:val="24"/>
        </w:rPr>
      </w:pPr>
      <w:r w:rsidRPr="001C4A44">
        <w:rPr>
          <w:rFonts w:asciiTheme="majorHAnsi" w:hAnsiTheme="majorHAnsi" w:cstheme="majorHAnsi"/>
          <w:b/>
          <w:bCs/>
          <w:color w:val="000000" w:themeColor="text1"/>
          <w:sz w:val="24"/>
          <w:szCs w:val="24"/>
        </w:rPr>
        <w:t xml:space="preserve">INFORME PRELIMNAR DE LA </w:t>
      </w:r>
      <w:r w:rsidR="00772037" w:rsidRPr="001C4A44">
        <w:rPr>
          <w:rFonts w:asciiTheme="majorHAnsi" w:hAnsiTheme="majorHAnsi" w:cstheme="majorHAnsi"/>
          <w:b/>
          <w:bCs/>
          <w:color w:val="000000" w:themeColor="text1"/>
          <w:sz w:val="24"/>
          <w:szCs w:val="24"/>
        </w:rPr>
        <w:t xml:space="preserve">REVISIÓN DE MEDIO TÉRMINO </w:t>
      </w:r>
    </w:p>
    <w:p w14:paraId="1A98F22E" w14:textId="77777777" w:rsidR="00497B85" w:rsidRPr="00772037" w:rsidRDefault="00497B85" w:rsidP="00A80645">
      <w:pPr>
        <w:pBdr>
          <w:bottom w:val="single" w:sz="24" w:space="1" w:color="00B0F0"/>
        </w:pBdr>
        <w:spacing w:after="120"/>
        <w:rPr>
          <w:rFonts w:asciiTheme="majorHAnsi" w:hAnsiTheme="majorHAnsi" w:cstheme="majorHAnsi"/>
        </w:rPr>
      </w:pPr>
    </w:p>
    <w:p w14:paraId="788F8A5A" w14:textId="77777777" w:rsidR="00497B85" w:rsidRPr="00772037" w:rsidRDefault="00497B85" w:rsidP="00772037">
      <w:pPr>
        <w:spacing w:after="120"/>
        <w:rPr>
          <w:rFonts w:asciiTheme="majorHAnsi" w:hAnsiTheme="majorHAnsi" w:cstheme="majorHAnsi"/>
        </w:rPr>
      </w:pPr>
    </w:p>
    <w:p w14:paraId="35ED496B" w14:textId="77777777" w:rsidR="00820631" w:rsidRPr="00772037" w:rsidRDefault="00820631" w:rsidP="00772037">
      <w:pPr>
        <w:spacing w:after="120"/>
        <w:rPr>
          <w:rFonts w:asciiTheme="majorHAnsi" w:hAnsiTheme="majorHAnsi" w:cstheme="majorHAnsi"/>
        </w:rPr>
      </w:pPr>
    </w:p>
    <w:p w14:paraId="776A4AB7" w14:textId="25E75CF3" w:rsidR="0098001C" w:rsidRPr="00A80645" w:rsidRDefault="00772037" w:rsidP="00772037">
      <w:pPr>
        <w:spacing w:after="120"/>
        <w:jc w:val="center"/>
        <w:rPr>
          <w:rFonts w:asciiTheme="majorHAnsi" w:hAnsiTheme="majorHAnsi" w:cstheme="majorHAnsi"/>
          <w:b/>
          <w:bCs/>
          <w:color w:val="000000" w:themeColor="text1"/>
        </w:rPr>
      </w:pPr>
      <w:r w:rsidRPr="00A80645">
        <w:rPr>
          <w:rFonts w:asciiTheme="majorHAnsi" w:hAnsiTheme="majorHAnsi" w:cstheme="majorHAnsi"/>
          <w:b/>
          <w:bCs/>
          <w:color w:val="000000" w:themeColor="text1"/>
        </w:rPr>
        <w:t>Diciembre 2021</w:t>
      </w:r>
    </w:p>
    <w:p w14:paraId="43C14C83" w14:textId="77777777" w:rsidR="0098001C" w:rsidRPr="00772037" w:rsidRDefault="0098001C" w:rsidP="00772037">
      <w:pPr>
        <w:spacing w:after="120"/>
        <w:jc w:val="center"/>
        <w:rPr>
          <w:rFonts w:asciiTheme="majorHAnsi" w:hAnsiTheme="majorHAnsi" w:cstheme="majorHAnsi"/>
          <w:color w:val="17365D" w:themeColor="text2" w:themeShade="BF"/>
        </w:rPr>
      </w:pPr>
    </w:p>
    <w:p w14:paraId="69A10525" w14:textId="77777777" w:rsidR="0098001C" w:rsidRPr="00772037" w:rsidRDefault="0098001C" w:rsidP="00772037">
      <w:pPr>
        <w:spacing w:after="120"/>
        <w:jc w:val="center"/>
        <w:rPr>
          <w:rFonts w:asciiTheme="majorHAnsi" w:hAnsiTheme="majorHAnsi" w:cstheme="majorHAnsi"/>
          <w:color w:val="17365D" w:themeColor="text2" w:themeShade="BF"/>
        </w:rPr>
      </w:pPr>
    </w:p>
    <w:p w14:paraId="04713A32" w14:textId="77777777" w:rsidR="0098001C" w:rsidRPr="00772037" w:rsidRDefault="0098001C" w:rsidP="00772037">
      <w:pPr>
        <w:spacing w:after="120"/>
        <w:jc w:val="center"/>
        <w:rPr>
          <w:rFonts w:asciiTheme="majorHAnsi" w:hAnsiTheme="majorHAnsi" w:cstheme="majorHAnsi"/>
          <w:color w:val="17365D" w:themeColor="text2" w:themeShade="BF"/>
        </w:rPr>
      </w:pPr>
    </w:p>
    <w:p w14:paraId="06D249F0" w14:textId="77777777" w:rsidR="0098001C" w:rsidRPr="00772037" w:rsidRDefault="0098001C" w:rsidP="00772037">
      <w:pPr>
        <w:spacing w:after="120"/>
        <w:jc w:val="center"/>
        <w:rPr>
          <w:rFonts w:asciiTheme="majorHAnsi" w:hAnsiTheme="majorHAnsi" w:cstheme="majorHAnsi"/>
          <w:color w:val="17365D" w:themeColor="text2" w:themeShade="BF"/>
        </w:rPr>
      </w:pPr>
    </w:p>
    <w:p w14:paraId="4C6B3163" w14:textId="77777777" w:rsidR="0098001C" w:rsidRPr="00772037" w:rsidRDefault="0098001C" w:rsidP="00772037">
      <w:pPr>
        <w:spacing w:after="120"/>
        <w:jc w:val="center"/>
        <w:rPr>
          <w:rFonts w:asciiTheme="majorHAnsi" w:hAnsiTheme="majorHAnsi" w:cstheme="majorHAnsi"/>
          <w:color w:val="17365D" w:themeColor="text2" w:themeShade="BF"/>
        </w:rPr>
      </w:pPr>
    </w:p>
    <w:p w14:paraId="47527B74" w14:textId="77777777" w:rsidR="0098001C" w:rsidRPr="00772037" w:rsidRDefault="0098001C" w:rsidP="00772037">
      <w:pPr>
        <w:spacing w:after="120"/>
        <w:jc w:val="center"/>
        <w:rPr>
          <w:rFonts w:asciiTheme="majorHAnsi" w:hAnsiTheme="majorHAnsi" w:cstheme="majorHAnsi"/>
          <w:color w:val="17365D" w:themeColor="text2" w:themeShade="BF"/>
        </w:rPr>
      </w:pPr>
    </w:p>
    <w:p w14:paraId="6B265F8A" w14:textId="77777777" w:rsidR="00820631" w:rsidRPr="00772037" w:rsidRDefault="00820631" w:rsidP="00772037">
      <w:pPr>
        <w:spacing w:after="120"/>
        <w:ind w:left="5664"/>
        <w:jc w:val="center"/>
        <w:rPr>
          <w:rFonts w:asciiTheme="majorHAnsi" w:hAnsiTheme="majorHAnsi" w:cstheme="majorHAnsi"/>
          <w:color w:val="17365D" w:themeColor="text2" w:themeShade="BF"/>
        </w:rPr>
      </w:pPr>
    </w:p>
    <w:p w14:paraId="5A495350" w14:textId="77777777" w:rsidR="00673E9C" w:rsidRDefault="00673E9C" w:rsidP="00772037">
      <w:pPr>
        <w:spacing w:after="120"/>
        <w:ind w:left="5664"/>
        <w:jc w:val="center"/>
        <w:rPr>
          <w:rFonts w:asciiTheme="majorHAnsi" w:hAnsiTheme="majorHAnsi" w:cstheme="majorHAnsi"/>
          <w:color w:val="000000" w:themeColor="text1"/>
        </w:rPr>
      </w:pPr>
    </w:p>
    <w:p w14:paraId="17002B03" w14:textId="77777777" w:rsidR="00673E9C" w:rsidRDefault="00673E9C" w:rsidP="00772037">
      <w:pPr>
        <w:spacing w:after="120"/>
        <w:ind w:left="5664"/>
        <w:jc w:val="center"/>
        <w:rPr>
          <w:rFonts w:asciiTheme="majorHAnsi" w:hAnsiTheme="majorHAnsi" w:cstheme="majorHAnsi"/>
          <w:color w:val="000000" w:themeColor="text1"/>
        </w:rPr>
      </w:pPr>
    </w:p>
    <w:p w14:paraId="2A818E67" w14:textId="77777777" w:rsidR="00673E9C" w:rsidRDefault="00673E9C" w:rsidP="00772037">
      <w:pPr>
        <w:spacing w:after="120"/>
        <w:ind w:left="5664"/>
        <w:jc w:val="center"/>
        <w:rPr>
          <w:rFonts w:asciiTheme="majorHAnsi" w:hAnsiTheme="majorHAnsi" w:cstheme="majorHAnsi"/>
          <w:color w:val="000000" w:themeColor="text1"/>
        </w:rPr>
      </w:pPr>
    </w:p>
    <w:p w14:paraId="1EBBF8E9" w14:textId="77777777" w:rsidR="00673E9C" w:rsidRDefault="00673E9C" w:rsidP="00772037">
      <w:pPr>
        <w:spacing w:after="120"/>
        <w:ind w:left="5664"/>
        <w:jc w:val="center"/>
        <w:rPr>
          <w:rFonts w:asciiTheme="majorHAnsi" w:hAnsiTheme="majorHAnsi" w:cstheme="majorHAnsi"/>
          <w:color w:val="000000" w:themeColor="text1"/>
        </w:rPr>
      </w:pPr>
    </w:p>
    <w:p w14:paraId="7DAA877B" w14:textId="77777777" w:rsidR="00673E9C" w:rsidRDefault="00673E9C" w:rsidP="00772037">
      <w:pPr>
        <w:spacing w:after="120"/>
        <w:ind w:left="5664"/>
        <w:jc w:val="center"/>
        <w:rPr>
          <w:rFonts w:asciiTheme="majorHAnsi" w:hAnsiTheme="majorHAnsi" w:cstheme="majorHAnsi"/>
          <w:color w:val="000000" w:themeColor="text1"/>
        </w:rPr>
      </w:pPr>
    </w:p>
    <w:p w14:paraId="1E7B2E96" w14:textId="2C48BDEA" w:rsidR="008A2E34" w:rsidRPr="00772037" w:rsidRDefault="0098001C" w:rsidP="00772037">
      <w:pPr>
        <w:spacing w:after="120"/>
        <w:ind w:left="5664"/>
        <w:jc w:val="center"/>
        <w:rPr>
          <w:rFonts w:asciiTheme="majorHAnsi" w:hAnsiTheme="majorHAnsi" w:cstheme="majorHAnsi"/>
        </w:rPr>
      </w:pPr>
      <w:r w:rsidRPr="00673E9C">
        <w:rPr>
          <w:rFonts w:asciiTheme="majorHAnsi" w:hAnsiTheme="majorHAnsi" w:cstheme="majorHAnsi"/>
          <w:color w:val="000000" w:themeColor="text1"/>
        </w:rPr>
        <w:t>Consultora: Begoña Antón</w:t>
      </w:r>
      <w:r w:rsidR="008A2E34" w:rsidRPr="00772037">
        <w:rPr>
          <w:rFonts w:asciiTheme="majorHAnsi" w:hAnsiTheme="majorHAnsi" w:cstheme="majorHAnsi"/>
        </w:rPr>
        <w:br w:type="page"/>
      </w:r>
    </w:p>
    <w:p w14:paraId="41F7F8F5" w14:textId="77777777" w:rsidR="005F4957" w:rsidRPr="00772037" w:rsidRDefault="005F4957" w:rsidP="00E604B5">
      <w:pPr>
        <w:pStyle w:val="TDC1"/>
      </w:pPr>
    </w:p>
    <w:p w14:paraId="6116A672" w14:textId="02308CD6" w:rsidR="005F4957" w:rsidRPr="00E604B5" w:rsidRDefault="00681412" w:rsidP="00E604B5">
      <w:pPr>
        <w:pStyle w:val="TDC1"/>
      </w:pPr>
      <w:r w:rsidRPr="00E604B5">
        <w:t>Tabla de contenido</w:t>
      </w:r>
    </w:p>
    <w:p w14:paraId="3CFC3C48" w14:textId="77777777" w:rsidR="005F4957" w:rsidRPr="00E604B5" w:rsidRDefault="005F4957" w:rsidP="00E604B5">
      <w:pPr>
        <w:pStyle w:val="TDC1"/>
      </w:pPr>
    </w:p>
    <w:p w14:paraId="5351EFE7" w14:textId="49E0B111" w:rsidR="00E604B5" w:rsidRPr="00E604B5" w:rsidRDefault="00BD55B7" w:rsidP="00E604B5">
      <w:pPr>
        <w:pStyle w:val="TDC1"/>
        <w:rPr>
          <w:rFonts w:eastAsiaTheme="minorEastAsia"/>
          <w:b w:val="0"/>
          <w:bCs w:val="0"/>
          <w:noProof/>
          <w:color w:val="000000" w:themeColor="text1"/>
          <w:lang w:eastAsia="es-MX"/>
        </w:rPr>
      </w:pPr>
      <w:r w:rsidRPr="00E604B5">
        <w:fldChar w:fldCharType="begin"/>
      </w:r>
      <w:r w:rsidRPr="00E604B5">
        <w:instrText xml:space="preserve"> TOC \o "1-3" </w:instrText>
      </w:r>
      <w:r w:rsidRPr="00E604B5">
        <w:fldChar w:fldCharType="separate"/>
      </w:r>
      <w:r w:rsidR="00E604B5" w:rsidRPr="00E604B5">
        <w:rPr>
          <w:noProof/>
        </w:rPr>
        <w:t>I</w:t>
      </w:r>
      <w:r w:rsidR="00E604B5" w:rsidRPr="00E604B5">
        <w:rPr>
          <w:b w:val="0"/>
          <w:bCs w:val="0"/>
          <w:noProof/>
          <w:color w:val="000000" w:themeColor="text1"/>
        </w:rPr>
        <w:t>. Antecedentes</w:t>
      </w:r>
      <w:r w:rsidR="00E604B5" w:rsidRPr="00E604B5">
        <w:rPr>
          <w:b w:val="0"/>
          <w:bCs w:val="0"/>
          <w:noProof/>
          <w:color w:val="000000" w:themeColor="text1"/>
        </w:rPr>
        <w:tab/>
      </w:r>
      <w:r w:rsidR="00E604B5" w:rsidRPr="00E604B5">
        <w:rPr>
          <w:b w:val="0"/>
          <w:bCs w:val="0"/>
          <w:noProof/>
          <w:color w:val="000000" w:themeColor="text1"/>
        </w:rPr>
        <w:fldChar w:fldCharType="begin"/>
      </w:r>
      <w:r w:rsidR="00E604B5" w:rsidRPr="00E604B5">
        <w:rPr>
          <w:b w:val="0"/>
          <w:bCs w:val="0"/>
          <w:noProof/>
          <w:color w:val="000000" w:themeColor="text1"/>
        </w:rPr>
        <w:instrText xml:space="preserve"> PAGEREF _Toc89942355 \h </w:instrText>
      </w:r>
      <w:r w:rsidR="00E604B5" w:rsidRPr="00E604B5">
        <w:rPr>
          <w:b w:val="0"/>
          <w:bCs w:val="0"/>
          <w:noProof/>
          <w:color w:val="000000" w:themeColor="text1"/>
        </w:rPr>
      </w:r>
      <w:r w:rsidR="00E604B5" w:rsidRPr="00E604B5">
        <w:rPr>
          <w:b w:val="0"/>
          <w:bCs w:val="0"/>
          <w:noProof/>
          <w:color w:val="000000" w:themeColor="text1"/>
        </w:rPr>
        <w:fldChar w:fldCharType="separate"/>
      </w:r>
      <w:r w:rsidR="00E604B5" w:rsidRPr="00E604B5">
        <w:rPr>
          <w:b w:val="0"/>
          <w:bCs w:val="0"/>
          <w:noProof/>
          <w:color w:val="000000" w:themeColor="text1"/>
        </w:rPr>
        <w:t>3</w:t>
      </w:r>
      <w:r w:rsidR="00E604B5" w:rsidRPr="00E604B5">
        <w:rPr>
          <w:b w:val="0"/>
          <w:bCs w:val="0"/>
          <w:noProof/>
          <w:color w:val="000000" w:themeColor="text1"/>
        </w:rPr>
        <w:fldChar w:fldCharType="end"/>
      </w:r>
    </w:p>
    <w:p w14:paraId="096D5075" w14:textId="7CD20B80" w:rsidR="00E604B5" w:rsidRPr="00E604B5" w:rsidRDefault="00E604B5" w:rsidP="00E604B5">
      <w:pPr>
        <w:pStyle w:val="TDC1"/>
        <w:rPr>
          <w:rFonts w:eastAsiaTheme="minorEastAsia"/>
          <w:b w:val="0"/>
          <w:bCs w:val="0"/>
          <w:noProof/>
          <w:color w:val="000000" w:themeColor="text1"/>
          <w:lang w:eastAsia="es-MX"/>
        </w:rPr>
      </w:pPr>
      <w:r w:rsidRPr="00E604B5">
        <w:rPr>
          <w:b w:val="0"/>
          <w:bCs w:val="0"/>
          <w:noProof/>
          <w:color w:val="000000" w:themeColor="text1"/>
        </w:rPr>
        <w:t>II. Metodología</w:t>
      </w:r>
      <w:r w:rsidRPr="00E604B5">
        <w:rPr>
          <w:b w:val="0"/>
          <w:bCs w:val="0"/>
          <w:noProof/>
          <w:color w:val="000000" w:themeColor="text1"/>
        </w:rPr>
        <w:tab/>
      </w:r>
      <w:r w:rsidRPr="00E604B5">
        <w:rPr>
          <w:b w:val="0"/>
          <w:bCs w:val="0"/>
          <w:noProof/>
          <w:color w:val="000000" w:themeColor="text1"/>
        </w:rPr>
        <w:fldChar w:fldCharType="begin"/>
      </w:r>
      <w:r w:rsidRPr="00E604B5">
        <w:rPr>
          <w:b w:val="0"/>
          <w:bCs w:val="0"/>
          <w:noProof/>
          <w:color w:val="000000" w:themeColor="text1"/>
        </w:rPr>
        <w:instrText xml:space="preserve"> PAGEREF _Toc89942356 \h </w:instrText>
      </w:r>
      <w:r w:rsidRPr="00E604B5">
        <w:rPr>
          <w:b w:val="0"/>
          <w:bCs w:val="0"/>
          <w:noProof/>
          <w:color w:val="000000" w:themeColor="text1"/>
        </w:rPr>
      </w:r>
      <w:r w:rsidRPr="00E604B5">
        <w:rPr>
          <w:b w:val="0"/>
          <w:bCs w:val="0"/>
          <w:noProof/>
          <w:color w:val="000000" w:themeColor="text1"/>
        </w:rPr>
        <w:fldChar w:fldCharType="separate"/>
      </w:r>
      <w:r w:rsidRPr="00E604B5">
        <w:rPr>
          <w:b w:val="0"/>
          <w:bCs w:val="0"/>
          <w:noProof/>
          <w:color w:val="000000" w:themeColor="text1"/>
        </w:rPr>
        <w:t>5</w:t>
      </w:r>
      <w:r w:rsidRPr="00E604B5">
        <w:rPr>
          <w:b w:val="0"/>
          <w:bCs w:val="0"/>
          <w:noProof/>
          <w:color w:val="000000" w:themeColor="text1"/>
        </w:rPr>
        <w:fldChar w:fldCharType="end"/>
      </w:r>
    </w:p>
    <w:p w14:paraId="41B43C52" w14:textId="6AC53C70" w:rsidR="00E604B5" w:rsidRPr="00E604B5" w:rsidRDefault="00E604B5" w:rsidP="00E604B5">
      <w:pPr>
        <w:pStyle w:val="TDC1"/>
        <w:rPr>
          <w:rFonts w:eastAsiaTheme="minorEastAsia"/>
          <w:b w:val="0"/>
          <w:bCs w:val="0"/>
          <w:noProof/>
          <w:color w:val="000000" w:themeColor="text1"/>
          <w:lang w:eastAsia="es-MX"/>
        </w:rPr>
      </w:pPr>
      <w:r w:rsidRPr="00E604B5">
        <w:rPr>
          <w:b w:val="0"/>
          <w:bCs w:val="0"/>
          <w:noProof/>
          <w:color w:val="000000" w:themeColor="text1"/>
        </w:rPr>
        <w:t>III. Contexto del SNU en México</w:t>
      </w:r>
      <w:r w:rsidRPr="00E604B5">
        <w:rPr>
          <w:b w:val="0"/>
          <w:bCs w:val="0"/>
          <w:noProof/>
          <w:color w:val="000000" w:themeColor="text1"/>
        </w:rPr>
        <w:tab/>
      </w:r>
      <w:r w:rsidRPr="00E604B5">
        <w:rPr>
          <w:b w:val="0"/>
          <w:bCs w:val="0"/>
          <w:noProof/>
          <w:color w:val="000000" w:themeColor="text1"/>
        </w:rPr>
        <w:fldChar w:fldCharType="begin"/>
      </w:r>
      <w:r w:rsidRPr="00E604B5">
        <w:rPr>
          <w:b w:val="0"/>
          <w:bCs w:val="0"/>
          <w:noProof/>
          <w:color w:val="000000" w:themeColor="text1"/>
        </w:rPr>
        <w:instrText xml:space="preserve"> PAGEREF _Toc89942357 \h </w:instrText>
      </w:r>
      <w:r w:rsidRPr="00E604B5">
        <w:rPr>
          <w:b w:val="0"/>
          <w:bCs w:val="0"/>
          <w:noProof/>
          <w:color w:val="000000" w:themeColor="text1"/>
        </w:rPr>
      </w:r>
      <w:r w:rsidRPr="00E604B5">
        <w:rPr>
          <w:b w:val="0"/>
          <w:bCs w:val="0"/>
          <w:noProof/>
          <w:color w:val="000000" w:themeColor="text1"/>
        </w:rPr>
        <w:fldChar w:fldCharType="separate"/>
      </w:r>
      <w:r w:rsidRPr="00E604B5">
        <w:rPr>
          <w:b w:val="0"/>
          <w:bCs w:val="0"/>
          <w:noProof/>
          <w:color w:val="000000" w:themeColor="text1"/>
        </w:rPr>
        <w:t>7</w:t>
      </w:r>
      <w:r w:rsidRPr="00E604B5">
        <w:rPr>
          <w:b w:val="0"/>
          <w:bCs w:val="0"/>
          <w:noProof/>
          <w:color w:val="000000" w:themeColor="text1"/>
        </w:rPr>
        <w:fldChar w:fldCharType="end"/>
      </w:r>
    </w:p>
    <w:p w14:paraId="3A7AE8E3" w14:textId="0CA52205" w:rsidR="00E604B5" w:rsidRPr="00E604B5" w:rsidRDefault="00E604B5" w:rsidP="00E604B5">
      <w:pPr>
        <w:pStyle w:val="TDC1"/>
        <w:rPr>
          <w:rFonts w:eastAsiaTheme="minorEastAsia"/>
          <w:b w:val="0"/>
          <w:bCs w:val="0"/>
          <w:noProof/>
          <w:color w:val="000000" w:themeColor="text1"/>
          <w:lang w:eastAsia="es-MX"/>
        </w:rPr>
      </w:pPr>
      <w:r w:rsidRPr="00E604B5">
        <w:rPr>
          <w:b w:val="0"/>
          <w:bCs w:val="0"/>
          <w:noProof/>
          <w:color w:val="000000" w:themeColor="text1"/>
        </w:rPr>
        <w:t>IV. Revisión de los indicadores seleccionados</w:t>
      </w:r>
      <w:r w:rsidRPr="00E604B5">
        <w:rPr>
          <w:b w:val="0"/>
          <w:bCs w:val="0"/>
          <w:noProof/>
          <w:color w:val="000000" w:themeColor="text1"/>
        </w:rPr>
        <w:tab/>
      </w:r>
      <w:r w:rsidRPr="00E604B5">
        <w:rPr>
          <w:b w:val="0"/>
          <w:bCs w:val="0"/>
          <w:noProof/>
          <w:color w:val="000000" w:themeColor="text1"/>
        </w:rPr>
        <w:fldChar w:fldCharType="begin"/>
      </w:r>
      <w:r w:rsidRPr="00E604B5">
        <w:rPr>
          <w:b w:val="0"/>
          <w:bCs w:val="0"/>
          <w:noProof/>
          <w:color w:val="000000" w:themeColor="text1"/>
        </w:rPr>
        <w:instrText xml:space="preserve"> PAGEREF _Toc89942358 \h </w:instrText>
      </w:r>
      <w:r w:rsidRPr="00E604B5">
        <w:rPr>
          <w:b w:val="0"/>
          <w:bCs w:val="0"/>
          <w:noProof/>
          <w:color w:val="000000" w:themeColor="text1"/>
        </w:rPr>
      </w:r>
      <w:r w:rsidRPr="00E604B5">
        <w:rPr>
          <w:b w:val="0"/>
          <w:bCs w:val="0"/>
          <w:noProof/>
          <w:color w:val="000000" w:themeColor="text1"/>
        </w:rPr>
        <w:fldChar w:fldCharType="separate"/>
      </w:r>
      <w:r w:rsidRPr="00E604B5">
        <w:rPr>
          <w:b w:val="0"/>
          <w:bCs w:val="0"/>
          <w:noProof/>
          <w:color w:val="000000" w:themeColor="text1"/>
        </w:rPr>
        <w:t>8</w:t>
      </w:r>
      <w:r w:rsidRPr="00E604B5">
        <w:rPr>
          <w:b w:val="0"/>
          <w:bCs w:val="0"/>
          <w:noProof/>
          <w:color w:val="000000" w:themeColor="text1"/>
        </w:rPr>
        <w:fldChar w:fldCharType="end"/>
      </w:r>
    </w:p>
    <w:p w14:paraId="184510CD" w14:textId="391D14BD" w:rsidR="00E604B5" w:rsidRPr="00E604B5" w:rsidRDefault="00E604B5" w:rsidP="00E604B5">
      <w:pPr>
        <w:pStyle w:val="TDC1"/>
        <w:rPr>
          <w:rFonts w:eastAsiaTheme="minorEastAsia"/>
          <w:b w:val="0"/>
          <w:bCs w:val="0"/>
          <w:noProof/>
          <w:color w:val="000000" w:themeColor="text1"/>
          <w:lang w:eastAsia="es-MX"/>
        </w:rPr>
      </w:pPr>
      <w:r w:rsidRPr="00E604B5">
        <w:rPr>
          <w:b w:val="0"/>
          <w:bCs w:val="0"/>
          <w:noProof/>
          <w:color w:val="000000" w:themeColor="text1"/>
        </w:rPr>
        <w:t>V. Revisión del progreso y ajustes al Plan de Acción</w:t>
      </w:r>
      <w:r w:rsidRPr="00E604B5">
        <w:rPr>
          <w:b w:val="0"/>
          <w:bCs w:val="0"/>
          <w:noProof/>
          <w:color w:val="000000" w:themeColor="text1"/>
        </w:rPr>
        <w:tab/>
      </w:r>
      <w:r w:rsidRPr="00E604B5">
        <w:rPr>
          <w:b w:val="0"/>
          <w:bCs w:val="0"/>
          <w:noProof/>
          <w:color w:val="000000" w:themeColor="text1"/>
        </w:rPr>
        <w:fldChar w:fldCharType="begin"/>
      </w:r>
      <w:r w:rsidRPr="00E604B5">
        <w:rPr>
          <w:b w:val="0"/>
          <w:bCs w:val="0"/>
          <w:noProof/>
          <w:color w:val="000000" w:themeColor="text1"/>
        </w:rPr>
        <w:instrText xml:space="preserve"> PAGEREF _Toc89942359 \h </w:instrText>
      </w:r>
      <w:r w:rsidRPr="00E604B5">
        <w:rPr>
          <w:b w:val="0"/>
          <w:bCs w:val="0"/>
          <w:noProof/>
          <w:color w:val="000000" w:themeColor="text1"/>
        </w:rPr>
      </w:r>
      <w:r w:rsidRPr="00E604B5">
        <w:rPr>
          <w:b w:val="0"/>
          <w:bCs w:val="0"/>
          <w:noProof/>
          <w:color w:val="000000" w:themeColor="text1"/>
        </w:rPr>
        <w:fldChar w:fldCharType="separate"/>
      </w:r>
      <w:r w:rsidRPr="00E604B5">
        <w:rPr>
          <w:b w:val="0"/>
          <w:bCs w:val="0"/>
          <w:noProof/>
          <w:color w:val="000000" w:themeColor="text1"/>
        </w:rPr>
        <w:t>19</w:t>
      </w:r>
      <w:r w:rsidRPr="00E604B5">
        <w:rPr>
          <w:b w:val="0"/>
          <w:bCs w:val="0"/>
          <w:noProof/>
          <w:color w:val="000000" w:themeColor="text1"/>
        </w:rPr>
        <w:fldChar w:fldCharType="end"/>
      </w:r>
    </w:p>
    <w:p w14:paraId="2CA25520" w14:textId="7741D6EF" w:rsidR="00E604B5" w:rsidRPr="00E604B5" w:rsidRDefault="00E604B5" w:rsidP="00E604B5">
      <w:pPr>
        <w:pStyle w:val="TDC1"/>
        <w:rPr>
          <w:b w:val="0"/>
          <w:bCs w:val="0"/>
          <w:noProof/>
          <w:color w:val="000000" w:themeColor="text1"/>
        </w:rPr>
      </w:pPr>
      <w:r w:rsidRPr="00E604B5">
        <w:rPr>
          <w:b w:val="0"/>
          <w:bCs w:val="0"/>
          <w:noProof/>
          <w:color w:val="000000" w:themeColor="text1"/>
        </w:rPr>
        <w:t>VI. Buenas prácticas y lecciones aprendidas</w:t>
      </w:r>
      <w:r w:rsidRPr="00E604B5">
        <w:rPr>
          <w:b w:val="0"/>
          <w:bCs w:val="0"/>
          <w:noProof/>
          <w:color w:val="000000" w:themeColor="text1"/>
        </w:rPr>
        <w:tab/>
      </w:r>
      <w:r w:rsidRPr="00E604B5">
        <w:rPr>
          <w:b w:val="0"/>
          <w:bCs w:val="0"/>
          <w:noProof/>
          <w:color w:val="000000" w:themeColor="text1"/>
        </w:rPr>
        <w:fldChar w:fldCharType="begin"/>
      </w:r>
      <w:r w:rsidRPr="00E604B5">
        <w:rPr>
          <w:b w:val="0"/>
          <w:bCs w:val="0"/>
          <w:noProof/>
          <w:color w:val="000000" w:themeColor="text1"/>
        </w:rPr>
        <w:instrText xml:space="preserve"> PAGEREF _Toc89942360 \h </w:instrText>
      </w:r>
      <w:r w:rsidRPr="00E604B5">
        <w:rPr>
          <w:b w:val="0"/>
          <w:bCs w:val="0"/>
          <w:noProof/>
          <w:color w:val="000000" w:themeColor="text1"/>
        </w:rPr>
      </w:r>
      <w:r w:rsidRPr="00E604B5">
        <w:rPr>
          <w:b w:val="0"/>
          <w:bCs w:val="0"/>
          <w:noProof/>
          <w:color w:val="000000" w:themeColor="text1"/>
        </w:rPr>
        <w:fldChar w:fldCharType="separate"/>
      </w:r>
      <w:r w:rsidRPr="00E604B5">
        <w:rPr>
          <w:b w:val="0"/>
          <w:bCs w:val="0"/>
          <w:noProof/>
          <w:color w:val="000000" w:themeColor="text1"/>
        </w:rPr>
        <w:t>22</w:t>
      </w:r>
      <w:r w:rsidRPr="00E604B5">
        <w:rPr>
          <w:b w:val="0"/>
          <w:bCs w:val="0"/>
          <w:noProof/>
          <w:color w:val="000000" w:themeColor="text1"/>
        </w:rPr>
        <w:fldChar w:fldCharType="end"/>
      </w:r>
    </w:p>
    <w:p w14:paraId="33DF85F6" w14:textId="05C61952" w:rsidR="00E604B5" w:rsidRDefault="00E604B5" w:rsidP="00E604B5">
      <w:pPr>
        <w:rPr>
          <w:rFonts w:ascii="Calibri" w:hAnsi="Calibri" w:cs="Calibri"/>
        </w:rPr>
      </w:pPr>
    </w:p>
    <w:p w14:paraId="1BC60109" w14:textId="47CBB97D" w:rsidR="00E604B5" w:rsidRPr="00E604B5" w:rsidRDefault="00E604B5" w:rsidP="00E604B5">
      <w:pPr>
        <w:rPr>
          <w:rFonts w:ascii="Calibri" w:hAnsi="Calibri" w:cs="Calibri"/>
          <w:b/>
          <w:bCs/>
          <w:color w:val="00B0F0"/>
        </w:rPr>
      </w:pPr>
      <w:r w:rsidRPr="00E604B5">
        <w:rPr>
          <w:rFonts w:ascii="Calibri" w:hAnsi="Calibri" w:cs="Calibri"/>
          <w:b/>
          <w:bCs/>
          <w:color w:val="00B0F0"/>
        </w:rPr>
        <w:t>Índice de tablas y figuras</w:t>
      </w:r>
    </w:p>
    <w:p w14:paraId="56EAB757" w14:textId="76967929" w:rsidR="00E604B5" w:rsidRPr="00E604B5" w:rsidRDefault="00E604B5" w:rsidP="00E604B5">
      <w:pPr>
        <w:rPr>
          <w:rFonts w:ascii="Calibri" w:hAnsi="Calibri" w:cs="Calibri"/>
        </w:rPr>
      </w:pPr>
    </w:p>
    <w:p w14:paraId="6A1AD03E" w14:textId="77777777" w:rsidR="00E604B5" w:rsidRPr="00E604B5" w:rsidRDefault="00E604B5" w:rsidP="00673E9C">
      <w:pPr>
        <w:pStyle w:val="Tabladeilustraciones"/>
        <w:tabs>
          <w:tab w:val="right" w:leader="dot" w:pos="8828"/>
        </w:tabs>
        <w:spacing w:after="120"/>
        <w:jc w:val="both"/>
        <w:rPr>
          <w:rFonts w:ascii="Calibri" w:hAnsi="Calibri" w:cs="Calibri"/>
          <w:noProof/>
        </w:rPr>
      </w:pPr>
      <w:r w:rsidRPr="00E604B5">
        <w:rPr>
          <w:rFonts w:ascii="Calibri" w:hAnsi="Calibri" w:cs="Calibri"/>
        </w:rPr>
        <w:fldChar w:fldCharType="begin"/>
      </w:r>
      <w:r w:rsidRPr="00E604B5">
        <w:rPr>
          <w:rFonts w:ascii="Calibri" w:hAnsi="Calibri" w:cs="Calibri"/>
        </w:rPr>
        <w:instrText xml:space="preserve"> TOC \c "Tabla" </w:instrText>
      </w:r>
      <w:r w:rsidRPr="00E604B5">
        <w:rPr>
          <w:rFonts w:ascii="Calibri" w:hAnsi="Calibri" w:cs="Calibri"/>
        </w:rPr>
        <w:fldChar w:fldCharType="separate"/>
      </w:r>
      <w:r w:rsidRPr="00E604B5">
        <w:rPr>
          <w:rFonts w:ascii="Calibri" w:hAnsi="Calibri" w:cs="Calibri"/>
          <w:bCs/>
          <w:noProof/>
        </w:rPr>
        <w:t>Tabla 1. Matriz de Autodiagnóstico por área de desempeño de acuerdo con el estándar mínimo, 2019</w:t>
      </w:r>
      <w:r w:rsidRPr="00E604B5">
        <w:rPr>
          <w:rFonts w:ascii="Calibri" w:hAnsi="Calibri" w:cs="Calibri"/>
          <w:noProof/>
        </w:rPr>
        <w:tab/>
      </w:r>
      <w:r w:rsidRPr="00E604B5">
        <w:rPr>
          <w:rFonts w:ascii="Calibri" w:hAnsi="Calibri" w:cs="Calibri"/>
          <w:noProof/>
        </w:rPr>
        <w:fldChar w:fldCharType="begin"/>
      </w:r>
      <w:r w:rsidRPr="00E604B5">
        <w:rPr>
          <w:rFonts w:ascii="Calibri" w:hAnsi="Calibri" w:cs="Calibri"/>
          <w:noProof/>
        </w:rPr>
        <w:instrText xml:space="preserve"> PAGEREF _Toc89942512 \h </w:instrText>
      </w:r>
      <w:r w:rsidRPr="00E604B5">
        <w:rPr>
          <w:rFonts w:ascii="Calibri" w:hAnsi="Calibri" w:cs="Calibri"/>
          <w:noProof/>
        </w:rPr>
      </w:r>
      <w:r w:rsidRPr="00E604B5">
        <w:rPr>
          <w:rFonts w:ascii="Calibri" w:hAnsi="Calibri" w:cs="Calibri"/>
          <w:noProof/>
        </w:rPr>
        <w:fldChar w:fldCharType="separate"/>
      </w:r>
      <w:r w:rsidRPr="00E604B5">
        <w:rPr>
          <w:rFonts w:ascii="Calibri" w:hAnsi="Calibri" w:cs="Calibri"/>
          <w:noProof/>
        </w:rPr>
        <w:t>5</w:t>
      </w:r>
      <w:r w:rsidRPr="00E604B5">
        <w:rPr>
          <w:rFonts w:ascii="Calibri" w:hAnsi="Calibri" w:cs="Calibri"/>
          <w:noProof/>
        </w:rPr>
        <w:fldChar w:fldCharType="end"/>
      </w:r>
    </w:p>
    <w:p w14:paraId="21B3DBC7" w14:textId="77777777" w:rsidR="00E604B5" w:rsidRPr="00E604B5" w:rsidRDefault="00E604B5" w:rsidP="00673E9C">
      <w:pPr>
        <w:pStyle w:val="Tabladeilustraciones"/>
        <w:tabs>
          <w:tab w:val="right" w:leader="dot" w:pos="8828"/>
        </w:tabs>
        <w:spacing w:after="120"/>
        <w:rPr>
          <w:rFonts w:ascii="Calibri" w:hAnsi="Calibri" w:cs="Calibri"/>
          <w:noProof/>
        </w:rPr>
      </w:pPr>
      <w:r w:rsidRPr="00E604B5">
        <w:rPr>
          <w:rFonts w:ascii="Calibri" w:hAnsi="Calibri" w:cs="Calibri"/>
          <w:noProof/>
        </w:rPr>
        <w:t>Tabla 2. Temporalidad de la revisión de indicadores del UNCT-SWAP</w:t>
      </w:r>
      <w:r w:rsidRPr="00E604B5">
        <w:rPr>
          <w:rFonts w:ascii="Calibri" w:hAnsi="Calibri" w:cs="Calibri"/>
          <w:noProof/>
        </w:rPr>
        <w:tab/>
      </w:r>
      <w:r w:rsidRPr="00E604B5">
        <w:rPr>
          <w:rFonts w:ascii="Calibri" w:hAnsi="Calibri" w:cs="Calibri"/>
          <w:noProof/>
        </w:rPr>
        <w:fldChar w:fldCharType="begin"/>
      </w:r>
      <w:r w:rsidRPr="00E604B5">
        <w:rPr>
          <w:rFonts w:ascii="Calibri" w:hAnsi="Calibri" w:cs="Calibri"/>
          <w:noProof/>
        </w:rPr>
        <w:instrText xml:space="preserve"> PAGEREF _Toc89942513 \h </w:instrText>
      </w:r>
      <w:r w:rsidRPr="00E604B5">
        <w:rPr>
          <w:rFonts w:ascii="Calibri" w:hAnsi="Calibri" w:cs="Calibri"/>
          <w:noProof/>
        </w:rPr>
      </w:r>
      <w:r w:rsidRPr="00E604B5">
        <w:rPr>
          <w:rFonts w:ascii="Calibri" w:hAnsi="Calibri" w:cs="Calibri"/>
          <w:noProof/>
        </w:rPr>
        <w:fldChar w:fldCharType="separate"/>
      </w:r>
      <w:r w:rsidRPr="00E604B5">
        <w:rPr>
          <w:rFonts w:ascii="Calibri" w:hAnsi="Calibri" w:cs="Calibri"/>
          <w:noProof/>
        </w:rPr>
        <w:t>7</w:t>
      </w:r>
      <w:r w:rsidRPr="00E604B5">
        <w:rPr>
          <w:rFonts w:ascii="Calibri" w:hAnsi="Calibri" w:cs="Calibri"/>
          <w:noProof/>
        </w:rPr>
        <w:fldChar w:fldCharType="end"/>
      </w:r>
    </w:p>
    <w:p w14:paraId="0C03216F" w14:textId="77777777" w:rsidR="00E604B5" w:rsidRPr="00E604B5" w:rsidRDefault="00E604B5" w:rsidP="00673E9C">
      <w:pPr>
        <w:pStyle w:val="Tabladeilustraciones"/>
        <w:tabs>
          <w:tab w:val="right" w:leader="dot" w:pos="8828"/>
        </w:tabs>
        <w:spacing w:after="120"/>
        <w:rPr>
          <w:rFonts w:ascii="Calibri" w:hAnsi="Calibri" w:cs="Calibri"/>
          <w:noProof/>
        </w:rPr>
      </w:pPr>
      <w:r w:rsidRPr="00E604B5">
        <w:rPr>
          <w:rFonts w:ascii="Calibri" w:hAnsi="Calibri" w:cs="Calibri"/>
          <w:noProof/>
        </w:rPr>
        <w:t>Tabla 3. Mecanismos interagenciales del SNU en México, 2021</w:t>
      </w:r>
      <w:r w:rsidRPr="00E604B5">
        <w:rPr>
          <w:rFonts w:ascii="Calibri" w:hAnsi="Calibri" w:cs="Calibri"/>
          <w:noProof/>
        </w:rPr>
        <w:tab/>
      </w:r>
      <w:r w:rsidRPr="00E604B5">
        <w:rPr>
          <w:rFonts w:ascii="Calibri" w:hAnsi="Calibri" w:cs="Calibri"/>
          <w:noProof/>
        </w:rPr>
        <w:fldChar w:fldCharType="begin"/>
      </w:r>
      <w:r w:rsidRPr="00E604B5">
        <w:rPr>
          <w:rFonts w:ascii="Calibri" w:hAnsi="Calibri" w:cs="Calibri"/>
          <w:noProof/>
        </w:rPr>
        <w:instrText xml:space="preserve"> PAGEREF _Toc89942514 \h </w:instrText>
      </w:r>
      <w:r w:rsidRPr="00E604B5">
        <w:rPr>
          <w:rFonts w:ascii="Calibri" w:hAnsi="Calibri" w:cs="Calibri"/>
          <w:noProof/>
        </w:rPr>
      </w:r>
      <w:r w:rsidRPr="00E604B5">
        <w:rPr>
          <w:rFonts w:ascii="Calibri" w:hAnsi="Calibri" w:cs="Calibri"/>
          <w:noProof/>
        </w:rPr>
        <w:fldChar w:fldCharType="separate"/>
      </w:r>
      <w:r w:rsidRPr="00E604B5">
        <w:rPr>
          <w:rFonts w:ascii="Calibri" w:hAnsi="Calibri" w:cs="Calibri"/>
          <w:noProof/>
        </w:rPr>
        <w:t>9</w:t>
      </w:r>
      <w:r w:rsidRPr="00E604B5">
        <w:rPr>
          <w:rFonts w:ascii="Calibri" w:hAnsi="Calibri" w:cs="Calibri"/>
          <w:noProof/>
        </w:rPr>
        <w:fldChar w:fldCharType="end"/>
      </w:r>
    </w:p>
    <w:p w14:paraId="6F266561" w14:textId="77777777" w:rsidR="00E604B5" w:rsidRPr="00E604B5" w:rsidRDefault="00E604B5" w:rsidP="00673E9C">
      <w:pPr>
        <w:pStyle w:val="Tabladeilustraciones"/>
        <w:tabs>
          <w:tab w:val="right" w:leader="dot" w:pos="8828"/>
        </w:tabs>
        <w:spacing w:after="120"/>
        <w:rPr>
          <w:rFonts w:ascii="Calibri" w:hAnsi="Calibri" w:cs="Calibri"/>
          <w:noProof/>
        </w:rPr>
      </w:pPr>
      <w:r w:rsidRPr="00E604B5">
        <w:rPr>
          <w:rFonts w:ascii="Calibri" w:hAnsi="Calibri" w:cs="Calibri"/>
          <w:noProof/>
        </w:rPr>
        <w:t>Tabla 4. Comparativo de la puntuación de los 6 indicadores seleccionados, 2019-2021</w:t>
      </w:r>
      <w:r w:rsidRPr="00E604B5">
        <w:rPr>
          <w:rFonts w:ascii="Calibri" w:hAnsi="Calibri" w:cs="Calibri"/>
          <w:noProof/>
        </w:rPr>
        <w:tab/>
      </w:r>
      <w:r w:rsidRPr="00E604B5">
        <w:rPr>
          <w:rFonts w:ascii="Calibri" w:hAnsi="Calibri" w:cs="Calibri"/>
          <w:noProof/>
        </w:rPr>
        <w:fldChar w:fldCharType="begin"/>
      </w:r>
      <w:r w:rsidRPr="00E604B5">
        <w:rPr>
          <w:rFonts w:ascii="Calibri" w:hAnsi="Calibri" w:cs="Calibri"/>
          <w:noProof/>
        </w:rPr>
        <w:instrText xml:space="preserve"> PAGEREF _Toc89942515 \h </w:instrText>
      </w:r>
      <w:r w:rsidRPr="00E604B5">
        <w:rPr>
          <w:rFonts w:ascii="Calibri" w:hAnsi="Calibri" w:cs="Calibri"/>
          <w:noProof/>
        </w:rPr>
      </w:r>
      <w:r w:rsidRPr="00E604B5">
        <w:rPr>
          <w:rFonts w:ascii="Calibri" w:hAnsi="Calibri" w:cs="Calibri"/>
          <w:noProof/>
        </w:rPr>
        <w:fldChar w:fldCharType="separate"/>
      </w:r>
      <w:r w:rsidRPr="00E604B5">
        <w:rPr>
          <w:rFonts w:ascii="Calibri" w:hAnsi="Calibri" w:cs="Calibri"/>
          <w:noProof/>
        </w:rPr>
        <w:t>10</w:t>
      </w:r>
      <w:r w:rsidRPr="00E604B5">
        <w:rPr>
          <w:rFonts w:ascii="Calibri" w:hAnsi="Calibri" w:cs="Calibri"/>
          <w:noProof/>
        </w:rPr>
        <w:fldChar w:fldCharType="end"/>
      </w:r>
    </w:p>
    <w:p w14:paraId="2F0C3413" w14:textId="77777777" w:rsidR="00E604B5" w:rsidRPr="00E604B5" w:rsidRDefault="00E604B5" w:rsidP="00673E9C">
      <w:pPr>
        <w:pStyle w:val="Tabladeilustraciones"/>
        <w:tabs>
          <w:tab w:val="right" w:leader="dot" w:pos="8828"/>
        </w:tabs>
        <w:spacing w:after="120"/>
        <w:rPr>
          <w:rFonts w:ascii="Calibri" w:hAnsi="Calibri" w:cs="Calibri"/>
          <w:noProof/>
        </w:rPr>
      </w:pPr>
      <w:r w:rsidRPr="00E604B5">
        <w:rPr>
          <w:rFonts w:ascii="Calibri" w:hAnsi="Calibri" w:cs="Calibri"/>
          <w:noProof/>
        </w:rPr>
        <w:t>Tabla 5. Matriz de Autodiagnóstico por área de desempeño actualizada, 2021</w:t>
      </w:r>
      <w:r w:rsidRPr="00E604B5">
        <w:rPr>
          <w:rFonts w:ascii="Calibri" w:hAnsi="Calibri" w:cs="Calibri"/>
          <w:noProof/>
        </w:rPr>
        <w:tab/>
      </w:r>
      <w:r w:rsidRPr="00E604B5">
        <w:rPr>
          <w:rFonts w:ascii="Calibri" w:hAnsi="Calibri" w:cs="Calibri"/>
          <w:noProof/>
        </w:rPr>
        <w:fldChar w:fldCharType="begin"/>
      </w:r>
      <w:r w:rsidRPr="00E604B5">
        <w:rPr>
          <w:rFonts w:ascii="Calibri" w:hAnsi="Calibri" w:cs="Calibri"/>
          <w:noProof/>
        </w:rPr>
        <w:instrText xml:space="preserve"> PAGEREF _Toc89942516 \h </w:instrText>
      </w:r>
      <w:r w:rsidRPr="00E604B5">
        <w:rPr>
          <w:rFonts w:ascii="Calibri" w:hAnsi="Calibri" w:cs="Calibri"/>
          <w:noProof/>
        </w:rPr>
      </w:r>
      <w:r w:rsidRPr="00E604B5">
        <w:rPr>
          <w:rFonts w:ascii="Calibri" w:hAnsi="Calibri" w:cs="Calibri"/>
          <w:noProof/>
        </w:rPr>
        <w:fldChar w:fldCharType="separate"/>
      </w:r>
      <w:r w:rsidRPr="00E604B5">
        <w:rPr>
          <w:rFonts w:ascii="Calibri" w:hAnsi="Calibri" w:cs="Calibri"/>
          <w:noProof/>
        </w:rPr>
        <w:t>11</w:t>
      </w:r>
      <w:r w:rsidRPr="00E604B5">
        <w:rPr>
          <w:rFonts w:ascii="Calibri" w:hAnsi="Calibri" w:cs="Calibri"/>
          <w:noProof/>
        </w:rPr>
        <w:fldChar w:fldCharType="end"/>
      </w:r>
    </w:p>
    <w:p w14:paraId="02367DDF" w14:textId="77777777" w:rsidR="00E604B5" w:rsidRPr="00E604B5" w:rsidRDefault="00E604B5" w:rsidP="00673E9C">
      <w:pPr>
        <w:pStyle w:val="Tabladeilustraciones"/>
        <w:tabs>
          <w:tab w:val="right" w:leader="dot" w:pos="8828"/>
        </w:tabs>
        <w:spacing w:after="120"/>
        <w:rPr>
          <w:rFonts w:ascii="Calibri" w:hAnsi="Calibri" w:cs="Calibri"/>
          <w:noProof/>
        </w:rPr>
      </w:pPr>
      <w:r w:rsidRPr="00E604B5">
        <w:rPr>
          <w:rFonts w:ascii="Calibri" w:hAnsi="Calibri" w:cs="Calibri"/>
          <w:noProof/>
        </w:rPr>
        <w:t xml:space="preserve">Tabla 6. </w:t>
      </w:r>
      <w:r w:rsidRPr="00E604B5">
        <w:rPr>
          <w:rFonts w:ascii="Calibri" w:eastAsia="Times New Roman" w:hAnsi="Calibri" w:cs="Calibri"/>
          <w:noProof/>
        </w:rPr>
        <w:t>Acciones del Plan de Acción revisitado por áreas de desempeño</w:t>
      </w:r>
      <w:r w:rsidRPr="00E604B5">
        <w:rPr>
          <w:rFonts w:ascii="Calibri" w:hAnsi="Calibri" w:cs="Calibri"/>
          <w:noProof/>
        </w:rPr>
        <w:tab/>
      </w:r>
      <w:r w:rsidRPr="00E604B5">
        <w:rPr>
          <w:rFonts w:ascii="Calibri" w:hAnsi="Calibri" w:cs="Calibri"/>
          <w:noProof/>
        </w:rPr>
        <w:fldChar w:fldCharType="begin"/>
      </w:r>
      <w:r w:rsidRPr="00E604B5">
        <w:rPr>
          <w:rFonts w:ascii="Calibri" w:hAnsi="Calibri" w:cs="Calibri"/>
          <w:noProof/>
        </w:rPr>
        <w:instrText xml:space="preserve"> PAGEREF _Toc89942517 \h </w:instrText>
      </w:r>
      <w:r w:rsidRPr="00E604B5">
        <w:rPr>
          <w:rFonts w:ascii="Calibri" w:hAnsi="Calibri" w:cs="Calibri"/>
          <w:noProof/>
        </w:rPr>
      </w:r>
      <w:r w:rsidRPr="00E604B5">
        <w:rPr>
          <w:rFonts w:ascii="Calibri" w:hAnsi="Calibri" w:cs="Calibri"/>
          <w:noProof/>
        </w:rPr>
        <w:fldChar w:fldCharType="separate"/>
      </w:r>
      <w:r w:rsidRPr="00E604B5">
        <w:rPr>
          <w:rFonts w:ascii="Calibri" w:hAnsi="Calibri" w:cs="Calibri"/>
          <w:noProof/>
        </w:rPr>
        <w:t>22</w:t>
      </w:r>
      <w:r w:rsidRPr="00E604B5">
        <w:rPr>
          <w:rFonts w:ascii="Calibri" w:hAnsi="Calibri" w:cs="Calibri"/>
          <w:noProof/>
        </w:rPr>
        <w:fldChar w:fldCharType="end"/>
      </w:r>
    </w:p>
    <w:p w14:paraId="7F8773A1" w14:textId="77777777" w:rsidR="00E604B5" w:rsidRPr="00E604B5" w:rsidRDefault="00E604B5" w:rsidP="00673E9C">
      <w:pPr>
        <w:spacing w:after="120"/>
        <w:rPr>
          <w:rFonts w:ascii="Calibri" w:hAnsi="Calibri" w:cs="Calibri"/>
        </w:rPr>
      </w:pPr>
      <w:r w:rsidRPr="00E604B5">
        <w:rPr>
          <w:rFonts w:ascii="Calibri" w:hAnsi="Calibri" w:cs="Calibri"/>
        </w:rPr>
        <w:fldChar w:fldCharType="end"/>
      </w:r>
    </w:p>
    <w:p w14:paraId="66A4B0FE" w14:textId="77777777" w:rsidR="00E604B5" w:rsidRPr="00E604B5" w:rsidRDefault="00E604B5" w:rsidP="00673E9C">
      <w:pPr>
        <w:pStyle w:val="Tabladeilustraciones"/>
        <w:tabs>
          <w:tab w:val="right" w:leader="dot" w:pos="8828"/>
        </w:tabs>
        <w:spacing w:after="120"/>
        <w:rPr>
          <w:rFonts w:ascii="Calibri" w:eastAsiaTheme="minorEastAsia" w:hAnsi="Calibri" w:cs="Calibri"/>
          <w:noProof/>
          <w:lang w:eastAsia="es-MX"/>
        </w:rPr>
      </w:pPr>
      <w:r w:rsidRPr="00E604B5">
        <w:rPr>
          <w:rFonts w:ascii="Calibri" w:hAnsi="Calibri" w:cs="Calibri"/>
        </w:rPr>
        <w:fldChar w:fldCharType="begin"/>
      </w:r>
      <w:r w:rsidRPr="00E604B5">
        <w:rPr>
          <w:rFonts w:ascii="Calibri" w:hAnsi="Calibri" w:cs="Calibri"/>
        </w:rPr>
        <w:instrText xml:space="preserve"> TOC \h \z \c "Figura" </w:instrText>
      </w:r>
      <w:r w:rsidRPr="00E604B5">
        <w:rPr>
          <w:rFonts w:ascii="Calibri" w:hAnsi="Calibri" w:cs="Calibri"/>
        </w:rPr>
        <w:fldChar w:fldCharType="separate"/>
      </w:r>
      <w:hyperlink w:anchor="_Toc89942528" w:history="1">
        <w:r w:rsidRPr="00E604B5">
          <w:rPr>
            <w:rStyle w:val="Hipervnculo"/>
            <w:rFonts w:ascii="Calibri" w:hAnsi="Calibri" w:cs="Calibri"/>
            <w:noProof/>
          </w:rPr>
          <w:t>Figura 1. Resultados generales de la puntuación de indicadores, 2019</w:t>
        </w:r>
        <w:r w:rsidRPr="00E604B5">
          <w:rPr>
            <w:rFonts w:ascii="Calibri" w:hAnsi="Calibri" w:cs="Calibri"/>
            <w:noProof/>
            <w:webHidden/>
          </w:rPr>
          <w:tab/>
        </w:r>
        <w:r w:rsidRPr="00E604B5">
          <w:rPr>
            <w:rFonts w:ascii="Calibri" w:hAnsi="Calibri" w:cs="Calibri"/>
            <w:noProof/>
            <w:webHidden/>
          </w:rPr>
          <w:fldChar w:fldCharType="begin"/>
        </w:r>
        <w:r w:rsidRPr="00E604B5">
          <w:rPr>
            <w:rFonts w:ascii="Calibri" w:hAnsi="Calibri" w:cs="Calibri"/>
            <w:noProof/>
            <w:webHidden/>
          </w:rPr>
          <w:instrText xml:space="preserve"> PAGEREF _Toc89942528 \h </w:instrText>
        </w:r>
        <w:r w:rsidRPr="00E604B5">
          <w:rPr>
            <w:rFonts w:ascii="Calibri" w:hAnsi="Calibri" w:cs="Calibri"/>
            <w:noProof/>
            <w:webHidden/>
          </w:rPr>
        </w:r>
        <w:r w:rsidRPr="00E604B5">
          <w:rPr>
            <w:rFonts w:ascii="Calibri" w:hAnsi="Calibri" w:cs="Calibri"/>
            <w:noProof/>
            <w:webHidden/>
          </w:rPr>
          <w:fldChar w:fldCharType="separate"/>
        </w:r>
        <w:r w:rsidRPr="00E604B5">
          <w:rPr>
            <w:rFonts w:ascii="Calibri" w:hAnsi="Calibri" w:cs="Calibri"/>
            <w:noProof/>
            <w:webHidden/>
          </w:rPr>
          <w:t>4</w:t>
        </w:r>
        <w:r w:rsidRPr="00E604B5">
          <w:rPr>
            <w:rFonts w:ascii="Calibri" w:hAnsi="Calibri" w:cs="Calibri"/>
            <w:noProof/>
            <w:webHidden/>
          </w:rPr>
          <w:fldChar w:fldCharType="end"/>
        </w:r>
      </w:hyperlink>
    </w:p>
    <w:p w14:paraId="5726FB9B" w14:textId="77777777" w:rsidR="00E604B5" w:rsidRPr="00E604B5" w:rsidRDefault="00100834" w:rsidP="00673E9C">
      <w:pPr>
        <w:pStyle w:val="Tabladeilustraciones"/>
        <w:tabs>
          <w:tab w:val="right" w:leader="dot" w:pos="8828"/>
        </w:tabs>
        <w:spacing w:after="120"/>
        <w:rPr>
          <w:rFonts w:ascii="Calibri" w:eastAsiaTheme="minorEastAsia" w:hAnsi="Calibri" w:cs="Calibri"/>
          <w:noProof/>
          <w:lang w:eastAsia="es-MX"/>
        </w:rPr>
      </w:pPr>
      <w:hyperlink w:anchor="_Toc89942529" w:history="1">
        <w:r w:rsidR="00E604B5" w:rsidRPr="00E604B5">
          <w:rPr>
            <w:rStyle w:val="Hipervnculo"/>
            <w:rFonts w:ascii="Calibri" w:hAnsi="Calibri" w:cs="Calibri"/>
            <w:noProof/>
          </w:rPr>
          <w:t xml:space="preserve">Figura 2. Comparativo global del desempeño </w:t>
        </w:r>
        <w:r w:rsidR="00E604B5" w:rsidRPr="00E604B5">
          <w:rPr>
            <w:rStyle w:val="Hipervnculo"/>
            <w:rFonts w:ascii="Calibri" w:hAnsi="Calibri" w:cs="Calibri"/>
            <w:noProof/>
            <w:lang w:val="es-ES_tradnl"/>
          </w:rPr>
          <w:t>de la Matriz de Autodiagnóstico</w:t>
        </w:r>
        <w:r w:rsidR="00E604B5" w:rsidRPr="00E604B5">
          <w:rPr>
            <w:rStyle w:val="Hipervnculo"/>
            <w:rFonts w:ascii="Calibri" w:hAnsi="Calibri" w:cs="Calibri"/>
            <w:noProof/>
          </w:rPr>
          <w:t>, 2019-2021</w:t>
        </w:r>
        <w:r w:rsidR="00E604B5" w:rsidRPr="00E604B5">
          <w:rPr>
            <w:rFonts w:ascii="Calibri" w:hAnsi="Calibri" w:cs="Calibri"/>
            <w:noProof/>
            <w:webHidden/>
          </w:rPr>
          <w:tab/>
        </w:r>
        <w:r w:rsidR="00E604B5" w:rsidRPr="00E604B5">
          <w:rPr>
            <w:rFonts w:ascii="Calibri" w:hAnsi="Calibri" w:cs="Calibri"/>
            <w:noProof/>
            <w:webHidden/>
          </w:rPr>
          <w:fldChar w:fldCharType="begin"/>
        </w:r>
        <w:r w:rsidR="00E604B5" w:rsidRPr="00E604B5">
          <w:rPr>
            <w:rFonts w:ascii="Calibri" w:hAnsi="Calibri" w:cs="Calibri"/>
            <w:noProof/>
            <w:webHidden/>
          </w:rPr>
          <w:instrText xml:space="preserve"> PAGEREF _Toc89942529 \h </w:instrText>
        </w:r>
        <w:r w:rsidR="00E604B5" w:rsidRPr="00E604B5">
          <w:rPr>
            <w:rFonts w:ascii="Calibri" w:hAnsi="Calibri" w:cs="Calibri"/>
            <w:noProof/>
            <w:webHidden/>
          </w:rPr>
        </w:r>
        <w:r w:rsidR="00E604B5" w:rsidRPr="00E604B5">
          <w:rPr>
            <w:rFonts w:ascii="Calibri" w:hAnsi="Calibri" w:cs="Calibri"/>
            <w:noProof/>
            <w:webHidden/>
          </w:rPr>
          <w:fldChar w:fldCharType="separate"/>
        </w:r>
        <w:r w:rsidR="00E604B5" w:rsidRPr="00E604B5">
          <w:rPr>
            <w:rFonts w:ascii="Calibri" w:hAnsi="Calibri" w:cs="Calibri"/>
            <w:noProof/>
            <w:webHidden/>
          </w:rPr>
          <w:t>10</w:t>
        </w:r>
        <w:r w:rsidR="00E604B5" w:rsidRPr="00E604B5">
          <w:rPr>
            <w:rFonts w:ascii="Calibri" w:hAnsi="Calibri" w:cs="Calibri"/>
            <w:noProof/>
            <w:webHidden/>
          </w:rPr>
          <w:fldChar w:fldCharType="end"/>
        </w:r>
      </w:hyperlink>
    </w:p>
    <w:p w14:paraId="0D8F4267" w14:textId="77777777" w:rsidR="00E604B5" w:rsidRPr="00E604B5" w:rsidRDefault="00100834" w:rsidP="00673E9C">
      <w:pPr>
        <w:pStyle w:val="Tabladeilustraciones"/>
        <w:tabs>
          <w:tab w:val="right" w:leader="dot" w:pos="8828"/>
        </w:tabs>
        <w:spacing w:after="120"/>
        <w:rPr>
          <w:rFonts w:ascii="Calibri" w:eastAsiaTheme="minorEastAsia" w:hAnsi="Calibri" w:cs="Calibri"/>
          <w:noProof/>
          <w:lang w:eastAsia="es-MX"/>
        </w:rPr>
      </w:pPr>
      <w:hyperlink w:anchor="_Toc89942530" w:history="1">
        <w:r w:rsidR="00E604B5" w:rsidRPr="00E604B5">
          <w:rPr>
            <w:rStyle w:val="Hipervnculo"/>
            <w:rFonts w:ascii="Calibri" w:hAnsi="Calibri" w:cs="Calibri"/>
            <w:noProof/>
          </w:rPr>
          <w:t xml:space="preserve">Figura 3. </w:t>
        </w:r>
        <w:r w:rsidR="00E604B5" w:rsidRPr="00E604B5">
          <w:rPr>
            <w:rStyle w:val="Hipervnculo"/>
            <w:rFonts w:ascii="Calibri" w:hAnsi="Calibri" w:cs="Calibri"/>
            <w:bCs/>
            <w:noProof/>
            <w:bdr w:val="nil"/>
          </w:rPr>
          <w:t>Avances globales en la implementación del Plan de Acción</w:t>
        </w:r>
        <w:r w:rsidR="00E604B5" w:rsidRPr="00E604B5">
          <w:rPr>
            <w:rFonts w:ascii="Calibri" w:hAnsi="Calibri" w:cs="Calibri"/>
            <w:noProof/>
            <w:webHidden/>
          </w:rPr>
          <w:tab/>
        </w:r>
        <w:r w:rsidR="00E604B5" w:rsidRPr="00E604B5">
          <w:rPr>
            <w:rFonts w:ascii="Calibri" w:hAnsi="Calibri" w:cs="Calibri"/>
            <w:noProof/>
            <w:webHidden/>
          </w:rPr>
          <w:fldChar w:fldCharType="begin"/>
        </w:r>
        <w:r w:rsidR="00E604B5" w:rsidRPr="00E604B5">
          <w:rPr>
            <w:rFonts w:ascii="Calibri" w:hAnsi="Calibri" w:cs="Calibri"/>
            <w:noProof/>
            <w:webHidden/>
          </w:rPr>
          <w:instrText xml:space="preserve"> PAGEREF _Toc89942530 \h </w:instrText>
        </w:r>
        <w:r w:rsidR="00E604B5" w:rsidRPr="00E604B5">
          <w:rPr>
            <w:rFonts w:ascii="Calibri" w:hAnsi="Calibri" w:cs="Calibri"/>
            <w:noProof/>
            <w:webHidden/>
          </w:rPr>
        </w:r>
        <w:r w:rsidR="00E604B5" w:rsidRPr="00E604B5">
          <w:rPr>
            <w:rFonts w:ascii="Calibri" w:hAnsi="Calibri" w:cs="Calibri"/>
            <w:noProof/>
            <w:webHidden/>
          </w:rPr>
          <w:fldChar w:fldCharType="separate"/>
        </w:r>
        <w:r w:rsidR="00E604B5" w:rsidRPr="00E604B5">
          <w:rPr>
            <w:rFonts w:ascii="Calibri" w:hAnsi="Calibri" w:cs="Calibri"/>
            <w:noProof/>
            <w:webHidden/>
          </w:rPr>
          <w:t>20</w:t>
        </w:r>
        <w:r w:rsidR="00E604B5" w:rsidRPr="00E604B5">
          <w:rPr>
            <w:rFonts w:ascii="Calibri" w:hAnsi="Calibri" w:cs="Calibri"/>
            <w:noProof/>
            <w:webHidden/>
          </w:rPr>
          <w:fldChar w:fldCharType="end"/>
        </w:r>
      </w:hyperlink>
    </w:p>
    <w:p w14:paraId="4BF31BC5" w14:textId="77777777" w:rsidR="00E604B5" w:rsidRPr="00E604B5" w:rsidRDefault="00100834" w:rsidP="00673E9C">
      <w:pPr>
        <w:pStyle w:val="Tabladeilustraciones"/>
        <w:tabs>
          <w:tab w:val="right" w:leader="dot" w:pos="8828"/>
        </w:tabs>
        <w:spacing w:after="120"/>
        <w:rPr>
          <w:rFonts w:ascii="Calibri" w:eastAsiaTheme="minorEastAsia" w:hAnsi="Calibri" w:cs="Calibri"/>
          <w:noProof/>
          <w:lang w:eastAsia="es-MX"/>
        </w:rPr>
      </w:pPr>
      <w:hyperlink w:anchor="_Toc89942531" w:history="1">
        <w:r w:rsidR="00E604B5" w:rsidRPr="00E604B5">
          <w:rPr>
            <w:rStyle w:val="Hipervnculo"/>
            <w:rFonts w:ascii="Calibri" w:hAnsi="Calibri" w:cs="Calibri"/>
            <w:noProof/>
          </w:rPr>
          <w:t>Figura 4. Avances por área de desempeño en la implementación del Plan de Acción</w:t>
        </w:r>
        <w:r w:rsidR="00E604B5" w:rsidRPr="00E604B5">
          <w:rPr>
            <w:rFonts w:ascii="Calibri" w:hAnsi="Calibri" w:cs="Calibri"/>
            <w:noProof/>
            <w:webHidden/>
          </w:rPr>
          <w:tab/>
        </w:r>
        <w:r w:rsidR="00E604B5" w:rsidRPr="00E604B5">
          <w:rPr>
            <w:rFonts w:ascii="Calibri" w:hAnsi="Calibri" w:cs="Calibri"/>
            <w:noProof/>
            <w:webHidden/>
          </w:rPr>
          <w:fldChar w:fldCharType="begin"/>
        </w:r>
        <w:r w:rsidR="00E604B5" w:rsidRPr="00E604B5">
          <w:rPr>
            <w:rFonts w:ascii="Calibri" w:hAnsi="Calibri" w:cs="Calibri"/>
            <w:noProof/>
            <w:webHidden/>
          </w:rPr>
          <w:instrText xml:space="preserve"> PAGEREF _Toc89942531 \h </w:instrText>
        </w:r>
        <w:r w:rsidR="00E604B5" w:rsidRPr="00E604B5">
          <w:rPr>
            <w:rFonts w:ascii="Calibri" w:hAnsi="Calibri" w:cs="Calibri"/>
            <w:noProof/>
            <w:webHidden/>
          </w:rPr>
        </w:r>
        <w:r w:rsidR="00E604B5" w:rsidRPr="00E604B5">
          <w:rPr>
            <w:rFonts w:ascii="Calibri" w:hAnsi="Calibri" w:cs="Calibri"/>
            <w:noProof/>
            <w:webHidden/>
          </w:rPr>
          <w:fldChar w:fldCharType="separate"/>
        </w:r>
        <w:r w:rsidR="00E604B5" w:rsidRPr="00E604B5">
          <w:rPr>
            <w:rFonts w:ascii="Calibri" w:hAnsi="Calibri" w:cs="Calibri"/>
            <w:noProof/>
            <w:webHidden/>
          </w:rPr>
          <w:t>21</w:t>
        </w:r>
        <w:r w:rsidR="00E604B5" w:rsidRPr="00E604B5">
          <w:rPr>
            <w:rFonts w:ascii="Calibri" w:hAnsi="Calibri" w:cs="Calibri"/>
            <w:noProof/>
            <w:webHidden/>
          </w:rPr>
          <w:fldChar w:fldCharType="end"/>
        </w:r>
      </w:hyperlink>
    </w:p>
    <w:p w14:paraId="05B320EB" w14:textId="487D30CE" w:rsidR="00E604B5" w:rsidRPr="00E604B5" w:rsidRDefault="00E604B5" w:rsidP="00673E9C">
      <w:pPr>
        <w:spacing w:after="120"/>
        <w:rPr>
          <w:rFonts w:ascii="Calibri" w:hAnsi="Calibri" w:cs="Calibri"/>
        </w:rPr>
      </w:pPr>
      <w:r w:rsidRPr="00E604B5">
        <w:rPr>
          <w:rFonts w:ascii="Calibri" w:hAnsi="Calibri" w:cs="Calibri"/>
        </w:rPr>
        <w:fldChar w:fldCharType="end"/>
      </w:r>
    </w:p>
    <w:p w14:paraId="5D56B92B" w14:textId="77777777" w:rsidR="00E604B5" w:rsidRPr="00E604B5" w:rsidRDefault="00E604B5" w:rsidP="00E604B5">
      <w:pPr>
        <w:rPr>
          <w:rFonts w:ascii="Calibri" w:hAnsi="Calibri" w:cs="Calibri"/>
        </w:rPr>
      </w:pPr>
    </w:p>
    <w:p w14:paraId="30A226AE" w14:textId="48EB00C5" w:rsidR="00E604B5" w:rsidRDefault="00BD55B7" w:rsidP="00772037">
      <w:pPr>
        <w:spacing w:after="120"/>
        <w:rPr>
          <w:rFonts w:asciiTheme="majorHAnsi" w:hAnsiTheme="majorHAnsi" w:cstheme="majorHAnsi"/>
          <w:color w:val="365F91" w:themeColor="accent1" w:themeShade="BF"/>
        </w:rPr>
      </w:pPr>
      <w:r w:rsidRPr="00E604B5">
        <w:rPr>
          <w:rFonts w:ascii="Calibri" w:hAnsi="Calibri" w:cs="Calibri"/>
          <w:color w:val="365F91" w:themeColor="accent1" w:themeShade="BF"/>
        </w:rPr>
        <w:fldChar w:fldCharType="end"/>
      </w:r>
    </w:p>
    <w:p w14:paraId="7A894F98" w14:textId="6D97B87D" w:rsidR="00E604B5" w:rsidRDefault="00E604B5">
      <w:pPr>
        <w:rPr>
          <w:rFonts w:asciiTheme="majorHAnsi" w:hAnsiTheme="majorHAnsi" w:cstheme="majorHAnsi"/>
          <w:color w:val="365F91" w:themeColor="accent1" w:themeShade="BF"/>
        </w:rPr>
      </w:pPr>
      <w:r>
        <w:rPr>
          <w:rFonts w:asciiTheme="majorHAnsi" w:hAnsiTheme="majorHAnsi" w:cstheme="majorHAnsi"/>
          <w:color w:val="365F91" w:themeColor="accent1" w:themeShade="BF"/>
        </w:rPr>
        <w:br w:type="page"/>
      </w:r>
    </w:p>
    <w:p w14:paraId="39BF983B" w14:textId="77777777" w:rsidR="00E604B5" w:rsidRPr="001C4A44" w:rsidRDefault="00E604B5" w:rsidP="00E604B5">
      <w:pPr>
        <w:rPr>
          <w:rFonts w:ascii="Calibri" w:hAnsi="Calibri" w:cs="Calibri"/>
          <w:b/>
          <w:bCs/>
          <w:color w:val="00B0F0"/>
        </w:rPr>
      </w:pPr>
      <w:r w:rsidRPr="001C4A44">
        <w:rPr>
          <w:rFonts w:ascii="Calibri" w:hAnsi="Calibri" w:cs="Calibri"/>
          <w:b/>
          <w:bCs/>
          <w:color w:val="00B0F0"/>
        </w:rPr>
        <w:lastRenderedPageBreak/>
        <w:t>Lista de acrónimos y abreviaciones</w:t>
      </w:r>
    </w:p>
    <w:p w14:paraId="063FF15E" w14:textId="77777777" w:rsidR="00E604B5" w:rsidRPr="00772037" w:rsidRDefault="00E604B5" w:rsidP="00E604B5">
      <w:pPr>
        <w:spacing w:after="120"/>
        <w:rPr>
          <w:rFonts w:asciiTheme="majorHAnsi" w:eastAsia="Times New Roman" w:hAnsiTheme="majorHAnsi" w:cstheme="majorHAnsi"/>
        </w:rPr>
      </w:pPr>
    </w:p>
    <w:tbl>
      <w:tblPr>
        <w:tblW w:w="9889" w:type="dxa"/>
        <w:tblLook w:val="04A0" w:firstRow="1" w:lastRow="0" w:firstColumn="1" w:lastColumn="0" w:noHBand="0" w:noVBand="1"/>
      </w:tblPr>
      <w:tblGrid>
        <w:gridCol w:w="1548"/>
        <w:gridCol w:w="8341"/>
      </w:tblGrid>
      <w:tr w:rsidR="00E604B5" w:rsidRPr="00772037" w14:paraId="05F2F72D" w14:textId="77777777" w:rsidTr="00316349">
        <w:tc>
          <w:tcPr>
            <w:tcW w:w="1548" w:type="dxa"/>
          </w:tcPr>
          <w:p w14:paraId="4BEBE9F8"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ACNUR</w:t>
            </w:r>
          </w:p>
        </w:tc>
        <w:tc>
          <w:tcPr>
            <w:tcW w:w="8341" w:type="dxa"/>
          </w:tcPr>
          <w:p w14:paraId="347BA197"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Alto Comisionado de las Naciones Unidas para los Refugiados</w:t>
            </w:r>
          </w:p>
        </w:tc>
      </w:tr>
      <w:tr w:rsidR="00E604B5" w:rsidRPr="00772037" w14:paraId="2E0EF0A9" w14:textId="77777777" w:rsidTr="00316349">
        <w:tc>
          <w:tcPr>
            <w:tcW w:w="1548" w:type="dxa"/>
          </w:tcPr>
          <w:p w14:paraId="55011A3D"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Agenda 2030</w:t>
            </w:r>
          </w:p>
        </w:tc>
        <w:tc>
          <w:tcPr>
            <w:tcW w:w="8341" w:type="dxa"/>
          </w:tcPr>
          <w:p w14:paraId="26588C66"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Agenda 2030 para el Desarrollo Sostenible</w:t>
            </w:r>
          </w:p>
        </w:tc>
      </w:tr>
      <w:tr w:rsidR="00E604B5" w:rsidRPr="00772037" w14:paraId="53B6978C" w14:textId="77777777" w:rsidTr="00316349">
        <w:tc>
          <w:tcPr>
            <w:tcW w:w="1548" w:type="dxa"/>
          </w:tcPr>
          <w:p w14:paraId="0E334170"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BOS</w:t>
            </w:r>
          </w:p>
        </w:tc>
        <w:tc>
          <w:tcPr>
            <w:tcW w:w="8341" w:type="dxa"/>
          </w:tcPr>
          <w:p w14:paraId="5F622872"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Estrategia de Operaciones de Negocios (Business Operation Strategy)</w:t>
            </w:r>
          </w:p>
        </w:tc>
      </w:tr>
      <w:tr w:rsidR="00E604B5" w:rsidRPr="00772037" w14:paraId="69F65F42" w14:textId="77777777" w:rsidTr="00316349">
        <w:tc>
          <w:tcPr>
            <w:tcW w:w="1548" w:type="dxa"/>
          </w:tcPr>
          <w:p w14:paraId="1EE0B28C"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CCA</w:t>
            </w:r>
          </w:p>
        </w:tc>
        <w:tc>
          <w:tcPr>
            <w:tcW w:w="8341" w:type="dxa"/>
          </w:tcPr>
          <w:p w14:paraId="2D2E72C9"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Evaluación Común de País</w:t>
            </w:r>
            <w:r w:rsidRPr="00772037">
              <w:rPr>
                <w:rFonts w:asciiTheme="majorHAnsi" w:hAnsiTheme="majorHAnsi" w:cstheme="majorHAnsi"/>
                <w:lang w:val="en-US"/>
              </w:rPr>
              <w:t xml:space="preserve"> (Common Country Assessment) </w:t>
            </w:r>
          </w:p>
        </w:tc>
      </w:tr>
      <w:tr w:rsidR="00E604B5" w:rsidRPr="00772037" w14:paraId="123E002B" w14:textId="77777777" w:rsidTr="00316349">
        <w:tc>
          <w:tcPr>
            <w:tcW w:w="1548" w:type="dxa"/>
          </w:tcPr>
          <w:p w14:paraId="2BB169CE"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CEPAL</w:t>
            </w:r>
          </w:p>
        </w:tc>
        <w:tc>
          <w:tcPr>
            <w:tcW w:w="8341" w:type="dxa"/>
          </w:tcPr>
          <w:p w14:paraId="5034BCDB"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Comisión Económica para América Latina</w:t>
            </w:r>
          </w:p>
        </w:tc>
      </w:tr>
      <w:tr w:rsidR="00E604B5" w:rsidRPr="00772037" w14:paraId="4D9D6877" w14:textId="77777777" w:rsidTr="00316349">
        <w:tc>
          <w:tcPr>
            <w:tcW w:w="1548" w:type="dxa"/>
          </w:tcPr>
          <w:p w14:paraId="6F992698"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CINU</w:t>
            </w:r>
          </w:p>
        </w:tc>
        <w:tc>
          <w:tcPr>
            <w:tcW w:w="8341" w:type="dxa"/>
          </w:tcPr>
          <w:p w14:paraId="616A7F2A"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Centro de Información de las Naciones Unidas</w:t>
            </w:r>
          </w:p>
        </w:tc>
      </w:tr>
      <w:tr w:rsidR="00E604B5" w:rsidRPr="00772037" w14:paraId="63F583AF" w14:textId="77777777" w:rsidTr="00316349">
        <w:tc>
          <w:tcPr>
            <w:tcW w:w="1548" w:type="dxa"/>
          </w:tcPr>
          <w:p w14:paraId="2ABD80E3"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DCO</w:t>
            </w:r>
          </w:p>
        </w:tc>
        <w:tc>
          <w:tcPr>
            <w:tcW w:w="8341" w:type="dxa"/>
          </w:tcPr>
          <w:p w14:paraId="43064E45"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Oficina de Coordinación para el Desarrollo</w:t>
            </w:r>
          </w:p>
        </w:tc>
      </w:tr>
      <w:tr w:rsidR="00E604B5" w:rsidRPr="00772037" w14:paraId="1EC4A56A" w14:textId="77777777" w:rsidTr="00316349">
        <w:tc>
          <w:tcPr>
            <w:tcW w:w="1548" w:type="dxa"/>
          </w:tcPr>
          <w:p w14:paraId="5CC9A983"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ED</w:t>
            </w:r>
          </w:p>
        </w:tc>
        <w:tc>
          <w:tcPr>
            <w:tcW w:w="8341" w:type="dxa"/>
          </w:tcPr>
          <w:p w14:paraId="3F78F7BB"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Efecto directo</w:t>
            </w:r>
          </w:p>
        </w:tc>
      </w:tr>
      <w:tr w:rsidR="00E604B5" w:rsidRPr="00772037" w14:paraId="36756E56" w14:textId="77777777" w:rsidTr="00316349">
        <w:tc>
          <w:tcPr>
            <w:tcW w:w="1548" w:type="dxa"/>
          </w:tcPr>
          <w:p w14:paraId="790A9D3C"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FAO</w:t>
            </w:r>
          </w:p>
        </w:tc>
        <w:tc>
          <w:tcPr>
            <w:tcW w:w="8341" w:type="dxa"/>
          </w:tcPr>
          <w:p w14:paraId="273EFCD0"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Organización de las Naciones Unidas para la Alimentación y Agricultura</w:t>
            </w:r>
          </w:p>
        </w:tc>
      </w:tr>
      <w:tr w:rsidR="00E604B5" w:rsidRPr="00772037" w14:paraId="6473EBB7" w14:textId="77777777" w:rsidTr="00316349">
        <w:tc>
          <w:tcPr>
            <w:tcW w:w="1548" w:type="dxa"/>
          </w:tcPr>
          <w:p w14:paraId="5216AA9D"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FIDA</w:t>
            </w:r>
          </w:p>
        </w:tc>
        <w:tc>
          <w:tcPr>
            <w:tcW w:w="8341" w:type="dxa"/>
          </w:tcPr>
          <w:p w14:paraId="4A9C2CEA"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Fondo Internacional de Desarrollo Agrícola</w:t>
            </w:r>
          </w:p>
        </w:tc>
      </w:tr>
      <w:tr w:rsidR="00E604B5" w:rsidRPr="00772037" w14:paraId="2005A305" w14:textId="77777777" w:rsidTr="00316349">
        <w:tc>
          <w:tcPr>
            <w:tcW w:w="1548" w:type="dxa"/>
          </w:tcPr>
          <w:p w14:paraId="4E26BC19" w14:textId="77777777" w:rsidR="00E604B5" w:rsidRDefault="00E604B5" w:rsidP="00316349">
            <w:pPr>
              <w:spacing w:after="120"/>
              <w:rPr>
                <w:rFonts w:asciiTheme="majorHAnsi" w:hAnsiTheme="majorHAnsi" w:cstheme="majorHAnsi"/>
              </w:rPr>
            </w:pPr>
            <w:r>
              <w:rPr>
                <w:rFonts w:asciiTheme="majorHAnsi" w:hAnsiTheme="majorHAnsi" w:cstheme="majorHAnsi"/>
              </w:rPr>
              <w:t>GdR</w:t>
            </w:r>
          </w:p>
        </w:tc>
        <w:tc>
          <w:tcPr>
            <w:tcW w:w="8341" w:type="dxa"/>
          </w:tcPr>
          <w:p w14:paraId="3F0AE525" w14:textId="77777777" w:rsidR="00E604B5" w:rsidRDefault="00E604B5" w:rsidP="00316349">
            <w:pPr>
              <w:spacing w:after="120"/>
              <w:rPr>
                <w:rFonts w:asciiTheme="majorHAnsi" w:hAnsiTheme="majorHAnsi" w:cstheme="majorHAnsi"/>
              </w:rPr>
            </w:pPr>
            <w:r>
              <w:rPr>
                <w:rFonts w:asciiTheme="majorHAnsi" w:hAnsiTheme="majorHAnsi" w:cstheme="majorHAnsi"/>
              </w:rPr>
              <w:t>Grupos de Resultados del Marco de Cooperación</w:t>
            </w:r>
          </w:p>
        </w:tc>
      </w:tr>
      <w:tr w:rsidR="00E604B5" w:rsidRPr="00772037" w14:paraId="41B6AD7A" w14:textId="77777777" w:rsidTr="00316349">
        <w:tc>
          <w:tcPr>
            <w:tcW w:w="1548" w:type="dxa"/>
          </w:tcPr>
          <w:p w14:paraId="134BC3D9"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GIG</w:t>
            </w:r>
          </w:p>
        </w:tc>
        <w:tc>
          <w:tcPr>
            <w:tcW w:w="8341" w:type="dxa"/>
          </w:tcPr>
          <w:p w14:paraId="5CA504D1"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Grupo Interagencial de Género</w:t>
            </w:r>
          </w:p>
        </w:tc>
      </w:tr>
      <w:tr w:rsidR="00E604B5" w:rsidRPr="00772037" w14:paraId="05A8CF8A" w14:textId="77777777" w:rsidTr="00316349">
        <w:tc>
          <w:tcPr>
            <w:tcW w:w="1548" w:type="dxa"/>
          </w:tcPr>
          <w:p w14:paraId="1829FC36"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GIM</w:t>
            </w:r>
          </w:p>
        </w:tc>
        <w:tc>
          <w:tcPr>
            <w:tcW w:w="8341" w:type="dxa"/>
          </w:tcPr>
          <w:p w14:paraId="1DBD63C2"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Grupo Interagencial Multidisciplinario</w:t>
            </w:r>
          </w:p>
        </w:tc>
      </w:tr>
      <w:tr w:rsidR="00E604B5" w:rsidRPr="00772037" w14:paraId="25213EA7" w14:textId="77777777" w:rsidTr="00316349">
        <w:tc>
          <w:tcPr>
            <w:tcW w:w="1548" w:type="dxa"/>
          </w:tcPr>
          <w:p w14:paraId="382E8E3E"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INEGI</w:t>
            </w:r>
          </w:p>
        </w:tc>
        <w:tc>
          <w:tcPr>
            <w:tcW w:w="8341" w:type="dxa"/>
          </w:tcPr>
          <w:p w14:paraId="6D13A156"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Instituto Nacional de Estadística y Geografía</w:t>
            </w:r>
          </w:p>
        </w:tc>
      </w:tr>
      <w:tr w:rsidR="00E604B5" w:rsidRPr="00772037" w14:paraId="29B1E261" w14:textId="77777777" w:rsidTr="00316349">
        <w:tc>
          <w:tcPr>
            <w:tcW w:w="1548" w:type="dxa"/>
          </w:tcPr>
          <w:p w14:paraId="076D616A"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INMUJERES</w:t>
            </w:r>
          </w:p>
        </w:tc>
        <w:tc>
          <w:tcPr>
            <w:tcW w:w="8341" w:type="dxa"/>
          </w:tcPr>
          <w:p w14:paraId="0A3EE3B2"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Instituto Nacional de las Mujeres</w:t>
            </w:r>
          </w:p>
        </w:tc>
      </w:tr>
      <w:tr w:rsidR="00E604B5" w:rsidRPr="00772037" w14:paraId="081D8DB9" w14:textId="77777777" w:rsidTr="00316349">
        <w:tc>
          <w:tcPr>
            <w:tcW w:w="1548" w:type="dxa"/>
          </w:tcPr>
          <w:p w14:paraId="28467E5A"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M&amp;E</w:t>
            </w:r>
          </w:p>
        </w:tc>
        <w:tc>
          <w:tcPr>
            <w:tcW w:w="8341" w:type="dxa"/>
          </w:tcPr>
          <w:p w14:paraId="336A17BD"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 xml:space="preserve">Grupo de Trabajo de Monitoreo y Evaluación (Monitoring and Evaluation Task Force) </w:t>
            </w:r>
          </w:p>
        </w:tc>
      </w:tr>
      <w:tr w:rsidR="00E604B5" w:rsidRPr="00772037" w14:paraId="50DAE1EE" w14:textId="77777777" w:rsidTr="00316349">
        <w:tc>
          <w:tcPr>
            <w:tcW w:w="1548" w:type="dxa"/>
          </w:tcPr>
          <w:p w14:paraId="70D2A06F"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OCR</w:t>
            </w:r>
          </w:p>
        </w:tc>
        <w:tc>
          <w:tcPr>
            <w:tcW w:w="8341" w:type="dxa"/>
          </w:tcPr>
          <w:p w14:paraId="5B61C54C"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Oficina de Coordinación Residente</w:t>
            </w:r>
          </w:p>
        </w:tc>
      </w:tr>
      <w:tr w:rsidR="00E604B5" w:rsidRPr="00772037" w14:paraId="420790A4" w14:textId="77777777" w:rsidTr="00316349">
        <w:tc>
          <w:tcPr>
            <w:tcW w:w="1548" w:type="dxa"/>
          </w:tcPr>
          <w:p w14:paraId="781A41D2"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ODS</w:t>
            </w:r>
          </w:p>
        </w:tc>
        <w:tc>
          <w:tcPr>
            <w:tcW w:w="8341" w:type="dxa"/>
          </w:tcPr>
          <w:p w14:paraId="225C17BE"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Objetivos de Desarrollo Sostenible</w:t>
            </w:r>
          </w:p>
        </w:tc>
      </w:tr>
      <w:tr w:rsidR="00E604B5" w:rsidRPr="00772037" w14:paraId="430D19D6" w14:textId="77777777" w:rsidTr="00316349">
        <w:tc>
          <w:tcPr>
            <w:tcW w:w="1548" w:type="dxa"/>
          </w:tcPr>
          <w:p w14:paraId="3744BB65"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OIM</w:t>
            </w:r>
          </w:p>
        </w:tc>
        <w:tc>
          <w:tcPr>
            <w:tcW w:w="8341" w:type="dxa"/>
          </w:tcPr>
          <w:p w14:paraId="62D5E708"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Organización Internacional para las Migraciones</w:t>
            </w:r>
          </w:p>
        </w:tc>
      </w:tr>
      <w:tr w:rsidR="00E604B5" w:rsidRPr="00772037" w14:paraId="4A0AD697" w14:textId="77777777" w:rsidTr="00316349">
        <w:tc>
          <w:tcPr>
            <w:tcW w:w="1548" w:type="dxa"/>
          </w:tcPr>
          <w:p w14:paraId="68A51137"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OIT</w:t>
            </w:r>
          </w:p>
        </w:tc>
        <w:tc>
          <w:tcPr>
            <w:tcW w:w="8341" w:type="dxa"/>
          </w:tcPr>
          <w:p w14:paraId="1F924918"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Organización Internacional del Trabajo</w:t>
            </w:r>
          </w:p>
        </w:tc>
      </w:tr>
      <w:tr w:rsidR="00E604B5" w:rsidRPr="00772037" w14:paraId="6D7EF02C" w14:textId="77777777" w:rsidTr="00316349">
        <w:tc>
          <w:tcPr>
            <w:tcW w:w="1548" w:type="dxa"/>
          </w:tcPr>
          <w:p w14:paraId="1CD73387"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OMT</w:t>
            </w:r>
          </w:p>
        </w:tc>
        <w:tc>
          <w:tcPr>
            <w:tcW w:w="8341" w:type="dxa"/>
          </w:tcPr>
          <w:p w14:paraId="06E07F43"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Grupo Interagencial de Operaciones</w:t>
            </w:r>
            <w:r w:rsidRPr="00772037">
              <w:rPr>
                <w:rFonts w:asciiTheme="majorHAnsi" w:hAnsiTheme="majorHAnsi" w:cstheme="majorHAnsi"/>
                <w:lang w:val="en-US"/>
              </w:rPr>
              <w:t xml:space="preserve"> (Operations Management Team) </w:t>
            </w:r>
          </w:p>
        </w:tc>
      </w:tr>
      <w:tr w:rsidR="00E604B5" w:rsidRPr="00772037" w14:paraId="55AD011E" w14:textId="77777777" w:rsidTr="00316349">
        <w:tc>
          <w:tcPr>
            <w:tcW w:w="1548" w:type="dxa"/>
          </w:tcPr>
          <w:p w14:paraId="39D0C916"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ONU DH</w:t>
            </w:r>
          </w:p>
        </w:tc>
        <w:tc>
          <w:tcPr>
            <w:tcW w:w="8341" w:type="dxa"/>
          </w:tcPr>
          <w:p w14:paraId="19BF29A3"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ONU Derechos Humanos (Oficina del Alto Comisionado de las Naciones Unidas para los Derechos Humanos)</w:t>
            </w:r>
          </w:p>
        </w:tc>
      </w:tr>
      <w:tr w:rsidR="00E604B5" w:rsidRPr="00772037" w14:paraId="62B483B0" w14:textId="77777777" w:rsidTr="00316349">
        <w:tc>
          <w:tcPr>
            <w:tcW w:w="1548" w:type="dxa"/>
          </w:tcPr>
          <w:p w14:paraId="6910D0DC"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ONU Mujeres</w:t>
            </w:r>
          </w:p>
        </w:tc>
        <w:tc>
          <w:tcPr>
            <w:tcW w:w="8341" w:type="dxa"/>
          </w:tcPr>
          <w:p w14:paraId="45297684"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Entidad de las Naciones Unidas para la Igualdad de Género y el Empoderamiento de las Mujeres</w:t>
            </w:r>
          </w:p>
        </w:tc>
      </w:tr>
      <w:tr w:rsidR="00E604B5" w:rsidRPr="00772037" w14:paraId="4B5B9D1C" w14:textId="77777777" w:rsidTr="00316349">
        <w:tc>
          <w:tcPr>
            <w:tcW w:w="1548" w:type="dxa"/>
          </w:tcPr>
          <w:p w14:paraId="422CD9B1"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ONUDI</w:t>
            </w:r>
          </w:p>
        </w:tc>
        <w:tc>
          <w:tcPr>
            <w:tcW w:w="8341" w:type="dxa"/>
          </w:tcPr>
          <w:p w14:paraId="4DA84493"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Organización de las Naciones Unidas para el Desarrollo Industrial</w:t>
            </w:r>
          </w:p>
        </w:tc>
      </w:tr>
      <w:tr w:rsidR="00E604B5" w:rsidRPr="00772037" w14:paraId="1FF67B1B" w14:textId="77777777" w:rsidTr="00316349">
        <w:tc>
          <w:tcPr>
            <w:tcW w:w="1548" w:type="dxa"/>
          </w:tcPr>
          <w:p w14:paraId="14A70F9E"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OPS/OMS</w:t>
            </w:r>
          </w:p>
        </w:tc>
        <w:tc>
          <w:tcPr>
            <w:tcW w:w="8341" w:type="dxa"/>
          </w:tcPr>
          <w:p w14:paraId="680EEF12"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Organización Panamericana de la Salud/ Organización Mundial de la Salud</w:t>
            </w:r>
          </w:p>
        </w:tc>
      </w:tr>
      <w:tr w:rsidR="00E604B5" w:rsidRPr="00772037" w14:paraId="5DBFCB84" w14:textId="77777777" w:rsidTr="00316349">
        <w:tc>
          <w:tcPr>
            <w:tcW w:w="1548" w:type="dxa"/>
          </w:tcPr>
          <w:p w14:paraId="4DDD6E0F"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OSC</w:t>
            </w:r>
          </w:p>
        </w:tc>
        <w:tc>
          <w:tcPr>
            <w:tcW w:w="8341" w:type="dxa"/>
          </w:tcPr>
          <w:p w14:paraId="42D41894"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Organizaciones de la Sociedad Civil</w:t>
            </w:r>
          </w:p>
        </w:tc>
      </w:tr>
      <w:tr w:rsidR="00E604B5" w:rsidRPr="00772037" w14:paraId="35C3E1DE" w14:textId="77777777" w:rsidTr="00316349">
        <w:tc>
          <w:tcPr>
            <w:tcW w:w="1548" w:type="dxa"/>
          </w:tcPr>
          <w:p w14:paraId="21EF7A6B"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PCs</w:t>
            </w:r>
          </w:p>
        </w:tc>
        <w:tc>
          <w:tcPr>
            <w:tcW w:w="8341" w:type="dxa"/>
          </w:tcPr>
          <w:p w14:paraId="7B38312F"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Programas conjuntos</w:t>
            </w:r>
          </w:p>
        </w:tc>
      </w:tr>
      <w:tr w:rsidR="00E604B5" w:rsidRPr="00772037" w14:paraId="0EEB70D6" w14:textId="77777777" w:rsidTr="00316349">
        <w:tc>
          <w:tcPr>
            <w:tcW w:w="1548" w:type="dxa"/>
          </w:tcPr>
          <w:p w14:paraId="36BCDCFD"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PNUD</w:t>
            </w:r>
          </w:p>
        </w:tc>
        <w:tc>
          <w:tcPr>
            <w:tcW w:w="8341" w:type="dxa"/>
          </w:tcPr>
          <w:p w14:paraId="06769980"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Programa de las Naciones Unidas para el Desarrollo</w:t>
            </w:r>
          </w:p>
        </w:tc>
      </w:tr>
      <w:tr w:rsidR="00E604B5" w:rsidRPr="00772037" w14:paraId="4F562DEE" w14:textId="77777777" w:rsidTr="00316349">
        <w:tc>
          <w:tcPr>
            <w:tcW w:w="1548" w:type="dxa"/>
          </w:tcPr>
          <w:p w14:paraId="79547118"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PNUMA</w:t>
            </w:r>
          </w:p>
        </w:tc>
        <w:tc>
          <w:tcPr>
            <w:tcW w:w="8341" w:type="dxa"/>
          </w:tcPr>
          <w:p w14:paraId="37839E21"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Programa de las Naciones Unidas para el Medio Ambiente (ONU Medio Ambiente)</w:t>
            </w:r>
          </w:p>
        </w:tc>
      </w:tr>
      <w:tr w:rsidR="00E604B5" w:rsidRPr="00772037" w14:paraId="10058A33" w14:textId="77777777" w:rsidTr="00316349">
        <w:tc>
          <w:tcPr>
            <w:tcW w:w="1548" w:type="dxa"/>
          </w:tcPr>
          <w:p w14:paraId="382CEA6A" w14:textId="77777777" w:rsidR="00E604B5" w:rsidRDefault="00E604B5" w:rsidP="00316349">
            <w:pPr>
              <w:spacing w:after="120"/>
              <w:rPr>
                <w:rFonts w:asciiTheme="majorHAnsi" w:hAnsiTheme="majorHAnsi" w:cstheme="majorHAnsi"/>
              </w:rPr>
            </w:pPr>
            <w:r>
              <w:rPr>
                <w:rFonts w:asciiTheme="majorHAnsi" w:hAnsiTheme="majorHAnsi" w:cstheme="majorHAnsi"/>
              </w:rPr>
              <w:t>Red PESEA</w:t>
            </w:r>
          </w:p>
        </w:tc>
        <w:tc>
          <w:tcPr>
            <w:tcW w:w="8341" w:type="dxa"/>
          </w:tcPr>
          <w:p w14:paraId="2E29AE04" w14:textId="77777777" w:rsidR="00E604B5" w:rsidRDefault="00E604B5" w:rsidP="00316349">
            <w:pPr>
              <w:spacing w:after="120"/>
              <w:rPr>
                <w:rFonts w:asciiTheme="majorHAnsi" w:hAnsiTheme="majorHAnsi" w:cstheme="majorHAnsi"/>
              </w:rPr>
            </w:pPr>
            <w:r>
              <w:rPr>
                <w:rFonts w:asciiTheme="majorHAnsi" w:hAnsiTheme="majorHAnsi" w:cstheme="majorHAnsi"/>
              </w:rPr>
              <w:t>Red de Puntos Focales para la prevención de la explotación, abuso y acoso sexual</w:t>
            </w:r>
          </w:p>
        </w:tc>
      </w:tr>
      <w:tr w:rsidR="00E604B5" w:rsidRPr="00772037" w14:paraId="46A71DEB" w14:textId="77777777" w:rsidTr="00316349">
        <w:tc>
          <w:tcPr>
            <w:tcW w:w="1548" w:type="dxa"/>
          </w:tcPr>
          <w:p w14:paraId="3F938997" w14:textId="77777777" w:rsidR="00E604B5" w:rsidRPr="00772037" w:rsidRDefault="00E604B5" w:rsidP="00316349">
            <w:pPr>
              <w:spacing w:after="120"/>
              <w:rPr>
                <w:rFonts w:asciiTheme="majorHAnsi" w:hAnsiTheme="majorHAnsi" w:cstheme="majorHAnsi"/>
              </w:rPr>
            </w:pPr>
            <w:r>
              <w:rPr>
                <w:rFonts w:asciiTheme="majorHAnsi" w:hAnsiTheme="majorHAnsi" w:cstheme="majorHAnsi"/>
              </w:rPr>
              <w:lastRenderedPageBreak/>
              <w:t>RIAFD</w:t>
            </w:r>
          </w:p>
        </w:tc>
        <w:tc>
          <w:tcPr>
            <w:tcW w:w="8341" w:type="dxa"/>
          </w:tcPr>
          <w:p w14:paraId="1A122F23" w14:textId="77777777" w:rsidR="00E604B5" w:rsidRPr="00772037" w:rsidRDefault="00E604B5" w:rsidP="00316349">
            <w:pPr>
              <w:spacing w:after="120"/>
              <w:rPr>
                <w:rFonts w:asciiTheme="majorHAnsi" w:hAnsiTheme="majorHAnsi" w:cstheme="majorHAnsi"/>
              </w:rPr>
            </w:pPr>
            <w:r>
              <w:rPr>
                <w:rFonts w:asciiTheme="majorHAnsi" w:hAnsiTheme="majorHAnsi" w:cstheme="majorHAnsi"/>
              </w:rPr>
              <w:t>Red Intergencial de Alianzas y Financiamiento para el Desarrollo</w:t>
            </w:r>
          </w:p>
        </w:tc>
      </w:tr>
      <w:tr w:rsidR="00E604B5" w:rsidRPr="00772037" w14:paraId="07410079" w14:textId="77777777" w:rsidTr="00316349">
        <w:tc>
          <w:tcPr>
            <w:tcW w:w="1548" w:type="dxa"/>
          </w:tcPr>
          <w:p w14:paraId="14338FCC"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RMT</w:t>
            </w:r>
          </w:p>
        </w:tc>
        <w:tc>
          <w:tcPr>
            <w:tcW w:w="8341" w:type="dxa"/>
          </w:tcPr>
          <w:p w14:paraId="19204D45"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Revisión de Medio Término</w:t>
            </w:r>
          </w:p>
        </w:tc>
      </w:tr>
      <w:tr w:rsidR="00E604B5" w:rsidRPr="00772037" w14:paraId="2D8F0D01" w14:textId="77777777" w:rsidTr="00316349">
        <w:tc>
          <w:tcPr>
            <w:tcW w:w="1548" w:type="dxa"/>
          </w:tcPr>
          <w:p w14:paraId="63BBE278" w14:textId="77777777" w:rsidR="00E604B5" w:rsidRDefault="00E604B5" w:rsidP="00316349">
            <w:pPr>
              <w:spacing w:after="120"/>
              <w:rPr>
                <w:rFonts w:asciiTheme="majorHAnsi" w:hAnsiTheme="majorHAnsi" w:cstheme="majorHAnsi"/>
              </w:rPr>
            </w:pPr>
            <w:r>
              <w:rPr>
                <w:rFonts w:asciiTheme="majorHAnsi" w:hAnsiTheme="majorHAnsi" w:cstheme="majorHAnsi"/>
              </w:rPr>
              <w:t>SEDENA</w:t>
            </w:r>
          </w:p>
        </w:tc>
        <w:tc>
          <w:tcPr>
            <w:tcW w:w="8341" w:type="dxa"/>
          </w:tcPr>
          <w:p w14:paraId="39EBFE7E" w14:textId="77777777" w:rsidR="00E604B5" w:rsidRDefault="00E604B5" w:rsidP="00316349">
            <w:pPr>
              <w:spacing w:after="120"/>
              <w:rPr>
                <w:rFonts w:asciiTheme="majorHAnsi" w:hAnsiTheme="majorHAnsi" w:cstheme="majorHAnsi"/>
              </w:rPr>
            </w:pPr>
            <w:r>
              <w:rPr>
                <w:rFonts w:asciiTheme="majorHAnsi" w:hAnsiTheme="majorHAnsi" w:cstheme="majorHAnsi"/>
              </w:rPr>
              <w:t>Secretaría de la Defensa Nacional</w:t>
            </w:r>
          </w:p>
        </w:tc>
      </w:tr>
      <w:tr w:rsidR="00E604B5" w:rsidRPr="00772037" w14:paraId="18F18A7D" w14:textId="77777777" w:rsidTr="00316349">
        <w:tc>
          <w:tcPr>
            <w:tcW w:w="1548" w:type="dxa"/>
          </w:tcPr>
          <w:p w14:paraId="63F2A20C" w14:textId="77777777" w:rsidR="00E604B5" w:rsidRDefault="00E604B5" w:rsidP="00316349">
            <w:pPr>
              <w:spacing w:after="120"/>
              <w:rPr>
                <w:rFonts w:asciiTheme="majorHAnsi" w:hAnsiTheme="majorHAnsi" w:cstheme="majorHAnsi"/>
              </w:rPr>
            </w:pPr>
            <w:r>
              <w:rPr>
                <w:rFonts w:asciiTheme="majorHAnsi" w:hAnsiTheme="majorHAnsi" w:cstheme="majorHAnsi"/>
              </w:rPr>
              <w:t>SEMAR</w:t>
            </w:r>
          </w:p>
        </w:tc>
        <w:tc>
          <w:tcPr>
            <w:tcW w:w="8341" w:type="dxa"/>
          </w:tcPr>
          <w:p w14:paraId="6E3F9986" w14:textId="77777777" w:rsidR="00E604B5" w:rsidRDefault="00E604B5" w:rsidP="00316349">
            <w:pPr>
              <w:spacing w:after="120"/>
              <w:rPr>
                <w:rFonts w:asciiTheme="majorHAnsi" w:hAnsiTheme="majorHAnsi" w:cstheme="majorHAnsi"/>
              </w:rPr>
            </w:pPr>
            <w:r>
              <w:rPr>
                <w:rFonts w:asciiTheme="majorHAnsi" w:hAnsiTheme="majorHAnsi" w:cstheme="majorHAnsi"/>
              </w:rPr>
              <w:t>Secretaría de Marina</w:t>
            </w:r>
          </w:p>
        </w:tc>
      </w:tr>
      <w:tr w:rsidR="00E604B5" w:rsidRPr="00772037" w14:paraId="56FCD80E" w14:textId="77777777" w:rsidTr="00316349">
        <w:tc>
          <w:tcPr>
            <w:tcW w:w="1548" w:type="dxa"/>
          </w:tcPr>
          <w:p w14:paraId="055AAAF7"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SNU</w:t>
            </w:r>
          </w:p>
        </w:tc>
        <w:tc>
          <w:tcPr>
            <w:tcW w:w="8341" w:type="dxa"/>
          </w:tcPr>
          <w:p w14:paraId="025D7923"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Sistema de las Naciones Unidas</w:t>
            </w:r>
          </w:p>
        </w:tc>
      </w:tr>
      <w:tr w:rsidR="00E604B5" w:rsidRPr="00772037" w14:paraId="605A36E5" w14:textId="77777777" w:rsidTr="00316349">
        <w:tc>
          <w:tcPr>
            <w:tcW w:w="1548" w:type="dxa"/>
          </w:tcPr>
          <w:p w14:paraId="3CF96E99" w14:textId="77777777" w:rsidR="00E604B5" w:rsidRDefault="00E604B5" w:rsidP="00316349">
            <w:pPr>
              <w:spacing w:after="120"/>
              <w:rPr>
                <w:rFonts w:asciiTheme="majorHAnsi" w:hAnsiTheme="majorHAnsi" w:cstheme="majorHAnsi"/>
              </w:rPr>
            </w:pPr>
            <w:r>
              <w:rPr>
                <w:rFonts w:asciiTheme="majorHAnsi" w:hAnsiTheme="majorHAnsi" w:cstheme="majorHAnsi"/>
              </w:rPr>
              <w:t>SRE</w:t>
            </w:r>
          </w:p>
        </w:tc>
        <w:tc>
          <w:tcPr>
            <w:tcW w:w="8341" w:type="dxa"/>
          </w:tcPr>
          <w:p w14:paraId="4814C86F" w14:textId="77777777" w:rsidR="00E604B5" w:rsidRDefault="00E604B5" w:rsidP="00316349">
            <w:pPr>
              <w:spacing w:after="120"/>
              <w:rPr>
                <w:rFonts w:asciiTheme="majorHAnsi" w:hAnsiTheme="majorHAnsi" w:cstheme="majorHAnsi"/>
              </w:rPr>
            </w:pPr>
            <w:r>
              <w:rPr>
                <w:rFonts w:asciiTheme="majorHAnsi" w:hAnsiTheme="majorHAnsi" w:cstheme="majorHAnsi"/>
              </w:rPr>
              <w:t>Secretaría de Relaciones Exteriores</w:t>
            </w:r>
          </w:p>
        </w:tc>
      </w:tr>
      <w:tr w:rsidR="00E604B5" w:rsidRPr="00772037" w14:paraId="23551330" w14:textId="77777777" w:rsidTr="00316349">
        <w:tc>
          <w:tcPr>
            <w:tcW w:w="1548" w:type="dxa"/>
          </w:tcPr>
          <w:p w14:paraId="7FF8D098" w14:textId="77777777" w:rsidR="00E604B5" w:rsidRDefault="00E604B5" w:rsidP="00316349">
            <w:pPr>
              <w:spacing w:after="120"/>
              <w:rPr>
                <w:rFonts w:asciiTheme="majorHAnsi" w:hAnsiTheme="majorHAnsi" w:cstheme="majorHAnsi"/>
              </w:rPr>
            </w:pPr>
            <w:r>
              <w:rPr>
                <w:rFonts w:asciiTheme="majorHAnsi" w:hAnsiTheme="majorHAnsi" w:cstheme="majorHAnsi"/>
              </w:rPr>
              <w:t>SSPC</w:t>
            </w:r>
          </w:p>
        </w:tc>
        <w:tc>
          <w:tcPr>
            <w:tcW w:w="8341" w:type="dxa"/>
          </w:tcPr>
          <w:p w14:paraId="07675C85" w14:textId="77777777" w:rsidR="00E604B5" w:rsidRDefault="00E604B5" w:rsidP="00316349">
            <w:pPr>
              <w:spacing w:after="120"/>
              <w:rPr>
                <w:rFonts w:asciiTheme="majorHAnsi" w:hAnsiTheme="majorHAnsi" w:cstheme="majorHAnsi"/>
              </w:rPr>
            </w:pPr>
            <w:r>
              <w:rPr>
                <w:rFonts w:asciiTheme="majorHAnsi" w:hAnsiTheme="majorHAnsi" w:cstheme="majorHAnsi"/>
              </w:rPr>
              <w:t>Secretaría de Seguridad y Protección Ciudadana</w:t>
            </w:r>
          </w:p>
        </w:tc>
      </w:tr>
      <w:tr w:rsidR="00E604B5" w:rsidRPr="00772037" w14:paraId="4964A72A" w14:textId="77777777" w:rsidTr="00316349">
        <w:tc>
          <w:tcPr>
            <w:tcW w:w="1548" w:type="dxa"/>
          </w:tcPr>
          <w:p w14:paraId="11CDED1C" w14:textId="77777777" w:rsidR="00E604B5" w:rsidRPr="00772037" w:rsidRDefault="00E604B5" w:rsidP="00316349">
            <w:pPr>
              <w:spacing w:after="120"/>
              <w:rPr>
                <w:rFonts w:asciiTheme="majorHAnsi" w:hAnsiTheme="majorHAnsi" w:cstheme="majorHAnsi"/>
              </w:rPr>
            </w:pPr>
            <w:r>
              <w:rPr>
                <w:rFonts w:asciiTheme="majorHAnsi" w:hAnsiTheme="majorHAnsi" w:cstheme="majorHAnsi"/>
              </w:rPr>
              <w:t>UNCG</w:t>
            </w:r>
          </w:p>
        </w:tc>
        <w:tc>
          <w:tcPr>
            <w:tcW w:w="8341" w:type="dxa"/>
          </w:tcPr>
          <w:p w14:paraId="240E0864"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Grupo Interagencial de Comunicaciones</w:t>
            </w:r>
          </w:p>
        </w:tc>
      </w:tr>
      <w:tr w:rsidR="00E604B5" w:rsidRPr="00772037" w14:paraId="46A35C31" w14:textId="77777777" w:rsidTr="00316349">
        <w:tc>
          <w:tcPr>
            <w:tcW w:w="1548" w:type="dxa"/>
          </w:tcPr>
          <w:p w14:paraId="356DD0FF"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UNCT</w:t>
            </w:r>
          </w:p>
        </w:tc>
        <w:tc>
          <w:tcPr>
            <w:tcW w:w="8341" w:type="dxa"/>
          </w:tcPr>
          <w:p w14:paraId="50F79F34"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Equipo de País de las Naciones Unidas (United Nations Country Team)</w:t>
            </w:r>
          </w:p>
        </w:tc>
      </w:tr>
      <w:tr w:rsidR="00E604B5" w:rsidRPr="00E604B5" w14:paraId="6F62D2DA" w14:textId="77777777" w:rsidTr="00316349">
        <w:tc>
          <w:tcPr>
            <w:tcW w:w="1548" w:type="dxa"/>
          </w:tcPr>
          <w:p w14:paraId="6315C190" w14:textId="13AB022C" w:rsidR="00E604B5" w:rsidRPr="00772037" w:rsidRDefault="00E604B5" w:rsidP="00316349">
            <w:pPr>
              <w:spacing w:after="120"/>
              <w:rPr>
                <w:rFonts w:asciiTheme="majorHAnsi" w:hAnsiTheme="majorHAnsi" w:cstheme="majorHAnsi"/>
              </w:rPr>
            </w:pPr>
            <w:r>
              <w:rPr>
                <w:rFonts w:asciiTheme="majorHAnsi" w:hAnsiTheme="majorHAnsi" w:cstheme="majorHAnsi"/>
              </w:rPr>
              <w:t>UNCT-SWAP</w:t>
            </w:r>
          </w:p>
        </w:tc>
        <w:tc>
          <w:tcPr>
            <w:tcW w:w="8341" w:type="dxa"/>
          </w:tcPr>
          <w:p w14:paraId="54AF97E3" w14:textId="46B39F6C" w:rsidR="00E604B5" w:rsidRPr="00E604B5" w:rsidRDefault="00E604B5" w:rsidP="00E604B5">
            <w:pPr>
              <w:spacing w:after="120"/>
              <w:rPr>
                <w:rFonts w:asciiTheme="majorHAnsi" w:hAnsiTheme="majorHAnsi" w:cstheme="majorHAnsi"/>
                <w:lang w:val="en-US"/>
              </w:rPr>
            </w:pPr>
            <w:r w:rsidRPr="00E604B5">
              <w:rPr>
                <w:rFonts w:asciiTheme="majorHAnsi" w:hAnsiTheme="majorHAnsi" w:cstheme="majorHAnsi"/>
                <w:lang w:val="en-US"/>
              </w:rPr>
              <w:t>UNCT-SWAP Gender Equality Scorecard</w:t>
            </w:r>
          </w:p>
        </w:tc>
      </w:tr>
      <w:tr w:rsidR="00E604B5" w:rsidRPr="00772037" w14:paraId="27A11B07" w14:textId="77777777" w:rsidTr="00316349">
        <w:tc>
          <w:tcPr>
            <w:tcW w:w="1548" w:type="dxa"/>
          </w:tcPr>
          <w:p w14:paraId="04149687"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UNDAF</w:t>
            </w:r>
          </w:p>
        </w:tc>
        <w:tc>
          <w:tcPr>
            <w:tcW w:w="8341" w:type="dxa"/>
          </w:tcPr>
          <w:p w14:paraId="24DF5A8A"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Marco de Cooperación de las Naciones Unidas para el Desarrollo (United Nations Development Assistant Framework)</w:t>
            </w:r>
          </w:p>
        </w:tc>
      </w:tr>
      <w:tr w:rsidR="00E604B5" w:rsidRPr="00772037" w14:paraId="33BB81B9" w14:textId="77777777" w:rsidTr="00316349">
        <w:tc>
          <w:tcPr>
            <w:tcW w:w="1548" w:type="dxa"/>
          </w:tcPr>
          <w:p w14:paraId="6A96AC8A"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UNDSS</w:t>
            </w:r>
          </w:p>
        </w:tc>
        <w:tc>
          <w:tcPr>
            <w:tcW w:w="8341" w:type="dxa"/>
          </w:tcPr>
          <w:p w14:paraId="31661189"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Departamento de Seguridad de Naciones Unidas</w:t>
            </w:r>
          </w:p>
        </w:tc>
      </w:tr>
      <w:tr w:rsidR="00E604B5" w:rsidRPr="00772037" w14:paraId="038F01C6" w14:textId="77777777" w:rsidTr="00316349">
        <w:tc>
          <w:tcPr>
            <w:tcW w:w="1548" w:type="dxa"/>
          </w:tcPr>
          <w:p w14:paraId="3B6C5E97"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UNESCO</w:t>
            </w:r>
          </w:p>
        </w:tc>
        <w:tc>
          <w:tcPr>
            <w:tcW w:w="8341" w:type="dxa"/>
          </w:tcPr>
          <w:p w14:paraId="47758C2A"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Organización de las Naciones Unidas para la Educación, la Ciencia y la Cultura</w:t>
            </w:r>
          </w:p>
        </w:tc>
      </w:tr>
      <w:tr w:rsidR="00E604B5" w:rsidRPr="00772037" w14:paraId="521D9AEA" w14:textId="77777777" w:rsidTr="00316349">
        <w:tc>
          <w:tcPr>
            <w:tcW w:w="1548" w:type="dxa"/>
          </w:tcPr>
          <w:p w14:paraId="2043CC98" w14:textId="77777777" w:rsidR="00E604B5" w:rsidRPr="00772037" w:rsidRDefault="00E604B5" w:rsidP="00316349">
            <w:pPr>
              <w:spacing w:after="120"/>
              <w:rPr>
                <w:rFonts w:asciiTheme="majorHAnsi" w:hAnsiTheme="majorHAnsi" w:cstheme="majorHAnsi"/>
              </w:rPr>
            </w:pPr>
            <w:r w:rsidRPr="00772037">
              <w:rPr>
                <w:rFonts w:asciiTheme="majorHAnsi" w:eastAsia="Times New Roman" w:hAnsiTheme="majorHAnsi" w:cstheme="majorHAnsi"/>
                <w:shd w:val="clear" w:color="auto" w:fill="FFFFFF"/>
              </w:rPr>
              <w:t>UNETE</w:t>
            </w:r>
          </w:p>
        </w:tc>
        <w:tc>
          <w:tcPr>
            <w:tcW w:w="8341" w:type="dxa"/>
          </w:tcPr>
          <w:p w14:paraId="640C9784" w14:textId="77777777" w:rsidR="00E604B5" w:rsidRPr="00772037" w:rsidRDefault="00E604B5" w:rsidP="00316349">
            <w:pPr>
              <w:spacing w:after="120"/>
              <w:rPr>
                <w:rFonts w:asciiTheme="majorHAnsi" w:hAnsiTheme="majorHAnsi" w:cstheme="majorHAnsi"/>
              </w:rPr>
            </w:pPr>
            <w:r w:rsidRPr="00772037">
              <w:rPr>
                <w:rFonts w:asciiTheme="majorHAnsi" w:eastAsia="Times New Roman" w:hAnsiTheme="majorHAnsi" w:cstheme="majorHAnsi"/>
                <w:shd w:val="clear" w:color="auto" w:fill="FFFFFF"/>
              </w:rPr>
              <w:t>Equipo Técnico de Naciones Unidas para Emergencias</w:t>
            </w:r>
          </w:p>
        </w:tc>
      </w:tr>
      <w:tr w:rsidR="00E604B5" w:rsidRPr="00772037" w14:paraId="07663515" w14:textId="77777777" w:rsidTr="00316349">
        <w:tc>
          <w:tcPr>
            <w:tcW w:w="1548" w:type="dxa"/>
          </w:tcPr>
          <w:p w14:paraId="54CCD56E"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UNFPA</w:t>
            </w:r>
          </w:p>
        </w:tc>
        <w:tc>
          <w:tcPr>
            <w:tcW w:w="8341" w:type="dxa"/>
          </w:tcPr>
          <w:p w14:paraId="5124AF4E"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Fondo de Población de las Naciones Unidas</w:t>
            </w:r>
          </w:p>
        </w:tc>
      </w:tr>
      <w:tr w:rsidR="00E604B5" w:rsidRPr="00772037" w14:paraId="0625E62A" w14:textId="77777777" w:rsidTr="00316349">
        <w:tc>
          <w:tcPr>
            <w:tcW w:w="1548" w:type="dxa"/>
          </w:tcPr>
          <w:p w14:paraId="770F0FC3" w14:textId="77777777" w:rsidR="00E604B5" w:rsidRPr="00772037" w:rsidRDefault="00E604B5" w:rsidP="00316349">
            <w:pPr>
              <w:spacing w:after="120"/>
              <w:rPr>
                <w:rFonts w:asciiTheme="majorHAnsi" w:eastAsia="Times New Roman" w:hAnsiTheme="majorHAnsi" w:cstheme="majorHAnsi"/>
                <w:shd w:val="clear" w:color="auto" w:fill="FFFFFF"/>
              </w:rPr>
            </w:pPr>
            <w:r w:rsidRPr="00772037">
              <w:rPr>
                <w:rFonts w:asciiTheme="majorHAnsi" w:eastAsia="Times New Roman" w:hAnsiTheme="majorHAnsi" w:cstheme="majorHAnsi"/>
                <w:shd w:val="clear" w:color="auto" w:fill="FFFFFF"/>
              </w:rPr>
              <w:t>UNICEF</w:t>
            </w:r>
          </w:p>
        </w:tc>
        <w:tc>
          <w:tcPr>
            <w:tcW w:w="8341" w:type="dxa"/>
          </w:tcPr>
          <w:p w14:paraId="17DCA155" w14:textId="77777777" w:rsidR="00E604B5" w:rsidRPr="00772037" w:rsidRDefault="00E604B5" w:rsidP="00316349">
            <w:pPr>
              <w:spacing w:after="120"/>
              <w:rPr>
                <w:rFonts w:asciiTheme="majorHAnsi" w:eastAsia="Times New Roman" w:hAnsiTheme="majorHAnsi" w:cstheme="majorHAnsi"/>
                <w:shd w:val="clear" w:color="auto" w:fill="FFFFFF"/>
              </w:rPr>
            </w:pPr>
            <w:r w:rsidRPr="00772037">
              <w:rPr>
                <w:rFonts w:asciiTheme="majorHAnsi" w:eastAsia="Times New Roman" w:hAnsiTheme="majorHAnsi" w:cstheme="majorHAnsi"/>
                <w:shd w:val="clear" w:color="auto" w:fill="FFFFFF"/>
              </w:rPr>
              <w:t>Fondo de las Naciones Unidas para la Infancia</w:t>
            </w:r>
          </w:p>
        </w:tc>
      </w:tr>
      <w:tr w:rsidR="00E604B5" w:rsidRPr="00772037" w14:paraId="3FBCE2FD" w14:textId="77777777" w:rsidTr="00316349">
        <w:tc>
          <w:tcPr>
            <w:tcW w:w="1548" w:type="dxa"/>
          </w:tcPr>
          <w:p w14:paraId="76FB9A25"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UNODC</w:t>
            </w:r>
          </w:p>
        </w:tc>
        <w:tc>
          <w:tcPr>
            <w:tcW w:w="8341" w:type="dxa"/>
          </w:tcPr>
          <w:p w14:paraId="2D5562D2"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Oficina de Naciones Unidas contra la Droga y el Delito</w:t>
            </w:r>
          </w:p>
        </w:tc>
      </w:tr>
      <w:tr w:rsidR="00E604B5" w:rsidRPr="00772037" w14:paraId="462C6782" w14:textId="77777777" w:rsidTr="00316349">
        <w:tc>
          <w:tcPr>
            <w:tcW w:w="1548" w:type="dxa"/>
          </w:tcPr>
          <w:p w14:paraId="4C5CCF70"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UNSDCF</w:t>
            </w:r>
          </w:p>
        </w:tc>
        <w:tc>
          <w:tcPr>
            <w:tcW w:w="8341" w:type="dxa"/>
          </w:tcPr>
          <w:p w14:paraId="1F8ED920"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Marco de Cooperación de las Naciones Unidas para el Desarrollo Sostenible (United Nations Sustainable Development Cooperation Framework)</w:t>
            </w:r>
          </w:p>
        </w:tc>
      </w:tr>
      <w:tr w:rsidR="00E604B5" w:rsidRPr="00772037" w14:paraId="366254A0" w14:textId="77777777" w:rsidTr="00316349">
        <w:tc>
          <w:tcPr>
            <w:tcW w:w="1548" w:type="dxa"/>
          </w:tcPr>
          <w:p w14:paraId="308BB99F"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UNSDG</w:t>
            </w:r>
          </w:p>
        </w:tc>
        <w:tc>
          <w:tcPr>
            <w:tcW w:w="8341" w:type="dxa"/>
          </w:tcPr>
          <w:p w14:paraId="7B5CE8F7" w14:textId="77777777" w:rsidR="00E604B5" w:rsidRPr="00772037" w:rsidRDefault="00E604B5" w:rsidP="00316349">
            <w:pPr>
              <w:spacing w:after="120"/>
              <w:rPr>
                <w:rFonts w:asciiTheme="majorHAnsi" w:hAnsiTheme="majorHAnsi" w:cstheme="majorHAnsi"/>
              </w:rPr>
            </w:pPr>
            <w:r w:rsidRPr="00772037">
              <w:rPr>
                <w:rFonts w:asciiTheme="majorHAnsi" w:hAnsiTheme="majorHAnsi" w:cstheme="majorHAnsi"/>
              </w:rPr>
              <w:t>Grupo de las Naciones Unidas para el Desarrollo Sostenible (United Nations Sustainable Development Group)</w:t>
            </w:r>
          </w:p>
        </w:tc>
      </w:tr>
    </w:tbl>
    <w:p w14:paraId="708D8992" w14:textId="76C4A553" w:rsidR="00E604B5" w:rsidRDefault="00E604B5">
      <w:pPr>
        <w:rPr>
          <w:rFonts w:asciiTheme="majorHAnsi" w:hAnsiTheme="majorHAnsi" w:cstheme="majorHAnsi"/>
          <w:color w:val="365F91" w:themeColor="accent1" w:themeShade="BF"/>
        </w:rPr>
      </w:pPr>
      <w:r>
        <w:rPr>
          <w:rFonts w:asciiTheme="majorHAnsi" w:hAnsiTheme="majorHAnsi" w:cstheme="majorHAnsi"/>
          <w:color w:val="365F91" w:themeColor="accent1" w:themeShade="BF"/>
        </w:rPr>
        <w:br w:type="page"/>
      </w:r>
    </w:p>
    <w:p w14:paraId="3E53AF4C" w14:textId="3DE382A6" w:rsidR="003F5090" w:rsidRPr="00772037" w:rsidRDefault="00E56E9A" w:rsidP="00772037">
      <w:pPr>
        <w:pStyle w:val="Ttulo1"/>
        <w:spacing w:before="0" w:after="120"/>
        <w:rPr>
          <w:rFonts w:cstheme="majorHAnsi"/>
          <w:color w:val="00B0F0"/>
          <w:sz w:val="28"/>
          <w:szCs w:val="28"/>
        </w:rPr>
      </w:pPr>
      <w:bookmarkStart w:id="1" w:name="_Toc89942355"/>
      <w:r w:rsidRPr="00772037">
        <w:rPr>
          <w:rFonts w:cstheme="majorHAnsi"/>
          <w:color w:val="00B0F0"/>
          <w:sz w:val="28"/>
          <w:szCs w:val="28"/>
        </w:rPr>
        <w:lastRenderedPageBreak/>
        <w:t xml:space="preserve">I. </w:t>
      </w:r>
      <w:r w:rsidR="003F5090" w:rsidRPr="00772037">
        <w:rPr>
          <w:rFonts w:cstheme="majorHAnsi"/>
          <w:color w:val="00B0F0"/>
          <w:sz w:val="28"/>
          <w:szCs w:val="28"/>
        </w:rPr>
        <w:t>Antecedentes</w:t>
      </w:r>
      <w:bookmarkEnd w:id="1"/>
    </w:p>
    <w:p w14:paraId="76DD4FB5" w14:textId="07B53AE3" w:rsidR="00772037" w:rsidRPr="00772037" w:rsidRDefault="00772037" w:rsidP="00772037">
      <w:pPr>
        <w:pStyle w:val="Prrafodelista"/>
        <w:spacing w:after="120"/>
        <w:ind w:left="0" w:right="92"/>
        <w:contextualSpacing w:val="0"/>
        <w:jc w:val="both"/>
        <w:rPr>
          <w:rFonts w:asciiTheme="majorHAnsi" w:hAnsiTheme="majorHAnsi" w:cstheme="majorHAnsi"/>
          <w:bdr w:val="nil"/>
          <w:lang w:val="es-ES_tradnl"/>
        </w:rPr>
      </w:pPr>
      <w:r w:rsidRPr="00772037">
        <w:rPr>
          <w:rFonts w:asciiTheme="majorHAnsi" w:hAnsiTheme="majorHAnsi" w:cstheme="majorHAnsi"/>
          <w:lang w:val="es-ES"/>
        </w:rPr>
        <w:t xml:space="preserve">En 2019, el SNU en  México realizó el ejercicio de autodiagnóstico sobre </w:t>
      </w:r>
      <w:r>
        <w:rPr>
          <w:rFonts w:asciiTheme="majorHAnsi" w:hAnsiTheme="majorHAnsi" w:cstheme="majorHAnsi"/>
          <w:lang w:val="es-ES"/>
        </w:rPr>
        <w:t>i</w:t>
      </w:r>
      <w:r w:rsidRPr="00772037">
        <w:rPr>
          <w:rFonts w:asciiTheme="majorHAnsi" w:hAnsiTheme="majorHAnsi" w:cstheme="majorHAnsi"/>
          <w:lang w:val="es-ES"/>
        </w:rPr>
        <w:t xml:space="preserve">gualdad de </w:t>
      </w:r>
      <w:r>
        <w:rPr>
          <w:rFonts w:asciiTheme="majorHAnsi" w:hAnsiTheme="majorHAnsi" w:cstheme="majorHAnsi"/>
          <w:lang w:val="es-ES"/>
        </w:rPr>
        <w:t>g</w:t>
      </w:r>
      <w:r w:rsidRPr="00772037">
        <w:rPr>
          <w:rFonts w:asciiTheme="majorHAnsi" w:hAnsiTheme="majorHAnsi" w:cstheme="majorHAnsi"/>
          <w:lang w:val="es-ES"/>
        </w:rPr>
        <w:t>énero (UNCT-SWAP Gender Equality Scorecard</w:t>
      </w:r>
      <w:r w:rsidR="001178DB">
        <w:rPr>
          <w:rFonts w:asciiTheme="majorHAnsi" w:hAnsiTheme="majorHAnsi" w:cstheme="majorHAnsi"/>
          <w:lang w:val="es-ES"/>
        </w:rPr>
        <w:t>, en adelante UNCT-SWAP</w:t>
      </w:r>
      <w:r w:rsidRPr="00772037">
        <w:rPr>
          <w:rFonts w:asciiTheme="majorHAnsi" w:hAnsiTheme="majorHAnsi" w:cstheme="majorHAnsi"/>
          <w:lang w:val="es-ES"/>
        </w:rPr>
        <w:t xml:space="preserve">) en torno a </w:t>
      </w:r>
      <w:r>
        <w:rPr>
          <w:rFonts w:asciiTheme="majorHAnsi" w:hAnsiTheme="majorHAnsi" w:cstheme="majorHAnsi"/>
          <w:lang w:val="es-ES"/>
        </w:rPr>
        <w:t xml:space="preserve">las </w:t>
      </w:r>
      <w:r w:rsidRPr="00772037">
        <w:rPr>
          <w:rFonts w:asciiTheme="majorHAnsi" w:hAnsiTheme="majorHAnsi" w:cstheme="majorHAnsi"/>
          <w:lang w:val="es-ES"/>
        </w:rPr>
        <w:t xml:space="preserve">siete dimensiones, o áreas de desempeño, que abordan los componentes clave para avanzar hacia el logro de la  igualdad de género y el empoderamiento de las mujeres y las niñas (IGEM): (i) Planificación; (ii) Programación, monitoreo y evaluación; (iii) Asociaciones; (iv) Liderazgo y cultura organizacional; (v) Arquitectura y capacidades de género; (vi) Recursos; y (vii) Resultados. </w:t>
      </w:r>
    </w:p>
    <w:p w14:paraId="2E295FDF" w14:textId="4DAE7AE2" w:rsidR="00772037" w:rsidRPr="00772037" w:rsidRDefault="00772037" w:rsidP="00772037">
      <w:pPr>
        <w:spacing w:after="120"/>
        <w:jc w:val="both"/>
        <w:rPr>
          <w:rFonts w:asciiTheme="majorHAnsi" w:hAnsiTheme="majorHAnsi" w:cstheme="majorHAnsi"/>
          <w:lang w:val="es-ES"/>
        </w:rPr>
      </w:pPr>
      <w:r w:rsidRPr="00772037">
        <w:rPr>
          <w:rFonts w:asciiTheme="majorHAnsi" w:eastAsia="Times New Roman" w:hAnsiTheme="majorHAnsi" w:cstheme="majorHAnsi"/>
        </w:rPr>
        <w:t xml:space="preserve">La implementación de </w:t>
      </w:r>
      <w:r>
        <w:rPr>
          <w:rFonts w:asciiTheme="majorHAnsi" w:eastAsia="Times New Roman" w:hAnsiTheme="majorHAnsi" w:cstheme="majorHAnsi"/>
        </w:rPr>
        <w:t>la</w:t>
      </w:r>
      <w:r w:rsidRPr="00772037">
        <w:rPr>
          <w:rFonts w:asciiTheme="majorHAnsi" w:eastAsia="Times New Roman" w:hAnsiTheme="majorHAnsi" w:cstheme="majorHAnsi"/>
        </w:rPr>
        <w:t xml:space="preserve"> herramienta </w:t>
      </w:r>
      <w:r w:rsidRPr="00772037">
        <w:rPr>
          <w:rFonts w:asciiTheme="majorHAnsi" w:hAnsiTheme="majorHAnsi" w:cstheme="majorHAnsi"/>
        </w:rPr>
        <w:t>se llevó a cabo en el marco del último ciclo de operación del UNDAF 2014-2019 y previo al proceso de elaboración de</w:t>
      </w:r>
      <w:r w:rsidR="00D60E92">
        <w:rPr>
          <w:rFonts w:asciiTheme="majorHAnsi" w:hAnsiTheme="majorHAnsi" w:cstheme="majorHAnsi"/>
        </w:rPr>
        <w:t xml:space="preserve"> nuevo </w:t>
      </w:r>
      <w:r w:rsidRPr="00772037">
        <w:rPr>
          <w:rFonts w:asciiTheme="majorHAnsi" w:hAnsiTheme="majorHAnsi" w:cstheme="majorHAnsi"/>
          <w:lang w:val="es-ES"/>
        </w:rPr>
        <w:t>Marco de Cooperación</w:t>
      </w:r>
      <w:r w:rsidR="00D60E92">
        <w:rPr>
          <w:rFonts w:asciiTheme="majorHAnsi" w:hAnsiTheme="majorHAnsi" w:cstheme="majorHAnsi"/>
          <w:lang w:val="es-ES"/>
        </w:rPr>
        <w:t xml:space="preserve">. </w:t>
      </w:r>
      <w:r w:rsidRPr="00772037">
        <w:rPr>
          <w:rFonts w:asciiTheme="majorHAnsi" w:hAnsiTheme="majorHAnsi" w:cstheme="majorHAnsi"/>
          <w:bdr w:val="nil"/>
          <w:lang w:val="es-ES_tradnl"/>
        </w:rPr>
        <w:t xml:space="preserve">El ejercicio fue facilitado por una consultora, quien aplicó métodos inclusivos y analíticos para garantizar que </w:t>
      </w:r>
      <w:r w:rsidRPr="00772037">
        <w:rPr>
          <w:rFonts w:asciiTheme="majorHAnsi" w:hAnsiTheme="majorHAnsi" w:cstheme="majorHAnsi"/>
          <w:bdr w:val="nil"/>
        </w:rPr>
        <w:t>el</w:t>
      </w:r>
      <w:r w:rsidRPr="00772037">
        <w:rPr>
          <w:rFonts w:asciiTheme="majorHAnsi" w:hAnsiTheme="majorHAnsi" w:cstheme="majorHAnsi"/>
          <w:bdr w:val="nil"/>
          <w:lang w:val="es-ES_tradnl"/>
        </w:rPr>
        <w:t xml:space="preserve"> equipo de diagnóstico se involucrara desde el inicio, liderara el proceso y se apropiara de él</w:t>
      </w:r>
      <w:r w:rsidRPr="00772037">
        <w:rPr>
          <w:rFonts w:asciiTheme="majorHAnsi" w:hAnsiTheme="majorHAnsi" w:cstheme="majorHAnsi"/>
          <w:bdr w:val="nil"/>
        </w:rPr>
        <w:t>.</w:t>
      </w:r>
    </w:p>
    <w:p w14:paraId="251015DA" w14:textId="387F0E57" w:rsidR="00772037" w:rsidRPr="00772037" w:rsidRDefault="00772037" w:rsidP="00772037">
      <w:pPr>
        <w:spacing w:after="120"/>
        <w:jc w:val="both"/>
        <w:rPr>
          <w:rFonts w:asciiTheme="majorHAnsi" w:hAnsiTheme="majorHAnsi" w:cstheme="majorHAnsi"/>
        </w:rPr>
      </w:pPr>
      <w:r w:rsidRPr="00772037">
        <w:rPr>
          <w:rFonts w:asciiTheme="majorHAnsi" w:hAnsiTheme="majorHAnsi" w:cstheme="majorHAnsi"/>
          <w:lang w:val="es-ES"/>
        </w:rPr>
        <w:t xml:space="preserve">La fase de autodiagnóstico incluyó la revisión y análisis de 15 indicadores de desempeño, a partir de un sistema de puntuación que establece estándares mínimos como puntos de partida desde los cuales los Equipos de País deben trabajar para profundizar sus esfuerzos y definir una ruta de trabajo acorde a los desafíos y las áreas de mejora identificados. Los resultados generales de </w:t>
      </w:r>
      <w:r w:rsidRPr="00772037">
        <w:rPr>
          <w:rFonts w:asciiTheme="majorHAnsi" w:hAnsiTheme="majorHAnsi" w:cstheme="majorHAnsi"/>
        </w:rPr>
        <w:t xml:space="preserve">la fase de autodiagnóstico revelaron que, de los 15 indicadores, el SNU en México superó el estándar mínimo en 1 (7%), lo cumplió en 3 (20%), se aproximó en 7 (46%) y no lo cumplió en 4 (27%). </w:t>
      </w:r>
    </w:p>
    <w:p w14:paraId="752300CB" w14:textId="77777777" w:rsidR="00772037" w:rsidRPr="00772037" w:rsidRDefault="00772037" w:rsidP="00772037">
      <w:pPr>
        <w:spacing w:after="120"/>
        <w:jc w:val="center"/>
        <w:rPr>
          <w:rFonts w:asciiTheme="majorHAnsi" w:hAnsiTheme="majorHAnsi" w:cstheme="majorHAnsi"/>
        </w:rPr>
      </w:pPr>
    </w:p>
    <w:p w14:paraId="38857B5B" w14:textId="03E21AE9" w:rsidR="00772037" w:rsidRPr="00772037" w:rsidRDefault="00A94EB7" w:rsidP="00A94EB7">
      <w:pPr>
        <w:pStyle w:val="Descripcin"/>
        <w:jc w:val="center"/>
        <w:rPr>
          <w:rFonts w:cstheme="majorHAnsi"/>
          <w:iCs w:val="0"/>
          <w:szCs w:val="22"/>
        </w:rPr>
      </w:pPr>
      <w:bookmarkStart w:id="2" w:name="_Toc89942528"/>
      <w:r w:rsidRPr="00A94EB7">
        <w:t xml:space="preserve">Figura </w:t>
      </w:r>
      <w:r w:rsidRPr="00A94EB7">
        <w:fldChar w:fldCharType="begin"/>
      </w:r>
      <w:r w:rsidRPr="00A94EB7">
        <w:instrText xml:space="preserve"> SEQ Figura \* ARABIC </w:instrText>
      </w:r>
      <w:r w:rsidRPr="00A94EB7">
        <w:fldChar w:fldCharType="separate"/>
      </w:r>
      <w:r>
        <w:rPr>
          <w:noProof/>
        </w:rPr>
        <w:t>1</w:t>
      </w:r>
      <w:r w:rsidRPr="00A94EB7">
        <w:fldChar w:fldCharType="end"/>
      </w:r>
      <w:r>
        <w:t xml:space="preserve">. </w:t>
      </w:r>
      <w:r w:rsidRPr="00A94EB7">
        <w:t>Resultados</w:t>
      </w:r>
      <w:r>
        <w:t xml:space="preserve"> generales </w:t>
      </w:r>
      <w:r w:rsidR="00772037" w:rsidRPr="00772037">
        <w:rPr>
          <w:rFonts w:cstheme="majorHAnsi"/>
          <w:iCs w:val="0"/>
          <w:szCs w:val="22"/>
        </w:rPr>
        <w:t>de la puntuación de indicadores</w:t>
      </w:r>
      <w:r>
        <w:rPr>
          <w:rFonts w:cstheme="majorHAnsi"/>
        </w:rPr>
        <w:t xml:space="preserve">, </w:t>
      </w:r>
      <w:r w:rsidR="00772037" w:rsidRPr="00772037">
        <w:rPr>
          <w:rFonts w:cstheme="majorHAnsi"/>
          <w:iCs w:val="0"/>
          <w:szCs w:val="22"/>
        </w:rPr>
        <w:t>2019</w:t>
      </w:r>
      <w:bookmarkEnd w:id="2"/>
    </w:p>
    <w:p w14:paraId="13F8468C" w14:textId="77777777" w:rsidR="00772037" w:rsidRPr="00772037" w:rsidRDefault="00772037" w:rsidP="00772037">
      <w:pPr>
        <w:spacing w:after="120"/>
        <w:jc w:val="center"/>
        <w:rPr>
          <w:rFonts w:asciiTheme="majorHAnsi" w:hAnsiTheme="majorHAnsi" w:cstheme="majorHAnsi"/>
        </w:rPr>
      </w:pPr>
      <w:r w:rsidRPr="00772037">
        <w:rPr>
          <w:rFonts w:asciiTheme="majorHAnsi" w:hAnsiTheme="majorHAnsi" w:cstheme="majorHAnsi"/>
          <w:noProof/>
          <w:lang w:val="en-US"/>
        </w:rPr>
        <w:drawing>
          <wp:inline distT="0" distB="0" distL="0" distR="0" wp14:anchorId="414D0929" wp14:editId="4616ECAB">
            <wp:extent cx="5150945" cy="2583793"/>
            <wp:effectExtent l="0" t="0" r="18415" b="762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6B7331D" w14:textId="77777777" w:rsidR="00772037" w:rsidRPr="00772037" w:rsidRDefault="00772037" w:rsidP="00772037">
      <w:pPr>
        <w:spacing w:after="120"/>
        <w:jc w:val="both"/>
        <w:rPr>
          <w:rFonts w:asciiTheme="majorHAnsi" w:hAnsiTheme="majorHAnsi" w:cstheme="majorHAnsi"/>
        </w:rPr>
      </w:pPr>
    </w:p>
    <w:p w14:paraId="2D30B99A" w14:textId="6AEB7954" w:rsidR="00772037" w:rsidRPr="00772037" w:rsidRDefault="00772037" w:rsidP="00772037">
      <w:pPr>
        <w:spacing w:after="120"/>
        <w:jc w:val="both"/>
        <w:rPr>
          <w:rFonts w:asciiTheme="majorHAnsi" w:hAnsiTheme="majorHAnsi" w:cstheme="majorHAnsi"/>
        </w:rPr>
      </w:pPr>
      <w:r w:rsidRPr="00772037">
        <w:rPr>
          <w:rFonts w:asciiTheme="majorHAnsi" w:hAnsiTheme="majorHAnsi" w:cstheme="majorHAnsi"/>
        </w:rPr>
        <w:t>Por área de desempeño, el autodiagnóstico encontró que los avances eran atomizados, dado que en ninguna de las 7 áreas el SNU en México cumplía de manera global con el estándar mínimo. Los mayores desafíos se observaron particularmente en cuatro</w:t>
      </w:r>
      <w:r>
        <w:rPr>
          <w:rFonts w:asciiTheme="majorHAnsi" w:hAnsiTheme="majorHAnsi" w:cstheme="majorHAnsi"/>
        </w:rPr>
        <w:t xml:space="preserve"> dimensiones</w:t>
      </w:r>
      <w:r w:rsidRPr="00772037">
        <w:rPr>
          <w:rFonts w:asciiTheme="majorHAnsi" w:hAnsiTheme="majorHAnsi" w:cstheme="majorHAnsi"/>
        </w:rPr>
        <w:t xml:space="preserve">: Liderazgo y cultura organizacional, Arquitectura y capacidades de género, Recursos </w:t>
      </w:r>
      <w:r>
        <w:rPr>
          <w:rFonts w:asciiTheme="majorHAnsi" w:hAnsiTheme="majorHAnsi" w:cstheme="majorHAnsi"/>
        </w:rPr>
        <w:t xml:space="preserve">financieros, así como </w:t>
      </w:r>
      <w:r w:rsidRPr="00772037">
        <w:rPr>
          <w:rFonts w:asciiTheme="majorHAnsi" w:hAnsiTheme="majorHAnsi" w:cstheme="majorHAnsi"/>
        </w:rPr>
        <w:t xml:space="preserve">Resultados, </w:t>
      </w:r>
      <w:r>
        <w:rPr>
          <w:rFonts w:asciiTheme="majorHAnsi" w:hAnsiTheme="majorHAnsi" w:cstheme="majorHAnsi"/>
        </w:rPr>
        <w:t>toda vez</w:t>
      </w:r>
      <w:r w:rsidRPr="00772037">
        <w:rPr>
          <w:rFonts w:asciiTheme="majorHAnsi" w:hAnsiTheme="majorHAnsi" w:cstheme="majorHAnsi"/>
        </w:rPr>
        <w:t xml:space="preserve"> los indicadores </w:t>
      </w:r>
      <w:r>
        <w:rPr>
          <w:rFonts w:asciiTheme="majorHAnsi" w:hAnsiTheme="majorHAnsi" w:cstheme="majorHAnsi"/>
        </w:rPr>
        <w:t>que las</w:t>
      </w:r>
      <w:r w:rsidRPr="00772037">
        <w:rPr>
          <w:rFonts w:asciiTheme="majorHAnsi" w:hAnsiTheme="majorHAnsi" w:cstheme="majorHAnsi"/>
        </w:rPr>
        <w:t xml:space="preserve"> conforman obtuvieron una puntuación entre se aproxima o no cumple con el estándar mínimo.  </w:t>
      </w:r>
    </w:p>
    <w:p w14:paraId="76AED5EB" w14:textId="4AE0C785" w:rsidR="00772037" w:rsidRDefault="00772037" w:rsidP="00772037">
      <w:pPr>
        <w:spacing w:after="120"/>
        <w:jc w:val="both"/>
        <w:rPr>
          <w:rFonts w:asciiTheme="majorHAnsi" w:hAnsiTheme="majorHAnsi" w:cstheme="majorHAnsi"/>
          <w:lang w:val="es-ES_tradnl"/>
        </w:rPr>
      </w:pPr>
    </w:p>
    <w:p w14:paraId="2C5326A3" w14:textId="77777777" w:rsidR="001178DB" w:rsidRPr="00772037" w:rsidRDefault="001178DB" w:rsidP="00772037">
      <w:pPr>
        <w:spacing w:after="120"/>
        <w:jc w:val="both"/>
        <w:rPr>
          <w:rFonts w:asciiTheme="majorHAnsi" w:hAnsiTheme="majorHAnsi" w:cstheme="majorHAnsi"/>
          <w:lang w:val="es-ES_tradnl"/>
        </w:rPr>
      </w:pPr>
    </w:p>
    <w:p w14:paraId="758E1D7A" w14:textId="2DACC6C2" w:rsidR="00772037" w:rsidRPr="00E604B5" w:rsidRDefault="00A94EB7" w:rsidP="00A94EB7">
      <w:pPr>
        <w:pStyle w:val="Descripcin"/>
        <w:jc w:val="center"/>
      </w:pPr>
      <w:bookmarkStart w:id="3" w:name="_Toc89942512"/>
      <w:r w:rsidRPr="00E604B5">
        <w:lastRenderedPageBreak/>
        <w:t xml:space="preserve">Tabla </w:t>
      </w:r>
      <w:r w:rsidRPr="00E604B5">
        <w:fldChar w:fldCharType="begin"/>
      </w:r>
      <w:r w:rsidRPr="00E604B5">
        <w:instrText xml:space="preserve"> SEQ Tabla \* ARABIC </w:instrText>
      </w:r>
      <w:r w:rsidRPr="00E604B5">
        <w:fldChar w:fldCharType="separate"/>
      </w:r>
      <w:r w:rsidRPr="00E604B5">
        <w:rPr>
          <w:noProof/>
        </w:rPr>
        <w:t>1</w:t>
      </w:r>
      <w:r w:rsidRPr="00E604B5">
        <w:fldChar w:fldCharType="end"/>
      </w:r>
      <w:r w:rsidRPr="00E604B5">
        <w:t xml:space="preserve">. </w:t>
      </w:r>
      <w:r w:rsidR="00772037" w:rsidRPr="00E604B5">
        <w:t xml:space="preserve">Matriz de </w:t>
      </w:r>
      <w:r w:rsidR="00A80645" w:rsidRPr="00E604B5">
        <w:t>A</w:t>
      </w:r>
      <w:r w:rsidR="00772037" w:rsidRPr="00E604B5">
        <w:t>utodiagnóstico por área de desempeño de acuerdo con el estándar mínimo, 2019</w:t>
      </w:r>
      <w:bookmarkEnd w:id="3"/>
    </w:p>
    <w:tbl>
      <w:tblPr>
        <w:tblStyle w:val="Tablaconcuadrcula"/>
        <w:tblW w:w="8789" w:type="dxa"/>
        <w:tblInd w:w="-5" w:type="dxa"/>
        <w:tblLayout w:type="fixed"/>
        <w:tblLook w:val="0420" w:firstRow="1" w:lastRow="0" w:firstColumn="0" w:lastColumn="0" w:noHBand="0" w:noVBand="1"/>
      </w:tblPr>
      <w:tblGrid>
        <w:gridCol w:w="3516"/>
        <w:gridCol w:w="1304"/>
        <w:gridCol w:w="1417"/>
        <w:gridCol w:w="1276"/>
        <w:gridCol w:w="1276"/>
      </w:tblGrid>
      <w:tr w:rsidR="00772037" w:rsidRPr="00772037" w14:paraId="2014A762" w14:textId="77777777" w:rsidTr="00772037">
        <w:trPr>
          <w:trHeight w:val="520"/>
          <w:tblHeader/>
        </w:trPr>
        <w:tc>
          <w:tcPr>
            <w:tcW w:w="3516" w:type="dxa"/>
            <w:tcBorders>
              <w:bottom w:val="single" w:sz="4" w:space="0" w:color="auto"/>
            </w:tcBorders>
            <w:shd w:val="clear" w:color="auto" w:fill="00B0F0"/>
            <w:hideMark/>
          </w:tcPr>
          <w:p w14:paraId="680DD7F7" w14:textId="77777777" w:rsidR="00772037" w:rsidRPr="00772037" w:rsidRDefault="00772037"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Indicador</w:t>
            </w:r>
          </w:p>
        </w:tc>
        <w:tc>
          <w:tcPr>
            <w:tcW w:w="1304" w:type="dxa"/>
            <w:tcBorders>
              <w:bottom w:val="single" w:sz="4" w:space="0" w:color="auto"/>
            </w:tcBorders>
            <w:shd w:val="clear" w:color="auto" w:fill="00B0F0"/>
            <w:hideMark/>
          </w:tcPr>
          <w:p w14:paraId="7623084D" w14:textId="77777777" w:rsidR="00772037" w:rsidRPr="00772037" w:rsidRDefault="00772037"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No cumple</w:t>
            </w:r>
          </w:p>
        </w:tc>
        <w:tc>
          <w:tcPr>
            <w:tcW w:w="1417" w:type="dxa"/>
            <w:tcBorders>
              <w:bottom w:val="single" w:sz="4" w:space="0" w:color="auto"/>
            </w:tcBorders>
            <w:shd w:val="clear" w:color="auto" w:fill="00B0F0"/>
          </w:tcPr>
          <w:p w14:paraId="39026F8E" w14:textId="77777777" w:rsidR="00772037" w:rsidRPr="00772037" w:rsidRDefault="00772037"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Se aproxima</w:t>
            </w:r>
          </w:p>
        </w:tc>
        <w:tc>
          <w:tcPr>
            <w:tcW w:w="1276" w:type="dxa"/>
            <w:tcBorders>
              <w:bottom w:val="single" w:sz="4" w:space="0" w:color="auto"/>
            </w:tcBorders>
            <w:shd w:val="clear" w:color="auto" w:fill="00B0F0"/>
          </w:tcPr>
          <w:p w14:paraId="2D7E5E8C" w14:textId="77777777" w:rsidR="00772037" w:rsidRPr="00772037" w:rsidRDefault="00772037"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Cumple</w:t>
            </w:r>
          </w:p>
        </w:tc>
        <w:tc>
          <w:tcPr>
            <w:tcW w:w="1276" w:type="dxa"/>
            <w:tcBorders>
              <w:bottom w:val="single" w:sz="4" w:space="0" w:color="auto"/>
            </w:tcBorders>
            <w:shd w:val="clear" w:color="auto" w:fill="00B0F0"/>
          </w:tcPr>
          <w:p w14:paraId="63FDF108" w14:textId="77777777" w:rsidR="00772037" w:rsidRPr="00772037" w:rsidRDefault="00772037"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Supera</w:t>
            </w:r>
          </w:p>
        </w:tc>
      </w:tr>
      <w:tr w:rsidR="00772037" w:rsidRPr="00772037" w14:paraId="12138EF1" w14:textId="77777777" w:rsidTr="00772037">
        <w:trPr>
          <w:trHeight w:val="427"/>
          <w:tblHeader/>
        </w:trPr>
        <w:tc>
          <w:tcPr>
            <w:tcW w:w="8789" w:type="dxa"/>
            <w:gridSpan w:val="5"/>
            <w:tcBorders>
              <w:bottom w:val="single" w:sz="2" w:space="0" w:color="auto"/>
            </w:tcBorders>
            <w:shd w:val="clear" w:color="auto" w:fill="F2F2F2" w:themeFill="background1" w:themeFillShade="F2"/>
            <w:vAlign w:val="center"/>
          </w:tcPr>
          <w:p w14:paraId="53662E85" w14:textId="77777777" w:rsidR="00772037" w:rsidRPr="00772037" w:rsidRDefault="00772037" w:rsidP="00316349">
            <w:pPr>
              <w:spacing w:after="120"/>
              <w:rPr>
                <w:rFonts w:asciiTheme="majorHAnsi" w:hAnsiTheme="majorHAnsi" w:cstheme="majorHAnsi"/>
                <w:b/>
                <w:bCs/>
              </w:rPr>
            </w:pPr>
            <w:r w:rsidRPr="00772037">
              <w:rPr>
                <w:rFonts w:asciiTheme="majorHAnsi" w:hAnsiTheme="majorHAnsi" w:cstheme="majorHAnsi"/>
                <w:b/>
                <w:bCs/>
              </w:rPr>
              <w:t>1. Planeación</w:t>
            </w:r>
          </w:p>
        </w:tc>
      </w:tr>
      <w:tr w:rsidR="00772037" w:rsidRPr="00772037" w14:paraId="632AFCC0" w14:textId="77777777" w:rsidTr="00772037">
        <w:trPr>
          <w:trHeight w:val="241"/>
          <w:tblHeader/>
        </w:trPr>
        <w:tc>
          <w:tcPr>
            <w:tcW w:w="3516" w:type="dxa"/>
            <w:tcBorders>
              <w:top w:val="single" w:sz="2" w:space="0" w:color="auto"/>
            </w:tcBorders>
            <w:shd w:val="clear" w:color="auto" w:fill="auto"/>
          </w:tcPr>
          <w:p w14:paraId="135F793D"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1.1. CCA</w:t>
            </w:r>
          </w:p>
        </w:tc>
        <w:tc>
          <w:tcPr>
            <w:tcW w:w="1304" w:type="dxa"/>
            <w:tcBorders>
              <w:top w:val="single" w:sz="2" w:space="0" w:color="auto"/>
            </w:tcBorders>
            <w:shd w:val="clear" w:color="auto" w:fill="auto"/>
          </w:tcPr>
          <w:p w14:paraId="50BAC9CA" w14:textId="77777777" w:rsidR="00772037" w:rsidRPr="00772037" w:rsidRDefault="00772037" w:rsidP="00316349">
            <w:pPr>
              <w:spacing w:after="120"/>
              <w:rPr>
                <w:rFonts w:asciiTheme="majorHAnsi" w:hAnsiTheme="majorHAnsi" w:cstheme="majorHAnsi"/>
              </w:rPr>
            </w:pPr>
          </w:p>
        </w:tc>
        <w:tc>
          <w:tcPr>
            <w:tcW w:w="1417" w:type="dxa"/>
            <w:tcBorders>
              <w:top w:val="single" w:sz="2" w:space="0" w:color="auto"/>
            </w:tcBorders>
            <w:shd w:val="clear" w:color="auto" w:fill="auto"/>
          </w:tcPr>
          <w:p w14:paraId="28DC1FCE" w14:textId="77777777" w:rsidR="00772037" w:rsidRPr="00772037" w:rsidRDefault="00772037" w:rsidP="00316349">
            <w:pPr>
              <w:spacing w:after="120"/>
              <w:rPr>
                <w:rFonts w:asciiTheme="majorHAnsi" w:hAnsiTheme="majorHAnsi" w:cstheme="majorHAnsi"/>
              </w:rPr>
            </w:pPr>
          </w:p>
        </w:tc>
        <w:tc>
          <w:tcPr>
            <w:tcW w:w="1276" w:type="dxa"/>
            <w:tcBorders>
              <w:top w:val="single" w:sz="2" w:space="0" w:color="auto"/>
            </w:tcBorders>
            <w:shd w:val="clear" w:color="auto" w:fill="auto"/>
          </w:tcPr>
          <w:p w14:paraId="1FBCD803" w14:textId="77777777" w:rsidR="00772037" w:rsidRPr="00772037" w:rsidRDefault="00772037" w:rsidP="00316349">
            <w:pPr>
              <w:spacing w:after="120"/>
              <w:rPr>
                <w:rFonts w:asciiTheme="majorHAnsi" w:hAnsiTheme="majorHAnsi" w:cstheme="majorHAnsi"/>
              </w:rPr>
            </w:pPr>
          </w:p>
        </w:tc>
        <w:tc>
          <w:tcPr>
            <w:tcW w:w="1276" w:type="dxa"/>
            <w:tcBorders>
              <w:top w:val="single" w:sz="2" w:space="0" w:color="auto"/>
            </w:tcBorders>
            <w:shd w:val="clear" w:color="auto" w:fill="0070C0"/>
          </w:tcPr>
          <w:p w14:paraId="2AB7AB15" w14:textId="77777777" w:rsidR="00772037" w:rsidRPr="00772037" w:rsidRDefault="00772037" w:rsidP="00316349">
            <w:pPr>
              <w:spacing w:after="120"/>
              <w:rPr>
                <w:rFonts w:asciiTheme="majorHAnsi" w:hAnsiTheme="majorHAnsi" w:cstheme="majorHAnsi"/>
              </w:rPr>
            </w:pPr>
          </w:p>
        </w:tc>
      </w:tr>
      <w:tr w:rsidR="00772037" w:rsidRPr="00772037" w14:paraId="3C19B8E5" w14:textId="77777777" w:rsidTr="00772037">
        <w:trPr>
          <w:trHeight w:val="278"/>
          <w:tblHeader/>
        </w:trPr>
        <w:tc>
          <w:tcPr>
            <w:tcW w:w="3516" w:type="dxa"/>
            <w:shd w:val="clear" w:color="auto" w:fill="auto"/>
          </w:tcPr>
          <w:p w14:paraId="032F2D77"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1.2. Resultados UNDAF</w:t>
            </w:r>
          </w:p>
        </w:tc>
        <w:tc>
          <w:tcPr>
            <w:tcW w:w="1304" w:type="dxa"/>
            <w:shd w:val="clear" w:color="auto" w:fill="auto"/>
          </w:tcPr>
          <w:p w14:paraId="43EFEE4B" w14:textId="77777777" w:rsidR="00772037" w:rsidRPr="00772037" w:rsidRDefault="00772037" w:rsidP="00316349">
            <w:pPr>
              <w:spacing w:after="120"/>
              <w:rPr>
                <w:rFonts w:asciiTheme="majorHAnsi" w:hAnsiTheme="majorHAnsi" w:cstheme="majorHAnsi"/>
              </w:rPr>
            </w:pPr>
          </w:p>
        </w:tc>
        <w:tc>
          <w:tcPr>
            <w:tcW w:w="1417" w:type="dxa"/>
            <w:shd w:val="clear" w:color="auto" w:fill="auto"/>
          </w:tcPr>
          <w:p w14:paraId="669598B3" w14:textId="77777777" w:rsidR="00772037" w:rsidRPr="00772037" w:rsidRDefault="00772037" w:rsidP="00316349">
            <w:pPr>
              <w:spacing w:after="120"/>
              <w:rPr>
                <w:rFonts w:asciiTheme="majorHAnsi" w:hAnsiTheme="majorHAnsi" w:cstheme="majorHAnsi"/>
              </w:rPr>
            </w:pPr>
          </w:p>
        </w:tc>
        <w:tc>
          <w:tcPr>
            <w:tcW w:w="1276" w:type="dxa"/>
            <w:shd w:val="clear" w:color="auto" w:fill="00B050"/>
          </w:tcPr>
          <w:p w14:paraId="140FF9A0"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43E8267F" w14:textId="77777777" w:rsidR="00772037" w:rsidRPr="00772037" w:rsidRDefault="00772037" w:rsidP="00316349">
            <w:pPr>
              <w:spacing w:after="120"/>
              <w:rPr>
                <w:rFonts w:asciiTheme="majorHAnsi" w:hAnsiTheme="majorHAnsi" w:cstheme="majorHAnsi"/>
              </w:rPr>
            </w:pPr>
          </w:p>
        </w:tc>
      </w:tr>
      <w:tr w:rsidR="00772037" w:rsidRPr="00772037" w14:paraId="331E13EF" w14:textId="77777777" w:rsidTr="00772037">
        <w:trPr>
          <w:trHeight w:val="287"/>
          <w:tblHeader/>
        </w:trPr>
        <w:tc>
          <w:tcPr>
            <w:tcW w:w="3516" w:type="dxa"/>
            <w:shd w:val="clear" w:color="auto" w:fill="auto"/>
          </w:tcPr>
          <w:p w14:paraId="41D6EC1A"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1.3. Indicadores UNDAF</w:t>
            </w:r>
          </w:p>
        </w:tc>
        <w:tc>
          <w:tcPr>
            <w:tcW w:w="1304" w:type="dxa"/>
            <w:shd w:val="clear" w:color="auto" w:fill="auto"/>
          </w:tcPr>
          <w:p w14:paraId="6D2C8326" w14:textId="77777777" w:rsidR="00772037" w:rsidRPr="00772037" w:rsidRDefault="00772037" w:rsidP="00316349">
            <w:pPr>
              <w:spacing w:after="120"/>
              <w:rPr>
                <w:rFonts w:asciiTheme="majorHAnsi" w:hAnsiTheme="majorHAnsi" w:cstheme="majorHAnsi"/>
              </w:rPr>
            </w:pPr>
          </w:p>
        </w:tc>
        <w:tc>
          <w:tcPr>
            <w:tcW w:w="1417" w:type="dxa"/>
            <w:shd w:val="clear" w:color="auto" w:fill="FFC000"/>
          </w:tcPr>
          <w:p w14:paraId="5FB0439C"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081EACCA"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1BD77131" w14:textId="77777777" w:rsidR="00772037" w:rsidRPr="00772037" w:rsidRDefault="00772037" w:rsidP="00316349">
            <w:pPr>
              <w:spacing w:after="120"/>
              <w:rPr>
                <w:rFonts w:asciiTheme="majorHAnsi" w:hAnsiTheme="majorHAnsi" w:cstheme="majorHAnsi"/>
              </w:rPr>
            </w:pPr>
          </w:p>
        </w:tc>
      </w:tr>
      <w:tr w:rsidR="00772037" w:rsidRPr="00772037" w14:paraId="346709F6" w14:textId="77777777" w:rsidTr="00772037">
        <w:trPr>
          <w:trHeight w:val="453"/>
          <w:tblHeader/>
        </w:trPr>
        <w:tc>
          <w:tcPr>
            <w:tcW w:w="8789" w:type="dxa"/>
            <w:gridSpan w:val="5"/>
            <w:shd w:val="clear" w:color="auto" w:fill="F2F2F2" w:themeFill="background1" w:themeFillShade="F2"/>
            <w:vAlign w:val="center"/>
          </w:tcPr>
          <w:p w14:paraId="23EF74F8" w14:textId="77777777" w:rsidR="00772037" w:rsidRPr="00772037" w:rsidRDefault="00772037" w:rsidP="00316349">
            <w:pPr>
              <w:spacing w:after="120"/>
              <w:rPr>
                <w:rFonts w:asciiTheme="majorHAnsi" w:hAnsiTheme="majorHAnsi" w:cstheme="majorHAnsi"/>
                <w:b/>
                <w:bCs/>
              </w:rPr>
            </w:pPr>
            <w:r w:rsidRPr="00772037">
              <w:rPr>
                <w:rFonts w:asciiTheme="majorHAnsi" w:hAnsiTheme="majorHAnsi" w:cstheme="majorHAnsi"/>
                <w:b/>
                <w:bCs/>
              </w:rPr>
              <w:t>2. Programación y M&amp;E</w:t>
            </w:r>
          </w:p>
        </w:tc>
      </w:tr>
      <w:tr w:rsidR="00772037" w:rsidRPr="00772037" w14:paraId="00633116" w14:textId="77777777" w:rsidTr="00772037">
        <w:trPr>
          <w:trHeight w:val="366"/>
          <w:tblHeader/>
        </w:trPr>
        <w:tc>
          <w:tcPr>
            <w:tcW w:w="3516" w:type="dxa"/>
            <w:shd w:val="clear" w:color="auto" w:fill="auto"/>
          </w:tcPr>
          <w:p w14:paraId="6FF60139"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2.1. Programas conjuntos</w:t>
            </w:r>
          </w:p>
        </w:tc>
        <w:tc>
          <w:tcPr>
            <w:tcW w:w="1304" w:type="dxa"/>
            <w:shd w:val="clear" w:color="auto" w:fill="auto"/>
          </w:tcPr>
          <w:p w14:paraId="4B99E643" w14:textId="77777777" w:rsidR="00772037" w:rsidRPr="00772037" w:rsidRDefault="00772037" w:rsidP="00316349">
            <w:pPr>
              <w:spacing w:after="120"/>
              <w:rPr>
                <w:rFonts w:asciiTheme="majorHAnsi" w:hAnsiTheme="majorHAnsi" w:cstheme="majorHAnsi"/>
              </w:rPr>
            </w:pPr>
          </w:p>
        </w:tc>
        <w:tc>
          <w:tcPr>
            <w:tcW w:w="1417" w:type="dxa"/>
            <w:shd w:val="clear" w:color="auto" w:fill="auto"/>
          </w:tcPr>
          <w:p w14:paraId="6A236A3C" w14:textId="77777777" w:rsidR="00772037" w:rsidRPr="00772037" w:rsidRDefault="00772037" w:rsidP="00316349">
            <w:pPr>
              <w:spacing w:after="120"/>
              <w:rPr>
                <w:rFonts w:asciiTheme="majorHAnsi" w:hAnsiTheme="majorHAnsi" w:cstheme="majorHAnsi"/>
              </w:rPr>
            </w:pPr>
          </w:p>
        </w:tc>
        <w:tc>
          <w:tcPr>
            <w:tcW w:w="1276" w:type="dxa"/>
            <w:shd w:val="clear" w:color="auto" w:fill="00B050"/>
          </w:tcPr>
          <w:p w14:paraId="6BAF6E17"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441F5095" w14:textId="77777777" w:rsidR="00772037" w:rsidRPr="00772037" w:rsidRDefault="00772037" w:rsidP="00316349">
            <w:pPr>
              <w:spacing w:after="120"/>
              <w:rPr>
                <w:rFonts w:asciiTheme="majorHAnsi" w:hAnsiTheme="majorHAnsi" w:cstheme="majorHAnsi"/>
              </w:rPr>
            </w:pPr>
          </w:p>
        </w:tc>
      </w:tr>
      <w:tr w:rsidR="00772037" w:rsidRPr="00772037" w14:paraId="744CF207" w14:textId="77777777" w:rsidTr="00772037">
        <w:trPr>
          <w:trHeight w:val="272"/>
          <w:tblHeader/>
        </w:trPr>
        <w:tc>
          <w:tcPr>
            <w:tcW w:w="3516" w:type="dxa"/>
            <w:shd w:val="clear" w:color="auto" w:fill="auto"/>
          </w:tcPr>
          <w:p w14:paraId="785EBB02"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2.2. Comunicaciones &amp; Abogacía</w:t>
            </w:r>
          </w:p>
        </w:tc>
        <w:tc>
          <w:tcPr>
            <w:tcW w:w="1304" w:type="dxa"/>
            <w:shd w:val="clear" w:color="auto" w:fill="auto"/>
          </w:tcPr>
          <w:p w14:paraId="65392766" w14:textId="77777777" w:rsidR="00772037" w:rsidRPr="00772037" w:rsidRDefault="00772037" w:rsidP="00316349">
            <w:pPr>
              <w:spacing w:after="120"/>
              <w:rPr>
                <w:rFonts w:asciiTheme="majorHAnsi" w:hAnsiTheme="majorHAnsi" w:cstheme="majorHAnsi"/>
              </w:rPr>
            </w:pPr>
          </w:p>
        </w:tc>
        <w:tc>
          <w:tcPr>
            <w:tcW w:w="1417" w:type="dxa"/>
            <w:shd w:val="clear" w:color="auto" w:fill="FFC000"/>
          </w:tcPr>
          <w:p w14:paraId="5CA95D07"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6862C1BD"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2FAF5497" w14:textId="77777777" w:rsidR="00772037" w:rsidRPr="00772037" w:rsidRDefault="00772037" w:rsidP="00316349">
            <w:pPr>
              <w:spacing w:after="120"/>
              <w:rPr>
                <w:rFonts w:asciiTheme="majorHAnsi" w:hAnsiTheme="majorHAnsi" w:cstheme="majorHAnsi"/>
              </w:rPr>
            </w:pPr>
          </w:p>
        </w:tc>
      </w:tr>
      <w:tr w:rsidR="00772037" w:rsidRPr="00772037" w14:paraId="06B0850C" w14:textId="77777777" w:rsidTr="00772037">
        <w:trPr>
          <w:trHeight w:val="276"/>
          <w:tblHeader/>
        </w:trPr>
        <w:tc>
          <w:tcPr>
            <w:tcW w:w="3516" w:type="dxa"/>
            <w:shd w:val="clear" w:color="auto" w:fill="auto"/>
          </w:tcPr>
          <w:p w14:paraId="46EDFA31"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2.3. M&amp;E UNDAF</w:t>
            </w:r>
          </w:p>
        </w:tc>
        <w:tc>
          <w:tcPr>
            <w:tcW w:w="1304" w:type="dxa"/>
            <w:shd w:val="clear" w:color="auto" w:fill="FF0000"/>
          </w:tcPr>
          <w:p w14:paraId="32A40930" w14:textId="77777777" w:rsidR="00772037" w:rsidRPr="00772037" w:rsidRDefault="00772037" w:rsidP="00316349">
            <w:pPr>
              <w:spacing w:after="120"/>
              <w:rPr>
                <w:rFonts w:asciiTheme="majorHAnsi" w:hAnsiTheme="majorHAnsi" w:cstheme="majorHAnsi"/>
              </w:rPr>
            </w:pPr>
          </w:p>
        </w:tc>
        <w:tc>
          <w:tcPr>
            <w:tcW w:w="1417" w:type="dxa"/>
            <w:shd w:val="clear" w:color="auto" w:fill="auto"/>
          </w:tcPr>
          <w:p w14:paraId="5A0132AE"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7B02188C"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1A749CD0" w14:textId="77777777" w:rsidR="00772037" w:rsidRPr="00772037" w:rsidRDefault="00772037" w:rsidP="00316349">
            <w:pPr>
              <w:spacing w:after="120"/>
              <w:rPr>
                <w:rFonts w:asciiTheme="majorHAnsi" w:hAnsiTheme="majorHAnsi" w:cstheme="majorHAnsi"/>
              </w:rPr>
            </w:pPr>
          </w:p>
        </w:tc>
      </w:tr>
      <w:tr w:rsidR="00772037" w:rsidRPr="00772037" w14:paraId="658D0278" w14:textId="77777777" w:rsidTr="00772037">
        <w:trPr>
          <w:trHeight w:val="469"/>
          <w:tblHeader/>
        </w:trPr>
        <w:tc>
          <w:tcPr>
            <w:tcW w:w="8789" w:type="dxa"/>
            <w:gridSpan w:val="5"/>
            <w:shd w:val="clear" w:color="auto" w:fill="F2F2F2" w:themeFill="background1" w:themeFillShade="F2"/>
            <w:vAlign w:val="center"/>
          </w:tcPr>
          <w:p w14:paraId="3CECDAA7" w14:textId="77777777" w:rsidR="00772037" w:rsidRPr="00772037" w:rsidRDefault="00772037" w:rsidP="00316349">
            <w:pPr>
              <w:spacing w:after="120"/>
              <w:rPr>
                <w:rFonts w:asciiTheme="majorHAnsi" w:hAnsiTheme="majorHAnsi" w:cstheme="majorHAnsi"/>
                <w:b/>
                <w:bCs/>
              </w:rPr>
            </w:pPr>
            <w:r w:rsidRPr="00772037">
              <w:rPr>
                <w:rFonts w:asciiTheme="majorHAnsi" w:hAnsiTheme="majorHAnsi" w:cstheme="majorHAnsi"/>
                <w:b/>
                <w:bCs/>
              </w:rPr>
              <w:t>3. Asociaciones</w:t>
            </w:r>
          </w:p>
        </w:tc>
      </w:tr>
      <w:tr w:rsidR="00772037" w:rsidRPr="00772037" w14:paraId="0B212619" w14:textId="77777777" w:rsidTr="00772037">
        <w:trPr>
          <w:trHeight w:val="330"/>
          <w:tblHeader/>
        </w:trPr>
        <w:tc>
          <w:tcPr>
            <w:tcW w:w="3516" w:type="dxa"/>
            <w:shd w:val="clear" w:color="auto" w:fill="auto"/>
          </w:tcPr>
          <w:p w14:paraId="6DA4B292"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3.1. Colaboración Gobierno</w:t>
            </w:r>
          </w:p>
        </w:tc>
        <w:tc>
          <w:tcPr>
            <w:tcW w:w="1304" w:type="dxa"/>
            <w:shd w:val="clear" w:color="auto" w:fill="auto"/>
          </w:tcPr>
          <w:p w14:paraId="62638A57" w14:textId="77777777" w:rsidR="00772037" w:rsidRPr="00772037" w:rsidRDefault="00772037" w:rsidP="00316349">
            <w:pPr>
              <w:spacing w:after="120"/>
              <w:rPr>
                <w:rFonts w:asciiTheme="majorHAnsi" w:hAnsiTheme="majorHAnsi" w:cstheme="majorHAnsi"/>
              </w:rPr>
            </w:pPr>
          </w:p>
        </w:tc>
        <w:tc>
          <w:tcPr>
            <w:tcW w:w="1417" w:type="dxa"/>
            <w:shd w:val="clear" w:color="auto" w:fill="auto"/>
          </w:tcPr>
          <w:p w14:paraId="1FBF1CD3" w14:textId="77777777" w:rsidR="00772037" w:rsidRPr="00772037" w:rsidRDefault="00772037" w:rsidP="00316349">
            <w:pPr>
              <w:spacing w:after="120"/>
              <w:rPr>
                <w:rFonts w:asciiTheme="majorHAnsi" w:hAnsiTheme="majorHAnsi" w:cstheme="majorHAnsi"/>
              </w:rPr>
            </w:pPr>
          </w:p>
        </w:tc>
        <w:tc>
          <w:tcPr>
            <w:tcW w:w="1276" w:type="dxa"/>
            <w:shd w:val="clear" w:color="auto" w:fill="00B050"/>
          </w:tcPr>
          <w:p w14:paraId="01C18FBE"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79B40B44" w14:textId="77777777" w:rsidR="00772037" w:rsidRPr="00772037" w:rsidRDefault="00772037" w:rsidP="00316349">
            <w:pPr>
              <w:spacing w:after="120"/>
              <w:rPr>
                <w:rFonts w:asciiTheme="majorHAnsi" w:hAnsiTheme="majorHAnsi" w:cstheme="majorHAnsi"/>
              </w:rPr>
            </w:pPr>
          </w:p>
        </w:tc>
      </w:tr>
      <w:tr w:rsidR="00772037" w:rsidRPr="00772037" w14:paraId="0A35CABF" w14:textId="77777777" w:rsidTr="00772037">
        <w:trPr>
          <w:trHeight w:val="278"/>
          <w:tblHeader/>
        </w:trPr>
        <w:tc>
          <w:tcPr>
            <w:tcW w:w="3516" w:type="dxa"/>
            <w:shd w:val="clear" w:color="auto" w:fill="auto"/>
          </w:tcPr>
          <w:p w14:paraId="11BF30FA"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 xml:space="preserve">3.1. Colaboración con OSC </w:t>
            </w:r>
          </w:p>
        </w:tc>
        <w:tc>
          <w:tcPr>
            <w:tcW w:w="1304" w:type="dxa"/>
            <w:shd w:val="clear" w:color="auto" w:fill="auto"/>
          </w:tcPr>
          <w:p w14:paraId="6EC69A85" w14:textId="77777777" w:rsidR="00772037" w:rsidRPr="00772037" w:rsidRDefault="00772037" w:rsidP="00316349">
            <w:pPr>
              <w:spacing w:after="120"/>
              <w:rPr>
                <w:rFonts w:asciiTheme="majorHAnsi" w:hAnsiTheme="majorHAnsi" w:cstheme="majorHAnsi"/>
              </w:rPr>
            </w:pPr>
          </w:p>
        </w:tc>
        <w:tc>
          <w:tcPr>
            <w:tcW w:w="1417" w:type="dxa"/>
            <w:shd w:val="clear" w:color="auto" w:fill="FFC000"/>
          </w:tcPr>
          <w:p w14:paraId="5422C6E4"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55350C4B"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6F256F90" w14:textId="77777777" w:rsidR="00772037" w:rsidRPr="00772037" w:rsidRDefault="00772037" w:rsidP="00316349">
            <w:pPr>
              <w:spacing w:after="120"/>
              <w:rPr>
                <w:rFonts w:asciiTheme="majorHAnsi" w:hAnsiTheme="majorHAnsi" w:cstheme="majorHAnsi"/>
              </w:rPr>
            </w:pPr>
          </w:p>
        </w:tc>
      </w:tr>
      <w:tr w:rsidR="00772037" w:rsidRPr="00772037" w14:paraId="0BF3D160" w14:textId="77777777" w:rsidTr="00772037">
        <w:trPr>
          <w:trHeight w:val="520"/>
          <w:tblHeader/>
        </w:trPr>
        <w:tc>
          <w:tcPr>
            <w:tcW w:w="8789" w:type="dxa"/>
            <w:gridSpan w:val="5"/>
            <w:shd w:val="clear" w:color="auto" w:fill="F2F2F2" w:themeFill="background1" w:themeFillShade="F2"/>
            <w:vAlign w:val="center"/>
          </w:tcPr>
          <w:p w14:paraId="4CAFB65C" w14:textId="77777777" w:rsidR="00772037" w:rsidRPr="00772037" w:rsidRDefault="00772037" w:rsidP="00316349">
            <w:pPr>
              <w:spacing w:after="120"/>
              <w:rPr>
                <w:rFonts w:asciiTheme="majorHAnsi" w:hAnsiTheme="majorHAnsi" w:cstheme="majorHAnsi"/>
                <w:b/>
                <w:bCs/>
              </w:rPr>
            </w:pPr>
            <w:r w:rsidRPr="00772037">
              <w:rPr>
                <w:rFonts w:asciiTheme="majorHAnsi" w:hAnsiTheme="majorHAnsi" w:cstheme="majorHAnsi"/>
                <w:b/>
                <w:bCs/>
              </w:rPr>
              <w:t>4. Liderazgo y cultura organizacional</w:t>
            </w:r>
          </w:p>
        </w:tc>
      </w:tr>
      <w:tr w:rsidR="00772037" w:rsidRPr="00772037" w14:paraId="0DE3B900" w14:textId="77777777" w:rsidTr="00772037">
        <w:trPr>
          <w:trHeight w:val="290"/>
          <w:tblHeader/>
        </w:trPr>
        <w:tc>
          <w:tcPr>
            <w:tcW w:w="3516" w:type="dxa"/>
            <w:shd w:val="clear" w:color="auto" w:fill="auto"/>
          </w:tcPr>
          <w:p w14:paraId="23B3FD35"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4.1. Liderazgo</w:t>
            </w:r>
          </w:p>
        </w:tc>
        <w:tc>
          <w:tcPr>
            <w:tcW w:w="1304" w:type="dxa"/>
            <w:shd w:val="clear" w:color="auto" w:fill="auto"/>
          </w:tcPr>
          <w:p w14:paraId="4B05AFF9" w14:textId="77777777" w:rsidR="00772037" w:rsidRPr="00772037" w:rsidRDefault="00772037" w:rsidP="00316349">
            <w:pPr>
              <w:spacing w:after="120"/>
              <w:rPr>
                <w:rFonts w:asciiTheme="majorHAnsi" w:hAnsiTheme="majorHAnsi" w:cstheme="majorHAnsi"/>
              </w:rPr>
            </w:pPr>
          </w:p>
        </w:tc>
        <w:tc>
          <w:tcPr>
            <w:tcW w:w="1417" w:type="dxa"/>
            <w:shd w:val="clear" w:color="auto" w:fill="FFC000"/>
          </w:tcPr>
          <w:p w14:paraId="343CB581"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180BEBBC"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1C5F44EB" w14:textId="77777777" w:rsidR="00772037" w:rsidRPr="00772037" w:rsidRDefault="00772037" w:rsidP="00316349">
            <w:pPr>
              <w:spacing w:after="120"/>
              <w:rPr>
                <w:rFonts w:asciiTheme="majorHAnsi" w:hAnsiTheme="majorHAnsi" w:cstheme="majorHAnsi"/>
              </w:rPr>
            </w:pPr>
          </w:p>
        </w:tc>
      </w:tr>
      <w:tr w:rsidR="00772037" w:rsidRPr="00772037" w14:paraId="3CBD71C0" w14:textId="77777777" w:rsidTr="00772037">
        <w:trPr>
          <w:trHeight w:val="280"/>
          <w:tblHeader/>
        </w:trPr>
        <w:tc>
          <w:tcPr>
            <w:tcW w:w="3516" w:type="dxa"/>
            <w:shd w:val="clear" w:color="auto" w:fill="auto"/>
          </w:tcPr>
          <w:p w14:paraId="743CEF5E"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4.2. Cultura organizacional</w:t>
            </w:r>
          </w:p>
        </w:tc>
        <w:tc>
          <w:tcPr>
            <w:tcW w:w="1304" w:type="dxa"/>
            <w:shd w:val="clear" w:color="auto" w:fill="auto"/>
          </w:tcPr>
          <w:p w14:paraId="60B7D618" w14:textId="77777777" w:rsidR="00772037" w:rsidRPr="00772037" w:rsidRDefault="00772037" w:rsidP="00316349">
            <w:pPr>
              <w:spacing w:after="120"/>
              <w:rPr>
                <w:rFonts w:asciiTheme="majorHAnsi" w:hAnsiTheme="majorHAnsi" w:cstheme="majorHAnsi"/>
              </w:rPr>
            </w:pPr>
          </w:p>
        </w:tc>
        <w:tc>
          <w:tcPr>
            <w:tcW w:w="1417" w:type="dxa"/>
            <w:shd w:val="clear" w:color="auto" w:fill="FFC000"/>
          </w:tcPr>
          <w:p w14:paraId="079D34C2"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34FDA861"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02316A08" w14:textId="77777777" w:rsidR="00772037" w:rsidRPr="00772037" w:rsidRDefault="00772037" w:rsidP="00316349">
            <w:pPr>
              <w:spacing w:after="120"/>
              <w:rPr>
                <w:rFonts w:asciiTheme="majorHAnsi" w:hAnsiTheme="majorHAnsi" w:cstheme="majorHAnsi"/>
              </w:rPr>
            </w:pPr>
          </w:p>
        </w:tc>
      </w:tr>
      <w:tr w:rsidR="00772037" w:rsidRPr="00772037" w14:paraId="6037DA93" w14:textId="77777777" w:rsidTr="00772037">
        <w:trPr>
          <w:trHeight w:val="284"/>
          <w:tblHeader/>
        </w:trPr>
        <w:tc>
          <w:tcPr>
            <w:tcW w:w="3516" w:type="dxa"/>
            <w:shd w:val="clear" w:color="auto" w:fill="auto"/>
          </w:tcPr>
          <w:p w14:paraId="4AC1991C"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4.3. Paridad de género</w:t>
            </w:r>
          </w:p>
        </w:tc>
        <w:tc>
          <w:tcPr>
            <w:tcW w:w="1304" w:type="dxa"/>
            <w:shd w:val="clear" w:color="auto" w:fill="FF0000"/>
          </w:tcPr>
          <w:p w14:paraId="001BA729" w14:textId="77777777" w:rsidR="00772037" w:rsidRPr="00772037" w:rsidRDefault="00772037" w:rsidP="00316349">
            <w:pPr>
              <w:spacing w:after="120"/>
              <w:rPr>
                <w:rFonts w:asciiTheme="majorHAnsi" w:hAnsiTheme="majorHAnsi" w:cstheme="majorHAnsi"/>
              </w:rPr>
            </w:pPr>
          </w:p>
        </w:tc>
        <w:tc>
          <w:tcPr>
            <w:tcW w:w="1417" w:type="dxa"/>
            <w:shd w:val="clear" w:color="auto" w:fill="auto"/>
          </w:tcPr>
          <w:p w14:paraId="3FE87728"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54301A44"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546C77AC" w14:textId="77777777" w:rsidR="00772037" w:rsidRPr="00772037" w:rsidRDefault="00772037" w:rsidP="00316349">
            <w:pPr>
              <w:spacing w:after="120"/>
              <w:rPr>
                <w:rFonts w:asciiTheme="majorHAnsi" w:hAnsiTheme="majorHAnsi" w:cstheme="majorHAnsi"/>
              </w:rPr>
            </w:pPr>
          </w:p>
        </w:tc>
      </w:tr>
      <w:tr w:rsidR="00772037" w:rsidRPr="00772037" w14:paraId="11C8E523" w14:textId="77777777" w:rsidTr="00772037">
        <w:trPr>
          <w:trHeight w:val="526"/>
          <w:tblHeader/>
        </w:trPr>
        <w:tc>
          <w:tcPr>
            <w:tcW w:w="8789" w:type="dxa"/>
            <w:gridSpan w:val="5"/>
            <w:shd w:val="clear" w:color="auto" w:fill="F2F2F2" w:themeFill="background1" w:themeFillShade="F2"/>
            <w:vAlign w:val="center"/>
          </w:tcPr>
          <w:p w14:paraId="59C9121E" w14:textId="77777777" w:rsidR="00772037" w:rsidRPr="00772037" w:rsidRDefault="00772037" w:rsidP="00316349">
            <w:pPr>
              <w:spacing w:after="120"/>
              <w:rPr>
                <w:rFonts w:asciiTheme="majorHAnsi" w:hAnsiTheme="majorHAnsi" w:cstheme="majorHAnsi"/>
                <w:b/>
                <w:bCs/>
              </w:rPr>
            </w:pPr>
            <w:r w:rsidRPr="00772037">
              <w:rPr>
                <w:rFonts w:asciiTheme="majorHAnsi" w:hAnsiTheme="majorHAnsi" w:cstheme="majorHAnsi"/>
                <w:b/>
                <w:bCs/>
              </w:rPr>
              <w:t>5. Arquitectura y capacidades de género</w:t>
            </w:r>
          </w:p>
        </w:tc>
      </w:tr>
      <w:tr w:rsidR="00772037" w:rsidRPr="00772037" w14:paraId="6B73C1A5" w14:textId="77777777" w:rsidTr="00772037">
        <w:trPr>
          <w:trHeight w:val="254"/>
          <w:tblHeader/>
        </w:trPr>
        <w:tc>
          <w:tcPr>
            <w:tcW w:w="3516" w:type="dxa"/>
            <w:shd w:val="clear" w:color="auto" w:fill="auto"/>
          </w:tcPr>
          <w:p w14:paraId="630B3A31"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 xml:space="preserve">5.1. Mecanismos de coordinación </w:t>
            </w:r>
          </w:p>
        </w:tc>
        <w:tc>
          <w:tcPr>
            <w:tcW w:w="1304" w:type="dxa"/>
            <w:shd w:val="clear" w:color="auto" w:fill="auto"/>
          </w:tcPr>
          <w:p w14:paraId="40C458C5" w14:textId="77777777" w:rsidR="00772037" w:rsidRPr="00772037" w:rsidRDefault="00772037" w:rsidP="00316349">
            <w:pPr>
              <w:spacing w:after="120"/>
              <w:rPr>
                <w:rFonts w:asciiTheme="majorHAnsi" w:hAnsiTheme="majorHAnsi" w:cstheme="majorHAnsi"/>
              </w:rPr>
            </w:pPr>
          </w:p>
        </w:tc>
        <w:tc>
          <w:tcPr>
            <w:tcW w:w="1417" w:type="dxa"/>
            <w:shd w:val="clear" w:color="auto" w:fill="FFC000"/>
          </w:tcPr>
          <w:p w14:paraId="478E57C8"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3ACA61CF"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011706FD" w14:textId="77777777" w:rsidR="00772037" w:rsidRPr="00772037" w:rsidRDefault="00772037" w:rsidP="00316349">
            <w:pPr>
              <w:spacing w:after="120"/>
              <w:rPr>
                <w:rFonts w:asciiTheme="majorHAnsi" w:hAnsiTheme="majorHAnsi" w:cstheme="majorHAnsi"/>
              </w:rPr>
            </w:pPr>
          </w:p>
        </w:tc>
      </w:tr>
      <w:tr w:rsidR="00772037" w:rsidRPr="00772037" w14:paraId="4A0966AA" w14:textId="77777777" w:rsidTr="00772037">
        <w:trPr>
          <w:trHeight w:val="244"/>
          <w:tblHeader/>
        </w:trPr>
        <w:tc>
          <w:tcPr>
            <w:tcW w:w="3516" w:type="dxa"/>
            <w:shd w:val="clear" w:color="auto" w:fill="auto"/>
          </w:tcPr>
          <w:p w14:paraId="52D8B773"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 xml:space="preserve">5.1. Capacidades </w:t>
            </w:r>
          </w:p>
        </w:tc>
        <w:tc>
          <w:tcPr>
            <w:tcW w:w="1304" w:type="dxa"/>
            <w:shd w:val="clear" w:color="auto" w:fill="FF0000"/>
          </w:tcPr>
          <w:p w14:paraId="5F029A5B" w14:textId="77777777" w:rsidR="00772037" w:rsidRPr="00772037" w:rsidRDefault="00772037" w:rsidP="00316349">
            <w:pPr>
              <w:spacing w:after="120"/>
              <w:rPr>
                <w:rFonts w:asciiTheme="majorHAnsi" w:hAnsiTheme="majorHAnsi" w:cstheme="majorHAnsi"/>
              </w:rPr>
            </w:pPr>
          </w:p>
        </w:tc>
        <w:tc>
          <w:tcPr>
            <w:tcW w:w="1417" w:type="dxa"/>
            <w:shd w:val="clear" w:color="auto" w:fill="auto"/>
          </w:tcPr>
          <w:p w14:paraId="01E87E43"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4F4084B7"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7930390B" w14:textId="77777777" w:rsidR="00772037" w:rsidRPr="00772037" w:rsidRDefault="00772037" w:rsidP="00316349">
            <w:pPr>
              <w:spacing w:after="120"/>
              <w:rPr>
                <w:rFonts w:asciiTheme="majorHAnsi" w:hAnsiTheme="majorHAnsi" w:cstheme="majorHAnsi"/>
              </w:rPr>
            </w:pPr>
          </w:p>
        </w:tc>
      </w:tr>
      <w:tr w:rsidR="00772037" w:rsidRPr="00772037" w14:paraId="51A41830" w14:textId="77777777" w:rsidTr="00772037">
        <w:trPr>
          <w:trHeight w:val="602"/>
          <w:tblHeader/>
        </w:trPr>
        <w:tc>
          <w:tcPr>
            <w:tcW w:w="8789" w:type="dxa"/>
            <w:gridSpan w:val="5"/>
            <w:shd w:val="clear" w:color="auto" w:fill="F2F2F2" w:themeFill="background1" w:themeFillShade="F2"/>
            <w:vAlign w:val="center"/>
          </w:tcPr>
          <w:p w14:paraId="65B45169" w14:textId="77777777" w:rsidR="00772037" w:rsidRPr="00772037" w:rsidRDefault="00772037" w:rsidP="00316349">
            <w:pPr>
              <w:spacing w:after="120"/>
              <w:rPr>
                <w:rFonts w:asciiTheme="majorHAnsi" w:hAnsiTheme="majorHAnsi" w:cstheme="majorHAnsi"/>
                <w:b/>
                <w:bCs/>
              </w:rPr>
            </w:pPr>
            <w:r w:rsidRPr="00772037">
              <w:rPr>
                <w:rFonts w:asciiTheme="majorHAnsi" w:hAnsiTheme="majorHAnsi" w:cstheme="majorHAnsi"/>
                <w:b/>
                <w:bCs/>
              </w:rPr>
              <w:t>6. Recursos financieros</w:t>
            </w:r>
          </w:p>
        </w:tc>
      </w:tr>
      <w:tr w:rsidR="00772037" w:rsidRPr="00772037" w14:paraId="54263E4F" w14:textId="77777777" w:rsidTr="00772037">
        <w:trPr>
          <w:trHeight w:val="298"/>
          <w:tblHeader/>
        </w:trPr>
        <w:tc>
          <w:tcPr>
            <w:tcW w:w="3516" w:type="dxa"/>
            <w:shd w:val="clear" w:color="auto" w:fill="auto"/>
          </w:tcPr>
          <w:p w14:paraId="1F40CA9F"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6.1. Recursos para la Igualdad de Género</w:t>
            </w:r>
          </w:p>
        </w:tc>
        <w:tc>
          <w:tcPr>
            <w:tcW w:w="1304" w:type="dxa"/>
            <w:shd w:val="clear" w:color="auto" w:fill="FF0000"/>
          </w:tcPr>
          <w:p w14:paraId="13A9FFCB" w14:textId="77777777" w:rsidR="00772037" w:rsidRPr="00772037" w:rsidRDefault="00772037" w:rsidP="00316349">
            <w:pPr>
              <w:spacing w:after="120"/>
              <w:rPr>
                <w:rFonts w:asciiTheme="majorHAnsi" w:hAnsiTheme="majorHAnsi" w:cstheme="majorHAnsi"/>
              </w:rPr>
            </w:pPr>
          </w:p>
        </w:tc>
        <w:tc>
          <w:tcPr>
            <w:tcW w:w="1417" w:type="dxa"/>
            <w:shd w:val="clear" w:color="auto" w:fill="auto"/>
          </w:tcPr>
          <w:p w14:paraId="7BC6D3E7"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15BC37DC"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70B7BEF9" w14:textId="77777777" w:rsidR="00772037" w:rsidRPr="00772037" w:rsidRDefault="00772037" w:rsidP="00316349">
            <w:pPr>
              <w:spacing w:after="120"/>
              <w:rPr>
                <w:rFonts w:asciiTheme="majorHAnsi" w:hAnsiTheme="majorHAnsi" w:cstheme="majorHAnsi"/>
              </w:rPr>
            </w:pPr>
          </w:p>
        </w:tc>
      </w:tr>
      <w:tr w:rsidR="00772037" w:rsidRPr="00772037" w14:paraId="2BA1ADD8" w14:textId="77777777" w:rsidTr="00772037">
        <w:trPr>
          <w:trHeight w:val="513"/>
          <w:tblHeader/>
        </w:trPr>
        <w:tc>
          <w:tcPr>
            <w:tcW w:w="8789" w:type="dxa"/>
            <w:gridSpan w:val="5"/>
            <w:shd w:val="clear" w:color="auto" w:fill="F2F2F2" w:themeFill="background1" w:themeFillShade="F2"/>
            <w:vAlign w:val="center"/>
          </w:tcPr>
          <w:p w14:paraId="5A312D3F" w14:textId="77777777" w:rsidR="00772037" w:rsidRPr="00772037" w:rsidRDefault="00772037" w:rsidP="00316349">
            <w:pPr>
              <w:spacing w:after="120"/>
              <w:rPr>
                <w:rFonts w:asciiTheme="majorHAnsi" w:hAnsiTheme="majorHAnsi" w:cstheme="majorHAnsi"/>
                <w:b/>
                <w:bCs/>
              </w:rPr>
            </w:pPr>
            <w:r w:rsidRPr="00772037">
              <w:rPr>
                <w:rFonts w:asciiTheme="majorHAnsi" w:hAnsiTheme="majorHAnsi" w:cstheme="majorHAnsi"/>
                <w:b/>
                <w:bCs/>
              </w:rPr>
              <w:t>7. Resultados</w:t>
            </w:r>
          </w:p>
        </w:tc>
      </w:tr>
      <w:tr w:rsidR="00772037" w:rsidRPr="00772037" w14:paraId="73367A42" w14:textId="77777777" w:rsidTr="00772037">
        <w:trPr>
          <w:trHeight w:val="296"/>
          <w:tblHeader/>
        </w:trPr>
        <w:tc>
          <w:tcPr>
            <w:tcW w:w="3516" w:type="dxa"/>
            <w:shd w:val="clear" w:color="auto" w:fill="auto"/>
          </w:tcPr>
          <w:p w14:paraId="7496F6C8" w14:textId="77777777" w:rsidR="00772037" w:rsidRPr="00772037" w:rsidRDefault="00772037" w:rsidP="00316349">
            <w:pPr>
              <w:spacing w:after="120"/>
              <w:rPr>
                <w:rFonts w:asciiTheme="majorHAnsi" w:hAnsiTheme="majorHAnsi" w:cstheme="majorHAnsi"/>
              </w:rPr>
            </w:pPr>
            <w:r w:rsidRPr="00772037">
              <w:rPr>
                <w:rFonts w:asciiTheme="majorHAnsi" w:hAnsiTheme="majorHAnsi" w:cstheme="majorHAnsi"/>
              </w:rPr>
              <w:t>7.1. Resultados para la igualdad de género</w:t>
            </w:r>
          </w:p>
        </w:tc>
        <w:tc>
          <w:tcPr>
            <w:tcW w:w="1304" w:type="dxa"/>
            <w:shd w:val="clear" w:color="auto" w:fill="FFFFFF" w:themeFill="background1"/>
          </w:tcPr>
          <w:p w14:paraId="5E864327" w14:textId="77777777" w:rsidR="00772037" w:rsidRPr="00772037" w:rsidRDefault="00772037" w:rsidP="00316349">
            <w:pPr>
              <w:spacing w:after="120"/>
              <w:rPr>
                <w:rFonts w:asciiTheme="majorHAnsi" w:hAnsiTheme="majorHAnsi" w:cstheme="majorHAnsi"/>
              </w:rPr>
            </w:pPr>
          </w:p>
        </w:tc>
        <w:tc>
          <w:tcPr>
            <w:tcW w:w="1417" w:type="dxa"/>
            <w:shd w:val="clear" w:color="auto" w:fill="FFC000"/>
          </w:tcPr>
          <w:p w14:paraId="5FCB099B"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0B3C625E" w14:textId="77777777" w:rsidR="00772037" w:rsidRPr="00772037" w:rsidRDefault="00772037" w:rsidP="00316349">
            <w:pPr>
              <w:spacing w:after="120"/>
              <w:rPr>
                <w:rFonts w:asciiTheme="majorHAnsi" w:hAnsiTheme="majorHAnsi" w:cstheme="majorHAnsi"/>
              </w:rPr>
            </w:pPr>
          </w:p>
        </w:tc>
        <w:tc>
          <w:tcPr>
            <w:tcW w:w="1276" w:type="dxa"/>
            <w:shd w:val="clear" w:color="auto" w:fill="auto"/>
          </w:tcPr>
          <w:p w14:paraId="26966892" w14:textId="77777777" w:rsidR="00772037" w:rsidRPr="00772037" w:rsidRDefault="00772037" w:rsidP="00316349">
            <w:pPr>
              <w:spacing w:after="120"/>
              <w:rPr>
                <w:rFonts w:asciiTheme="majorHAnsi" w:hAnsiTheme="majorHAnsi" w:cstheme="majorHAnsi"/>
              </w:rPr>
            </w:pPr>
          </w:p>
        </w:tc>
      </w:tr>
      <w:tr w:rsidR="00772037" w:rsidRPr="00772037" w14:paraId="3DB025D3" w14:textId="77777777" w:rsidTr="00772037">
        <w:trPr>
          <w:trHeight w:val="269"/>
          <w:tblHeader/>
        </w:trPr>
        <w:tc>
          <w:tcPr>
            <w:tcW w:w="3516" w:type="dxa"/>
            <w:shd w:val="clear" w:color="auto" w:fill="F2F2F2" w:themeFill="background1" w:themeFillShade="F2"/>
          </w:tcPr>
          <w:p w14:paraId="0BFD3249" w14:textId="77777777" w:rsidR="00772037" w:rsidRPr="00772037" w:rsidRDefault="00772037" w:rsidP="00316349">
            <w:pPr>
              <w:spacing w:after="120"/>
              <w:jc w:val="center"/>
              <w:rPr>
                <w:rFonts w:asciiTheme="majorHAnsi" w:hAnsiTheme="majorHAnsi" w:cstheme="majorHAnsi"/>
                <w:b/>
                <w:bCs/>
              </w:rPr>
            </w:pPr>
            <w:r w:rsidRPr="00772037">
              <w:rPr>
                <w:rFonts w:asciiTheme="majorHAnsi" w:hAnsiTheme="majorHAnsi" w:cstheme="majorHAnsi"/>
                <w:b/>
                <w:bCs/>
              </w:rPr>
              <w:t>TOTAL</w:t>
            </w:r>
          </w:p>
        </w:tc>
        <w:tc>
          <w:tcPr>
            <w:tcW w:w="1304" w:type="dxa"/>
            <w:shd w:val="clear" w:color="auto" w:fill="F2F2F2" w:themeFill="background1" w:themeFillShade="F2"/>
          </w:tcPr>
          <w:p w14:paraId="0B7EDB30" w14:textId="77777777" w:rsidR="00772037" w:rsidRPr="00772037" w:rsidRDefault="00772037" w:rsidP="00316349">
            <w:pPr>
              <w:spacing w:after="120"/>
              <w:jc w:val="center"/>
              <w:rPr>
                <w:rFonts w:asciiTheme="majorHAnsi" w:hAnsiTheme="majorHAnsi" w:cstheme="majorHAnsi"/>
                <w:b/>
                <w:bCs/>
              </w:rPr>
            </w:pPr>
            <w:r w:rsidRPr="00772037">
              <w:rPr>
                <w:rFonts w:asciiTheme="majorHAnsi" w:hAnsiTheme="majorHAnsi" w:cstheme="majorHAnsi"/>
                <w:b/>
                <w:bCs/>
              </w:rPr>
              <w:t>4</w:t>
            </w:r>
          </w:p>
        </w:tc>
        <w:tc>
          <w:tcPr>
            <w:tcW w:w="1417" w:type="dxa"/>
            <w:shd w:val="clear" w:color="auto" w:fill="F2F2F2" w:themeFill="background1" w:themeFillShade="F2"/>
          </w:tcPr>
          <w:p w14:paraId="1CAB6A8D" w14:textId="77777777" w:rsidR="00772037" w:rsidRPr="00772037" w:rsidRDefault="00772037" w:rsidP="00316349">
            <w:pPr>
              <w:spacing w:after="120"/>
              <w:jc w:val="center"/>
              <w:rPr>
                <w:rFonts w:asciiTheme="majorHAnsi" w:hAnsiTheme="majorHAnsi" w:cstheme="majorHAnsi"/>
                <w:b/>
                <w:bCs/>
              </w:rPr>
            </w:pPr>
            <w:r w:rsidRPr="00772037">
              <w:rPr>
                <w:rFonts w:asciiTheme="majorHAnsi" w:hAnsiTheme="majorHAnsi" w:cstheme="majorHAnsi"/>
                <w:b/>
                <w:bCs/>
              </w:rPr>
              <w:t>7</w:t>
            </w:r>
          </w:p>
        </w:tc>
        <w:tc>
          <w:tcPr>
            <w:tcW w:w="1276" w:type="dxa"/>
            <w:shd w:val="clear" w:color="auto" w:fill="F2F2F2" w:themeFill="background1" w:themeFillShade="F2"/>
          </w:tcPr>
          <w:p w14:paraId="772359D8" w14:textId="77777777" w:rsidR="00772037" w:rsidRPr="00772037" w:rsidRDefault="00772037" w:rsidP="00316349">
            <w:pPr>
              <w:spacing w:after="120"/>
              <w:jc w:val="center"/>
              <w:rPr>
                <w:rFonts w:asciiTheme="majorHAnsi" w:hAnsiTheme="majorHAnsi" w:cstheme="majorHAnsi"/>
                <w:b/>
                <w:bCs/>
              </w:rPr>
            </w:pPr>
            <w:r w:rsidRPr="00772037">
              <w:rPr>
                <w:rFonts w:asciiTheme="majorHAnsi" w:hAnsiTheme="majorHAnsi" w:cstheme="majorHAnsi"/>
                <w:b/>
                <w:bCs/>
              </w:rPr>
              <w:t>3</w:t>
            </w:r>
          </w:p>
        </w:tc>
        <w:tc>
          <w:tcPr>
            <w:tcW w:w="1276" w:type="dxa"/>
            <w:shd w:val="clear" w:color="auto" w:fill="F2F2F2" w:themeFill="background1" w:themeFillShade="F2"/>
          </w:tcPr>
          <w:p w14:paraId="223A9D45" w14:textId="77777777" w:rsidR="00772037" w:rsidRPr="00772037" w:rsidRDefault="00772037" w:rsidP="00316349">
            <w:pPr>
              <w:spacing w:after="120"/>
              <w:jc w:val="center"/>
              <w:rPr>
                <w:rFonts w:asciiTheme="majorHAnsi" w:hAnsiTheme="majorHAnsi" w:cstheme="majorHAnsi"/>
                <w:b/>
                <w:bCs/>
              </w:rPr>
            </w:pPr>
            <w:r w:rsidRPr="00772037">
              <w:rPr>
                <w:rFonts w:asciiTheme="majorHAnsi" w:hAnsiTheme="majorHAnsi" w:cstheme="majorHAnsi"/>
                <w:b/>
                <w:bCs/>
              </w:rPr>
              <w:t>1</w:t>
            </w:r>
          </w:p>
        </w:tc>
      </w:tr>
    </w:tbl>
    <w:p w14:paraId="29A7ED9D" w14:textId="77777777" w:rsidR="00772037" w:rsidRPr="00772037" w:rsidRDefault="00772037" w:rsidP="00772037">
      <w:pPr>
        <w:spacing w:after="120"/>
        <w:jc w:val="center"/>
        <w:rPr>
          <w:rFonts w:asciiTheme="majorHAnsi" w:hAnsiTheme="majorHAnsi" w:cstheme="majorHAnsi"/>
        </w:rPr>
      </w:pPr>
    </w:p>
    <w:p w14:paraId="2D47799C" w14:textId="77777777" w:rsidR="00A94EB7" w:rsidRDefault="00A94EB7" w:rsidP="00772037">
      <w:pPr>
        <w:spacing w:after="120"/>
        <w:jc w:val="both"/>
        <w:rPr>
          <w:rFonts w:asciiTheme="majorHAnsi" w:hAnsiTheme="majorHAnsi" w:cstheme="majorHAnsi"/>
          <w:color w:val="000000" w:themeColor="text1"/>
          <w:bdr w:val="nil"/>
          <w:lang w:val="es-ES"/>
        </w:rPr>
      </w:pPr>
    </w:p>
    <w:p w14:paraId="693136D3" w14:textId="7C3F8E6A" w:rsidR="00772037" w:rsidRDefault="00772037" w:rsidP="00772037">
      <w:pPr>
        <w:spacing w:after="120"/>
        <w:jc w:val="both"/>
        <w:rPr>
          <w:rFonts w:asciiTheme="majorHAnsi" w:hAnsiTheme="majorHAnsi" w:cstheme="majorHAnsi"/>
          <w:bdr w:val="nil"/>
        </w:rPr>
      </w:pPr>
      <w:r w:rsidRPr="00772037">
        <w:rPr>
          <w:rFonts w:asciiTheme="majorHAnsi" w:hAnsiTheme="majorHAnsi" w:cstheme="majorHAnsi"/>
          <w:color w:val="000000" w:themeColor="text1"/>
          <w:bdr w:val="nil"/>
          <w:lang w:val="es-ES"/>
        </w:rPr>
        <w:lastRenderedPageBreak/>
        <w:t xml:space="preserve">Con base en </w:t>
      </w:r>
      <w:r>
        <w:rPr>
          <w:rFonts w:asciiTheme="majorHAnsi" w:hAnsiTheme="majorHAnsi" w:cstheme="majorHAnsi"/>
          <w:color w:val="000000" w:themeColor="text1"/>
          <w:bdr w:val="nil"/>
          <w:lang w:val="es-ES"/>
        </w:rPr>
        <w:t>lo anterior</w:t>
      </w:r>
      <w:r w:rsidRPr="00772037">
        <w:rPr>
          <w:rFonts w:asciiTheme="majorHAnsi" w:hAnsiTheme="majorHAnsi" w:cstheme="majorHAnsi"/>
          <w:color w:val="000000" w:themeColor="text1"/>
          <w:bdr w:val="nil"/>
          <w:lang w:val="es-ES"/>
        </w:rPr>
        <w:t xml:space="preserve">, el Grupo Interagencial </w:t>
      </w:r>
      <w:r w:rsidR="00A80645">
        <w:rPr>
          <w:rFonts w:asciiTheme="majorHAnsi" w:hAnsiTheme="majorHAnsi" w:cstheme="majorHAnsi"/>
          <w:color w:val="000000" w:themeColor="text1"/>
          <w:bdr w:val="nil"/>
          <w:lang w:val="es-ES"/>
        </w:rPr>
        <w:t>Multidi</w:t>
      </w:r>
      <w:r w:rsidRPr="00772037">
        <w:rPr>
          <w:rFonts w:asciiTheme="majorHAnsi" w:hAnsiTheme="majorHAnsi" w:cstheme="majorHAnsi"/>
          <w:color w:val="000000" w:themeColor="text1"/>
          <w:bdr w:val="nil"/>
          <w:lang w:val="es-ES"/>
        </w:rPr>
        <w:t>sciplinario (GIM) valoró el estatus de las siete dimensiones e identificó 38 acciones para conformar el Plan de Acción</w:t>
      </w:r>
      <w:r w:rsidR="00A80645">
        <w:rPr>
          <w:rFonts w:asciiTheme="majorHAnsi" w:hAnsiTheme="majorHAnsi" w:cstheme="majorHAnsi"/>
          <w:color w:val="000000" w:themeColor="text1"/>
          <w:bdr w:val="nil"/>
          <w:lang w:val="es-ES"/>
        </w:rPr>
        <w:t>,</w:t>
      </w:r>
      <w:r w:rsidRPr="00772037">
        <w:rPr>
          <w:rFonts w:asciiTheme="majorHAnsi" w:hAnsiTheme="majorHAnsi" w:cstheme="majorHAnsi"/>
          <w:color w:val="000000" w:themeColor="text1"/>
          <w:bdr w:val="nil"/>
          <w:lang w:val="es-ES"/>
        </w:rPr>
        <w:t xml:space="preserve"> con miras a promover una mejor comprensión y titularidad de los resultados. </w:t>
      </w:r>
      <w:r>
        <w:rPr>
          <w:rFonts w:asciiTheme="majorHAnsi" w:hAnsiTheme="majorHAnsi" w:cstheme="majorHAnsi"/>
          <w:color w:val="000000" w:themeColor="text1"/>
          <w:bdr w:val="nil"/>
          <w:lang w:val="es-ES"/>
        </w:rPr>
        <w:t xml:space="preserve"> No obstante, a</w:t>
      </w:r>
      <w:r w:rsidRPr="00772037">
        <w:rPr>
          <w:rFonts w:asciiTheme="majorHAnsi" w:hAnsiTheme="majorHAnsi" w:cstheme="majorHAnsi"/>
          <w:lang w:val="es-ES"/>
        </w:rPr>
        <w:t xml:space="preserve"> dos años de  la implementación del </w:t>
      </w:r>
      <w:r w:rsidRPr="001178DB">
        <w:rPr>
          <w:rFonts w:asciiTheme="majorHAnsi" w:hAnsiTheme="majorHAnsi" w:cstheme="majorHAnsi"/>
          <w:lang w:val="es-ES"/>
        </w:rPr>
        <w:t>UNCT-SWAP</w:t>
      </w:r>
      <w:r w:rsidRPr="00772037">
        <w:rPr>
          <w:rFonts w:asciiTheme="majorHAnsi" w:hAnsiTheme="majorHAnsi" w:cstheme="majorHAnsi"/>
          <w:lang w:val="es-ES"/>
        </w:rPr>
        <w:t>,  y a un año de la firma del Marco de Cooperación de las Naciones Unidas para el Desarrollo Sostenible 2020-2025 de México (</w:t>
      </w:r>
      <w:r w:rsidR="00A80645">
        <w:rPr>
          <w:rFonts w:asciiTheme="majorHAnsi" w:hAnsiTheme="majorHAnsi" w:cstheme="majorHAnsi"/>
          <w:lang w:val="es-ES"/>
        </w:rPr>
        <w:t>en adelante, Marco de Cooperación</w:t>
      </w:r>
      <w:r w:rsidRPr="00772037">
        <w:rPr>
          <w:rFonts w:asciiTheme="majorHAnsi" w:hAnsiTheme="majorHAnsi" w:cstheme="majorHAnsi"/>
          <w:lang w:val="es-ES"/>
        </w:rPr>
        <w:t xml:space="preserve">), se observan retos importantes en el cumplimiento del Plan de Acción y en </w:t>
      </w:r>
      <w:r w:rsidRPr="00772037">
        <w:rPr>
          <w:rFonts w:asciiTheme="majorHAnsi" w:hAnsiTheme="majorHAnsi" w:cstheme="majorHAnsi"/>
          <w:bdr w:val="nil"/>
          <w:lang w:val="es-ES_tradnl"/>
        </w:rPr>
        <w:t xml:space="preserve">la transversalización de la igualdad de género en </w:t>
      </w:r>
      <w:r w:rsidRPr="00772037">
        <w:rPr>
          <w:rFonts w:asciiTheme="majorHAnsi" w:hAnsiTheme="majorHAnsi" w:cstheme="majorHAnsi"/>
          <w:bdr w:val="nil"/>
        </w:rPr>
        <w:t xml:space="preserve">diversas áreas de desempeño. </w:t>
      </w:r>
    </w:p>
    <w:p w14:paraId="2AF0B26F" w14:textId="77777777" w:rsidR="00A80645" w:rsidRDefault="00772037" w:rsidP="00772037">
      <w:pPr>
        <w:spacing w:after="120"/>
        <w:jc w:val="both"/>
        <w:rPr>
          <w:rFonts w:asciiTheme="majorHAnsi" w:hAnsiTheme="majorHAnsi" w:cstheme="majorHAnsi"/>
          <w:bdr w:val="nil"/>
        </w:rPr>
      </w:pPr>
      <w:r w:rsidRPr="00772037">
        <w:rPr>
          <w:rFonts w:asciiTheme="majorHAnsi" w:hAnsiTheme="majorHAnsi" w:cstheme="majorHAnsi"/>
          <w:bdr w:val="nil"/>
        </w:rPr>
        <w:t xml:space="preserve">Por ello, </w:t>
      </w:r>
      <w:r>
        <w:rPr>
          <w:rFonts w:asciiTheme="majorHAnsi" w:hAnsiTheme="majorHAnsi" w:cstheme="majorHAnsi"/>
          <w:lang w:val="es-ES"/>
        </w:rPr>
        <w:t>la OCR y ONU Mujeres</w:t>
      </w:r>
      <w:r w:rsidRPr="00772037">
        <w:rPr>
          <w:rFonts w:asciiTheme="majorHAnsi" w:hAnsiTheme="majorHAnsi" w:cstheme="majorHAnsi"/>
          <w:lang w:val="es-ES"/>
        </w:rPr>
        <w:t xml:space="preserve"> </w:t>
      </w:r>
      <w:r>
        <w:rPr>
          <w:rFonts w:asciiTheme="majorHAnsi" w:hAnsiTheme="majorHAnsi" w:cstheme="majorHAnsi"/>
          <w:lang w:val="es-ES"/>
        </w:rPr>
        <w:t>consideraron</w:t>
      </w:r>
      <w:r w:rsidRPr="00772037">
        <w:rPr>
          <w:rFonts w:asciiTheme="majorHAnsi" w:hAnsiTheme="majorHAnsi" w:cstheme="majorHAnsi"/>
          <w:lang w:val="es-ES"/>
        </w:rPr>
        <w:t xml:space="preserve"> necesario </w:t>
      </w:r>
      <w:r>
        <w:rPr>
          <w:rFonts w:asciiTheme="majorHAnsi" w:hAnsiTheme="majorHAnsi" w:cstheme="majorHAnsi"/>
          <w:lang w:val="es-ES"/>
        </w:rPr>
        <w:t xml:space="preserve">contratar una consultoría para </w:t>
      </w:r>
      <w:r w:rsidRPr="00772037">
        <w:rPr>
          <w:rFonts w:asciiTheme="majorHAnsi" w:hAnsiTheme="majorHAnsi" w:cstheme="majorHAnsi"/>
          <w:lang w:val="es-ES"/>
        </w:rPr>
        <w:t>realizar una Revisión de Medio Término</w:t>
      </w:r>
      <w:r w:rsidR="001178DB">
        <w:rPr>
          <w:rFonts w:asciiTheme="majorHAnsi" w:hAnsiTheme="majorHAnsi" w:cstheme="majorHAnsi"/>
          <w:lang w:val="es-ES"/>
        </w:rPr>
        <w:t xml:space="preserve"> (RMT)</w:t>
      </w:r>
      <w:r>
        <w:rPr>
          <w:rFonts w:asciiTheme="majorHAnsi" w:hAnsiTheme="majorHAnsi" w:cstheme="majorHAnsi"/>
          <w:lang w:val="es-ES"/>
        </w:rPr>
        <w:t xml:space="preserve">, cuyos insumos </w:t>
      </w:r>
      <w:r>
        <w:rPr>
          <w:rFonts w:asciiTheme="majorHAnsi" w:hAnsiTheme="majorHAnsi" w:cstheme="majorHAnsi"/>
          <w:bdr w:val="nil"/>
        </w:rPr>
        <w:t xml:space="preserve">permitirán valorar </w:t>
      </w:r>
      <w:r w:rsidRPr="00772037">
        <w:rPr>
          <w:rFonts w:asciiTheme="majorHAnsi" w:hAnsiTheme="majorHAnsi" w:cstheme="majorHAnsi"/>
          <w:bdr w:val="nil"/>
        </w:rPr>
        <w:t>la efectividad del Equipo de País para promover la IGEM conforme a lo establecido en el Plan de Acción</w:t>
      </w:r>
      <w:r w:rsidR="00A80645">
        <w:rPr>
          <w:rFonts w:asciiTheme="majorHAnsi" w:hAnsiTheme="majorHAnsi" w:cstheme="majorHAnsi"/>
          <w:bdr w:val="nil"/>
        </w:rPr>
        <w:t>,</w:t>
      </w:r>
      <w:r>
        <w:rPr>
          <w:rFonts w:asciiTheme="majorHAnsi" w:hAnsiTheme="majorHAnsi" w:cstheme="majorHAnsi"/>
          <w:bdr w:val="nil"/>
        </w:rPr>
        <w:t xml:space="preserve"> así como </w:t>
      </w:r>
      <w:r w:rsidRPr="00772037">
        <w:rPr>
          <w:rFonts w:asciiTheme="majorHAnsi" w:hAnsiTheme="majorHAnsi" w:cstheme="majorHAnsi"/>
          <w:bdr w:val="nil"/>
        </w:rPr>
        <w:t>reportar los avances registrados entre 2019 y 2021 a las Sedes de la Oficina de Coordinación para el Desarrollo (DCO, por sus siglas en inglés) y de la Entidad de la ONU para la Igualdad de Género y el Empoderamiento de la Mujer (ONU Mujeres).</w:t>
      </w:r>
      <w:r>
        <w:rPr>
          <w:rFonts w:asciiTheme="majorHAnsi" w:hAnsiTheme="majorHAnsi" w:cstheme="majorHAnsi"/>
          <w:bdr w:val="nil"/>
        </w:rPr>
        <w:t xml:space="preserve">  </w:t>
      </w:r>
    </w:p>
    <w:p w14:paraId="0FD0FD47" w14:textId="18FA873E" w:rsidR="00772037" w:rsidRPr="001178DB" w:rsidRDefault="00772037" w:rsidP="00772037">
      <w:pPr>
        <w:spacing w:after="120"/>
        <w:jc w:val="both"/>
        <w:rPr>
          <w:rFonts w:asciiTheme="majorHAnsi" w:hAnsiTheme="majorHAnsi" w:cstheme="majorHAnsi"/>
        </w:rPr>
      </w:pPr>
      <w:r>
        <w:rPr>
          <w:rFonts w:asciiTheme="majorHAnsi" w:hAnsiTheme="majorHAnsi" w:cstheme="majorHAnsi"/>
          <w:lang w:val="es-ES"/>
        </w:rPr>
        <w:t>Este documento</w:t>
      </w:r>
      <w:r w:rsidRPr="00772037">
        <w:rPr>
          <w:rFonts w:asciiTheme="majorHAnsi" w:hAnsiTheme="majorHAnsi" w:cstheme="majorHAnsi"/>
          <w:lang w:val="es-ES"/>
        </w:rPr>
        <w:t xml:space="preserve"> </w:t>
      </w:r>
      <w:r>
        <w:rPr>
          <w:rFonts w:asciiTheme="majorHAnsi" w:hAnsiTheme="majorHAnsi" w:cstheme="majorHAnsi"/>
          <w:lang w:val="es-ES"/>
        </w:rPr>
        <w:t xml:space="preserve">presenta </w:t>
      </w:r>
      <w:r w:rsidR="00377C3D">
        <w:rPr>
          <w:rFonts w:asciiTheme="majorHAnsi" w:hAnsiTheme="majorHAnsi" w:cstheme="majorHAnsi"/>
          <w:lang w:val="es-ES"/>
        </w:rPr>
        <w:t xml:space="preserve">el </w:t>
      </w:r>
      <w:r w:rsidR="00A80645">
        <w:rPr>
          <w:rFonts w:asciiTheme="majorHAnsi" w:hAnsiTheme="majorHAnsi" w:cstheme="majorHAnsi"/>
          <w:lang w:val="es-ES"/>
        </w:rPr>
        <w:t>I</w:t>
      </w:r>
      <w:r w:rsidR="00377C3D">
        <w:rPr>
          <w:rFonts w:asciiTheme="majorHAnsi" w:hAnsiTheme="majorHAnsi" w:cstheme="majorHAnsi"/>
          <w:lang w:val="es-ES"/>
        </w:rPr>
        <w:t xml:space="preserve">nforme preliminar de la </w:t>
      </w:r>
      <w:r>
        <w:rPr>
          <w:rFonts w:asciiTheme="majorHAnsi" w:hAnsiTheme="majorHAnsi" w:cstheme="majorHAnsi"/>
          <w:lang w:val="es-ES"/>
        </w:rPr>
        <w:t xml:space="preserve"> RMT</w:t>
      </w:r>
      <w:r w:rsidR="00377C3D">
        <w:rPr>
          <w:rFonts w:asciiTheme="majorHAnsi" w:hAnsiTheme="majorHAnsi" w:cstheme="majorHAnsi"/>
          <w:lang w:val="es-ES"/>
        </w:rPr>
        <w:t xml:space="preserve">, el cual se </w:t>
      </w:r>
      <w:r>
        <w:rPr>
          <w:rFonts w:asciiTheme="majorHAnsi" w:hAnsiTheme="majorHAnsi" w:cstheme="majorHAnsi"/>
          <w:lang w:val="es-ES"/>
        </w:rPr>
        <w:t>acompaña de una serie de anexos que contienen la evidencia y el soporte documental del ejercicio</w:t>
      </w:r>
      <w:r w:rsidR="00377C3D">
        <w:rPr>
          <w:rFonts w:asciiTheme="majorHAnsi" w:hAnsiTheme="majorHAnsi" w:cstheme="majorHAnsi"/>
          <w:lang w:val="es-ES"/>
        </w:rPr>
        <w:t xml:space="preserve">, y es </w:t>
      </w:r>
      <w:r w:rsidR="001178DB">
        <w:rPr>
          <w:rFonts w:asciiTheme="majorHAnsi" w:hAnsiTheme="majorHAnsi" w:cstheme="majorHAnsi"/>
          <w:lang w:val="es-ES"/>
        </w:rPr>
        <w:t>la base del</w:t>
      </w:r>
      <w:r w:rsidR="00377C3D">
        <w:rPr>
          <w:rFonts w:asciiTheme="majorHAnsi" w:hAnsiTheme="majorHAnsi" w:cstheme="majorHAnsi"/>
          <w:lang w:val="es-ES"/>
        </w:rPr>
        <w:t xml:space="preserve"> Reporte Anual de Progreso 2021 de</w:t>
      </w:r>
      <w:r w:rsidR="00A80645">
        <w:rPr>
          <w:rFonts w:asciiTheme="majorHAnsi" w:hAnsiTheme="majorHAnsi" w:cstheme="majorHAnsi"/>
          <w:lang w:val="es-ES"/>
        </w:rPr>
        <w:t>l Equipo de País de</w:t>
      </w:r>
      <w:r w:rsidR="00377C3D">
        <w:rPr>
          <w:rFonts w:asciiTheme="majorHAnsi" w:hAnsiTheme="majorHAnsi" w:cstheme="majorHAnsi"/>
          <w:lang w:val="es-ES"/>
        </w:rPr>
        <w:t xml:space="preserve"> México en la</w:t>
      </w:r>
      <w:r w:rsidR="00A80645">
        <w:rPr>
          <w:rFonts w:asciiTheme="majorHAnsi" w:hAnsiTheme="majorHAnsi" w:cstheme="majorHAnsi"/>
          <w:lang w:val="es-ES"/>
        </w:rPr>
        <w:t>s</w:t>
      </w:r>
      <w:r w:rsidR="00377C3D">
        <w:rPr>
          <w:rFonts w:asciiTheme="majorHAnsi" w:hAnsiTheme="majorHAnsi" w:cstheme="majorHAnsi"/>
          <w:lang w:val="es-ES"/>
        </w:rPr>
        <w:t xml:space="preserve"> plataforma</w:t>
      </w:r>
      <w:r w:rsidR="00A80645">
        <w:rPr>
          <w:rFonts w:asciiTheme="majorHAnsi" w:hAnsiTheme="majorHAnsi" w:cstheme="majorHAnsi"/>
          <w:lang w:val="es-ES"/>
        </w:rPr>
        <w:t>s</w:t>
      </w:r>
      <w:r w:rsidR="00377C3D">
        <w:rPr>
          <w:rFonts w:asciiTheme="majorHAnsi" w:hAnsiTheme="majorHAnsi" w:cstheme="majorHAnsi"/>
          <w:lang w:val="es-ES"/>
        </w:rPr>
        <w:t xml:space="preserve"> del </w:t>
      </w:r>
      <w:r w:rsidR="00377C3D" w:rsidRPr="001178DB">
        <w:rPr>
          <w:rFonts w:asciiTheme="majorHAnsi" w:hAnsiTheme="majorHAnsi" w:cstheme="majorHAnsi"/>
          <w:lang w:val="es-ES"/>
        </w:rPr>
        <w:t>UNCT-SWAP</w:t>
      </w:r>
      <w:r w:rsidR="00377C3D" w:rsidRPr="001178DB">
        <w:rPr>
          <w:rFonts w:asciiTheme="majorHAnsi" w:hAnsiTheme="majorHAnsi" w:cstheme="majorHAnsi"/>
          <w:i/>
          <w:iCs/>
          <w:lang w:val="es-ES"/>
        </w:rPr>
        <w:t xml:space="preserve"> </w:t>
      </w:r>
      <w:r w:rsidR="001178DB">
        <w:rPr>
          <w:rFonts w:asciiTheme="majorHAnsi" w:hAnsiTheme="majorHAnsi" w:cstheme="majorHAnsi"/>
          <w:lang w:val="es-ES"/>
        </w:rPr>
        <w:t xml:space="preserve">y del </w:t>
      </w:r>
      <w:r w:rsidR="001178DB" w:rsidRPr="001178DB">
        <w:rPr>
          <w:rFonts w:asciiTheme="majorHAnsi" w:hAnsiTheme="majorHAnsi" w:cstheme="majorHAnsi"/>
        </w:rPr>
        <w:t>UNDG Information Management System</w:t>
      </w:r>
      <w:r w:rsidR="001178DB">
        <w:rPr>
          <w:rFonts w:asciiTheme="majorHAnsi" w:hAnsiTheme="majorHAnsi" w:cstheme="majorHAnsi"/>
        </w:rPr>
        <w:t xml:space="preserve"> (IMS).</w:t>
      </w:r>
    </w:p>
    <w:p w14:paraId="64130B01" w14:textId="77777777" w:rsidR="00377C3D" w:rsidRPr="001178DB" w:rsidRDefault="00377C3D" w:rsidP="00772037">
      <w:pPr>
        <w:spacing w:after="120"/>
        <w:jc w:val="both"/>
        <w:rPr>
          <w:rFonts w:asciiTheme="majorHAnsi" w:hAnsiTheme="majorHAnsi" w:cstheme="majorHAnsi"/>
        </w:rPr>
      </w:pPr>
    </w:p>
    <w:p w14:paraId="282DC003" w14:textId="0E596941" w:rsidR="00772037" w:rsidRPr="00772037" w:rsidRDefault="00772037" w:rsidP="00772037">
      <w:pPr>
        <w:pStyle w:val="Ttulo1"/>
        <w:spacing w:before="0" w:after="120"/>
        <w:rPr>
          <w:rFonts w:cstheme="majorHAnsi"/>
          <w:color w:val="00B0F0"/>
          <w:sz w:val="22"/>
          <w:szCs w:val="22"/>
        </w:rPr>
      </w:pPr>
      <w:bookmarkStart w:id="4" w:name="_Toc89942356"/>
      <w:r w:rsidRPr="00772037">
        <w:rPr>
          <w:rFonts w:cstheme="majorHAnsi"/>
          <w:color w:val="00B0F0"/>
          <w:sz w:val="22"/>
          <w:szCs w:val="22"/>
        </w:rPr>
        <w:t>II. Metodología</w:t>
      </w:r>
      <w:bookmarkEnd w:id="4"/>
    </w:p>
    <w:p w14:paraId="28ABE47C" w14:textId="256A1499" w:rsidR="00377C3D" w:rsidRPr="001178DB" w:rsidRDefault="00772037" w:rsidP="00772037">
      <w:pPr>
        <w:spacing w:after="120"/>
        <w:jc w:val="both"/>
        <w:rPr>
          <w:rFonts w:asciiTheme="majorHAnsi" w:hAnsiTheme="majorHAnsi" w:cstheme="majorHAnsi"/>
          <w:i/>
          <w:iCs/>
          <w:lang w:val="es-ES_tradnl"/>
        </w:rPr>
      </w:pPr>
      <w:r w:rsidRPr="00772037">
        <w:rPr>
          <w:rFonts w:asciiTheme="majorHAnsi" w:hAnsiTheme="majorHAnsi" w:cstheme="majorHAnsi"/>
          <w:lang w:val="es-ES_tradnl"/>
        </w:rPr>
        <w:t xml:space="preserve">La RMT se implementó bajo el liderazgo </w:t>
      </w:r>
      <w:r>
        <w:rPr>
          <w:rFonts w:asciiTheme="majorHAnsi" w:hAnsiTheme="majorHAnsi" w:cstheme="majorHAnsi"/>
          <w:lang w:val="es-ES_tradnl"/>
        </w:rPr>
        <w:t>de</w:t>
      </w:r>
      <w:r w:rsidRPr="00772037">
        <w:rPr>
          <w:rFonts w:asciiTheme="majorHAnsi" w:hAnsiTheme="majorHAnsi" w:cstheme="majorHAnsi"/>
          <w:lang w:val="es-ES_tradnl"/>
        </w:rPr>
        <w:t xml:space="preserve"> la OCR y ONU Mujeres, </w:t>
      </w:r>
      <w:r w:rsidR="00377C3D">
        <w:rPr>
          <w:rFonts w:asciiTheme="majorHAnsi" w:hAnsiTheme="majorHAnsi" w:cstheme="majorHAnsi"/>
          <w:lang w:val="es-ES_tradnl"/>
        </w:rPr>
        <w:t xml:space="preserve">siguiendo </w:t>
      </w:r>
      <w:r w:rsidR="00377C3D">
        <w:rPr>
          <w:rFonts w:asciiTheme="majorHAnsi" w:hAnsiTheme="majorHAnsi" w:cstheme="majorHAnsi"/>
        </w:rPr>
        <w:t>la metodología establecida en</w:t>
      </w:r>
      <w:r w:rsidR="00377C3D" w:rsidRPr="00772037">
        <w:rPr>
          <w:rFonts w:asciiTheme="majorHAnsi" w:hAnsiTheme="majorHAnsi" w:cstheme="majorHAnsi"/>
        </w:rPr>
        <w:t xml:space="preserve"> </w:t>
      </w:r>
      <w:r w:rsidR="00377C3D">
        <w:rPr>
          <w:rFonts w:asciiTheme="majorHAnsi" w:hAnsiTheme="majorHAnsi" w:cstheme="majorHAnsi"/>
          <w:lang w:val="es-ES_tradnl"/>
        </w:rPr>
        <w:t xml:space="preserve">la guía </w:t>
      </w:r>
      <w:r w:rsidR="00377C3D" w:rsidRPr="00772037">
        <w:rPr>
          <w:rFonts w:asciiTheme="majorHAnsi" w:hAnsiTheme="majorHAnsi" w:cstheme="majorHAnsi"/>
          <w:bCs/>
          <w:lang w:val="es-ES"/>
        </w:rPr>
        <w:t>para el análisis y reporte anual del progreso</w:t>
      </w:r>
      <w:r w:rsidR="00A80645">
        <w:rPr>
          <w:rFonts w:asciiTheme="majorHAnsi" w:hAnsiTheme="majorHAnsi" w:cstheme="majorHAnsi"/>
          <w:bCs/>
          <w:lang w:val="es-ES"/>
        </w:rPr>
        <w:t xml:space="preserve"> del UNCT-SWAP</w:t>
      </w:r>
      <w:r w:rsidR="00377C3D" w:rsidRPr="00772037">
        <w:rPr>
          <w:rStyle w:val="Refdenotaalpie"/>
          <w:rFonts w:asciiTheme="majorHAnsi" w:hAnsiTheme="majorHAnsi" w:cstheme="majorHAnsi"/>
          <w:bCs/>
          <w:lang w:val="es-ES"/>
        </w:rPr>
        <w:footnoteReference w:id="1"/>
      </w:r>
      <w:r w:rsidR="00377C3D">
        <w:rPr>
          <w:rFonts w:asciiTheme="majorHAnsi" w:hAnsiTheme="majorHAnsi" w:cstheme="majorHAnsi"/>
          <w:bCs/>
          <w:lang w:val="es-ES"/>
        </w:rPr>
        <w:t xml:space="preserve">, así como </w:t>
      </w:r>
      <w:r w:rsidR="00377C3D" w:rsidRPr="00772037">
        <w:rPr>
          <w:rFonts w:asciiTheme="majorHAnsi" w:hAnsiTheme="majorHAnsi" w:cstheme="majorHAnsi"/>
        </w:rPr>
        <w:t xml:space="preserve">las directrices y los lineamientos en la Guía Técnicapara </w:t>
      </w:r>
      <w:r w:rsidR="00377C3D">
        <w:rPr>
          <w:rFonts w:asciiTheme="majorHAnsi" w:hAnsiTheme="majorHAnsi" w:cstheme="majorHAnsi"/>
        </w:rPr>
        <w:t xml:space="preserve">la implementación del </w:t>
      </w:r>
      <w:r w:rsidR="00377C3D" w:rsidRPr="001178DB">
        <w:rPr>
          <w:rFonts w:asciiTheme="majorHAnsi" w:hAnsiTheme="majorHAnsi" w:cstheme="majorHAnsi"/>
          <w:bCs/>
          <w:lang w:val="es-ES"/>
        </w:rPr>
        <w:t>UNCT-SWAP</w:t>
      </w:r>
      <w:r w:rsidR="00A80645" w:rsidRPr="00772037">
        <w:rPr>
          <w:rStyle w:val="Refdenotaalpie"/>
          <w:rFonts w:asciiTheme="majorHAnsi" w:hAnsiTheme="majorHAnsi" w:cstheme="majorHAnsi"/>
        </w:rPr>
        <w:footnoteReference w:id="2"/>
      </w:r>
      <w:r w:rsidR="00377C3D" w:rsidRPr="001178DB">
        <w:rPr>
          <w:rFonts w:asciiTheme="majorHAnsi" w:hAnsiTheme="majorHAnsi" w:cstheme="majorHAnsi"/>
          <w:i/>
          <w:iCs/>
        </w:rPr>
        <w:t>.</w:t>
      </w:r>
    </w:p>
    <w:p w14:paraId="528735F4" w14:textId="142758E8" w:rsidR="00772037" w:rsidRPr="00377C3D" w:rsidRDefault="00377C3D" w:rsidP="00772037">
      <w:pPr>
        <w:spacing w:after="120"/>
        <w:jc w:val="both"/>
        <w:rPr>
          <w:rFonts w:asciiTheme="majorHAnsi" w:hAnsiTheme="majorHAnsi" w:cstheme="majorHAnsi"/>
          <w:bCs/>
          <w:lang w:val="es-ES"/>
        </w:rPr>
      </w:pPr>
      <w:r>
        <w:rPr>
          <w:rFonts w:asciiTheme="majorHAnsi" w:hAnsiTheme="majorHAnsi" w:cstheme="majorHAnsi"/>
          <w:bCs/>
          <w:lang w:val="es-ES"/>
        </w:rPr>
        <w:t>La RMT respondió a tres</w:t>
      </w:r>
      <w:r w:rsidR="00772037" w:rsidRPr="00772037">
        <w:rPr>
          <w:rFonts w:asciiTheme="majorHAnsi" w:hAnsiTheme="majorHAnsi" w:cstheme="majorHAnsi"/>
          <w:bCs/>
          <w:lang w:val="es-ES"/>
        </w:rPr>
        <w:t xml:space="preserve"> objetivos centrales:</w:t>
      </w:r>
    </w:p>
    <w:p w14:paraId="2C52AE8A" w14:textId="62056F82" w:rsidR="00772037" w:rsidRDefault="00772037" w:rsidP="00D74AB5">
      <w:pPr>
        <w:pStyle w:val="Prrafodelista"/>
        <w:numPr>
          <w:ilvl w:val="0"/>
          <w:numId w:val="3"/>
        </w:numPr>
        <w:spacing w:after="120"/>
        <w:jc w:val="both"/>
        <w:rPr>
          <w:rFonts w:asciiTheme="majorHAnsi" w:hAnsiTheme="majorHAnsi" w:cstheme="majorHAnsi"/>
          <w:bdr w:val="nil"/>
        </w:rPr>
      </w:pPr>
      <w:r w:rsidRPr="00772037">
        <w:rPr>
          <w:rFonts w:asciiTheme="majorHAnsi" w:hAnsiTheme="majorHAnsi" w:cstheme="majorHAnsi"/>
          <w:bdr w:val="nil"/>
        </w:rPr>
        <w:t>Revisar</w:t>
      </w:r>
      <w:r>
        <w:rPr>
          <w:rFonts w:asciiTheme="majorHAnsi" w:hAnsiTheme="majorHAnsi" w:cstheme="majorHAnsi"/>
          <w:bdr w:val="nil"/>
        </w:rPr>
        <w:t xml:space="preserve"> y revalorar, al menos,</w:t>
      </w:r>
      <w:r w:rsidRPr="00772037">
        <w:rPr>
          <w:rFonts w:asciiTheme="majorHAnsi" w:hAnsiTheme="majorHAnsi" w:cstheme="majorHAnsi"/>
          <w:bdr w:val="nil"/>
        </w:rPr>
        <w:t xml:space="preserve"> 5 indicadores y actualizar la </w:t>
      </w:r>
      <w:r w:rsidR="00A80645">
        <w:rPr>
          <w:rFonts w:asciiTheme="majorHAnsi" w:hAnsiTheme="majorHAnsi" w:cstheme="majorHAnsi"/>
          <w:bdr w:val="nil"/>
        </w:rPr>
        <w:t>M</w:t>
      </w:r>
      <w:r w:rsidRPr="00772037">
        <w:rPr>
          <w:rFonts w:asciiTheme="majorHAnsi" w:hAnsiTheme="majorHAnsi" w:cstheme="majorHAnsi"/>
          <w:bdr w:val="nil"/>
        </w:rPr>
        <w:t xml:space="preserve">atriz de </w:t>
      </w:r>
      <w:r w:rsidR="00A80645">
        <w:rPr>
          <w:rFonts w:asciiTheme="majorHAnsi" w:hAnsiTheme="majorHAnsi" w:cstheme="majorHAnsi"/>
          <w:bdr w:val="nil"/>
        </w:rPr>
        <w:t>A</w:t>
      </w:r>
      <w:r w:rsidRPr="00772037">
        <w:rPr>
          <w:rFonts w:asciiTheme="majorHAnsi" w:hAnsiTheme="majorHAnsi" w:cstheme="majorHAnsi"/>
          <w:bdr w:val="nil"/>
        </w:rPr>
        <w:t>utodiagnóstico.</w:t>
      </w:r>
    </w:p>
    <w:p w14:paraId="0E350C9F" w14:textId="6CDD08E6" w:rsidR="00772037" w:rsidRDefault="00377C3D" w:rsidP="00D74AB5">
      <w:pPr>
        <w:pStyle w:val="Prrafodelista"/>
        <w:numPr>
          <w:ilvl w:val="0"/>
          <w:numId w:val="3"/>
        </w:numPr>
        <w:spacing w:after="120"/>
        <w:jc w:val="both"/>
        <w:rPr>
          <w:rFonts w:asciiTheme="majorHAnsi" w:hAnsiTheme="majorHAnsi" w:cstheme="majorHAnsi"/>
          <w:lang w:val="es-ES"/>
        </w:rPr>
      </w:pPr>
      <w:r>
        <w:rPr>
          <w:rFonts w:asciiTheme="majorHAnsi" w:hAnsiTheme="majorHAnsi" w:cstheme="majorHAnsi"/>
          <w:bdr w:val="nil"/>
        </w:rPr>
        <w:t>Revisar los avances</w:t>
      </w:r>
      <w:r w:rsidR="00772037" w:rsidRPr="00772037">
        <w:rPr>
          <w:rFonts w:asciiTheme="majorHAnsi" w:hAnsiTheme="majorHAnsi" w:cstheme="majorHAnsi"/>
          <w:bdr w:val="nil"/>
        </w:rPr>
        <w:t xml:space="preserve"> </w:t>
      </w:r>
      <w:r w:rsidR="00772037" w:rsidRPr="00772037">
        <w:rPr>
          <w:rFonts w:asciiTheme="majorHAnsi" w:hAnsiTheme="majorHAnsi" w:cstheme="majorHAnsi"/>
          <w:lang w:val="es-ES"/>
        </w:rPr>
        <w:t xml:space="preserve">en la implementación del Plan de Acción  </w:t>
      </w:r>
      <w:r w:rsidR="00772037">
        <w:rPr>
          <w:rFonts w:asciiTheme="majorHAnsi" w:hAnsiTheme="majorHAnsi" w:cstheme="majorHAnsi"/>
          <w:lang w:val="es-ES"/>
        </w:rPr>
        <w:t>e identificar</w:t>
      </w:r>
      <w:r w:rsidR="00772037" w:rsidRPr="00772037">
        <w:rPr>
          <w:rFonts w:asciiTheme="majorHAnsi" w:hAnsiTheme="majorHAnsi" w:cstheme="majorHAnsi"/>
          <w:lang w:val="es-ES"/>
        </w:rPr>
        <w:t xml:space="preserve"> </w:t>
      </w:r>
      <w:r w:rsidR="00772037">
        <w:rPr>
          <w:rFonts w:asciiTheme="majorHAnsi" w:hAnsiTheme="majorHAnsi" w:cstheme="majorHAnsi"/>
          <w:lang w:val="es-ES"/>
        </w:rPr>
        <w:t>medidas correctivas</w:t>
      </w:r>
      <w:r w:rsidR="00772037" w:rsidRPr="00772037">
        <w:rPr>
          <w:rFonts w:asciiTheme="majorHAnsi" w:hAnsiTheme="majorHAnsi" w:cstheme="majorHAnsi"/>
          <w:lang w:val="es-ES"/>
        </w:rPr>
        <w:t xml:space="preserve"> para acelerar su cumplimiento</w:t>
      </w:r>
      <w:r w:rsidR="00A80645">
        <w:rPr>
          <w:rFonts w:asciiTheme="majorHAnsi" w:hAnsiTheme="majorHAnsi" w:cstheme="majorHAnsi"/>
          <w:lang w:val="es-ES"/>
        </w:rPr>
        <w:t xml:space="preserve"> y mejorar el desempeño en todas las dimensiones, con énfasis en las que presentan los mayores retos</w:t>
      </w:r>
      <w:r w:rsidR="00772037" w:rsidRPr="00772037">
        <w:rPr>
          <w:rFonts w:asciiTheme="majorHAnsi" w:hAnsiTheme="majorHAnsi" w:cstheme="majorHAnsi"/>
          <w:lang w:val="es-ES"/>
        </w:rPr>
        <w:t>.</w:t>
      </w:r>
    </w:p>
    <w:p w14:paraId="15B65E31" w14:textId="211A7859" w:rsidR="00772037" w:rsidRPr="00772037" w:rsidRDefault="00772037" w:rsidP="00D74AB5">
      <w:pPr>
        <w:pStyle w:val="Prrafodelista"/>
        <w:numPr>
          <w:ilvl w:val="0"/>
          <w:numId w:val="3"/>
        </w:numPr>
        <w:spacing w:after="120"/>
        <w:jc w:val="both"/>
        <w:rPr>
          <w:rFonts w:asciiTheme="majorHAnsi" w:hAnsiTheme="majorHAnsi" w:cstheme="majorHAnsi"/>
          <w:lang w:val="es-ES"/>
        </w:rPr>
      </w:pPr>
      <w:r>
        <w:rPr>
          <w:rFonts w:asciiTheme="majorHAnsi" w:hAnsiTheme="majorHAnsi" w:cstheme="majorHAnsi"/>
          <w:lang w:val="es-ES"/>
        </w:rPr>
        <w:t xml:space="preserve">Identificar desafíos, buenas prácticas y lecciones aprendidas </w:t>
      </w:r>
      <w:r w:rsidR="00377C3D">
        <w:rPr>
          <w:rFonts w:asciiTheme="majorHAnsi" w:hAnsiTheme="majorHAnsi" w:cstheme="majorHAnsi"/>
          <w:lang w:val="es-ES"/>
        </w:rPr>
        <w:t>para mejorar</w:t>
      </w:r>
      <w:r>
        <w:rPr>
          <w:rFonts w:asciiTheme="majorHAnsi" w:hAnsiTheme="majorHAnsi" w:cstheme="majorHAnsi"/>
          <w:lang w:val="es-ES"/>
        </w:rPr>
        <w:t xml:space="preserve"> la implementación y seguimiento</w:t>
      </w:r>
      <w:r w:rsidR="00C17D6D">
        <w:rPr>
          <w:rFonts w:asciiTheme="majorHAnsi" w:hAnsiTheme="majorHAnsi" w:cstheme="majorHAnsi"/>
          <w:lang w:val="es-ES"/>
        </w:rPr>
        <w:t xml:space="preserve"> </w:t>
      </w:r>
      <w:r w:rsidR="00C17D6D" w:rsidRPr="00772037">
        <w:rPr>
          <w:rFonts w:asciiTheme="majorHAnsi" w:hAnsiTheme="majorHAnsi" w:cstheme="majorHAnsi"/>
          <w:lang w:val="es-ES"/>
        </w:rPr>
        <w:t xml:space="preserve">del Plan de Acción </w:t>
      </w:r>
      <w:r w:rsidR="00377C3D">
        <w:rPr>
          <w:rFonts w:asciiTheme="majorHAnsi" w:hAnsiTheme="majorHAnsi" w:cstheme="majorHAnsi"/>
          <w:lang w:val="es-ES"/>
        </w:rPr>
        <w:t>revisitado.</w:t>
      </w:r>
    </w:p>
    <w:p w14:paraId="0D4A5E86" w14:textId="09CD3060" w:rsidR="00377C3D" w:rsidRDefault="00377C3D" w:rsidP="00377C3D">
      <w:pPr>
        <w:jc w:val="both"/>
        <w:rPr>
          <w:rFonts w:asciiTheme="majorHAnsi" w:hAnsiTheme="majorHAnsi" w:cstheme="majorHAnsi"/>
        </w:rPr>
      </w:pPr>
      <w:r>
        <w:rPr>
          <w:rFonts w:asciiTheme="majorHAnsi" w:hAnsiTheme="majorHAnsi" w:cstheme="majorHAnsi"/>
        </w:rPr>
        <w:t>Con base en lo anterior, el proceso de la RMT se realizó en tres grandes fases:</w:t>
      </w:r>
    </w:p>
    <w:p w14:paraId="3E4A0F57" w14:textId="77777777" w:rsidR="00377C3D" w:rsidRPr="00377C3D" w:rsidRDefault="00377C3D" w:rsidP="00377C3D">
      <w:pPr>
        <w:jc w:val="both"/>
        <w:rPr>
          <w:rFonts w:asciiTheme="majorHAnsi" w:hAnsiTheme="majorHAnsi" w:cstheme="majorHAnsi"/>
          <w:b/>
          <w:bCs/>
        </w:rPr>
      </w:pPr>
    </w:p>
    <w:p w14:paraId="6EB50E8E" w14:textId="01882F7E" w:rsidR="00377C3D" w:rsidRDefault="00377C3D" w:rsidP="00377C3D">
      <w:pPr>
        <w:jc w:val="both"/>
        <w:rPr>
          <w:rFonts w:asciiTheme="majorHAnsi" w:hAnsiTheme="majorHAnsi" w:cstheme="majorHAnsi"/>
          <w:b/>
          <w:bCs/>
          <w:lang w:val="es-ES"/>
        </w:rPr>
      </w:pPr>
      <w:r w:rsidRPr="00377C3D">
        <w:rPr>
          <w:rFonts w:asciiTheme="majorHAnsi" w:hAnsiTheme="majorHAnsi" w:cstheme="majorHAnsi"/>
          <w:b/>
          <w:bCs/>
          <w:lang w:val="es-ES"/>
        </w:rPr>
        <w:t>1. Fase Preparación</w:t>
      </w:r>
      <w:r>
        <w:rPr>
          <w:rFonts w:asciiTheme="majorHAnsi" w:hAnsiTheme="majorHAnsi" w:cstheme="majorHAnsi"/>
          <w:b/>
          <w:bCs/>
          <w:lang w:val="es-ES"/>
        </w:rPr>
        <w:t xml:space="preserve"> </w:t>
      </w:r>
    </w:p>
    <w:p w14:paraId="6092A9F9" w14:textId="77777777" w:rsidR="00A80645" w:rsidRPr="00377C3D" w:rsidRDefault="00A80645" w:rsidP="00377C3D">
      <w:pPr>
        <w:jc w:val="both"/>
        <w:rPr>
          <w:rFonts w:asciiTheme="majorHAnsi" w:hAnsiTheme="majorHAnsi" w:cstheme="majorHAnsi"/>
        </w:rPr>
      </w:pPr>
    </w:p>
    <w:p w14:paraId="32FC46F0" w14:textId="775B7BC5" w:rsidR="00377C3D" w:rsidRPr="00377C3D" w:rsidRDefault="00377C3D" w:rsidP="00D74AB5">
      <w:pPr>
        <w:numPr>
          <w:ilvl w:val="0"/>
          <w:numId w:val="5"/>
        </w:numPr>
        <w:spacing w:after="120"/>
        <w:ind w:left="714" w:hanging="357"/>
        <w:jc w:val="both"/>
        <w:rPr>
          <w:rFonts w:asciiTheme="majorHAnsi" w:hAnsiTheme="majorHAnsi" w:cstheme="majorHAnsi"/>
        </w:rPr>
      </w:pPr>
      <w:r w:rsidRPr="00377C3D">
        <w:rPr>
          <w:rFonts w:asciiTheme="majorHAnsi" w:hAnsiTheme="majorHAnsi" w:cstheme="majorHAnsi"/>
          <w:lang w:val="es-ES"/>
        </w:rPr>
        <w:t xml:space="preserve">Se conformó un Grupo </w:t>
      </w:r>
      <w:r w:rsidRPr="00377C3D">
        <w:rPr>
          <w:rFonts w:asciiTheme="majorHAnsi" w:hAnsiTheme="majorHAnsi" w:cstheme="majorHAnsi"/>
          <w:i/>
          <w:iCs/>
          <w:lang w:val="es-ES"/>
        </w:rPr>
        <w:t>Core</w:t>
      </w:r>
      <w:r w:rsidRPr="00377C3D">
        <w:rPr>
          <w:rFonts w:asciiTheme="majorHAnsi" w:hAnsiTheme="majorHAnsi" w:cstheme="majorHAnsi"/>
          <w:lang w:val="es-ES"/>
        </w:rPr>
        <w:t xml:space="preserve">, compuesto por personal de la OCR y ONU Mujeres, para la activación del proceso y se contrató a la consultoría responsable </w:t>
      </w:r>
      <w:r w:rsidR="001178DB">
        <w:rPr>
          <w:rFonts w:asciiTheme="majorHAnsi" w:hAnsiTheme="majorHAnsi" w:cstheme="majorHAnsi"/>
          <w:lang w:val="es-ES"/>
        </w:rPr>
        <w:t xml:space="preserve">de </w:t>
      </w:r>
      <w:r w:rsidR="00A80645">
        <w:rPr>
          <w:rFonts w:asciiTheme="majorHAnsi" w:hAnsiTheme="majorHAnsi" w:cstheme="majorHAnsi"/>
          <w:lang w:val="es-ES"/>
        </w:rPr>
        <w:t>su facilitación e integración d</w:t>
      </w:r>
      <w:r w:rsidR="001178DB">
        <w:rPr>
          <w:rFonts w:asciiTheme="majorHAnsi" w:hAnsiTheme="majorHAnsi" w:cstheme="majorHAnsi"/>
          <w:lang w:val="es-ES"/>
        </w:rPr>
        <w:t xml:space="preserve">el </w:t>
      </w:r>
      <w:r w:rsidR="00A80645">
        <w:rPr>
          <w:rFonts w:asciiTheme="majorHAnsi" w:hAnsiTheme="majorHAnsi" w:cstheme="majorHAnsi"/>
          <w:lang w:val="es-ES"/>
        </w:rPr>
        <w:t>I</w:t>
      </w:r>
      <w:r w:rsidR="001178DB">
        <w:rPr>
          <w:rFonts w:asciiTheme="majorHAnsi" w:hAnsiTheme="majorHAnsi" w:cstheme="majorHAnsi"/>
          <w:lang w:val="es-ES"/>
        </w:rPr>
        <w:t xml:space="preserve">nforme </w:t>
      </w:r>
      <w:r w:rsidRPr="00377C3D">
        <w:rPr>
          <w:rFonts w:asciiTheme="majorHAnsi" w:hAnsiTheme="majorHAnsi" w:cstheme="majorHAnsi"/>
          <w:lang w:val="es-ES"/>
        </w:rPr>
        <w:t>de la RMT.</w:t>
      </w:r>
      <w:r>
        <w:rPr>
          <w:rFonts w:asciiTheme="majorHAnsi" w:hAnsiTheme="majorHAnsi" w:cstheme="majorHAnsi"/>
          <w:lang w:val="es-ES"/>
        </w:rPr>
        <w:t xml:space="preserve"> </w:t>
      </w:r>
    </w:p>
    <w:p w14:paraId="133A27A7" w14:textId="765FB559" w:rsidR="00377C3D" w:rsidRPr="00A80645" w:rsidRDefault="002745E7" w:rsidP="00D74AB5">
      <w:pPr>
        <w:numPr>
          <w:ilvl w:val="0"/>
          <w:numId w:val="5"/>
        </w:numPr>
        <w:spacing w:after="120"/>
        <w:ind w:left="714" w:hanging="357"/>
        <w:jc w:val="both"/>
        <w:rPr>
          <w:rFonts w:asciiTheme="majorHAnsi" w:hAnsiTheme="majorHAnsi" w:cstheme="majorHAnsi"/>
        </w:rPr>
      </w:pPr>
      <w:r w:rsidRPr="002745E7">
        <w:rPr>
          <w:rFonts w:asciiTheme="majorHAnsi" w:hAnsiTheme="majorHAnsi" w:cstheme="majorHAnsi"/>
          <w:lang w:val="es-ES"/>
        </w:rPr>
        <w:t xml:space="preserve">Con </w:t>
      </w:r>
      <w:r w:rsidR="00A80645">
        <w:rPr>
          <w:rFonts w:asciiTheme="majorHAnsi" w:hAnsiTheme="majorHAnsi" w:cstheme="majorHAnsi"/>
          <w:lang w:val="es-ES"/>
        </w:rPr>
        <w:t xml:space="preserve">el apoyo técnico de la consultora y con </w:t>
      </w:r>
      <w:r w:rsidRPr="002745E7">
        <w:rPr>
          <w:rFonts w:asciiTheme="majorHAnsi" w:hAnsiTheme="majorHAnsi" w:cstheme="majorHAnsi"/>
          <w:lang w:val="es-ES"/>
        </w:rPr>
        <w:t>base en un análisis estratégico, e</w:t>
      </w:r>
      <w:r w:rsidR="00377C3D" w:rsidRPr="002745E7">
        <w:rPr>
          <w:rFonts w:asciiTheme="majorHAnsi" w:hAnsiTheme="majorHAnsi" w:cstheme="majorHAnsi"/>
          <w:lang w:val="es-ES"/>
        </w:rPr>
        <w:t xml:space="preserve">l Grupo </w:t>
      </w:r>
      <w:r w:rsidR="00377C3D" w:rsidRPr="002745E7">
        <w:rPr>
          <w:rFonts w:asciiTheme="majorHAnsi" w:hAnsiTheme="majorHAnsi" w:cstheme="majorHAnsi"/>
          <w:i/>
          <w:iCs/>
          <w:lang w:val="es-ES"/>
        </w:rPr>
        <w:t>Core</w:t>
      </w:r>
      <w:r w:rsidR="00377C3D" w:rsidRPr="002745E7">
        <w:rPr>
          <w:rFonts w:asciiTheme="majorHAnsi" w:hAnsiTheme="majorHAnsi" w:cstheme="majorHAnsi"/>
          <w:lang w:val="es-ES"/>
        </w:rPr>
        <w:t xml:space="preserve"> seleccionó </w:t>
      </w:r>
      <w:r w:rsidRPr="002745E7">
        <w:rPr>
          <w:rFonts w:asciiTheme="majorHAnsi" w:hAnsiTheme="majorHAnsi" w:cstheme="majorHAnsi"/>
          <w:lang w:val="es-ES"/>
        </w:rPr>
        <w:t>6 I</w:t>
      </w:r>
      <w:r w:rsidR="00377C3D" w:rsidRPr="00377C3D">
        <w:rPr>
          <w:rFonts w:asciiTheme="majorHAnsi" w:hAnsiTheme="majorHAnsi" w:cstheme="majorHAnsi"/>
          <w:lang w:val="es-ES"/>
        </w:rPr>
        <w:t>ndicadores</w:t>
      </w:r>
      <w:r w:rsidR="00A80645">
        <w:rPr>
          <w:rFonts w:asciiTheme="majorHAnsi" w:hAnsiTheme="majorHAnsi" w:cstheme="majorHAnsi"/>
          <w:lang w:val="es-ES"/>
        </w:rPr>
        <w:t xml:space="preserve"> </w:t>
      </w:r>
      <w:r w:rsidRPr="002745E7">
        <w:rPr>
          <w:rFonts w:asciiTheme="majorHAnsi" w:hAnsiTheme="majorHAnsi" w:cstheme="majorHAnsi"/>
          <w:lang w:val="es-ES"/>
        </w:rPr>
        <w:t>a</w:t>
      </w:r>
      <w:r w:rsidR="00377C3D" w:rsidRPr="00377C3D">
        <w:rPr>
          <w:rFonts w:asciiTheme="majorHAnsi" w:hAnsiTheme="majorHAnsi" w:cstheme="majorHAnsi"/>
          <w:lang w:val="es-ES"/>
        </w:rPr>
        <w:t xml:space="preserve"> revisar en 2021</w:t>
      </w:r>
      <w:r w:rsidR="00A80645">
        <w:rPr>
          <w:rFonts w:asciiTheme="majorHAnsi" w:hAnsiTheme="majorHAnsi" w:cstheme="majorHAnsi"/>
          <w:lang w:val="es-ES"/>
        </w:rPr>
        <w:t xml:space="preserve">, </w:t>
      </w:r>
      <w:r w:rsidR="00A80645" w:rsidRPr="002745E7">
        <w:rPr>
          <w:rFonts w:asciiTheme="majorHAnsi" w:hAnsiTheme="majorHAnsi" w:cstheme="majorHAnsi"/>
          <w:lang w:val="es-ES"/>
        </w:rPr>
        <w:t xml:space="preserve">relativos a </w:t>
      </w:r>
      <w:r w:rsidR="00377C3D" w:rsidRPr="00377C3D">
        <w:rPr>
          <w:rFonts w:asciiTheme="majorHAnsi" w:hAnsiTheme="majorHAnsi" w:cstheme="majorHAnsi"/>
          <w:lang w:val="es-ES"/>
        </w:rPr>
        <w:t xml:space="preserve"> </w:t>
      </w:r>
      <w:r w:rsidR="00A80645" w:rsidRPr="002745E7">
        <w:rPr>
          <w:rFonts w:asciiTheme="majorHAnsi" w:hAnsiTheme="majorHAnsi" w:cstheme="majorHAnsi"/>
          <w:lang w:val="es-ES"/>
        </w:rPr>
        <w:t>cuatro áreas de desempeño</w:t>
      </w:r>
      <w:r w:rsidRPr="002745E7">
        <w:rPr>
          <w:rFonts w:asciiTheme="majorHAnsi" w:hAnsiTheme="majorHAnsi" w:cstheme="majorHAnsi"/>
          <w:lang w:val="es-ES"/>
        </w:rPr>
        <w:t xml:space="preserve">: </w:t>
      </w:r>
      <w:r w:rsidRPr="002745E7">
        <w:rPr>
          <w:rFonts w:asciiTheme="majorHAnsi" w:hAnsiTheme="majorHAnsi" w:cstheme="majorHAnsi"/>
          <w:bCs/>
          <w:lang w:val="es-ES"/>
        </w:rPr>
        <w:t xml:space="preserve">1.2. Resultados </w:t>
      </w:r>
      <w:r w:rsidR="00A80645">
        <w:rPr>
          <w:rFonts w:asciiTheme="majorHAnsi" w:hAnsiTheme="majorHAnsi" w:cstheme="majorHAnsi"/>
          <w:bCs/>
          <w:lang w:val="es-ES"/>
        </w:rPr>
        <w:t>del UNDAF</w:t>
      </w:r>
      <w:r w:rsidRPr="002745E7">
        <w:rPr>
          <w:rFonts w:asciiTheme="majorHAnsi" w:hAnsiTheme="majorHAnsi" w:cstheme="majorHAnsi"/>
          <w:bCs/>
          <w:lang w:val="es-ES"/>
        </w:rPr>
        <w:t xml:space="preserve">; 1.3. Indicadores </w:t>
      </w:r>
      <w:r w:rsidR="00A80645">
        <w:rPr>
          <w:rFonts w:asciiTheme="majorHAnsi" w:hAnsiTheme="majorHAnsi" w:cstheme="majorHAnsi"/>
          <w:bCs/>
          <w:lang w:val="es-ES"/>
        </w:rPr>
        <w:t>del UNDAF</w:t>
      </w:r>
      <w:r w:rsidRPr="002745E7">
        <w:rPr>
          <w:rFonts w:asciiTheme="majorHAnsi" w:hAnsiTheme="majorHAnsi" w:cstheme="majorHAnsi"/>
          <w:bCs/>
          <w:lang w:val="es-ES"/>
        </w:rPr>
        <w:t xml:space="preserve">; 2.1. Programas Conjuntos; 3.1. Asociaciones/colaboración con gobierno; 3.2. Asociaciones/colaboración con sociedad civil; 5.1. Mecanismo de Coordinación (GIG). Asimismo, estableció </w:t>
      </w:r>
      <w:r w:rsidR="00377C3D" w:rsidRPr="002745E7">
        <w:rPr>
          <w:rFonts w:asciiTheme="majorHAnsi" w:hAnsiTheme="majorHAnsi" w:cstheme="majorHAnsi"/>
          <w:lang w:val="es-ES"/>
        </w:rPr>
        <w:t>la temporalidad para la revisión de los demás indicadores en 2022 y 2023.</w:t>
      </w:r>
      <w:r w:rsidR="00A80645">
        <w:rPr>
          <w:rFonts w:asciiTheme="majorHAnsi" w:hAnsiTheme="majorHAnsi" w:cstheme="majorHAnsi"/>
          <w:lang w:val="es-ES"/>
        </w:rPr>
        <w:t xml:space="preserve"> (ver siguiente tabla)</w:t>
      </w:r>
    </w:p>
    <w:p w14:paraId="4E20AE77" w14:textId="77777777" w:rsidR="00A80645" w:rsidRPr="002745E7" w:rsidRDefault="00A80645" w:rsidP="00A80645">
      <w:pPr>
        <w:spacing w:after="120"/>
        <w:ind w:left="714"/>
        <w:jc w:val="both"/>
        <w:rPr>
          <w:rFonts w:asciiTheme="majorHAnsi" w:hAnsiTheme="majorHAnsi" w:cstheme="majorHAnsi"/>
        </w:rPr>
      </w:pPr>
    </w:p>
    <w:p w14:paraId="70AF68BB" w14:textId="122CD42A" w:rsidR="002745E7" w:rsidRPr="00A94EB7" w:rsidRDefault="00A94EB7" w:rsidP="00A94EB7">
      <w:pPr>
        <w:pStyle w:val="Descripcin"/>
        <w:jc w:val="center"/>
      </w:pPr>
      <w:bookmarkStart w:id="5" w:name="_Toc89942513"/>
      <w:r w:rsidRPr="00A94EB7">
        <w:t xml:space="preserve">Tabla </w:t>
      </w:r>
      <w:r w:rsidRPr="00A94EB7">
        <w:fldChar w:fldCharType="begin"/>
      </w:r>
      <w:r w:rsidRPr="00A94EB7">
        <w:instrText xml:space="preserve"> SEQ Tabla \* ARABIC </w:instrText>
      </w:r>
      <w:r w:rsidRPr="00A94EB7">
        <w:fldChar w:fldCharType="separate"/>
      </w:r>
      <w:r>
        <w:rPr>
          <w:noProof/>
        </w:rPr>
        <w:t>2</w:t>
      </w:r>
      <w:r w:rsidRPr="00A94EB7">
        <w:fldChar w:fldCharType="end"/>
      </w:r>
      <w:r w:rsidRPr="00A94EB7">
        <w:t xml:space="preserve">. </w:t>
      </w:r>
      <w:r w:rsidR="002745E7" w:rsidRPr="00A94EB7">
        <w:t>Temporalidad de la revisión de indicadores del UNCT-SWAP</w:t>
      </w:r>
      <w:bookmarkEnd w:id="5"/>
    </w:p>
    <w:tbl>
      <w:tblPr>
        <w:tblW w:w="8789" w:type="dxa"/>
        <w:tblInd w:w="132" w:type="dxa"/>
        <w:tblCellMar>
          <w:left w:w="0" w:type="dxa"/>
          <w:right w:w="0" w:type="dxa"/>
        </w:tblCellMar>
        <w:tblLook w:val="0420" w:firstRow="1" w:lastRow="0" w:firstColumn="0" w:lastColumn="0" w:noHBand="0" w:noVBand="1"/>
      </w:tblPr>
      <w:tblGrid>
        <w:gridCol w:w="2693"/>
        <w:gridCol w:w="4111"/>
        <w:gridCol w:w="1985"/>
      </w:tblGrid>
      <w:tr w:rsidR="002745E7" w:rsidRPr="002745E7" w14:paraId="42CCAFA2" w14:textId="77777777" w:rsidTr="002745E7">
        <w:trPr>
          <w:trHeight w:val="476"/>
        </w:trPr>
        <w:tc>
          <w:tcPr>
            <w:tcW w:w="2693"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208271A5" w14:textId="77777777" w:rsidR="002745E7" w:rsidRPr="002745E7" w:rsidRDefault="002745E7" w:rsidP="002745E7">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ÁREA</w:t>
            </w:r>
          </w:p>
        </w:tc>
        <w:tc>
          <w:tcPr>
            <w:tcW w:w="4111"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474E9085" w14:textId="77777777" w:rsidR="002745E7" w:rsidRPr="002745E7" w:rsidRDefault="002745E7" w:rsidP="002745E7">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INDICADOR</w:t>
            </w:r>
          </w:p>
        </w:tc>
        <w:tc>
          <w:tcPr>
            <w:tcW w:w="1985"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2C0B2665" w14:textId="77777777" w:rsidR="002745E7" w:rsidRPr="002745E7" w:rsidRDefault="002745E7" w:rsidP="002745E7">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AÑO DE REVISIÓN</w:t>
            </w:r>
          </w:p>
        </w:tc>
      </w:tr>
      <w:tr w:rsidR="002745E7" w:rsidRPr="002745E7" w14:paraId="72BAA288" w14:textId="77777777" w:rsidTr="002745E7">
        <w:trPr>
          <w:trHeight w:val="707"/>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7AA382"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rPr>
              <w:t>1. Planificiación</w:t>
            </w:r>
          </w:p>
        </w:tc>
        <w:tc>
          <w:tcPr>
            <w:tcW w:w="41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DF7AE9"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rPr>
              <w:t>1.1. CCA</w:t>
            </w:r>
          </w:p>
          <w:p w14:paraId="507AF776" w14:textId="77777777" w:rsidR="002745E7" w:rsidRPr="002745E7" w:rsidRDefault="002745E7" w:rsidP="00316349">
            <w:pPr>
              <w:jc w:val="both"/>
              <w:rPr>
                <w:rFonts w:asciiTheme="majorHAnsi" w:hAnsiTheme="majorHAnsi" w:cstheme="majorHAnsi"/>
                <w:color w:val="00B0F0"/>
              </w:rPr>
            </w:pPr>
            <w:r w:rsidRPr="002745E7">
              <w:rPr>
                <w:rFonts w:asciiTheme="majorHAnsi" w:hAnsiTheme="majorHAnsi" w:cstheme="majorHAnsi"/>
                <w:color w:val="00B0F0"/>
              </w:rPr>
              <w:t>1.2. Resultados UNSDCF</w:t>
            </w:r>
          </w:p>
          <w:p w14:paraId="18745A43"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B0F0"/>
              </w:rPr>
              <w:t>1.3.  Indicadores UNSDCF</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B78180" w14:textId="7777777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0000" w:themeColor="text1"/>
              </w:rPr>
              <w:t>2023</w:t>
            </w:r>
          </w:p>
          <w:p w14:paraId="14EFD814" w14:textId="77777777" w:rsidR="002745E7" w:rsidRPr="002745E7" w:rsidRDefault="002745E7" w:rsidP="002745E7">
            <w:pPr>
              <w:jc w:val="center"/>
              <w:rPr>
                <w:rFonts w:asciiTheme="majorHAnsi" w:hAnsiTheme="majorHAnsi" w:cstheme="majorHAnsi"/>
                <w:color w:val="00B0F0"/>
              </w:rPr>
            </w:pPr>
            <w:r w:rsidRPr="002745E7">
              <w:rPr>
                <w:rFonts w:asciiTheme="majorHAnsi" w:hAnsiTheme="majorHAnsi" w:cstheme="majorHAnsi"/>
                <w:color w:val="00B0F0"/>
              </w:rPr>
              <w:t>2021</w:t>
            </w:r>
          </w:p>
          <w:p w14:paraId="5041432B" w14:textId="7777777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B0F0"/>
              </w:rPr>
              <w:t>2021</w:t>
            </w:r>
          </w:p>
        </w:tc>
      </w:tr>
      <w:tr w:rsidR="002745E7" w:rsidRPr="002745E7" w14:paraId="1DA2D363" w14:textId="77777777" w:rsidTr="002745E7">
        <w:trPr>
          <w:trHeight w:val="721"/>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FA3A68"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rPr>
              <w:t>2. Programación y M&amp;E</w:t>
            </w:r>
          </w:p>
        </w:tc>
        <w:tc>
          <w:tcPr>
            <w:tcW w:w="41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9FA37D" w14:textId="77777777" w:rsidR="002745E7" w:rsidRPr="002745E7" w:rsidRDefault="002745E7" w:rsidP="00316349">
            <w:pPr>
              <w:jc w:val="both"/>
              <w:rPr>
                <w:rFonts w:asciiTheme="majorHAnsi" w:hAnsiTheme="majorHAnsi" w:cstheme="majorHAnsi"/>
                <w:color w:val="00B0F0"/>
              </w:rPr>
            </w:pPr>
            <w:r w:rsidRPr="002745E7">
              <w:rPr>
                <w:rFonts w:asciiTheme="majorHAnsi" w:hAnsiTheme="majorHAnsi" w:cstheme="majorHAnsi"/>
                <w:color w:val="00B0F0"/>
                <w:lang w:val="es-ES_tradnl"/>
              </w:rPr>
              <w:t>2</w:t>
            </w:r>
            <w:r w:rsidRPr="002745E7">
              <w:rPr>
                <w:rFonts w:asciiTheme="majorHAnsi" w:hAnsiTheme="majorHAnsi" w:cstheme="majorHAnsi"/>
                <w:b/>
                <w:bCs/>
                <w:color w:val="00B0F0"/>
                <w:lang w:val="es-ES_tradnl"/>
              </w:rPr>
              <w:t xml:space="preserve">.1. </w:t>
            </w:r>
            <w:r w:rsidRPr="002745E7">
              <w:rPr>
                <w:rFonts w:asciiTheme="majorHAnsi" w:hAnsiTheme="majorHAnsi" w:cstheme="majorHAnsi"/>
                <w:color w:val="00B0F0"/>
                <w:lang w:val="es-ES_tradnl"/>
              </w:rPr>
              <w:t>Programas conjuntos</w:t>
            </w:r>
          </w:p>
          <w:p w14:paraId="554FC80D"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2.2 Comunicaciones y Abogacía</w:t>
            </w:r>
          </w:p>
          <w:p w14:paraId="70BA8C29"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2.3. M&amp;E del UNSDCF</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A0013F" w14:textId="77777777" w:rsidR="002745E7" w:rsidRPr="002745E7" w:rsidRDefault="002745E7" w:rsidP="002745E7">
            <w:pPr>
              <w:jc w:val="center"/>
              <w:rPr>
                <w:rFonts w:asciiTheme="majorHAnsi" w:hAnsiTheme="majorHAnsi" w:cstheme="majorHAnsi"/>
                <w:color w:val="00B0F0"/>
              </w:rPr>
            </w:pPr>
            <w:r w:rsidRPr="002745E7">
              <w:rPr>
                <w:rFonts w:asciiTheme="majorHAnsi" w:hAnsiTheme="majorHAnsi" w:cstheme="majorHAnsi"/>
                <w:color w:val="00B0F0"/>
                <w:lang w:val="es-ES_tradnl"/>
              </w:rPr>
              <w:t>2021</w:t>
            </w:r>
          </w:p>
          <w:p w14:paraId="785CAD91" w14:textId="7777777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2022</w:t>
            </w:r>
          </w:p>
          <w:p w14:paraId="167B9228" w14:textId="673573BD"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2022</w:t>
            </w:r>
          </w:p>
        </w:tc>
      </w:tr>
      <w:tr w:rsidR="002745E7" w:rsidRPr="002745E7" w14:paraId="0FCD34A2" w14:textId="77777777" w:rsidTr="002745E7">
        <w:trPr>
          <w:trHeight w:val="608"/>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94420D"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rPr>
              <w:t>3. Asociaciones</w:t>
            </w:r>
          </w:p>
        </w:tc>
        <w:tc>
          <w:tcPr>
            <w:tcW w:w="41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B6B254" w14:textId="77777777" w:rsidR="002745E7" w:rsidRPr="002745E7" w:rsidRDefault="002745E7" w:rsidP="00316349">
            <w:pPr>
              <w:jc w:val="both"/>
              <w:rPr>
                <w:rFonts w:asciiTheme="majorHAnsi" w:hAnsiTheme="majorHAnsi" w:cstheme="majorHAnsi"/>
                <w:color w:val="00B0F0"/>
              </w:rPr>
            </w:pPr>
            <w:r w:rsidRPr="002745E7">
              <w:rPr>
                <w:rFonts w:asciiTheme="majorHAnsi" w:hAnsiTheme="majorHAnsi" w:cstheme="majorHAnsi"/>
                <w:color w:val="00B0F0"/>
                <w:lang w:val="es-ES_tradnl"/>
              </w:rPr>
              <w:t>3.1. Colaboración Gobierno</w:t>
            </w:r>
          </w:p>
          <w:p w14:paraId="1FE436E8"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B0F0"/>
                <w:lang w:val="es-ES_tradnl"/>
              </w:rPr>
              <w:t>3.2. Colaboración con OSC</w:t>
            </w:r>
            <w:r w:rsidRPr="002745E7">
              <w:rPr>
                <w:rFonts w:asciiTheme="majorHAnsi" w:hAnsiTheme="majorHAnsi" w:cstheme="majorHAnsi"/>
                <w:color w:val="00B0F0"/>
              </w:rPr>
              <w:t xml:space="preserve">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1B1576" w14:textId="77777777" w:rsidR="002745E7" w:rsidRPr="002745E7" w:rsidRDefault="002745E7" w:rsidP="002745E7">
            <w:pPr>
              <w:jc w:val="center"/>
              <w:rPr>
                <w:rFonts w:asciiTheme="majorHAnsi" w:hAnsiTheme="majorHAnsi" w:cstheme="majorHAnsi"/>
                <w:color w:val="00B0F0"/>
              </w:rPr>
            </w:pPr>
            <w:r w:rsidRPr="002745E7">
              <w:rPr>
                <w:rFonts w:asciiTheme="majorHAnsi" w:hAnsiTheme="majorHAnsi" w:cstheme="majorHAnsi"/>
                <w:color w:val="00B0F0"/>
              </w:rPr>
              <w:t>2021</w:t>
            </w:r>
          </w:p>
          <w:p w14:paraId="571305AA" w14:textId="7777777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B0F0"/>
              </w:rPr>
              <w:t>2021</w:t>
            </w:r>
          </w:p>
        </w:tc>
      </w:tr>
      <w:tr w:rsidR="002745E7" w:rsidRPr="002745E7" w14:paraId="5139F5D1" w14:textId="77777777" w:rsidTr="002745E7">
        <w:trPr>
          <w:trHeight w:val="405"/>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68F794"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rPr>
              <w:t>4. Liderazgo y cultura organizacional</w:t>
            </w:r>
          </w:p>
        </w:tc>
        <w:tc>
          <w:tcPr>
            <w:tcW w:w="41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EEC29B"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4.1. Liderazgo</w:t>
            </w:r>
          </w:p>
          <w:p w14:paraId="01AC85FC"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4.2. Cultura organizacional</w:t>
            </w:r>
          </w:p>
          <w:p w14:paraId="529CC792"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4.3. Paridad de género</w:t>
            </w:r>
            <w:r w:rsidRPr="002745E7">
              <w:rPr>
                <w:rFonts w:asciiTheme="majorHAnsi" w:hAnsiTheme="majorHAnsi" w:cstheme="majorHAnsi"/>
                <w:color w:val="000000" w:themeColor="text1"/>
              </w:rPr>
              <w:t xml:space="preserve">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A120A1" w14:textId="7777777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2022</w:t>
            </w:r>
          </w:p>
          <w:p w14:paraId="376DA33F" w14:textId="7777777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2022</w:t>
            </w:r>
          </w:p>
          <w:p w14:paraId="041C6ACD" w14:textId="08A6001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2023</w:t>
            </w:r>
          </w:p>
        </w:tc>
      </w:tr>
      <w:tr w:rsidR="002745E7" w:rsidRPr="002745E7" w14:paraId="6A928544" w14:textId="77777777" w:rsidTr="002745E7">
        <w:trPr>
          <w:trHeight w:val="717"/>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98275F" w14:textId="77777777" w:rsidR="002745E7" w:rsidRPr="002745E7" w:rsidRDefault="002745E7" w:rsidP="002745E7">
            <w:pPr>
              <w:rPr>
                <w:rFonts w:asciiTheme="majorHAnsi" w:hAnsiTheme="majorHAnsi" w:cstheme="majorHAnsi"/>
                <w:color w:val="000000" w:themeColor="text1"/>
              </w:rPr>
            </w:pPr>
            <w:r w:rsidRPr="002745E7">
              <w:rPr>
                <w:rFonts w:asciiTheme="majorHAnsi" w:hAnsiTheme="majorHAnsi" w:cstheme="majorHAnsi"/>
                <w:color w:val="000000" w:themeColor="text1"/>
              </w:rPr>
              <w:t>5. Capacidades y arquitectura de género</w:t>
            </w:r>
          </w:p>
        </w:tc>
        <w:tc>
          <w:tcPr>
            <w:tcW w:w="41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2B362F" w14:textId="77777777" w:rsidR="002745E7" w:rsidRPr="002745E7" w:rsidRDefault="002745E7" w:rsidP="00316349">
            <w:pPr>
              <w:jc w:val="both"/>
              <w:rPr>
                <w:rFonts w:asciiTheme="majorHAnsi" w:hAnsiTheme="majorHAnsi" w:cstheme="majorHAnsi"/>
                <w:color w:val="00B0F0"/>
              </w:rPr>
            </w:pPr>
            <w:r w:rsidRPr="002745E7">
              <w:rPr>
                <w:rFonts w:asciiTheme="majorHAnsi" w:hAnsiTheme="majorHAnsi" w:cstheme="majorHAnsi"/>
                <w:color w:val="00B0F0"/>
                <w:lang w:val="es-ES_tradnl"/>
              </w:rPr>
              <w:t>5.1. Mecanismos de Coordinación</w:t>
            </w:r>
          </w:p>
          <w:p w14:paraId="0BCA9EA4" w14:textId="77777777" w:rsidR="002745E7" w:rsidRPr="002745E7" w:rsidRDefault="002745E7" w:rsidP="00316349">
            <w:pPr>
              <w:jc w:val="both"/>
              <w:rPr>
                <w:rFonts w:asciiTheme="majorHAnsi" w:hAnsiTheme="majorHAnsi" w:cstheme="majorHAnsi"/>
                <w:color w:val="000000" w:themeColor="text1"/>
              </w:rPr>
            </w:pPr>
            <w:r w:rsidRPr="002745E7">
              <w:rPr>
                <w:rFonts w:asciiTheme="majorHAnsi" w:hAnsiTheme="majorHAnsi" w:cstheme="majorHAnsi"/>
                <w:color w:val="000000" w:themeColor="text1"/>
                <w:lang w:val="es-ES_tradnl"/>
              </w:rPr>
              <w:t>5.2. Capacidades</w:t>
            </w:r>
            <w:r w:rsidRPr="002745E7">
              <w:rPr>
                <w:rFonts w:asciiTheme="majorHAnsi" w:hAnsiTheme="majorHAnsi" w:cstheme="majorHAnsi"/>
                <w:color w:val="000000" w:themeColor="text1"/>
              </w:rPr>
              <w:t xml:space="preserve">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34ACD3" w14:textId="77777777" w:rsidR="002745E7" w:rsidRPr="002745E7" w:rsidRDefault="002745E7" w:rsidP="002745E7">
            <w:pPr>
              <w:jc w:val="center"/>
              <w:rPr>
                <w:rFonts w:asciiTheme="majorHAnsi" w:hAnsiTheme="majorHAnsi" w:cstheme="majorHAnsi"/>
                <w:color w:val="00B0F0"/>
              </w:rPr>
            </w:pPr>
            <w:r w:rsidRPr="002745E7">
              <w:rPr>
                <w:rFonts w:asciiTheme="majorHAnsi" w:hAnsiTheme="majorHAnsi" w:cstheme="majorHAnsi"/>
                <w:color w:val="00B0F0"/>
              </w:rPr>
              <w:t>2021</w:t>
            </w:r>
          </w:p>
          <w:p w14:paraId="3AD72425" w14:textId="77777777" w:rsidR="002745E7" w:rsidRPr="002745E7" w:rsidRDefault="002745E7" w:rsidP="002745E7">
            <w:pPr>
              <w:jc w:val="center"/>
              <w:rPr>
                <w:rFonts w:asciiTheme="majorHAnsi" w:hAnsiTheme="majorHAnsi" w:cstheme="majorHAnsi"/>
                <w:color w:val="000000" w:themeColor="text1"/>
              </w:rPr>
            </w:pPr>
            <w:r w:rsidRPr="002745E7">
              <w:rPr>
                <w:rFonts w:asciiTheme="majorHAnsi" w:hAnsiTheme="majorHAnsi" w:cstheme="majorHAnsi"/>
                <w:color w:val="000000" w:themeColor="text1"/>
              </w:rPr>
              <w:t>2023</w:t>
            </w:r>
          </w:p>
        </w:tc>
      </w:tr>
      <w:tr w:rsidR="002745E7" w:rsidRPr="002745E7" w14:paraId="423BE585" w14:textId="77777777" w:rsidTr="002745E7">
        <w:trPr>
          <w:trHeight w:val="545"/>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0F7C24" w14:textId="77777777" w:rsidR="002745E7" w:rsidRPr="002745E7" w:rsidRDefault="002745E7" w:rsidP="00316349">
            <w:pPr>
              <w:jc w:val="both"/>
              <w:rPr>
                <w:rFonts w:asciiTheme="majorHAnsi" w:hAnsiTheme="majorHAnsi" w:cstheme="majorHAnsi"/>
              </w:rPr>
            </w:pPr>
            <w:r w:rsidRPr="002745E7">
              <w:rPr>
                <w:rFonts w:asciiTheme="majorHAnsi" w:hAnsiTheme="majorHAnsi" w:cstheme="majorHAnsi"/>
              </w:rPr>
              <w:t>6. Recursos financieros</w:t>
            </w:r>
          </w:p>
        </w:tc>
        <w:tc>
          <w:tcPr>
            <w:tcW w:w="41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1A1CE8" w14:textId="77777777" w:rsidR="002745E7" w:rsidRPr="002745E7" w:rsidRDefault="002745E7" w:rsidP="00316349">
            <w:pPr>
              <w:jc w:val="both"/>
              <w:rPr>
                <w:rFonts w:asciiTheme="majorHAnsi" w:hAnsiTheme="majorHAnsi" w:cstheme="majorHAnsi"/>
              </w:rPr>
            </w:pPr>
            <w:r w:rsidRPr="002745E7">
              <w:rPr>
                <w:rFonts w:asciiTheme="majorHAnsi" w:hAnsiTheme="majorHAnsi" w:cstheme="majorHAnsi"/>
                <w:lang w:val="es-ES_tradnl"/>
              </w:rPr>
              <w:t>6.1. Recursos para la Igualdad de Género</w:t>
            </w:r>
            <w:r w:rsidRPr="002745E7">
              <w:rPr>
                <w:rFonts w:asciiTheme="majorHAnsi" w:hAnsiTheme="majorHAnsi" w:cstheme="majorHAnsi"/>
              </w:rPr>
              <w:t xml:space="preserve">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D3FA73" w14:textId="77777777" w:rsidR="002745E7" w:rsidRPr="002745E7" w:rsidRDefault="002745E7" w:rsidP="002745E7">
            <w:pPr>
              <w:jc w:val="center"/>
              <w:rPr>
                <w:rFonts w:asciiTheme="majorHAnsi" w:hAnsiTheme="majorHAnsi" w:cstheme="majorHAnsi"/>
              </w:rPr>
            </w:pPr>
            <w:r w:rsidRPr="002745E7">
              <w:rPr>
                <w:rFonts w:asciiTheme="majorHAnsi" w:hAnsiTheme="majorHAnsi" w:cstheme="majorHAnsi"/>
              </w:rPr>
              <w:t>2022</w:t>
            </w:r>
          </w:p>
        </w:tc>
      </w:tr>
      <w:tr w:rsidR="002745E7" w:rsidRPr="002745E7" w14:paraId="26956A5C" w14:textId="77777777" w:rsidTr="002745E7">
        <w:trPr>
          <w:trHeight w:val="381"/>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E0EDB2" w14:textId="77777777" w:rsidR="002745E7" w:rsidRPr="002745E7" w:rsidRDefault="002745E7" w:rsidP="00316349">
            <w:pPr>
              <w:jc w:val="both"/>
              <w:rPr>
                <w:rFonts w:asciiTheme="majorHAnsi" w:hAnsiTheme="majorHAnsi" w:cstheme="majorHAnsi"/>
              </w:rPr>
            </w:pPr>
            <w:r w:rsidRPr="002745E7">
              <w:rPr>
                <w:rFonts w:asciiTheme="majorHAnsi" w:hAnsiTheme="majorHAnsi" w:cstheme="majorHAnsi"/>
              </w:rPr>
              <w:t>7. Resultados</w:t>
            </w:r>
          </w:p>
        </w:tc>
        <w:tc>
          <w:tcPr>
            <w:tcW w:w="41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0B78FD" w14:textId="77777777" w:rsidR="002745E7" w:rsidRPr="002745E7" w:rsidRDefault="002745E7" w:rsidP="00316349">
            <w:pPr>
              <w:jc w:val="both"/>
              <w:rPr>
                <w:rFonts w:asciiTheme="majorHAnsi" w:hAnsiTheme="majorHAnsi" w:cstheme="majorHAnsi"/>
              </w:rPr>
            </w:pPr>
            <w:r w:rsidRPr="002745E7">
              <w:rPr>
                <w:rFonts w:asciiTheme="majorHAnsi" w:hAnsiTheme="majorHAnsi" w:cstheme="majorHAnsi"/>
                <w:lang w:val="es-ES_tradnl"/>
              </w:rPr>
              <w:t>7.1. Resultados para la Igualdad de Género</w:t>
            </w:r>
            <w:r w:rsidRPr="002745E7">
              <w:rPr>
                <w:rFonts w:asciiTheme="majorHAnsi" w:hAnsiTheme="majorHAnsi" w:cstheme="majorHAnsi"/>
              </w:rPr>
              <w:t xml:space="preserve">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2D6C02" w14:textId="77777777" w:rsidR="002745E7" w:rsidRPr="002745E7" w:rsidRDefault="002745E7" w:rsidP="002745E7">
            <w:pPr>
              <w:jc w:val="center"/>
              <w:rPr>
                <w:rFonts w:asciiTheme="majorHAnsi" w:hAnsiTheme="majorHAnsi" w:cstheme="majorHAnsi"/>
              </w:rPr>
            </w:pPr>
            <w:r w:rsidRPr="002745E7">
              <w:rPr>
                <w:rFonts w:asciiTheme="majorHAnsi" w:hAnsiTheme="majorHAnsi" w:cstheme="majorHAnsi"/>
              </w:rPr>
              <w:t>2024</w:t>
            </w:r>
          </w:p>
        </w:tc>
      </w:tr>
    </w:tbl>
    <w:p w14:paraId="4D1E18E6" w14:textId="6C92AD60" w:rsidR="002745E7" w:rsidRDefault="002745E7" w:rsidP="002745E7">
      <w:pPr>
        <w:spacing w:after="120"/>
        <w:jc w:val="both"/>
        <w:rPr>
          <w:rFonts w:asciiTheme="majorHAnsi" w:hAnsiTheme="majorHAnsi" w:cstheme="majorHAnsi"/>
        </w:rPr>
      </w:pPr>
    </w:p>
    <w:p w14:paraId="52122FDD" w14:textId="2CD2254E" w:rsidR="00A80645" w:rsidRPr="00A80645" w:rsidRDefault="00A80645" w:rsidP="00D74AB5">
      <w:pPr>
        <w:numPr>
          <w:ilvl w:val="0"/>
          <w:numId w:val="5"/>
        </w:numPr>
        <w:spacing w:after="120"/>
        <w:ind w:left="714" w:hanging="357"/>
        <w:jc w:val="both"/>
        <w:rPr>
          <w:rFonts w:asciiTheme="majorHAnsi" w:hAnsiTheme="majorHAnsi" w:cstheme="majorHAnsi"/>
          <w:b/>
          <w:bCs/>
          <w:lang w:val="es-ES"/>
        </w:rPr>
      </w:pPr>
      <w:r w:rsidRPr="00377C3D">
        <w:rPr>
          <w:rFonts w:asciiTheme="majorHAnsi" w:hAnsiTheme="majorHAnsi" w:cstheme="majorHAnsi"/>
        </w:rPr>
        <w:t xml:space="preserve">La consultora, con el apoyo del Grupo </w:t>
      </w:r>
      <w:r w:rsidRPr="00A80645">
        <w:rPr>
          <w:rFonts w:asciiTheme="majorHAnsi" w:hAnsiTheme="majorHAnsi" w:cstheme="majorHAnsi"/>
          <w:i/>
          <w:iCs/>
        </w:rPr>
        <w:t>Core</w:t>
      </w:r>
      <w:r w:rsidRPr="00377C3D">
        <w:rPr>
          <w:rFonts w:asciiTheme="majorHAnsi" w:hAnsiTheme="majorHAnsi" w:cstheme="majorHAnsi"/>
        </w:rPr>
        <w:t xml:space="preserve">, recolectó la </w:t>
      </w:r>
      <w:r w:rsidR="00377C3D" w:rsidRPr="00377C3D">
        <w:rPr>
          <w:rFonts w:asciiTheme="majorHAnsi" w:hAnsiTheme="majorHAnsi" w:cstheme="majorHAnsi"/>
          <w:lang w:val="es-ES"/>
        </w:rPr>
        <w:t xml:space="preserve">evidencia </w:t>
      </w:r>
      <w:r w:rsidRPr="00377C3D">
        <w:rPr>
          <w:rFonts w:asciiTheme="majorHAnsi" w:hAnsiTheme="majorHAnsi" w:cstheme="majorHAnsi"/>
          <w:lang w:val="es-ES"/>
        </w:rPr>
        <w:t>necesaria para el autodiagnóstico</w:t>
      </w:r>
      <w:r>
        <w:rPr>
          <w:rFonts w:asciiTheme="majorHAnsi" w:hAnsiTheme="majorHAnsi" w:cstheme="majorHAnsi"/>
          <w:lang w:val="es-ES"/>
        </w:rPr>
        <w:t>,</w:t>
      </w:r>
      <w:r w:rsidRPr="00377C3D">
        <w:rPr>
          <w:rFonts w:asciiTheme="majorHAnsi" w:hAnsiTheme="majorHAnsi" w:cstheme="majorHAnsi"/>
          <w:lang w:val="es-ES"/>
        </w:rPr>
        <w:t xml:space="preserve"> e integró una propuesta de puntuación y justificación de la puntuación de los indicadores seleccionados</w:t>
      </w:r>
      <w:r>
        <w:rPr>
          <w:rFonts w:asciiTheme="majorHAnsi" w:hAnsiTheme="majorHAnsi" w:cstheme="majorHAnsi"/>
          <w:lang w:val="es-ES"/>
        </w:rPr>
        <w:t xml:space="preserve">, misma </w:t>
      </w:r>
      <w:r w:rsidRPr="00377C3D">
        <w:rPr>
          <w:rFonts w:asciiTheme="majorHAnsi" w:hAnsiTheme="majorHAnsi" w:cstheme="majorHAnsi"/>
          <w:lang w:val="es-ES"/>
        </w:rPr>
        <w:t xml:space="preserve">que fue revisada </w:t>
      </w:r>
      <w:r>
        <w:rPr>
          <w:rFonts w:asciiTheme="majorHAnsi" w:hAnsiTheme="majorHAnsi" w:cstheme="majorHAnsi"/>
          <w:lang w:val="es-ES"/>
        </w:rPr>
        <w:t xml:space="preserve"> y validad </w:t>
      </w:r>
      <w:r w:rsidRPr="00377C3D">
        <w:rPr>
          <w:rFonts w:asciiTheme="majorHAnsi" w:hAnsiTheme="majorHAnsi" w:cstheme="majorHAnsi"/>
          <w:lang w:val="es-ES"/>
        </w:rPr>
        <w:t xml:space="preserve">por el Grupo </w:t>
      </w:r>
      <w:r w:rsidRPr="00377C3D">
        <w:rPr>
          <w:rFonts w:asciiTheme="majorHAnsi" w:hAnsiTheme="majorHAnsi" w:cstheme="majorHAnsi"/>
          <w:i/>
          <w:iCs/>
          <w:lang w:val="es-ES"/>
        </w:rPr>
        <w:t>Core</w:t>
      </w:r>
      <w:r>
        <w:rPr>
          <w:rFonts w:asciiTheme="majorHAnsi" w:hAnsiTheme="majorHAnsi" w:cstheme="majorHAnsi"/>
          <w:lang w:val="es-ES"/>
        </w:rPr>
        <w:t xml:space="preserve"> para ser presentada y analizada como documento base de trabajo para las siguiente fase.</w:t>
      </w:r>
    </w:p>
    <w:p w14:paraId="79512F78" w14:textId="05F4673A" w:rsidR="00377C3D" w:rsidRPr="00377C3D" w:rsidRDefault="00377C3D" w:rsidP="00A94EB7">
      <w:pPr>
        <w:spacing w:after="120"/>
        <w:jc w:val="both"/>
        <w:rPr>
          <w:rFonts w:asciiTheme="majorHAnsi" w:hAnsiTheme="majorHAnsi" w:cstheme="majorHAnsi"/>
        </w:rPr>
      </w:pPr>
      <w:r w:rsidRPr="00377C3D">
        <w:rPr>
          <w:rFonts w:asciiTheme="majorHAnsi" w:hAnsiTheme="majorHAnsi" w:cstheme="majorHAnsi"/>
          <w:b/>
          <w:bCs/>
          <w:lang w:val="es-ES"/>
        </w:rPr>
        <w:t xml:space="preserve">2. Fase </w:t>
      </w:r>
      <w:r>
        <w:rPr>
          <w:rFonts w:asciiTheme="majorHAnsi" w:hAnsiTheme="majorHAnsi" w:cstheme="majorHAnsi"/>
          <w:b/>
          <w:bCs/>
          <w:lang w:val="es-ES"/>
        </w:rPr>
        <w:t>de a</w:t>
      </w:r>
      <w:r w:rsidRPr="00377C3D">
        <w:rPr>
          <w:rFonts w:asciiTheme="majorHAnsi" w:hAnsiTheme="majorHAnsi" w:cstheme="majorHAnsi"/>
          <w:b/>
          <w:bCs/>
          <w:lang w:val="es-ES"/>
        </w:rPr>
        <w:t>utodiagnóstico</w:t>
      </w:r>
      <w:r>
        <w:rPr>
          <w:rFonts w:asciiTheme="majorHAnsi" w:hAnsiTheme="majorHAnsi" w:cstheme="majorHAnsi"/>
          <w:b/>
          <w:bCs/>
          <w:lang w:val="es-ES"/>
        </w:rPr>
        <w:t xml:space="preserve"> y revisión del Plan de Acción</w:t>
      </w:r>
    </w:p>
    <w:p w14:paraId="445E1A69" w14:textId="0642567B" w:rsidR="00377C3D" w:rsidRDefault="00377C3D" w:rsidP="00D74AB5">
      <w:pPr>
        <w:pStyle w:val="Prrafodelista"/>
        <w:numPr>
          <w:ilvl w:val="0"/>
          <w:numId w:val="4"/>
        </w:numPr>
        <w:spacing w:after="120"/>
        <w:contextualSpacing w:val="0"/>
        <w:jc w:val="both"/>
        <w:rPr>
          <w:rFonts w:asciiTheme="majorHAnsi" w:hAnsiTheme="majorHAnsi" w:cstheme="majorHAnsi"/>
          <w:bCs/>
          <w:color w:val="000000" w:themeColor="text1"/>
          <w:lang w:val="es-ES"/>
        </w:rPr>
      </w:pPr>
      <w:r w:rsidRPr="00377C3D">
        <w:rPr>
          <w:rFonts w:asciiTheme="majorHAnsi" w:hAnsiTheme="majorHAnsi" w:cstheme="majorHAnsi"/>
          <w:lang w:val="es-ES"/>
        </w:rPr>
        <w:t xml:space="preserve">El Equipo Core </w:t>
      </w:r>
      <w:r>
        <w:rPr>
          <w:rFonts w:asciiTheme="majorHAnsi" w:hAnsiTheme="majorHAnsi" w:cstheme="majorHAnsi"/>
          <w:lang w:val="es-ES"/>
        </w:rPr>
        <w:t xml:space="preserve">convocó a un nuevo </w:t>
      </w:r>
      <w:r w:rsidRPr="00377C3D">
        <w:rPr>
          <w:rFonts w:asciiTheme="majorHAnsi" w:hAnsiTheme="majorHAnsi" w:cstheme="majorHAnsi"/>
          <w:lang w:val="es-ES"/>
        </w:rPr>
        <w:t xml:space="preserve">GIM, tomando en consideración dos criterios clave: (i) la combinación de </w:t>
      </w:r>
      <w:r w:rsidRPr="00377C3D">
        <w:rPr>
          <w:rFonts w:asciiTheme="majorHAnsi" w:hAnsiTheme="majorHAnsi" w:cstheme="majorHAnsi"/>
          <w:bCs/>
          <w:color w:val="000000" w:themeColor="text1"/>
          <w:lang w:val="es-ES"/>
        </w:rPr>
        <w:t xml:space="preserve">personas que participaron en el ejercicio anterior, junto con nuevos liderazgos, a fin de que la  experiencia previa, </w:t>
      </w:r>
      <w:r w:rsidR="00A94EB7">
        <w:rPr>
          <w:rFonts w:asciiTheme="majorHAnsi" w:hAnsiTheme="majorHAnsi" w:cstheme="majorHAnsi"/>
          <w:bCs/>
          <w:color w:val="000000" w:themeColor="text1"/>
          <w:lang w:val="es-ES"/>
        </w:rPr>
        <w:t xml:space="preserve">la capacidad técnica </w:t>
      </w:r>
      <w:r w:rsidRPr="00377C3D">
        <w:rPr>
          <w:rFonts w:asciiTheme="majorHAnsi" w:hAnsiTheme="majorHAnsi" w:cstheme="majorHAnsi"/>
          <w:bCs/>
          <w:color w:val="000000" w:themeColor="text1"/>
          <w:lang w:val="es-ES"/>
        </w:rPr>
        <w:t xml:space="preserve">y la mirada fresca nutrieran la revisión de manera estratégica; (ii) la representación de agencias, así como de mecanismos interagenciales, incluyendo por primera vez la representación de los Grupos de Resultados (GdR) del Marco de Cooperación. </w:t>
      </w:r>
      <w:r>
        <w:rPr>
          <w:rFonts w:asciiTheme="majorHAnsi" w:hAnsiTheme="majorHAnsi" w:cstheme="majorHAnsi"/>
          <w:bCs/>
          <w:color w:val="000000" w:themeColor="text1"/>
          <w:lang w:val="es-ES"/>
        </w:rPr>
        <w:t xml:space="preserve"> </w:t>
      </w:r>
    </w:p>
    <w:p w14:paraId="6E3C5F52" w14:textId="779A54DF" w:rsidR="00377C3D" w:rsidRPr="00377C3D" w:rsidRDefault="00377C3D" w:rsidP="00D74AB5">
      <w:pPr>
        <w:pStyle w:val="Prrafodelista"/>
        <w:numPr>
          <w:ilvl w:val="0"/>
          <w:numId w:val="4"/>
        </w:numPr>
        <w:spacing w:after="120"/>
        <w:contextualSpacing w:val="0"/>
        <w:jc w:val="both"/>
        <w:rPr>
          <w:rFonts w:asciiTheme="majorHAnsi" w:hAnsiTheme="majorHAnsi" w:cstheme="majorHAnsi"/>
          <w:bCs/>
          <w:color w:val="000000" w:themeColor="text1"/>
          <w:lang w:val="es-ES"/>
        </w:rPr>
      </w:pPr>
      <w:r>
        <w:rPr>
          <w:rFonts w:asciiTheme="majorHAnsi" w:hAnsiTheme="majorHAnsi" w:cstheme="majorHAnsi"/>
          <w:bCs/>
          <w:color w:val="000000" w:themeColor="text1"/>
          <w:lang w:val="es-ES"/>
        </w:rPr>
        <w:t>E</w:t>
      </w:r>
      <w:r w:rsidRPr="00377C3D">
        <w:rPr>
          <w:rFonts w:asciiTheme="majorHAnsi" w:hAnsiTheme="majorHAnsi" w:cstheme="majorHAnsi"/>
          <w:bCs/>
          <w:color w:val="000000" w:themeColor="text1"/>
          <w:lang w:val="es-ES"/>
        </w:rPr>
        <w:t xml:space="preserve">l GIM </w:t>
      </w:r>
      <w:r>
        <w:rPr>
          <w:rFonts w:asciiTheme="majorHAnsi" w:hAnsiTheme="majorHAnsi" w:cstheme="majorHAnsi"/>
          <w:bCs/>
          <w:color w:val="000000" w:themeColor="text1"/>
          <w:lang w:val="es-ES"/>
        </w:rPr>
        <w:t xml:space="preserve">se integró con </w:t>
      </w:r>
      <w:r w:rsidRPr="00377C3D">
        <w:rPr>
          <w:rFonts w:asciiTheme="majorHAnsi" w:hAnsiTheme="majorHAnsi" w:cstheme="majorHAnsi"/>
          <w:bCs/>
          <w:color w:val="000000" w:themeColor="text1"/>
          <w:lang w:val="es-ES"/>
        </w:rPr>
        <w:t>1</w:t>
      </w:r>
      <w:r>
        <w:rPr>
          <w:rFonts w:asciiTheme="majorHAnsi" w:hAnsiTheme="majorHAnsi" w:cstheme="majorHAnsi"/>
          <w:bCs/>
          <w:color w:val="000000" w:themeColor="text1"/>
          <w:lang w:val="es-ES"/>
        </w:rPr>
        <w:t>3</w:t>
      </w:r>
      <w:r w:rsidRPr="00377C3D">
        <w:rPr>
          <w:rFonts w:asciiTheme="majorHAnsi" w:hAnsiTheme="majorHAnsi" w:cstheme="majorHAnsi"/>
          <w:bCs/>
          <w:color w:val="000000" w:themeColor="text1"/>
          <w:lang w:val="es-ES"/>
        </w:rPr>
        <w:t xml:space="preserve"> personas, </w:t>
      </w:r>
      <w:r w:rsidR="00A80645">
        <w:rPr>
          <w:rFonts w:asciiTheme="majorHAnsi" w:hAnsiTheme="majorHAnsi" w:cstheme="majorHAnsi"/>
          <w:bCs/>
          <w:color w:val="000000" w:themeColor="text1"/>
          <w:lang w:val="es-ES"/>
        </w:rPr>
        <w:t xml:space="preserve">en representación de </w:t>
      </w:r>
      <w:r>
        <w:rPr>
          <w:rFonts w:asciiTheme="majorHAnsi" w:hAnsiTheme="majorHAnsi" w:cstheme="majorHAnsi"/>
          <w:bCs/>
          <w:color w:val="000000" w:themeColor="text1"/>
          <w:lang w:val="es-ES"/>
        </w:rPr>
        <w:t>de 6</w:t>
      </w:r>
      <w:r w:rsidRPr="00377C3D">
        <w:rPr>
          <w:rFonts w:asciiTheme="majorHAnsi" w:hAnsiTheme="majorHAnsi" w:cstheme="majorHAnsi"/>
          <w:bCs/>
          <w:color w:val="000000" w:themeColor="text1"/>
          <w:lang w:val="es-ES"/>
        </w:rPr>
        <w:t xml:space="preserve"> agencias</w:t>
      </w:r>
      <w:r>
        <w:rPr>
          <w:rFonts w:asciiTheme="majorHAnsi" w:hAnsiTheme="majorHAnsi" w:cstheme="majorHAnsi"/>
          <w:bCs/>
          <w:color w:val="000000" w:themeColor="text1"/>
          <w:lang w:val="es-ES"/>
        </w:rPr>
        <w:t>, fondos, programas y oficinas (ONU Mujeres,</w:t>
      </w:r>
      <w:r w:rsidRPr="00377C3D">
        <w:rPr>
          <w:rFonts w:asciiTheme="majorHAnsi" w:hAnsiTheme="majorHAnsi" w:cstheme="majorHAnsi"/>
          <w:bCs/>
          <w:color w:val="000000" w:themeColor="text1"/>
          <w:lang w:val="es-ES"/>
        </w:rPr>
        <w:t xml:space="preserve"> </w:t>
      </w:r>
      <w:r>
        <w:rPr>
          <w:rFonts w:asciiTheme="majorHAnsi" w:hAnsiTheme="majorHAnsi" w:cstheme="majorHAnsi"/>
          <w:bCs/>
          <w:color w:val="000000" w:themeColor="text1"/>
          <w:lang w:val="es-ES"/>
        </w:rPr>
        <w:t xml:space="preserve">OIT, OCR, PNUD, UNFPA y UNICEF), </w:t>
      </w:r>
      <w:r w:rsidR="00A80645">
        <w:rPr>
          <w:rFonts w:asciiTheme="majorHAnsi" w:hAnsiTheme="majorHAnsi" w:cstheme="majorHAnsi"/>
          <w:bCs/>
          <w:color w:val="000000" w:themeColor="text1"/>
          <w:lang w:val="es-ES"/>
        </w:rPr>
        <w:t xml:space="preserve">y </w:t>
      </w:r>
      <w:r>
        <w:rPr>
          <w:rFonts w:asciiTheme="majorHAnsi" w:hAnsiTheme="majorHAnsi" w:cstheme="majorHAnsi"/>
          <w:bCs/>
          <w:color w:val="000000" w:themeColor="text1"/>
          <w:lang w:val="es-ES"/>
        </w:rPr>
        <w:t>de 9</w:t>
      </w:r>
      <w:r w:rsidRPr="00377C3D">
        <w:rPr>
          <w:rFonts w:asciiTheme="majorHAnsi" w:hAnsiTheme="majorHAnsi" w:cstheme="majorHAnsi"/>
          <w:bCs/>
          <w:color w:val="000000" w:themeColor="text1"/>
          <w:lang w:val="es-ES"/>
        </w:rPr>
        <w:t xml:space="preserve"> grupos/mecanismos</w:t>
      </w:r>
      <w:r>
        <w:rPr>
          <w:rFonts w:asciiTheme="majorHAnsi" w:hAnsiTheme="majorHAnsi" w:cstheme="majorHAnsi"/>
          <w:bCs/>
          <w:color w:val="000000" w:themeColor="text1"/>
          <w:lang w:val="es-ES"/>
        </w:rPr>
        <w:t>/programas</w:t>
      </w:r>
      <w:r w:rsidR="00A80645">
        <w:rPr>
          <w:rFonts w:asciiTheme="majorHAnsi" w:hAnsiTheme="majorHAnsi" w:cstheme="majorHAnsi"/>
          <w:bCs/>
          <w:color w:val="000000" w:themeColor="text1"/>
          <w:lang w:val="es-ES"/>
        </w:rPr>
        <w:t xml:space="preserve"> </w:t>
      </w:r>
      <w:r w:rsidRPr="00377C3D">
        <w:rPr>
          <w:rFonts w:asciiTheme="majorHAnsi" w:hAnsiTheme="majorHAnsi" w:cstheme="majorHAnsi"/>
          <w:bCs/>
          <w:color w:val="000000" w:themeColor="text1"/>
          <w:lang w:val="es-ES"/>
        </w:rPr>
        <w:t>interagenciales</w:t>
      </w:r>
      <w:r>
        <w:rPr>
          <w:rFonts w:asciiTheme="majorHAnsi" w:hAnsiTheme="majorHAnsi" w:cstheme="majorHAnsi"/>
          <w:bCs/>
          <w:color w:val="000000" w:themeColor="text1"/>
          <w:lang w:val="es-ES"/>
        </w:rPr>
        <w:t xml:space="preserve"> (GIG, Grupo interagencial de Interculturalidad, M&amp;E, OMT, </w:t>
      </w:r>
      <w:r w:rsidR="00A80645">
        <w:rPr>
          <w:rFonts w:asciiTheme="majorHAnsi" w:hAnsiTheme="majorHAnsi" w:cstheme="majorHAnsi"/>
          <w:bCs/>
          <w:color w:val="000000" w:themeColor="text1"/>
          <w:lang w:val="es-ES"/>
        </w:rPr>
        <w:t>GdR</w:t>
      </w:r>
      <w:r>
        <w:rPr>
          <w:rFonts w:asciiTheme="majorHAnsi" w:hAnsiTheme="majorHAnsi" w:cstheme="majorHAnsi"/>
          <w:bCs/>
          <w:color w:val="000000" w:themeColor="text1"/>
          <w:lang w:val="es-ES"/>
        </w:rPr>
        <w:t xml:space="preserve">, </w:t>
      </w:r>
      <w:r w:rsidRPr="00377C3D">
        <w:rPr>
          <w:rFonts w:ascii="Calibri" w:hAnsi="Calibri" w:cs="Calibri"/>
          <w:bCs/>
          <w:color w:val="000000" w:themeColor="text1"/>
          <w:lang w:val="es-ES"/>
        </w:rPr>
        <w:t>Red Interagencial de Alianzas y Financiamiento para el Desarrollo</w:t>
      </w:r>
      <w:r>
        <w:rPr>
          <w:rFonts w:ascii="Calibri" w:hAnsi="Calibri" w:cs="Calibri"/>
          <w:bCs/>
          <w:color w:val="000000" w:themeColor="text1"/>
          <w:lang w:val="es-ES"/>
        </w:rPr>
        <w:t>, Red PSEA y los programas conjuntos Spotlight y Cerrando Brechas)</w:t>
      </w:r>
    </w:p>
    <w:p w14:paraId="660A5949" w14:textId="2C6BB2B8" w:rsidR="00377C3D" w:rsidRPr="00AB23B1" w:rsidRDefault="001178DB" w:rsidP="00D74AB5">
      <w:pPr>
        <w:pStyle w:val="Prrafodelista"/>
        <w:numPr>
          <w:ilvl w:val="0"/>
          <w:numId w:val="6"/>
        </w:numPr>
        <w:spacing w:after="200"/>
        <w:jc w:val="both"/>
        <w:rPr>
          <w:rFonts w:ascii="Calibri" w:hAnsi="Calibri" w:cs="Calibri"/>
          <w:bCs/>
          <w:lang w:val="es-ES"/>
        </w:rPr>
      </w:pPr>
      <w:r w:rsidRPr="001178DB">
        <w:rPr>
          <w:rFonts w:asciiTheme="majorHAnsi" w:hAnsiTheme="majorHAnsi" w:cstheme="majorHAnsi"/>
        </w:rPr>
        <w:t xml:space="preserve"> </w:t>
      </w:r>
      <w:r w:rsidRPr="00772037">
        <w:rPr>
          <w:rFonts w:asciiTheme="majorHAnsi" w:hAnsiTheme="majorHAnsi" w:cstheme="majorHAnsi"/>
        </w:rPr>
        <w:t>Con el apoyo técnico de la consultora</w:t>
      </w:r>
      <w:r>
        <w:rPr>
          <w:rFonts w:asciiTheme="majorHAnsi" w:hAnsiTheme="majorHAnsi" w:cstheme="majorHAnsi"/>
        </w:rPr>
        <w:t>, e</w:t>
      </w:r>
      <w:r w:rsidR="00377C3D" w:rsidRPr="00377C3D">
        <w:rPr>
          <w:rFonts w:asciiTheme="majorHAnsi" w:hAnsiTheme="majorHAnsi" w:cstheme="majorHAnsi"/>
          <w:bCs/>
          <w:color w:val="000000" w:themeColor="text1"/>
          <w:lang w:val="es-ES"/>
        </w:rPr>
        <w:t xml:space="preserve">l GIM se reunió en formato de Taller </w:t>
      </w:r>
      <w:r w:rsidR="00377C3D">
        <w:rPr>
          <w:rFonts w:asciiTheme="majorHAnsi" w:hAnsiTheme="majorHAnsi" w:cstheme="majorHAnsi"/>
          <w:bCs/>
          <w:color w:val="000000" w:themeColor="text1"/>
          <w:lang w:val="es-ES"/>
        </w:rPr>
        <w:t>para revisar, analizar y validar la puntuación de los indicadores seleccionados</w:t>
      </w:r>
      <w:r>
        <w:rPr>
          <w:rFonts w:asciiTheme="majorHAnsi" w:hAnsiTheme="majorHAnsi" w:cstheme="majorHAnsi"/>
          <w:bCs/>
          <w:color w:val="000000" w:themeColor="text1"/>
          <w:lang w:val="es-ES"/>
        </w:rPr>
        <w:t xml:space="preserve"> y la Matriz de autodiagnóstico actualizada</w:t>
      </w:r>
      <w:r w:rsidR="00377C3D">
        <w:rPr>
          <w:rFonts w:asciiTheme="majorHAnsi" w:hAnsiTheme="majorHAnsi" w:cstheme="majorHAnsi"/>
          <w:bCs/>
          <w:color w:val="000000" w:themeColor="text1"/>
          <w:lang w:val="es-ES"/>
        </w:rPr>
        <w:t xml:space="preserve">; revisar de manera </w:t>
      </w:r>
      <w:r w:rsidR="00377C3D" w:rsidRPr="00377C3D">
        <w:rPr>
          <w:rFonts w:ascii="Calibri" w:hAnsi="Calibri" w:cs="Calibri"/>
          <w:bCs/>
          <w:lang w:val="es-ES"/>
        </w:rPr>
        <w:t>colectiva el avance del Plan de Acción 2019</w:t>
      </w:r>
      <w:r w:rsidR="00377C3D" w:rsidRPr="00AB23B1">
        <w:rPr>
          <w:rFonts w:ascii="Calibri" w:hAnsi="Calibri" w:cs="Calibri"/>
          <w:bCs/>
          <w:lang w:val="es-ES"/>
        </w:rPr>
        <w:t xml:space="preserve"> e intercambiar puntos de vista sobre desafíos, lecciones aprendidas, buenas prácticas y áreas de mejora para su implementación y seguimiento</w:t>
      </w:r>
      <w:r w:rsidR="00377C3D">
        <w:rPr>
          <w:rFonts w:ascii="Calibri" w:hAnsi="Calibri" w:cs="Calibri"/>
          <w:bCs/>
          <w:lang w:val="es-ES"/>
        </w:rPr>
        <w:t>; así como, i</w:t>
      </w:r>
      <w:r w:rsidR="00377C3D" w:rsidRPr="00377C3D">
        <w:rPr>
          <w:rFonts w:ascii="Calibri" w:hAnsi="Calibri" w:cs="Calibri"/>
          <w:bCs/>
          <w:lang w:val="es-ES"/>
        </w:rPr>
        <w:t xml:space="preserve">dentificar colaborativamente </w:t>
      </w:r>
      <w:r w:rsidR="00377C3D">
        <w:rPr>
          <w:rFonts w:ascii="Calibri" w:hAnsi="Calibri" w:cs="Calibri"/>
          <w:bCs/>
          <w:lang w:val="es-ES"/>
        </w:rPr>
        <w:t xml:space="preserve">las </w:t>
      </w:r>
      <w:r w:rsidR="00377C3D" w:rsidRPr="00377C3D">
        <w:rPr>
          <w:rFonts w:ascii="Calibri" w:hAnsi="Calibri" w:cs="Calibri"/>
          <w:bCs/>
          <w:lang w:val="es-ES"/>
        </w:rPr>
        <w:t>acciones correctivas/ajustes estratégicos al Plan de Acción 2019</w:t>
      </w:r>
      <w:r w:rsidR="00377C3D" w:rsidRPr="00AB23B1">
        <w:rPr>
          <w:rFonts w:ascii="Calibri" w:hAnsi="Calibri" w:cs="Calibri"/>
          <w:bCs/>
          <w:lang w:val="es-ES"/>
        </w:rPr>
        <w:t xml:space="preserve"> para acelerar su cumplimiento y  mejorar el desempeño de todas las áreas, especialmente en las que se presentan los mayores rezagos.</w:t>
      </w:r>
    </w:p>
    <w:p w14:paraId="785492B2" w14:textId="3C68DC17" w:rsidR="00377C3D" w:rsidRPr="00377C3D" w:rsidRDefault="00377C3D" w:rsidP="00377C3D">
      <w:pPr>
        <w:spacing w:after="200"/>
        <w:jc w:val="both"/>
        <w:rPr>
          <w:rFonts w:asciiTheme="majorHAnsi" w:hAnsiTheme="majorHAnsi" w:cstheme="majorHAnsi"/>
          <w:b/>
        </w:rPr>
      </w:pPr>
      <w:r w:rsidRPr="00377C3D">
        <w:rPr>
          <w:rFonts w:asciiTheme="majorHAnsi" w:hAnsiTheme="majorHAnsi" w:cstheme="majorHAnsi"/>
          <w:b/>
          <w:color w:val="000000" w:themeColor="text1"/>
          <w:lang w:val="es-ES"/>
        </w:rPr>
        <w:t xml:space="preserve">3. </w:t>
      </w:r>
      <w:r w:rsidR="001178DB" w:rsidRPr="001178DB">
        <w:rPr>
          <w:rFonts w:asciiTheme="majorHAnsi" w:hAnsiTheme="majorHAnsi" w:cstheme="majorHAnsi"/>
          <w:b/>
          <w:color w:val="000000" w:themeColor="text1"/>
          <w:lang w:val="es-ES_tradnl"/>
        </w:rPr>
        <w:t xml:space="preserve">Fase de sistematización de </w:t>
      </w:r>
      <w:r w:rsidR="001178DB">
        <w:rPr>
          <w:rFonts w:asciiTheme="majorHAnsi" w:hAnsiTheme="majorHAnsi" w:cstheme="majorHAnsi"/>
          <w:b/>
          <w:color w:val="000000" w:themeColor="text1"/>
          <w:lang w:val="es-ES_tradnl"/>
        </w:rPr>
        <w:t>resultados e integración del I</w:t>
      </w:r>
      <w:r w:rsidRPr="001178DB">
        <w:rPr>
          <w:rFonts w:asciiTheme="majorHAnsi" w:hAnsiTheme="majorHAnsi" w:cstheme="majorHAnsi"/>
          <w:b/>
          <w:color w:val="000000" w:themeColor="text1"/>
          <w:lang w:val="es-ES_tradnl"/>
        </w:rPr>
        <w:t>nforme</w:t>
      </w:r>
      <w:r w:rsidR="001178DB" w:rsidRPr="001178DB">
        <w:rPr>
          <w:rFonts w:asciiTheme="majorHAnsi" w:hAnsiTheme="majorHAnsi" w:cstheme="majorHAnsi"/>
          <w:b/>
          <w:color w:val="000000" w:themeColor="text1"/>
          <w:lang w:val="es-ES_tradnl"/>
        </w:rPr>
        <w:t xml:space="preserve"> </w:t>
      </w:r>
      <w:r w:rsidRPr="001178DB">
        <w:rPr>
          <w:rFonts w:asciiTheme="majorHAnsi" w:hAnsiTheme="majorHAnsi" w:cstheme="majorHAnsi"/>
          <w:b/>
          <w:lang w:val="es-ES_tradnl"/>
        </w:rPr>
        <w:t xml:space="preserve">de la </w:t>
      </w:r>
      <w:r w:rsidRPr="00377C3D">
        <w:rPr>
          <w:rFonts w:asciiTheme="majorHAnsi" w:hAnsiTheme="majorHAnsi" w:cstheme="majorHAnsi"/>
          <w:b/>
          <w:lang w:val="es-ES_tradnl"/>
        </w:rPr>
        <w:t>RMT</w:t>
      </w:r>
    </w:p>
    <w:p w14:paraId="5F8CA988" w14:textId="53F64C4C" w:rsidR="00377C3D" w:rsidRPr="00377C3D" w:rsidRDefault="00377C3D" w:rsidP="00D74AB5">
      <w:pPr>
        <w:numPr>
          <w:ilvl w:val="1"/>
          <w:numId w:val="7"/>
        </w:numPr>
        <w:jc w:val="both"/>
        <w:rPr>
          <w:rFonts w:asciiTheme="majorHAnsi" w:hAnsiTheme="majorHAnsi" w:cstheme="majorHAnsi"/>
          <w:i/>
          <w:iCs/>
        </w:rPr>
      </w:pPr>
      <w:r>
        <w:rPr>
          <w:rFonts w:asciiTheme="majorHAnsi" w:hAnsiTheme="majorHAnsi" w:cstheme="majorHAnsi"/>
          <w:lang w:val="es-ES"/>
        </w:rPr>
        <w:t xml:space="preserve">Con base en </w:t>
      </w:r>
      <w:r w:rsidR="001178DB">
        <w:rPr>
          <w:rFonts w:asciiTheme="majorHAnsi" w:hAnsiTheme="majorHAnsi" w:cstheme="majorHAnsi"/>
          <w:lang w:val="es-ES"/>
        </w:rPr>
        <w:t>el trabajo realizado de las fases</w:t>
      </w:r>
      <w:r>
        <w:rPr>
          <w:rFonts w:asciiTheme="majorHAnsi" w:hAnsiTheme="majorHAnsi" w:cstheme="majorHAnsi"/>
          <w:lang w:val="es-ES"/>
        </w:rPr>
        <w:t xml:space="preserve"> anteriores, </w:t>
      </w:r>
      <w:r w:rsidR="001178DB">
        <w:rPr>
          <w:rFonts w:asciiTheme="majorHAnsi" w:hAnsiTheme="majorHAnsi" w:cstheme="majorHAnsi"/>
          <w:lang w:val="es-ES"/>
        </w:rPr>
        <w:t>la consultora integró</w:t>
      </w:r>
      <w:r>
        <w:rPr>
          <w:rFonts w:asciiTheme="majorHAnsi" w:hAnsiTheme="majorHAnsi" w:cstheme="majorHAnsi"/>
          <w:lang w:val="es-ES"/>
        </w:rPr>
        <w:t xml:space="preserve"> el </w:t>
      </w:r>
      <w:r w:rsidR="001178DB">
        <w:rPr>
          <w:rFonts w:asciiTheme="majorHAnsi" w:hAnsiTheme="majorHAnsi" w:cstheme="majorHAnsi"/>
          <w:lang w:val="es-ES"/>
        </w:rPr>
        <w:t>I</w:t>
      </w:r>
      <w:r>
        <w:rPr>
          <w:rFonts w:asciiTheme="majorHAnsi" w:hAnsiTheme="majorHAnsi" w:cstheme="majorHAnsi"/>
          <w:lang w:val="es-ES"/>
        </w:rPr>
        <w:t xml:space="preserve">nforme preliminar de </w:t>
      </w:r>
      <w:r w:rsidR="001178DB">
        <w:rPr>
          <w:rFonts w:asciiTheme="majorHAnsi" w:hAnsiTheme="majorHAnsi" w:cstheme="majorHAnsi"/>
          <w:lang w:val="es-ES"/>
        </w:rPr>
        <w:t xml:space="preserve">resultados de </w:t>
      </w:r>
      <w:r>
        <w:rPr>
          <w:rFonts w:asciiTheme="majorHAnsi" w:hAnsiTheme="majorHAnsi" w:cstheme="majorHAnsi"/>
          <w:lang w:val="es-ES"/>
        </w:rPr>
        <w:t>la RMT</w:t>
      </w:r>
      <w:r w:rsidR="001178DB">
        <w:rPr>
          <w:rFonts w:asciiTheme="majorHAnsi" w:hAnsiTheme="majorHAnsi" w:cstheme="majorHAnsi"/>
          <w:lang w:val="es-ES"/>
        </w:rPr>
        <w:t xml:space="preserve"> </w:t>
      </w:r>
      <w:r w:rsidRPr="00377C3D">
        <w:rPr>
          <w:rFonts w:asciiTheme="majorHAnsi" w:hAnsiTheme="majorHAnsi" w:cstheme="majorHAnsi"/>
          <w:lang w:val="es-ES"/>
        </w:rPr>
        <w:t>para revisión</w:t>
      </w:r>
      <w:r>
        <w:rPr>
          <w:rFonts w:asciiTheme="majorHAnsi" w:hAnsiTheme="majorHAnsi" w:cstheme="majorHAnsi"/>
          <w:lang w:val="es-ES"/>
        </w:rPr>
        <w:t>/validación</w:t>
      </w:r>
      <w:r w:rsidRPr="00377C3D">
        <w:rPr>
          <w:rFonts w:asciiTheme="majorHAnsi" w:hAnsiTheme="majorHAnsi" w:cstheme="majorHAnsi"/>
          <w:lang w:val="es-ES"/>
        </w:rPr>
        <w:t xml:space="preserve"> del </w:t>
      </w:r>
      <w:r>
        <w:rPr>
          <w:rFonts w:asciiTheme="majorHAnsi" w:hAnsiTheme="majorHAnsi" w:cstheme="majorHAnsi"/>
          <w:lang w:val="es-ES"/>
        </w:rPr>
        <w:t xml:space="preserve">Grupo </w:t>
      </w:r>
      <w:r w:rsidRPr="001178DB">
        <w:rPr>
          <w:rFonts w:asciiTheme="majorHAnsi" w:hAnsiTheme="majorHAnsi" w:cstheme="majorHAnsi"/>
          <w:i/>
          <w:iCs/>
          <w:lang w:val="es-ES"/>
        </w:rPr>
        <w:t>Core</w:t>
      </w:r>
      <w:r>
        <w:rPr>
          <w:rFonts w:asciiTheme="majorHAnsi" w:hAnsiTheme="majorHAnsi" w:cstheme="majorHAnsi"/>
          <w:lang w:val="es-ES"/>
        </w:rPr>
        <w:t xml:space="preserve"> y del GIM. </w:t>
      </w:r>
      <w:r w:rsidR="001178DB">
        <w:rPr>
          <w:rFonts w:asciiTheme="majorHAnsi" w:hAnsiTheme="majorHAnsi" w:cstheme="majorHAnsi"/>
          <w:lang w:val="es-ES"/>
        </w:rPr>
        <w:t>El</w:t>
      </w:r>
      <w:r>
        <w:rPr>
          <w:rFonts w:asciiTheme="majorHAnsi" w:hAnsiTheme="majorHAnsi" w:cstheme="majorHAnsi"/>
          <w:lang w:val="es-ES"/>
        </w:rPr>
        <w:t xml:space="preserve"> informe </w:t>
      </w:r>
      <w:r w:rsidR="001178DB">
        <w:rPr>
          <w:rFonts w:asciiTheme="majorHAnsi" w:hAnsiTheme="majorHAnsi" w:cstheme="majorHAnsi"/>
          <w:lang w:val="es-ES"/>
        </w:rPr>
        <w:t xml:space="preserve">contiene los insumos </w:t>
      </w:r>
      <w:r w:rsidR="00A80645">
        <w:rPr>
          <w:rFonts w:asciiTheme="majorHAnsi" w:hAnsiTheme="majorHAnsi" w:cstheme="majorHAnsi"/>
          <w:lang w:val="es-ES"/>
        </w:rPr>
        <w:t xml:space="preserve">necesarios  </w:t>
      </w:r>
      <w:r w:rsidR="001178DB">
        <w:rPr>
          <w:rFonts w:asciiTheme="majorHAnsi" w:hAnsiTheme="majorHAnsi" w:cstheme="majorHAnsi"/>
          <w:lang w:val="es-ES"/>
        </w:rPr>
        <w:t xml:space="preserve">para el  </w:t>
      </w:r>
      <w:r>
        <w:rPr>
          <w:rFonts w:asciiTheme="majorHAnsi" w:hAnsiTheme="majorHAnsi" w:cstheme="majorHAnsi"/>
          <w:lang w:val="es-ES"/>
        </w:rPr>
        <w:t xml:space="preserve">Reporte Anual del Progreso </w:t>
      </w:r>
      <w:r w:rsidR="001178DB">
        <w:rPr>
          <w:rFonts w:asciiTheme="majorHAnsi" w:hAnsiTheme="majorHAnsi" w:cstheme="majorHAnsi"/>
          <w:lang w:val="es-ES"/>
        </w:rPr>
        <w:t xml:space="preserve">2021 </w:t>
      </w:r>
      <w:r>
        <w:rPr>
          <w:rFonts w:asciiTheme="majorHAnsi" w:hAnsiTheme="majorHAnsi" w:cstheme="majorHAnsi"/>
          <w:lang w:val="es-ES"/>
        </w:rPr>
        <w:t xml:space="preserve">en la plataforma global del </w:t>
      </w:r>
      <w:r w:rsidRPr="001178DB">
        <w:rPr>
          <w:rFonts w:asciiTheme="majorHAnsi" w:hAnsiTheme="majorHAnsi" w:cstheme="majorHAnsi"/>
          <w:lang w:val="es-ES"/>
        </w:rPr>
        <w:t>UNCT-SWAP</w:t>
      </w:r>
      <w:r w:rsidRPr="001178DB">
        <w:rPr>
          <w:rFonts w:asciiTheme="majorHAnsi" w:hAnsiTheme="majorHAnsi" w:cstheme="majorHAnsi"/>
          <w:i/>
          <w:iCs/>
          <w:lang w:val="es-ES"/>
        </w:rPr>
        <w:t xml:space="preserve"> </w:t>
      </w:r>
      <w:r w:rsidR="001178DB">
        <w:rPr>
          <w:rFonts w:asciiTheme="majorHAnsi" w:hAnsiTheme="majorHAnsi" w:cstheme="majorHAnsi"/>
          <w:lang w:val="es-ES"/>
        </w:rPr>
        <w:t xml:space="preserve">y </w:t>
      </w:r>
      <w:r w:rsidR="00A80645">
        <w:rPr>
          <w:rFonts w:asciiTheme="majorHAnsi" w:hAnsiTheme="majorHAnsi" w:cstheme="majorHAnsi"/>
          <w:lang w:val="es-ES"/>
        </w:rPr>
        <w:t>d</w:t>
      </w:r>
      <w:r w:rsidR="001178DB">
        <w:rPr>
          <w:rFonts w:asciiTheme="majorHAnsi" w:hAnsiTheme="majorHAnsi" w:cstheme="majorHAnsi"/>
          <w:lang w:val="es-ES"/>
        </w:rPr>
        <w:t>el IMS de UNSDG.</w:t>
      </w:r>
    </w:p>
    <w:p w14:paraId="027D7FE3" w14:textId="3A909059" w:rsidR="00772037" w:rsidRDefault="00377C3D" w:rsidP="00D74AB5">
      <w:pPr>
        <w:numPr>
          <w:ilvl w:val="1"/>
          <w:numId w:val="7"/>
        </w:numPr>
        <w:spacing w:after="120"/>
        <w:jc w:val="both"/>
        <w:rPr>
          <w:rFonts w:asciiTheme="majorHAnsi" w:hAnsiTheme="majorHAnsi" w:cstheme="majorHAnsi"/>
        </w:rPr>
      </w:pPr>
      <w:r w:rsidRPr="00377C3D">
        <w:rPr>
          <w:rFonts w:asciiTheme="majorHAnsi" w:hAnsiTheme="majorHAnsi" w:cstheme="majorHAnsi"/>
        </w:rPr>
        <w:t xml:space="preserve">Se tiene contemplado para el mes de enero de 2022 presentar los resultados de la RMT al </w:t>
      </w:r>
      <w:r w:rsidR="001178DB">
        <w:rPr>
          <w:rFonts w:asciiTheme="majorHAnsi" w:hAnsiTheme="majorHAnsi" w:cstheme="majorHAnsi"/>
        </w:rPr>
        <w:t>Equipo de País</w:t>
      </w:r>
      <w:r w:rsidRPr="00377C3D">
        <w:rPr>
          <w:rFonts w:asciiTheme="majorHAnsi" w:hAnsiTheme="majorHAnsi" w:cstheme="majorHAnsi"/>
        </w:rPr>
        <w:t xml:space="preserve"> para validación, respuesta de gestión</w:t>
      </w:r>
      <w:r w:rsidR="001178DB">
        <w:rPr>
          <w:rFonts w:asciiTheme="majorHAnsi" w:hAnsiTheme="majorHAnsi" w:cstheme="majorHAnsi"/>
        </w:rPr>
        <w:t xml:space="preserve"> y </w:t>
      </w:r>
      <w:r w:rsidRPr="00377C3D">
        <w:rPr>
          <w:rFonts w:asciiTheme="majorHAnsi" w:hAnsiTheme="majorHAnsi" w:cstheme="majorHAnsi"/>
        </w:rPr>
        <w:t>compromisos</w:t>
      </w:r>
      <w:r w:rsidR="001178DB">
        <w:rPr>
          <w:rFonts w:asciiTheme="majorHAnsi" w:hAnsiTheme="majorHAnsi" w:cstheme="majorHAnsi"/>
        </w:rPr>
        <w:t xml:space="preserve"> al más alto nivel</w:t>
      </w:r>
      <w:r>
        <w:rPr>
          <w:rFonts w:asciiTheme="majorHAnsi" w:hAnsiTheme="majorHAnsi" w:cstheme="majorHAnsi"/>
        </w:rPr>
        <w:t>.</w:t>
      </w:r>
    </w:p>
    <w:p w14:paraId="56FE7EE5" w14:textId="7CCBCDAE" w:rsidR="00AC45EA" w:rsidRDefault="00AC45EA" w:rsidP="00AC45EA">
      <w:pPr>
        <w:spacing w:after="120"/>
        <w:jc w:val="both"/>
        <w:rPr>
          <w:rFonts w:asciiTheme="majorHAnsi" w:hAnsiTheme="majorHAnsi" w:cstheme="majorHAnsi"/>
        </w:rPr>
      </w:pPr>
    </w:p>
    <w:p w14:paraId="537F740E" w14:textId="3A6D4CD4" w:rsidR="00FC2A36" w:rsidRPr="00377C3D" w:rsidRDefault="00E56E9A" w:rsidP="00772037">
      <w:pPr>
        <w:pStyle w:val="Ttulo1"/>
        <w:spacing w:before="0" w:after="120"/>
        <w:rPr>
          <w:rFonts w:cstheme="majorHAnsi"/>
          <w:color w:val="00B0F0"/>
          <w:sz w:val="22"/>
          <w:szCs w:val="22"/>
        </w:rPr>
      </w:pPr>
      <w:bookmarkStart w:id="6" w:name="_Toc89942357"/>
      <w:r w:rsidRPr="00377C3D">
        <w:rPr>
          <w:rFonts w:cstheme="majorHAnsi"/>
          <w:color w:val="00B0F0"/>
          <w:sz w:val="22"/>
          <w:szCs w:val="22"/>
        </w:rPr>
        <w:t xml:space="preserve">III. </w:t>
      </w:r>
      <w:r w:rsidR="000102C4">
        <w:rPr>
          <w:rFonts w:cstheme="majorHAnsi"/>
          <w:color w:val="00B0F0"/>
          <w:sz w:val="22"/>
          <w:szCs w:val="22"/>
        </w:rPr>
        <w:t>C</w:t>
      </w:r>
      <w:r w:rsidR="00FC2A36" w:rsidRPr="00377C3D">
        <w:rPr>
          <w:rFonts w:cstheme="majorHAnsi"/>
          <w:color w:val="00B0F0"/>
          <w:sz w:val="22"/>
          <w:szCs w:val="22"/>
        </w:rPr>
        <w:t>ontexto del SNU en México</w:t>
      </w:r>
      <w:bookmarkEnd w:id="6"/>
    </w:p>
    <w:p w14:paraId="5B24A850" w14:textId="25EBEE34" w:rsidR="00377C3D" w:rsidRPr="00D60E92" w:rsidRDefault="000102C4" w:rsidP="00772037">
      <w:pPr>
        <w:spacing w:after="120"/>
        <w:jc w:val="both"/>
        <w:rPr>
          <w:rFonts w:ascii="Calibri" w:eastAsia="Arial Nova Cond" w:hAnsi="Calibri" w:cs="Calibri"/>
          <w:color w:val="000000" w:themeColor="text1"/>
        </w:rPr>
      </w:pPr>
      <w:r w:rsidRPr="00D60E92">
        <w:rPr>
          <w:rFonts w:ascii="Calibri" w:eastAsia="Times New Roman" w:hAnsi="Calibri" w:cs="Calibri"/>
          <w:shd w:val="clear" w:color="auto" w:fill="FFFFFF"/>
        </w:rPr>
        <w:t xml:space="preserve">El SNU en México se compone actualmente de 29 agencias, fondos, programas y oficinas (5 más en comparación con 2019), de las cuales </w:t>
      </w:r>
      <w:r w:rsidRPr="00D60E92">
        <w:rPr>
          <w:rFonts w:ascii="Calibri" w:eastAsia="Arial Nova Cond" w:hAnsi="Calibri" w:cs="Calibri"/>
          <w:color w:val="000000" w:themeColor="text1"/>
        </w:rPr>
        <w:t>22 son residentes y 7 no residentes. Las agencias trabajan en torno a una diversidad de temas estratégicos para el desarrollo del país y emplean a casi 1,500 personas</w:t>
      </w:r>
      <w:r w:rsidRPr="00D60E92">
        <w:rPr>
          <w:rStyle w:val="Refdenotaalpie"/>
          <w:rFonts w:ascii="Calibri" w:eastAsia="Arial Nova Cond" w:hAnsi="Calibri" w:cs="Calibri"/>
          <w:color w:val="000000" w:themeColor="text1"/>
        </w:rPr>
        <w:footnoteReference w:id="3"/>
      </w:r>
      <w:r w:rsidRPr="00D60E92">
        <w:rPr>
          <w:rFonts w:ascii="Calibri" w:eastAsia="Arial Nova Cond" w:hAnsi="Calibri" w:cs="Calibri"/>
          <w:color w:val="000000" w:themeColor="text1"/>
        </w:rPr>
        <w:t xml:space="preserve"> (300 más en comparación con 2019), quienes se desempeñan en 25 oficinas en la Ciudad de México (CDMX) y presencia en 17 estados del país.</w:t>
      </w:r>
    </w:p>
    <w:p w14:paraId="5ABC8273" w14:textId="461F9809" w:rsidR="00D60E92" w:rsidRDefault="000102C4" w:rsidP="00772037">
      <w:pPr>
        <w:spacing w:after="120"/>
        <w:jc w:val="both"/>
        <w:rPr>
          <w:rFonts w:ascii="Calibri" w:hAnsi="Calibri"/>
          <w:lang w:val="es-ES"/>
        </w:rPr>
      </w:pPr>
      <w:r w:rsidRPr="00D60E92">
        <w:rPr>
          <w:rFonts w:asciiTheme="majorHAnsi" w:hAnsiTheme="majorHAnsi" w:cstheme="majorHAnsi"/>
          <w:color w:val="000000" w:themeColor="text1"/>
          <w:lang w:val="es-ES"/>
        </w:rPr>
        <w:t xml:space="preserve">El </w:t>
      </w:r>
      <w:r w:rsidR="001178DB">
        <w:rPr>
          <w:rFonts w:asciiTheme="majorHAnsi" w:hAnsiTheme="majorHAnsi" w:cstheme="majorHAnsi"/>
          <w:color w:val="000000" w:themeColor="text1"/>
          <w:lang w:val="es-ES"/>
        </w:rPr>
        <w:t>periodo 2020-2021</w:t>
      </w:r>
      <w:r w:rsidRPr="00D60E92">
        <w:rPr>
          <w:rFonts w:asciiTheme="majorHAnsi" w:hAnsiTheme="majorHAnsi" w:cstheme="majorHAnsi"/>
          <w:color w:val="000000" w:themeColor="text1"/>
          <w:lang w:val="es-ES"/>
        </w:rPr>
        <w:t xml:space="preserve"> </w:t>
      </w:r>
      <w:r w:rsidR="001178DB">
        <w:rPr>
          <w:rFonts w:asciiTheme="majorHAnsi" w:hAnsiTheme="majorHAnsi" w:cstheme="majorHAnsi"/>
          <w:color w:val="000000" w:themeColor="text1"/>
          <w:lang w:val="es-ES"/>
        </w:rPr>
        <w:t>ha sido</w:t>
      </w:r>
      <w:r w:rsidRPr="00D60E92">
        <w:rPr>
          <w:rFonts w:asciiTheme="majorHAnsi" w:hAnsiTheme="majorHAnsi" w:cstheme="majorHAnsi"/>
          <w:color w:val="000000" w:themeColor="text1"/>
          <w:lang w:val="es-ES"/>
        </w:rPr>
        <w:t xml:space="preserve"> de grandes </w:t>
      </w:r>
      <w:r w:rsidR="00D60E92">
        <w:rPr>
          <w:rFonts w:asciiTheme="majorHAnsi" w:hAnsiTheme="majorHAnsi" w:cstheme="majorHAnsi"/>
          <w:color w:val="000000" w:themeColor="text1"/>
          <w:lang w:val="es-ES"/>
        </w:rPr>
        <w:t xml:space="preserve">hitos y </w:t>
      </w:r>
      <w:r w:rsidRPr="00D60E92">
        <w:rPr>
          <w:rFonts w:asciiTheme="majorHAnsi" w:hAnsiTheme="majorHAnsi" w:cstheme="majorHAnsi"/>
          <w:color w:val="000000" w:themeColor="text1"/>
          <w:lang w:val="es-ES"/>
        </w:rPr>
        <w:t xml:space="preserve">retos para el SNU en México. Por un lado, </w:t>
      </w:r>
      <w:r w:rsidR="001178DB">
        <w:rPr>
          <w:rFonts w:asciiTheme="majorHAnsi" w:hAnsiTheme="majorHAnsi" w:cstheme="majorHAnsi"/>
          <w:color w:val="000000" w:themeColor="text1"/>
          <w:lang w:val="es-ES"/>
        </w:rPr>
        <w:t xml:space="preserve">en 2020 </w:t>
      </w:r>
      <w:r w:rsidR="00D60E92">
        <w:rPr>
          <w:rFonts w:ascii="Calibri" w:hAnsi="Calibri"/>
          <w:lang w:val="es-ES"/>
        </w:rPr>
        <w:t xml:space="preserve">se firmó con el Gobierno de México y entró en implementación el Marco de Cooperación </w:t>
      </w:r>
      <w:r w:rsidR="00D60E92" w:rsidRPr="00772037">
        <w:rPr>
          <w:rFonts w:asciiTheme="majorHAnsi" w:hAnsiTheme="majorHAnsi" w:cstheme="majorHAnsi"/>
          <w:lang w:val="es-ES"/>
        </w:rPr>
        <w:t>de las Naciones Unidas para el Desarrollo Sostenible 2020-2025 de México</w:t>
      </w:r>
      <w:r w:rsidR="00D60E92">
        <w:rPr>
          <w:rFonts w:asciiTheme="majorHAnsi" w:hAnsiTheme="majorHAnsi" w:cstheme="majorHAnsi"/>
          <w:lang w:val="es-ES"/>
        </w:rPr>
        <w:t xml:space="preserve"> (en adelante, Marco de Cooperación 2020-2025), </w:t>
      </w:r>
      <w:r w:rsidR="001178DB">
        <w:rPr>
          <w:rFonts w:asciiTheme="majorHAnsi" w:hAnsiTheme="majorHAnsi" w:cstheme="majorHAnsi"/>
          <w:lang w:val="es-ES"/>
        </w:rPr>
        <w:t>el cual</w:t>
      </w:r>
      <w:r w:rsidR="00D60E92">
        <w:rPr>
          <w:rFonts w:asciiTheme="majorHAnsi" w:hAnsiTheme="majorHAnsi" w:cstheme="majorHAnsi"/>
          <w:lang w:val="es-ES"/>
        </w:rPr>
        <w:t xml:space="preserve"> plantea una hoja de ruta </w:t>
      </w:r>
      <w:r w:rsidR="001178DB">
        <w:rPr>
          <w:rFonts w:asciiTheme="majorHAnsi" w:hAnsiTheme="majorHAnsi" w:cstheme="majorHAnsi"/>
          <w:lang w:val="es-ES"/>
        </w:rPr>
        <w:t xml:space="preserve">innovadora y </w:t>
      </w:r>
      <w:r w:rsidR="00D60E92">
        <w:rPr>
          <w:rFonts w:asciiTheme="majorHAnsi" w:hAnsiTheme="majorHAnsi" w:cstheme="majorHAnsi"/>
          <w:lang w:val="es-ES"/>
        </w:rPr>
        <w:t xml:space="preserve">alineada a los ODS, incluyendo el ODS 5, para el trabajo conjunto con contrapartes, socios y aliados. Por otro lado, </w:t>
      </w:r>
      <w:r w:rsidRPr="00D60E92">
        <w:rPr>
          <w:rFonts w:asciiTheme="majorHAnsi" w:hAnsiTheme="majorHAnsi" w:cstheme="majorHAnsi"/>
          <w:color w:val="000000" w:themeColor="text1"/>
          <w:lang w:val="es-ES"/>
        </w:rPr>
        <w:t>la irrupción de la COVID-19</w:t>
      </w:r>
      <w:r w:rsidR="00D60E92">
        <w:rPr>
          <w:rFonts w:asciiTheme="majorHAnsi" w:hAnsiTheme="majorHAnsi" w:cstheme="majorHAnsi"/>
          <w:color w:val="000000" w:themeColor="text1"/>
          <w:lang w:val="es-ES"/>
        </w:rPr>
        <w:t xml:space="preserve"> y</w:t>
      </w:r>
      <w:r w:rsidRPr="00D60E92">
        <w:rPr>
          <w:rFonts w:asciiTheme="majorHAnsi" w:hAnsiTheme="majorHAnsi" w:cstheme="majorHAnsi"/>
          <w:color w:val="000000" w:themeColor="text1"/>
          <w:lang w:val="es-ES"/>
        </w:rPr>
        <w:t xml:space="preserve"> las </w:t>
      </w:r>
      <w:r w:rsidR="00D60E92">
        <w:rPr>
          <w:rFonts w:asciiTheme="majorHAnsi" w:hAnsiTheme="majorHAnsi" w:cstheme="majorHAnsi"/>
          <w:color w:val="000000" w:themeColor="text1"/>
          <w:lang w:val="es-ES"/>
        </w:rPr>
        <w:t xml:space="preserve">consecuentes </w:t>
      </w:r>
      <w:r w:rsidRPr="00D60E92">
        <w:rPr>
          <w:rFonts w:asciiTheme="majorHAnsi" w:hAnsiTheme="majorHAnsi" w:cstheme="majorHAnsi"/>
          <w:color w:val="000000" w:themeColor="text1"/>
          <w:lang w:val="es-ES"/>
        </w:rPr>
        <w:t>medidas de distanciamiento social</w:t>
      </w:r>
      <w:r w:rsidR="00D60E92">
        <w:rPr>
          <w:rFonts w:asciiTheme="majorHAnsi" w:hAnsiTheme="majorHAnsi" w:cstheme="majorHAnsi"/>
          <w:color w:val="000000" w:themeColor="text1"/>
          <w:lang w:val="es-ES"/>
        </w:rPr>
        <w:t xml:space="preserve">, incluyendo la habilitación </w:t>
      </w:r>
      <w:r w:rsidR="001178DB">
        <w:rPr>
          <w:rFonts w:asciiTheme="majorHAnsi" w:hAnsiTheme="majorHAnsi" w:cstheme="majorHAnsi"/>
          <w:color w:val="000000" w:themeColor="text1"/>
          <w:lang w:val="es-ES"/>
        </w:rPr>
        <w:t xml:space="preserve">emergente </w:t>
      </w:r>
      <w:r w:rsidR="00D60E92">
        <w:rPr>
          <w:rFonts w:asciiTheme="majorHAnsi" w:hAnsiTheme="majorHAnsi" w:cstheme="majorHAnsi"/>
          <w:color w:val="000000" w:themeColor="text1"/>
          <w:lang w:val="es-ES"/>
        </w:rPr>
        <w:t>del teletrabaj</w:t>
      </w:r>
      <w:r w:rsidR="001178DB">
        <w:rPr>
          <w:rFonts w:asciiTheme="majorHAnsi" w:hAnsiTheme="majorHAnsi" w:cstheme="majorHAnsi"/>
          <w:color w:val="000000" w:themeColor="text1"/>
          <w:lang w:val="es-ES"/>
        </w:rPr>
        <w:t>o que se ha extendido hasta el 2021</w:t>
      </w:r>
      <w:r w:rsidR="00D60E92">
        <w:rPr>
          <w:rFonts w:asciiTheme="majorHAnsi" w:hAnsiTheme="majorHAnsi" w:cstheme="majorHAnsi"/>
          <w:color w:val="000000" w:themeColor="text1"/>
          <w:lang w:val="es-ES"/>
        </w:rPr>
        <w:t>, han impactado</w:t>
      </w:r>
      <w:r w:rsidRPr="00D60E92">
        <w:rPr>
          <w:rFonts w:asciiTheme="majorHAnsi" w:hAnsiTheme="majorHAnsi" w:cstheme="majorHAnsi"/>
          <w:color w:val="000000" w:themeColor="text1"/>
          <w:lang w:val="es-ES"/>
        </w:rPr>
        <w:t xml:space="preserve"> en tiempo y forma el logro de resultados</w:t>
      </w:r>
      <w:r w:rsidR="001178DB">
        <w:rPr>
          <w:rFonts w:asciiTheme="majorHAnsi" w:hAnsiTheme="majorHAnsi" w:cstheme="majorHAnsi"/>
          <w:color w:val="000000" w:themeColor="text1"/>
          <w:lang w:val="es-ES"/>
        </w:rPr>
        <w:t xml:space="preserve"> proyectados</w:t>
      </w:r>
      <w:r w:rsidR="00A94EB7">
        <w:rPr>
          <w:rFonts w:asciiTheme="majorHAnsi" w:hAnsiTheme="majorHAnsi" w:cstheme="majorHAnsi"/>
          <w:color w:val="000000" w:themeColor="text1"/>
          <w:lang w:val="es-ES"/>
        </w:rPr>
        <w:t xml:space="preserve">, </w:t>
      </w:r>
      <w:r w:rsidR="001178DB">
        <w:rPr>
          <w:rFonts w:asciiTheme="majorHAnsi" w:hAnsiTheme="majorHAnsi" w:cstheme="majorHAnsi"/>
          <w:color w:val="000000" w:themeColor="text1"/>
          <w:lang w:val="es-ES"/>
        </w:rPr>
        <w:t>implicando</w:t>
      </w:r>
      <w:r w:rsidRPr="00D60E92">
        <w:rPr>
          <w:rFonts w:asciiTheme="majorHAnsi" w:hAnsiTheme="majorHAnsi" w:cstheme="majorHAnsi"/>
          <w:color w:val="000000" w:themeColor="text1"/>
          <w:lang w:val="es-ES"/>
        </w:rPr>
        <w:t xml:space="preserve"> </w:t>
      </w:r>
      <w:r w:rsidR="001178DB">
        <w:rPr>
          <w:rFonts w:asciiTheme="majorHAnsi" w:hAnsiTheme="majorHAnsi" w:cstheme="majorHAnsi"/>
          <w:color w:val="000000" w:themeColor="text1"/>
          <w:lang w:val="es-ES"/>
        </w:rPr>
        <w:t>el retraso o</w:t>
      </w:r>
      <w:r w:rsidRPr="00D60E92">
        <w:rPr>
          <w:rFonts w:asciiTheme="majorHAnsi" w:hAnsiTheme="majorHAnsi" w:cstheme="majorHAnsi"/>
          <w:color w:val="000000" w:themeColor="text1"/>
          <w:lang w:val="es-ES"/>
        </w:rPr>
        <w:t xml:space="preserve"> reprogramación de </w:t>
      </w:r>
      <w:r w:rsidR="00D60E92">
        <w:rPr>
          <w:rFonts w:asciiTheme="majorHAnsi" w:hAnsiTheme="majorHAnsi" w:cstheme="majorHAnsi"/>
          <w:color w:val="000000" w:themeColor="text1"/>
          <w:lang w:val="es-ES"/>
        </w:rPr>
        <w:t xml:space="preserve">múltiples </w:t>
      </w:r>
      <w:r w:rsidRPr="00D60E92">
        <w:rPr>
          <w:rFonts w:asciiTheme="majorHAnsi" w:hAnsiTheme="majorHAnsi" w:cstheme="majorHAnsi"/>
          <w:color w:val="000000" w:themeColor="text1"/>
          <w:lang w:val="es-ES"/>
        </w:rPr>
        <w:t xml:space="preserve">actividades </w:t>
      </w:r>
      <w:r w:rsidR="001178DB">
        <w:rPr>
          <w:rFonts w:asciiTheme="majorHAnsi" w:hAnsiTheme="majorHAnsi" w:cstheme="majorHAnsi"/>
          <w:color w:val="000000" w:themeColor="text1"/>
          <w:lang w:val="es-ES"/>
        </w:rPr>
        <w:t>para reorientar</w:t>
      </w:r>
      <w:r w:rsidRPr="00D60E92">
        <w:rPr>
          <w:rFonts w:asciiTheme="majorHAnsi" w:hAnsiTheme="majorHAnsi" w:cstheme="majorHAnsi"/>
          <w:color w:val="000000" w:themeColor="text1"/>
          <w:lang w:val="es-ES"/>
        </w:rPr>
        <w:t xml:space="preserve"> los esfuerzos y responder oportuna y eficaz</w:t>
      </w:r>
      <w:r w:rsidR="00A94EB7">
        <w:rPr>
          <w:rFonts w:asciiTheme="majorHAnsi" w:hAnsiTheme="majorHAnsi" w:cstheme="majorHAnsi"/>
          <w:color w:val="000000" w:themeColor="text1"/>
          <w:lang w:val="es-ES"/>
        </w:rPr>
        <w:t>mente</w:t>
      </w:r>
      <w:r w:rsidRPr="00D60E92">
        <w:rPr>
          <w:rFonts w:asciiTheme="majorHAnsi" w:hAnsiTheme="majorHAnsi" w:cstheme="majorHAnsi"/>
          <w:color w:val="000000" w:themeColor="text1"/>
          <w:lang w:val="es-ES"/>
        </w:rPr>
        <w:t xml:space="preserve"> </w:t>
      </w:r>
      <w:r w:rsidRPr="00D60E92">
        <w:rPr>
          <w:rFonts w:ascii="Calibri" w:hAnsi="Calibri"/>
          <w:lang w:val="es-ES"/>
        </w:rPr>
        <w:t xml:space="preserve">a los desafíos derivados de la pandemia. </w:t>
      </w:r>
    </w:p>
    <w:p w14:paraId="576A28B1" w14:textId="0FF027DF" w:rsidR="00D60E92" w:rsidRPr="00D60E92" w:rsidRDefault="00D60E92" w:rsidP="00D60E92">
      <w:pPr>
        <w:spacing w:after="120"/>
        <w:jc w:val="both"/>
        <w:rPr>
          <w:rFonts w:ascii="Calibri" w:eastAsia="Times New Roman" w:hAnsi="Calibri" w:cs="Calibri"/>
          <w:sz w:val="24"/>
          <w:szCs w:val="24"/>
          <w:lang w:eastAsia="es-MX"/>
        </w:rPr>
      </w:pPr>
      <w:r w:rsidRPr="00D60E92">
        <w:rPr>
          <w:rFonts w:ascii="Calibri" w:hAnsi="Calibri" w:cs="Calibri"/>
          <w:lang w:val="es-ES"/>
        </w:rPr>
        <w:t xml:space="preserve">En este contexto, se renovaron </w:t>
      </w:r>
      <w:r w:rsidR="001178DB">
        <w:rPr>
          <w:rFonts w:ascii="Calibri" w:hAnsi="Calibri" w:cs="Calibri"/>
          <w:lang w:val="es-ES"/>
        </w:rPr>
        <w:t xml:space="preserve">además </w:t>
      </w:r>
      <w:r w:rsidRPr="00D60E92">
        <w:rPr>
          <w:rFonts w:ascii="Calibri" w:hAnsi="Calibri" w:cs="Calibri"/>
          <w:lang w:val="es-ES"/>
        </w:rPr>
        <w:t xml:space="preserve">los </w:t>
      </w:r>
      <w:r w:rsidR="000102C4" w:rsidRPr="00D60E92">
        <w:rPr>
          <w:rFonts w:ascii="Calibri" w:hAnsi="Calibri" w:cs="Calibri"/>
          <w:lang w:val="es-ES"/>
        </w:rPr>
        <w:t>liderazgos de la Coordinación Residente y la representación de 7 agencias</w:t>
      </w:r>
      <w:r w:rsidRPr="00D60E92">
        <w:rPr>
          <w:rFonts w:ascii="Calibri" w:hAnsi="Calibri" w:cs="Calibri"/>
          <w:lang w:val="es-ES"/>
        </w:rPr>
        <w:t xml:space="preserve">, al tiempo que se ha llevado a cabo una </w:t>
      </w:r>
      <w:r w:rsidR="000102C4" w:rsidRPr="00D60E92">
        <w:rPr>
          <w:rFonts w:ascii="Calibri" w:hAnsi="Calibri" w:cs="Calibri"/>
          <w:lang w:val="es-ES"/>
        </w:rPr>
        <w:t xml:space="preserve">reconfiguración de la </w:t>
      </w:r>
      <w:r w:rsidR="00A94EB7">
        <w:rPr>
          <w:rFonts w:ascii="Calibri" w:hAnsi="Calibri" w:cs="Calibri"/>
          <w:lang w:val="es-ES"/>
        </w:rPr>
        <w:t>estructura</w:t>
      </w:r>
      <w:r w:rsidR="000102C4" w:rsidRPr="00D60E92">
        <w:rPr>
          <w:rFonts w:ascii="Calibri" w:hAnsi="Calibri" w:cs="Calibri"/>
          <w:lang w:val="es-ES"/>
        </w:rPr>
        <w:t xml:space="preserve"> interagencial</w:t>
      </w:r>
      <w:r w:rsidRPr="00D60E92">
        <w:rPr>
          <w:rFonts w:ascii="Calibri" w:hAnsi="Calibri" w:cs="Calibri"/>
          <w:lang w:val="es-ES"/>
        </w:rPr>
        <w:t xml:space="preserve"> en línea con la Reforma de la ONU</w:t>
      </w:r>
      <w:r w:rsidR="00A94EB7">
        <w:rPr>
          <w:rFonts w:ascii="Calibri" w:hAnsi="Calibri" w:cs="Calibri"/>
          <w:lang w:val="es-ES"/>
        </w:rPr>
        <w:t xml:space="preserve"> y e</w:t>
      </w:r>
      <w:r w:rsidR="001178DB">
        <w:rPr>
          <w:rFonts w:ascii="Calibri" w:hAnsi="Calibri" w:cs="Calibri"/>
          <w:lang w:val="es-ES"/>
        </w:rPr>
        <w:t xml:space="preserve">l nuevo </w:t>
      </w:r>
      <w:r w:rsidRPr="00D60E92">
        <w:rPr>
          <w:rFonts w:ascii="Calibri" w:hAnsi="Calibri" w:cs="Calibri"/>
          <w:lang w:val="es-ES"/>
        </w:rPr>
        <w:t xml:space="preserve">Marco de Cooperación, </w:t>
      </w:r>
      <w:r w:rsidR="00A94EB7">
        <w:rPr>
          <w:rFonts w:ascii="Calibri" w:hAnsi="Calibri" w:cs="Calibri"/>
          <w:lang w:val="es-ES"/>
        </w:rPr>
        <w:t xml:space="preserve">a fin de </w:t>
      </w:r>
      <w:r w:rsidRPr="00D60E92">
        <w:rPr>
          <w:rFonts w:ascii="Calibri" w:hAnsi="Calibri" w:cs="Calibri"/>
          <w:lang w:val="es-ES"/>
        </w:rPr>
        <w:t>optimizar los espacios interagenciales para el logro de resultados conjuntos</w:t>
      </w:r>
      <w:r w:rsidR="00A94EB7">
        <w:rPr>
          <w:rFonts w:ascii="Calibri" w:hAnsi="Calibri" w:cs="Calibri"/>
          <w:lang w:val="es-ES"/>
        </w:rPr>
        <w:t xml:space="preserve">, así como </w:t>
      </w:r>
      <w:r w:rsidRPr="00D60E92">
        <w:rPr>
          <w:rFonts w:ascii="Calibri" w:hAnsi="Calibri" w:cs="Calibri"/>
          <w:lang w:val="es-ES"/>
        </w:rPr>
        <w:t>facilitar la articulación y comunicación entre los grupos y mecanismos</w:t>
      </w:r>
      <w:r w:rsidR="001178DB">
        <w:rPr>
          <w:rFonts w:ascii="Calibri" w:hAnsi="Calibri" w:cs="Calibri"/>
          <w:lang w:val="es-ES"/>
        </w:rPr>
        <w:t xml:space="preserve"> existentes</w:t>
      </w:r>
      <w:r w:rsidRPr="00D60E92">
        <w:rPr>
          <w:rFonts w:ascii="Calibri" w:hAnsi="Calibri" w:cs="Calibri"/>
          <w:lang w:val="es-ES"/>
        </w:rPr>
        <w:t xml:space="preserve">. Actualmente, </w:t>
      </w:r>
      <w:r>
        <w:rPr>
          <w:rFonts w:ascii="Calibri" w:hAnsi="Calibri" w:cs="Calibri"/>
          <w:lang w:val="es-ES"/>
        </w:rPr>
        <w:t xml:space="preserve">además de los </w:t>
      </w:r>
      <w:r w:rsidR="001178DB">
        <w:rPr>
          <w:rFonts w:ascii="Calibri" w:hAnsi="Calibri" w:cs="Calibri"/>
          <w:lang w:val="es-ES"/>
        </w:rPr>
        <w:t xml:space="preserve">4 </w:t>
      </w:r>
      <w:r>
        <w:rPr>
          <w:rFonts w:ascii="Calibri" w:hAnsi="Calibri" w:cs="Calibri"/>
          <w:lang w:val="es-ES"/>
        </w:rPr>
        <w:t xml:space="preserve">Grupos de Resultados del Marco de Cooperación, </w:t>
      </w:r>
      <w:r w:rsidRPr="00D60E92">
        <w:rPr>
          <w:rFonts w:ascii="Calibri" w:hAnsi="Calibri" w:cs="Calibri"/>
          <w:lang w:val="es-ES"/>
        </w:rPr>
        <w:t>e</w:t>
      </w:r>
      <w:r w:rsidRPr="00D60E92">
        <w:rPr>
          <w:rFonts w:ascii="Calibri" w:eastAsia="Times New Roman" w:hAnsi="Calibri" w:cs="Calibri"/>
          <w:lang w:eastAsia="es-MX"/>
        </w:rPr>
        <w:t xml:space="preserve">xisten </w:t>
      </w:r>
      <w:r w:rsidR="001178DB">
        <w:rPr>
          <w:rFonts w:ascii="Calibri" w:eastAsia="Times New Roman" w:hAnsi="Calibri" w:cs="Calibri"/>
          <w:lang w:eastAsia="es-MX"/>
        </w:rPr>
        <w:t>9</w:t>
      </w:r>
      <w:r w:rsidRPr="00D60E92">
        <w:rPr>
          <w:rFonts w:ascii="Calibri" w:eastAsia="Times New Roman" w:hAnsi="Calibri" w:cs="Calibri"/>
          <w:lang w:eastAsia="es-MX"/>
        </w:rPr>
        <w:t xml:space="preserve"> grupos </w:t>
      </w:r>
      <w:r w:rsidR="001178DB">
        <w:rPr>
          <w:rFonts w:ascii="Calibri" w:eastAsia="Times New Roman" w:hAnsi="Calibri" w:cs="Calibri"/>
          <w:lang w:eastAsia="es-MX"/>
        </w:rPr>
        <w:t xml:space="preserve">y 2 redes </w:t>
      </w:r>
      <w:r w:rsidRPr="00D60E92">
        <w:rPr>
          <w:rFonts w:ascii="Calibri" w:eastAsia="Times New Roman" w:hAnsi="Calibri" w:cs="Calibri"/>
          <w:lang w:eastAsia="es-MX"/>
        </w:rPr>
        <w:t xml:space="preserve">interagenciales en los que se abordan temáticas de operaciones y programáticas </w:t>
      </w:r>
      <w:r w:rsidR="001178DB">
        <w:rPr>
          <w:rFonts w:ascii="Calibri" w:eastAsia="Times New Roman" w:hAnsi="Calibri" w:cs="Calibri"/>
          <w:lang w:eastAsia="es-MX"/>
        </w:rPr>
        <w:t xml:space="preserve">con visión colectiva para informar </w:t>
      </w:r>
      <w:r w:rsidRPr="00D60E92">
        <w:rPr>
          <w:rFonts w:ascii="Calibri" w:eastAsia="Times New Roman" w:hAnsi="Calibri" w:cs="Calibri"/>
          <w:lang w:eastAsia="es-MX"/>
        </w:rPr>
        <w:t>al Equipo de País.</w:t>
      </w:r>
    </w:p>
    <w:p w14:paraId="2A8EECBF" w14:textId="40715021" w:rsidR="001178DB" w:rsidRPr="001178DB" w:rsidRDefault="00A94EB7" w:rsidP="00A94EB7">
      <w:pPr>
        <w:pStyle w:val="Descripcin"/>
        <w:jc w:val="center"/>
      </w:pPr>
      <w:bookmarkStart w:id="7" w:name="_Toc89942514"/>
      <w:r>
        <w:t xml:space="preserve">Tabla </w:t>
      </w:r>
      <w:r w:rsidRPr="00A94EB7">
        <w:fldChar w:fldCharType="begin"/>
      </w:r>
      <w:r w:rsidRPr="00A94EB7">
        <w:instrText xml:space="preserve"> SEQ Tabla \* ARABIC </w:instrText>
      </w:r>
      <w:r w:rsidRPr="00A94EB7">
        <w:fldChar w:fldCharType="separate"/>
      </w:r>
      <w:r>
        <w:rPr>
          <w:noProof/>
        </w:rPr>
        <w:t>3</w:t>
      </w:r>
      <w:r w:rsidRPr="00A94EB7">
        <w:fldChar w:fldCharType="end"/>
      </w:r>
      <w:r>
        <w:t xml:space="preserve">. </w:t>
      </w:r>
      <w:r w:rsidR="001178DB" w:rsidRPr="00A94EB7">
        <w:t>Mecanismos</w:t>
      </w:r>
      <w:r w:rsidR="001178DB" w:rsidRPr="001178DB">
        <w:t xml:space="preserve"> interagenciales del SNU en México, 2021</w:t>
      </w:r>
      <w:bookmarkEnd w:id="7"/>
    </w:p>
    <w:p w14:paraId="79E81B10" w14:textId="4D4B513E" w:rsidR="00377C3D" w:rsidRDefault="001178DB" w:rsidP="00772037">
      <w:pPr>
        <w:spacing w:after="120"/>
        <w:jc w:val="both"/>
        <w:rPr>
          <w:rFonts w:asciiTheme="majorHAnsi" w:eastAsia="Times New Roman" w:hAnsiTheme="majorHAnsi" w:cstheme="majorHAnsi"/>
          <w:shd w:val="clear" w:color="auto" w:fill="FFFFFF"/>
          <w:lang w:val="es-ES"/>
        </w:rPr>
      </w:pPr>
      <w:r w:rsidRPr="001178DB">
        <w:rPr>
          <w:rFonts w:asciiTheme="majorHAnsi" w:eastAsia="Times New Roman" w:hAnsiTheme="majorHAnsi" w:cstheme="majorHAnsi"/>
          <w:noProof/>
          <w:shd w:val="clear" w:color="auto" w:fill="FFFFFF"/>
          <w:lang w:val="en-US"/>
        </w:rPr>
        <mc:AlternateContent>
          <mc:Choice Requires="wps">
            <w:drawing>
              <wp:anchor distT="0" distB="0" distL="114300" distR="114300" simplePos="0" relativeHeight="251665408" behindDoc="0" locked="0" layoutInCell="1" allowOverlap="1" wp14:anchorId="04248FDA" wp14:editId="7FB937AB">
                <wp:simplePos x="0" y="0"/>
                <wp:positionH relativeFrom="column">
                  <wp:posOffset>-4275</wp:posOffset>
                </wp:positionH>
                <wp:positionV relativeFrom="paragraph">
                  <wp:posOffset>3380218</wp:posOffset>
                </wp:positionV>
                <wp:extent cx="1196975" cy="703761"/>
                <wp:effectExtent l="0" t="0" r="0" b="0"/>
                <wp:wrapNone/>
                <wp:docPr id="6" name="Rounded 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6975" cy="703761"/>
                        </a:xfrm>
                        <a:prstGeom prst="rect">
                          <a:avLst/>
                        </a:prstGeom>
                        <a:noFill/>
                        <a:ln w="6350">
                          <a:noFill/>
                          <a:prstDash val="sysDot"/>
                          <a:headEnd type="none" w="sm" len="sm"/>
                          <a:tailEnd type="none" w="sm" len="sm"/>
                        </a:ln>
                      </wps:spPr>
                      <wps:style>
                        <a:lnRef idx="2">
                          <a:schemeClr val="accent1"/>
                        </a:lnRef>
                        <a:fillRef idx="1">
                          <a:schemeClr val="lt1"/>
                        </a:fillRef>
                        <a:effectRef idx="0">
                          <a:schemeClr val="accent1"/>
                        </a:effectRef>
                        <a:fontRef idx="minor">
                          <a:schemeClr val="dk1"/>
                        </a:fontRef>
                      </wps:style>
                      <wps:txbx>
                        <w:txbxContent>
                          <w:p w14:paraId="34F77F3A" w14:textId="341C372B"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 xml:space="preserve">Coordinación </w:t>
                            </w:r>
                            <w:r>
                              <w:rPr>
                                <w:rFonts w:ascii="Calibri" w:eastAsia="Arial Nova Cond" w:hAnsi="Calibri" w:cs="Calibri"/>
                                <w:b/>
                                <w:bCs/>
                                <w:color w:val="000000" w:themeColor="text1"/>
                                <w:kern w:val="24"/>
                                <w:lang w:val="es-ES"/>
                              </w:rPr>
                              <w:t xml:space="preserve">y análisis de temas específicos </w:t>
                            </w:r>
                          </w:p>
                        </w:txbxContent>
                      </wps:txbx>
                      <wps:bodyPr vert="horz" wrap="square" lIns="36000" tIns="18000" rIns="36000" bIns="1800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4248FDA" id="Rounded Rectangle 31" o:spid="_x0000_s1026" style="position:absolute;left:0;text-align:left;margin-left:-.35pt;margin-top:266.15pt;width:94.25pt;height:55.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" filled="f" stroked="f" strokeweight=".5pt">
                <v:stroke dashstyle="1 1" startarrowwidth="narrow" startarrowlength="short" endarrowwidth="narrow" endarrowlength="short"/>
                <v:textbox inset="1mm,.5mm,1mm,.5mm">
                  <w:txbxContent>
                    <w:p w14:paraId="34F77F3A" w14:textId="341C372B"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 xml:space="preserve">Coordinación </w:t>
                      </w:r>
                      <w:r>
                        <w:rPr>
                          <w:rFonts w:ascii="Calibri" w:eastAsia="Arial Nova Cond" w:hAnsi="Calibri" w:cs="Calibri"/>
                          <w:b/>
                          <w:bCs/>
                          <w:color w:val="000000" w:themeColor="text1"/>
                          <w:kern w:val="24"/>
                          <w:lang w:val="es-ES"/>
                        </w:rPr>
                        <w:t xml:space="preserve">y análisis de temas específicos </w:t>
                      </w:r>
                    </w:p>
                  </w:txbxContent>
                </v:textbox>
              </v:rect>
            </w:pict>
          </mc:Fallback>
        </mc:AlternateContent>
      </w:r>
      <w:r w:rsidRPr="001178DB">
        <w:rPr>
          <w:rFonts w:asciiTheme="majorHAnsi" w:eastAsia="Times New Roman" w:hAnsiTheme="majorHAnsi" w:cstheme="majorHAnsi"/>
          <w:noProof/>
          <w:shd w:val="clear" w:color="auto" w:fill="FFFFFF"/>
          <w:lang w:val="en-US"/>
        </w:rPr>
        <mc:AlternateContent>
          <mc:Choice Requires="wps">
            <w:drawing>
              <wp:anchor distT="0" distB="0" distL="114300" distR="114300" simplePos="0" relativeHeight="251663360" behindDoc="0" locked="0" layoutInCell="1" allowOverlap="1" wp14:anchorId="377BDCC0" wp14:editId="3B6878C5">
                <wp:simplePos x="0" y="0"/>
                <wp:positionH relativeFrom="column">
                  <wp:posOffset>-3023</wp:posOffset>
                </wp:positionH>
                <wp:positionV relativeFrom="paragraph">
                  <wp:posOffset>2341794</wp:posOffset>
                </wp:positionV>
                <wp:extent cx="1197429" cy="696686"/>
                <wp:effectExtent l="0" t="0" r="0" b="1905"/>
                <wp:wrapNone/>
                <wp:docPr id="48" name="Rounded Rectangle 31">
                  <a:extLst xmlns:a="http://schemas.openxmlformats.org/drawingml/2006/main">
                    <a:ext uri="{FF2B5EF4-FFF2-40B4-BE49-F238E27FC236}">
                      <a16:creationId xmlns:a16="http://schemas.microsoft.com/office/drawing/2014/main" id="{614ADACD-0BF3-4FB2-93AD-F55C690C9BB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7429" cy="696686"/>
                        </a:xfrm>
                        <a:prstGeom prst="rect">
                          <a:avLst/>
                        </a:prstGeom>
                        <a:noFill/>
                        <a:ln w="6350">
                          <a:noFill/>
                          <a:prstDash val="sysDot"/>
                          <a:headEnd type="none" w="sm" len="sm"/>
                          <a:tailEnd type="none" w="sm" len="sm"/>
                        </a:ln>
                      </wps:spPr>
                      <wps:style>
                        <a:lnRef idx="2">
                          <a:schemeClr val="accent1"/>
                        </a:lnRef>
                        <a:fillRef idx="1">
                          <a:schemeClr val="lt1"/>
                        </a:fillRef>
                        <a:effectRef idx="0">
                          <a:schemeClr val="accent1"/>
                        </a:effectRef>
                        <a:fontRef idx="minor">
                          <a:schemeClr val="dk1"/>
                        </a:fontRef>
                      </wps:style>
                      <wps:txbx>
                        <w:txbxContent>
                          <w:p w14:paraId="006A2B02" w14:textId="77777777"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Coordinación de comunicaciones, operaciones y emergencias</w:t>
                            </w:r>
                          </w:p>
                        </w:txbxContent>
                      </wps:txbx>
                      <wps:bodyPr vert="horz" wrap="square" lIns="36000" tIns="18000" rIns="36000" bIns="1800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77BDCC0" id="_x0000_s1027" style="position:absolute;left:0;text-align:left;margin-left:-.25pt;margin-top:184.4pt;width:94.3pt;height:54.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" filled="f" stroked="f" strokeweight=".5pt">
                <v:stroke dashstyle="1 1" startarrowwidth="narrow" startarrowlength="short" endarrowwidth="narrow" endarrowlength="short"/>
                <v:textbox inset="1mm,.5mm,1mm,.5mm">
                  <w:txbxContent>
                    <w:p w14:paraId="006A2B02" w14:textId="77777777"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Coordinación de comunicaciones, operaciones y emergencias</w:t>
                      </w:r>
                    </w:p>
                  </w:txbxContent>
                </v:textbox>
              </v:rect>
            </w:pict>
          </mc:Fallback>
        </mc:AlternateContent>
      </w:r>
      <w:r w:rsidRPr="001178DB">
        <w:rPr>
          <w:rFonts w:asciiTheme="majorHAnsi" w:eastAsia="Times New Roman" w:hAnsiTheme="majorHAnsi" w:cstheme="majorHAnsi"/>
          <w:noProof/>
          <w:shd w:val="clear" w:color="auto" w:fill="FFFFFF"/>
          <w:lang w:val="en-US"/>
        </w:rPr>
        <mc:AlternateContent>
          <mc:Choice Requires="wps">
            <w:drawing>
              <wp:anchor distT="0" distB="0" distL="114300" distR="114300" simplePos="0" relativeHeight="251661312" behindDoc="0" locked="0" layoutInCell="1" allowOverlap="1" wp14:anchorId="6D881E26" wp14:editId="78F040EF">
                <wp:simplePos x="0" y="0"/>
                <wp:positionH relativeFrom="column">
                  <wp:posOffset>-1270</wp:posOffset>
                </wp:positionH>
                <wp:positionV relativeFrom="paragraph">
                  <wp:posOffset>1208292</wp:posOffset>
                </wp:positionV>
                <wp:extent cx="1175385" cy="881743"/>
                <wp:effectExtent l="0" t="0" r="0" b="0"/>
                <wp:wrapNone/>
                <wp:docPr id="46" name="Rounded Rectangle 31">
                  <a:extLst xmlns:a="http://schemas.openxmlformats.org/drawingml/2006/main">
                    <a:ext uri="{FF2B5EF4-FFF2-40B4-BE49-F238E27FC236}">
                      <a16:creationId xmlns:a16="http://schemas.microsoft.com/office/drawing/2014/main" id="{3D923067-2410-4A82-A9AA-01F9F335D81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5385" cy="881743"/>
                        </a:xfrm>
                        <a:prstGeom prst="rect">
                          <a:avLst/>
                        </a:prstGeom>
                        <a:noFill/>
                        <a:ln w="6350">
                          <a:noFill/>
                          <a:prstDash val="sysDot"/>
                          <a:headEnd type="none" w="sm" len="sm"/>
                          <a:tailEnd type="none" w="sm" len="sm"/>
                        </a:ln>
                      </wps:spPr>
                      <wps:style>
                        <a:lnRef idx="2">
                          <a:schemeClr val="accent1"/>
                        </a:lnRef>
                        <a:fillRef idx="1">
                          <a:schemeClr val="lt1"/>
                        </a:fillRef>
                        <a:effectRef idx="0">
                          <a:schemeClr val="accent1"/>
                        </a:effectRef>
                        <a:fontRef idx="minor">
                          <a:schemeClr val="dk1"/>
                        </a:fontRef>
                      </wps:style>
                      <wps:txbx>
                        <w:txbxContent>
                          <w:p w14:paraId="73BCFDF3" w14:textId="77777777"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 xml:space="preserve">Coordinación y análisis de temas transversales </w:t>
                            </w:r>
                          </w:p>
                        </w:txbxContent>
                      </wps:txbx>
                      <wps:bodyPr vert="horz" wrap="square" lIns="36000" tIns="18000" rIns="36000" bIns="1800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D881E26" id="_x0000_s1028" style="position:absolute;left:0;text-align:left;margin-left:-.1pt;margin-top:95.15pt;width:92.55pt;height:69.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" filled="f" stroked="f" strokeweight=".5pt">
                <v:stroke dashstyle="1 1" startarrowwidth="narrow" startarrowlength="short" endarrowwidth="narrow" endarrowlength="short"/>
                <v:textbox inset="1mm,.5mm,1mm,.5mm">
                  <w:txbxContent>
                    <w:p w14:paraId="73BCFDF3" w14:textId="77777777"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 xml:space="preserve">Coordinación y análisis de temas transversales </w:t>
                      </w:r>
                    </w:p>
                  </w:txbxContent>
                </v:textbox>
              </v:rect>
            </w:pict>
          </mc:Fallback>
        </mc:AlternateContent>
      </w:r>
      <w:r w:rsidRPr="001178DB">
        <w:rPr>
          <w:rFonts w:asciiTheme="majorHAnsi" w:eastAsia="Times New Roman" w:hAnsiTheme="majorHAnsi" w:cstheme="majorHAnsi"/>
          <w:noProof/>
          <w:shd w:val="clear" w:color="auto" w:fill="FFFFFF"/>
          <w:lang w:val="en-US"/>
        </w:rPr>
        <mc:AlternateContent>
          <mc:Choice Requires="wps">
            <w:drawing>
              <wp:anchor distT="0" distB="0" distL="114300" distR="114300" simplePos="0" relativeHeight="251659264" behindDoc="0" locked="0" layoutInCell="1" allowOverlap="1" wp14:anchorId="7CFA6EEA" wp14:editId="65BF9B3E">
                <wp:simplePos x="0" y="0"/>
                <wp:positionH relativeFrom="column">
                  <wp:posOffset>-152</wp:posOffset>
                </wp:positionH>
                <wp:positionV relativeFrom="paragraph">
                  <wp:posOffset>59415</wp:posOffset>
                </wp:positionV>
                <wp:extent cx="1175657" cy="805543"/>
                <wp:effectExtent l="0" t="0" r="0" b="0"/>
                <wp:wrapNone/>
                <wp:docPr id="45" name="Rounded Rectangle 31">
                  <a:extLst xmlns:a="http://schemas.openxmlformats.org/drawingml/2006/main">
                    <a:ext uri="{FF2B5EF4-FFF2-40B4-BE49-F238E27FC236}">
                      <a16:creationId xmlns:a16="http://schemas.microsoft.com/office/drawing/2014/main" id="{897B39AA-C930-4BDD-A290-72324AFE9FF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5657" cy="805543"/>
                        </a:xfrm>
                        <a:prstGeom prst="rect">
                          <a:avLst/>
                        </a:prstGeom>
                        <a:noFill/>
                        <a:ln w="6350">
                          <a:noFill/>
                          <a:prstDash val="sysDot"/>
                          <a:headEnd type="none" w="sm" len="sm"/>
                          <a:tailEnd type="none" w="sm" len="sm"/>
                        </a:ln>
                      </wps:spPr>
                      <wps:style>
                        <a:lnRef idx="2">
                          <a:schemeClr val="accent1"/>
                        </a:lnRef>
                        <a:fillRef idx="1">
                          <a:schemeClr val="lt1"/>
                        </a:fillRef>
                        <a:effectRef idx="0">
                          <a:schemeClr val="accent1"/>
                        </a:effectRef>
                        <a:fontRef idx="minor">
                          <a:schemeClr val="dk1"/>
                        </a:fontRef>
                      </wps:style>
                      <wps:txbx>
                        <w:txbxContent>
                          <w:p w14:paraId="61BC14C9" w14:textId="77777777"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Planeación, implementación, iniciativas conjuntas</w:t>
                            </w:r>
                          </w:p>
                        </w:txbxContent>
                      </wps:txbx>
                      <wps:bodyPr vert="horz" wrap="square" lIns="36000" tIns="18000" rIns="36000" bIns="1800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CFA6EEA" id="_x0000_s1029" style="position:absolute;left:0;text-align:left;margin-left:0;margin-top:4.7pt;width:92.55pt;height:6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" filled="f" stroked="f" strokeweight=".5pt">
                <v:stroke dashstyle="1 1" startarrowwidth="narrow" startarrowlength="short" endarrowwidth="narrow" endarrowlength="short"/>
                <v:textbox inset="1mm,.5mm,1mm,.5mm">
                  <w:txbxContent>
                    <w:p w14:paraId="61BC14C9" w14:textId="77777777" w:rsidR="001178DB" w:rsidRPr="001178DB" w:rsidRDefault="001178DB" w:rsidP="001178DB">
                      <w:pPr>
                        <w:kinsoku w:val="0"/>
                        <w:overflowPunct w:val="0"/>
                        <w:textAlignment w:val="baseline"/>
                        <w:rPr>
                          <w:rFonts w:ascii="Calibri" w:eastAsia="Arial Nova Cond" w:hAnsi="Calibri" w:cs="Calibri"/>
                          <w:b/>
                          <w:bCs/>
                          <w:color w:val="000000" w:themeColor="text1"/>
                          <w:kern w:val="24"/>
                          <w:sz w:val="24"/>
                          <w:szCs w:val="24"/>
                          <w:lang w:val="es-ES"/>
                        </w:rPr>
                      </w:pPr>
                      <w:r w:rsidRPr="001178DB">
                        <w:rPr>
                          <w:rFonts w:ascii="Calibri" w:eastAsia="Arial Nova Cond" w:hAnsi="Calibri" w:cs="Calibri"/>
                          <w:b/>
                          <w:bCs/>
                          <w:color w:val="000000" w:themeColor="text1"/>
                          <w:kern w:val="24"/>
                          <w:lang w:val="es-ES"/>
                        </w:rPr>
                        <w:t>Planeación, implementación, iniciativas conjuntas</w:t>
                      </w:r>
                    </w:p>
                  </w:txbxContent>
                </v:textbox>
              </v:rect>
            </w:pict>
          </mc:Fallback>
        </mc:AlternateContent>
      </w:r>
      <w:r w:rsidR="00B848D4">
        <w:rPr>
          <w:rFonts w:asciiTheme="majorHAnsi" w:eastAsia="Times New Roman" w:hAnsiTheme="majorHAnsi" w:cstheme="majorHAnsi"/>
          <w:noProof/>
          <w:shd w:val="clear" w:color="auto" w:fill="FFFFFF"/>
          <w:lang w:val="en-US"/>
        </w:rPr>
        <w:drawing>
          <wp:inline distT="0" distB="0" distL="0" distR="0" wp14:anchorId="6A46E559" wp14:editId="20DB9488">
            <wp:extent cx="5531556" cy="5062220"/>
            <wp:effectExtent l="0" t="0" r="12065" b="0"/>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58487DEF" w14:textId="30DEE3DB" w:rsidR="001178DB" w:rsidRPr="001178DB" w:rsidRDefault="001178DB" w:rsidP="001178DB">
      <w:pPr>
        <w:spacing w:after="120"/>
        <w:jc w:val="both"/>
        <w:rPr>
          <w:rFonts w:asciiTheme="majorHAnsi" w:eastAsia="Times New Roman" w:hAnsiTheme="majorHAnsi" w:cstheme="majorHAnsi"/>
          <w:shd w:val="clear" w:color="auto" w:fill="FFFFFF"/>
        </w:rPr>
      </w:pPr>
      <w:r>
        <w:rPr>
          <w:rFonts w:asciiTheme="majorHAnsi" w:eastAsia="Times New Roman" w:hAnsiTheme="majorHAnsi" w:cstheme="majorHAnsi"/>
          <w:shd w:val="clear" w:color="auto" w:fill="FFFFFF"/>
          <w:lang w:val="es-ES"/>
        </w:rPr>
        <w:t xml:space="preserve">En octubre de 2021, se realizó el Retiro de Planeación Estratégica del Equipo de País, primer acercamiento presencial  a nivel de Jefas y Jefes de agencia desde marzo de 2020 en el contexto de la pandemia. En este marco, el GIG y el OMT presentaron como prioridad estratégica para 2022 fortalecer la implementación y </w:t>
      </w:r>
      <w:r w:rsidR="00D24E5B">
        <w:rPr>
          <w:rFonts w:asciiTheme="majorHAnsi" w:eastAsia="Times New Roman" w:hAnsiTheme="majorHAnsi" w:cstheme="majorHAnsi"/>
          <w:shd w:val="clear" w:color="auto" w:fill="FFFFFF"/>
          <w:lang w:val="es-ES"/>
        </w:rPr>
        <w:t xml:space="preserve">el </w:t>
      </w:r>
      <w:r>
        <w:rPr>
          <w:rFonts w:asciiTheme="majorHAnsi" w:eastAsia="Times New Roman" w:hAnsiTheme="majorHAnsi" w:cstheme="majorHAnsi"/>
          <w:shd w:val="clear" w:color="auto" w:fill="FFFFFF"/>
          <w:lang w:val="es-ES"/>
        </w:rPr>
        <w:t xml:space="preserve">seguimiento del </w:t>
      </w:r>
      <w:r w:rsidRPr="00A80645">
        <w:rPr>
          <w:rFonts w:asciiTheme="majorHAnsi" w:hAnsiTheme="majorHAnsi" w:cstheme="majorHAnsi"/>
          <w:lang w:val="es-ES"/>
        </w:rPr>
        <w:t>UNCT-SWAP</w:t>
      </w:r>
      <w:r>
        <w:rPr>
          <w:rFonts w:asciiTheme="majorHAnsi" w:hAnsiTheme="majorHAnsi" w:cstheme="majorHAnsi"/>
          <w:i/>
          <w:iCs/>
          <w:lang w:val="es-ES"/>
        </w:rPr>
        <w:t>,</w:t>
      </w:r>
      <w:r w:rsidRPr="001178DB">
        <w:rPr>
          <w:rFonts w:asciiTheme="majorHAnsi" w:hAnsiTheme="majorHAnsi" w:cstheme="majorHAnsi"/>
          <w:i/>
          <w:iCs/>
          <w:lang w:val="es-ES"/>
        </w:rPr>
        <w:t xml:space="preserve"> </w:t>
      </w:r>
      <w:r>
        <w:rPr>
          <w:rFonts w:asciiTheme="majorHAnsi" w:hAnsiTheme="majorHAnsi" w:cstheme="majorHAnsi"/>
          <w:lang w:val="es-ES"/>
        </w:rPr>
        <w:t>y asegurar  que el cumplimiento del Plan de Acción sea una</w:t>
      </w:r>
      <w:r w:rsidRPr="001178DB">
        <w:rPr>
          <w:rFonts w:asciiTheme="majorHAnsi" w:eastAsia="Times New Roman" w:hAnsiTheme="majorHAnsi" w:cstheme="majorHAnsi"/>
          <w:shd w:val="clear" w:color="auto" w:fill="FFFFFF"/>
          <w:lang w:val="es-419"/>
        </w:rPr>
        <w:t xml:space="preserve"> responsabilidad </w:t>
      </w:r>
      <w:r>
        <w:rPr>
          <w:rFonts w:asciiTheme="majorHAnsi" w:eastAsia="Times New Roman" w:hAnsiTheme="majorHAnsi" w:cstheme="majorHAnsi"/>
          <w:shd w:val="clear" w:color="auto" w:fill="FFFFFF"/>
          <w:lang w:val="es-419"/>
        </w:rPr>
        <w:t xml:space="preserve">colectiva de todos los grupos interagenciales </w:t>
      </w:r>
      <w:r w:rsidR="00D24E5B">
        <w:rPr>
          <w:rFonts w:asciiTheme="majorHAnsi" w:eastAsia="Times New Roman" w:hAnsiTheme="majorHAnsi" w:cstheme="majorHAnsi"/>
          <w:shd w:val="clear" w:color="auto" w:fill="FFFFFF"/>
          <w:lang w:val="es-419"/>
        </w:rPr>
        <w:t xml:space="preserve"> implicados </w:t>
      </w:r>
      <w:r>
        <w:rPr>
          <w:rFonts w:asciiTheme="majorHAnsi" w:eastAsia="Times New Roman" w:hAnsiTheme="majorHAnsi" w:cstheme="majorHAnsi"/>
          <w:shd w:val="clear" w:color="auto" w:fill="FFFFFF"/>
          <w:lang w:val="es-419"/>
        </w:rPr>
        <w:t xml:space="preserve">y </w:t>
      </w:r>
      <w:r w:rsidRPr="001178DB">
        <w:rPr>
          <w:rFonts w:asciiTheme="majorHAnsi" w:eastAsia="Times New Roman" w:hAnsiTheme="majorHAnsi" w:cstheme="majorHAnsi"/>
          <w:shd w:val="clear" w:color="auto" w:fill="FFFFFF"/>
          <w:lang w:val="es-419"/>
        </w:rPr>
        <w:t>de todas las agencias desde el más alto nivel</w:t>
      </w:r>
      <w:r>
        <w:rPr>
          <w:rFonts w:asciiTheme="majorHAnsi" w:eastAsia="Times New Roman" w:hAnsiTheme="majorHAnsi" w:cstheme="majorHAnsi"/>
          <w:shd w:val="clear" w:color="auto" w:fill="FFFFFF"/>
          <w:lang w:val="es-419"/>
        </w:rPr>
        <w:t xml:space="preserve">. En este sentido, el Informe de RMT del UNCT-SWAP se erige como un insumo estratégico basado en evidencia para la toma de decisiones del Equipo de País y de los diversos mecanismos interagenciales en sus esfuerzos de </w:t>
      </w:r>
      <w:r w:rsidR="00D24E5B">
        <w:rPr>
          <w:rFonts w:asciiTheme="majorHAnsi" w:eastAsia="Times New Roman" w:hAnsiTheme="majorHAnsi" w:cstheme="majorHAnsi"/>
          <w:shd w:val="clear" w:color="auto" w:fill="FFFFFF"/>
          <w:lang w:val="es-419"/>
        </w:rPr>
        <w:t>mejorar y fortalecer</w:t>
      </w:r>
      <w:r>
        <w:rPr>
          <w:rFonts w:asciiTheme="majorHAnsi" w:eastAsia="Times New Roman" w:hAnsiTheme="majorHAnsi" w:cstheme="majorHAnsi"/>
          <w:shd w:val="clear" w:color="auto" w:fill="FFFFFF"/>
          <w:lang w:val="es-419"/>
        </w:rPr>
        <w:t xml:space="preserve"> </w:t>
      </w:r>
      <w:r w:rsidRPr="00772037">
        <w:rPr>
          <w:rFonts w:asciiTheme="majorHAnsi" w:hAnsiTheme="majorHAnsi" w:cstheme="majorHAnsi"/>
        </w:rPr>
        <w:t>la incorporación de la perspectiva de género en las siete áreas de desempeño</w:t>
      </w:r>
      <w:r>
        <w:rPr>
          <w:rFonts w:asciiTheme="majorHAnsi" w:eastAsia="Times New Roman" w:hAnsiTheme="majorHAnsi" w:cstheme="majorHAnsi"/>
          <w:shd w:val="clear" w:color="auto" w:fill="FFFFFF"/>
          <w:lang w:val="es-419"/>
        </w:rPr>
        <w:t>.</w:t>
      </w:r>
    </w:p>
    <w:p w14:paraId="6C68E882" w14:textId="024FDDE5" w:rsidR="00721221" w:rsidRPr="001178DB" w:rsidRDefault="001178DB" w:rsidP="00772037">
      <w:pPr>
        <w:pStyle w:val="Ttulo1"/>
        <w:spacing w:before="0" w:after="120"/>
        <w:rPr>
          <w:rFonts w:cstheme="majorHAnsi"/>
          <w:color w:val="00B0F0"/>
          <w:sz w:val="22"/>
          <w:szCs w:val="22"/>
        </w:rPr>
      </w:pPr>
      <w:bookmarkStart w:id="8" w:name="_Toc89942358"/>
      <w:r w:rsidRPr="001178DB">
        <w:rPr>
          <w:rFonts w:cstheme="majorHAnsi"/>
          <w:color w:val="00B0F0"/>
          <w:sz w:val="22"/>
          <w:szCs w:val="22"/>
        </w:rPr>
        <w:t>I</w:t>
      </w:r>
      <w:r w:rsidR="00721221" w:rsidRPr="001178DB">
        <w:rPr>
          <w:rFonts w:cstheme="majorHAnsi"/>
          <w:color w:val="00B0F0"/>
          <w:sz w:val="22"/>
          <w:szCs w:val="22"/>
        </w:rPr>
        <w:t xml:space="preserve">V. </w:t>
      </w:r>
      <w:r w:rsidRPr="001178DB">
        <w:rPr>
          <w:rFonts w:cstheme="majorHAnsi"/>
          <w:color w:val="00B0F0"/>
          <w:sz w:val="22"/>
          <w:szCs w:val="22"/>
        </w:rPr>
        <w:t xml:space="preserve">Revisión de </w:t>
      </w:r>
      <w:r w:rsidR="002745E7">
        <w:rPr>
          <w:rFonts w:cstheme="majorHAnsi"/>
          <w:color w:val="00B0F0"/>
          <w:sz w:val="22"/>
          <w:szCs w:val="22"/>
        </w:rPr>
        <w:t xml:space="preserve">los </w:t>
      </w:r>
      <w:r w:rsidRPr="001178DB">
        <w:rPr>
          <w:rFonts w:cstheme="majorHAnsi"/>
          <w:color w:val="00B0F0"/>
          <w:sz w:val="22"/>
          <w:szCs w:val="22"/>
        </w:rPr>
        <w:t>indicadores seleccionados</w:t>
      </w:r>
      <w:bookmarkEnd w:id="8"/>
      <w:r w:rsidR="00C54465">
        <w:rPr>
          <w:rFonts w:cstheme="majorHAnsi"/>
          <w:color w:val="00B0F0"/>
          <w:sz w:val="22"/>
          <w:szCs w:val="22"/>
        </w:rPr>
        <w:t xml:space="preserve"> </w:t>
      </w:r>
    </w:p>
    <w:p w14:paraId="0B0B1DD4" w14:textId="0B366032" w:rsidR="002745E7" w:rsidRDefault="002745E7" w:rsidP="00772037">
      <w:pPr>
        <w:spacing w:after="120"/>
        <w:jc w:val="both"/>
        <w:rPr>
          <w:rFonts w:asciiTheme="majorHAnsi" w:hAnsiTheme="majorHAnsi" w:cstheme="majorHAnsi"/>
        </w:rPr>
      </w:pPr>
      <w:r>
        <w:rPr>
          <w:rFonts w:asciiTheme="majorHAnsi" w:hAnsiTheme="majorHAnsi" w:cstheme="majorHAnsi"/>
        </w:rPr>
        <w:t>Los resultados generales de la fase de autodiagnóstico muestran que, de los 6 indicadores revisados en 2021, 5 se movieron positivamente y 1 mantuvo su valoración con respecto a la puntuación establecida en 2019.</w:t>
      </w:r>
    </w:p>
    <w:p w14:paraId="40150AE6" w14:textId="77777777" w:rsidR="00A94EB7" w:rsidRDefault="00A94EB7" w:rsidP="00772037">
      <w:pPr>
        <w:spacing w:after="120"/>
        <w:jc w:val="both"/>
        <w:rPr>
          <w:rFonts w:asciiTheme="majorHAnsi" w:hAnsiTheme="majorHAnsi" w:cstheme="majorHAnsi"/>
        </w:rPr>
      </w:pPr>
    </w:p>
    <w:p w14:paraId="4650E245" w14:textId="0294A85E" w:rsidR="00D24E5B" w:rsidRPr="00D24E5B" w:rsidRDefault="00A94EB7" w:rsidP="00A94EB7">
      <w:pPr>
        <w:pStyle w:val="Descripcin"/>
        <w:jc w:val="center"/>
      </w:pPr>
      <w:bookmarkStart w:id="9" w:name="_Toc89942515"/>
      <w:r>
        <w:t xml:space="preserve">Tabla </w:t>
      </w:r>
      <w:r>
        <w:fldChar w:fldCharType="begin"/>
      </w:r>
      <w:r>
        <w:instrText xml:space="preserve"> SEQ Tabla \* ARABIC </w:instrText>
      </w:r>
      <w:r>
        <w:fldChar w:fldCharType="separate"/>
      </w:r>
      <w:r>
        <w:rPr>
          <w:noProof/>
        </w:rPr>
        <w:t>4</w:t>
      </w:r>
      <w:r>
        <w:fldChar w:fldCharType="end"/>
      </w:r>
      <w:r>
        <w:t xml:space="preserve">. </w:t>
      </w:r>
      <w:r w:rsidR="00D24E5B" w:rsidRPr="00D24E5B">
        <w:t>Comparativo de la puntuación de</w:t>
      </w:r>
      <w:r w:rsidR="00D24E5B">
        <w:t xml:space="preserve"> los 6 </w:t>
      </w:r>
      <w:r w:rsidR="00D24E5B" w:rsidRPr="00D24E5B">
        <w:t xml:space="preserve">indicadores </w:t>
      </w:r>
      <w:r w:rsidR="00D24E5B">
        <w:t>seleccionados</w:t>
      </w:r>
      <w:r w:rsidR="00C54465">
        <w:t xml:space="preserve">, </w:t>
      </w:r>
      <w:r w:rsidR="00D24E5B" w:rsidRPr="00D24E5B">
        <w:t>2019-2021</w:t>
      </w:r>
      <w:bookmarkEnd w:id="9"/>
    </w:p>
    <w:tbl>
      <w:tblPr>
        <w:tblW w:w="8921" w:type="dxa"/>
        <w:tblCellMar>
          <w:left w:w="0" w:type="dxa"/>
          <w:right w:w="0" w:type="dxa"/>
        </w:tblCellMar>
        <w:tblLook w:val="0420" w:firstRow="1" w:lastRow="0" w:firstColumn="0" w:lastColumn="0" w:noHBand="0" w:noVBand="1"/>
      </w:tblPr>
      <w:tblGrid>
        <w:gridCol w:w="2258"/>
        <w:gridCol w:w="2552"/>
        <w:gridCol w:w="1858"/>
        <w:gridCol w:w="2253"/>
      </w:tblGrid>
      <w:tr w:rsidR="002745E7" w:rsidRPr="002745E7" w14:paraId="7A7B3A20" w14:textId="77777777" w:rsidTr="00D24E5B">
        <w:trPr>
          <w:trHeight w:val="584"/>
        </w:trPr>
        <w:tc>
          <w:tcPr>
            <w:tcW w:w="2258"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7E71AC61" w14:textId="77777777" w:rsidR="002745E7" w:rsidRPr="002745E7" w:rsidRDefault="002745E7" w:rsidP="00A80645">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INDICADOR</w:t>
            </w:r>
          </w:p>
        </w:tc>
        <w:tc>
          <w:tcPr>
            <w:tcW w:w="2552"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69EF08E3" w14:textId="77777777" w:rsidR="002745E7" w:rsidRPr="002745E7" w:rsidRDefault="002745E7" w:rsidP="00A80645">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PUNTUACIÓN 2019</w:t>
            </w:r>
          </w:p>
        </w:tc>
        <w:tc>
          <w:tcPr>
            <w:tcW w:w="1858"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1234CBDA" w14:textId="77777777" w:rsidR="002745E7" w:rsidRPr="002745E7" w:rsidRDefault="002745E7" w:rsidP="00A80645">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CAMBIO</w:t>
            </w:r>
          </w:p>
          <w:p w14:paraId="0E7D2671" w14:textId="77777777" w:rsidR="002745E7" w:rsidRPr="002745E7" w:rsidRDefault="002745E7" w:rsidP="00A80645">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OBSERVADO</w:t>
            </w:r>
          </w:p>
        </w:tc>
        <w:tc>
          <w:tcPr>
            <w:tcW w:w="2253"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72387206" w14:textId="77777777" w:rsidR="002745E7" w:rsidRPr="002745E7" w:rsidRDefault="002745E7" w:rsidP="00A80645">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PUNTUACIÓN 2021</w:t>
            </w:r>
          </w:p>
        </w:tc>
      </w:tr>
      <w:tr w:rsidR="002745E7" w:rsidRPr="002745E7" w14:paraId="67197746" w14:textId="77777777" w:rsidTr="00D24E5B">
        <w:trPr>
          <w:trHeight w:val="683"/>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71D7D5" w14:textId="77777777" w:rsidR="002745E7" w:rsidRPr="002745E7" w:rsidRDefault="002745E7" w:rsidP="00A80645">
            <w:pPr>
              <w:rPr>
                <w:rFonts w:asciiTheme="majorHAnsi" w:hAnsiTheme="majorHAnsi" w:cstheme="majorHAnsi"/>
              </w:rPr>
            </w:pPr>
            <w:r w:rsidRPr="002745E7">
              <w:rPr>
                <w:rFonts w:asciiTheme="majorHAnsi" w:hAnsiTheme="majorHAnsi" w:cstheme="majorHAnsi"/>
                <w:b/>
                <w:bCs/>
              </w:rPr>
              <w:t>1.2. Resultados UNSDCF</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71EA1B"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B050"/>
              </w:rPr>
              <w:t>Cumple con el estándar mínimo</w:t>
            </w:r>
          </w:p>
        </w:tc>
        <w:tc>
          <w:tcPr>
            <w:tcW w:w="18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2F04F1" w14:textId="0CF5D668" w:rsidR="002745E7" w:rsidRPr="002745E7" w:rsidRDefault="002745E7" w:rsidP="00A80645">
            <w:pPr>
              <w:jc w:val="center"/>
              <w:rPr>
                <w:rFonts w:asciiTheme="majorHAnsi" w:hAnsiTheme="majorHAnsi" w:cstheme="majorHAnsi"/>
                <w:b/>
                <w:bCs/>
              </w:rPr>
            </w:pPr>
            <w:r w:rsidRPr="00A80645">
              <w:rPr>
                <w:rFonts w:asciiTheme="majorHAnsi" w:hAnsiTheme="majorHAnsi" w:cstheme="majorHAnsi"/>
                <w:b/>
                <w:bCs/>
                <w:noProof/>
                <w:lang w:val="en-US"/>
              </w:rPr>
              <w:drawing>
                <wp:inline distT="0" distB="0" distL="0" distR="0" wp14:anchorId="4E2F1C50" wp14:editId="6A3D5022">
                  <wp:extent cx="371960" cy="371960"/>
                  <wp:effectExtent l="0" t="0" r="0" b="0"/>
                  <wp:docPr id="10"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1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8"/>
                              </a:ext>
                            </a:extLst>
                          </a:blip>
                          <a:stretch>
                            <a:fillRect/>
                          </a:stretch>
                        </pic:blipFill>
                        <pic:spPr>
                          <a:xfrm rot="5400000">
                            <a:off x="0" y="0"/>
                            <a:ext cx="377196" cy="377196"/>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DD8A8F"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70C0"/>
              </w:rPr>
              <w:t>Supera el estándar mínimo</w:t>
            </w:r>
          </w:p>
        </w:tc>
      </w:tr>
      <w:tr w:rsidR="002745E7" w:rsidRPr="002745E7" w14:paraId="1969FF6A" w14:textId="77777777" w:rsidTr="00D24E5B">
        <w:trPr>
          <w:trHeight w:val="584"/>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01A4DA" w14:textId="77777777" w:rsidR="002745E7" w:rsidRPr="002745E7" w:rsidRDefault="002745E7" w:rsidP="00A80645">
            <w:pPr>
              <w:rPr>
                <w:rFonts w:asciiTheme="majorHAnsi" w:hAnsiTheme="majorHAnsi" w:cstheme="majorHAnsi"/>
              </w:rPr>
            </w:pPr>
            <w:r w:rsidRPr="002745E7">
              <w:rPr>
                <w:rFonts w:asciiTheme="majorHAnsi" w:hAnsiTheme="majorHAnsi" w:cstheme="majorHAnsi"/>
                <w:b/>
                <w:bCs/>
              </w:rPr>
              <w:t>1.3. Indicadores UNSDCF</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1E12AA"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FFC000"/>
              </w:rPr>
              <w:t>Se aproxima al estándar mínimo</w:t>
            </w:r>
          </w:p>
        </w:tc>
        <w:tc>
          <w:tcPr>
            <w:tcW w:w="18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BEEAF0" w14:textId="22797CAC" w:rsidR="002745E7" w:rsidRPr="002745E7" w:rsidRDefault="002745E7" w:rsidP="00A80645">
            <w:pPr>
              <w:jc w:val="center"/>
              <w:rPr>
                <w:rFonts w:asciiTheme="majorHAnsi" w:hAnsiTheme="majorHAnsi" w:cstheme="majorHAnsi"/>
                <w:b/>
                <w:bCs/>
              </w:rPr>
            </w:pPr>
            <w:r w:rsidRPr="00A80645">
              <w:rPr>
                <w:rFonts w:asciiTheme="majorHAnsi" w:hAnsiTheme="majorHAnsi" w:cstheme="majorHAnsi"/>
                <w:b/>
                <w:bCs/>
                <w:noProof/>
                <w:lang w:val="en-US"/>
              </w:rPr>
              <w:drawing>
                <wp:inline distT="0" distB="0" distL="0" distR="0" wp14:anchorId="29B095B2" wp14:editId="0B32A7E2">
                  <wp:extent cx="402472" cy="402472"/>
                  <wp:effectExtent l="0" t="0" r="0" b="0"/>
                  <wp:docPr id="7"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1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8"/>
                              </a:ext>
                            </a:extLst>
                          </a:blip>
                          <a:stretch>
                            <a:fillRect/>
                          </a:stretch>
                        </pic:blipFill>
                        <pic:spPr>
                          <a:xfrm rot="5400000">
                            <a:off x="0" y="0"/>
                            <a:ext cx="408942" cy="408942"/>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47B14F"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70C0"/>
              </w:rPr>
              <w:t>Supera el estándar mínimo</w:t>
            </w:r>
          </w:p>
        </w:tc>
      </w:tr>
      <w:tr w:rsidR="002745E7" w:rsidRPr="002745E7" w14:paraId="2A758E6D" w14:textId="77777777" w:rsidTr="00D24E5B">
        <w:trPr>
          <w:trHeight w:val="584"/>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784593" w14:textId="77777777" w:rsidR="002745E7" w:rsidRPr="002745E7" w:rsidRDefault="002745E7" w:rsidP="00A80645">
            <w:pPr>
              <w:rPr>
                <w:rFonts w:asciiTheme="majorHAnsi" w:hAnsiTheme="majorHAnsi" w:cstheme="majorHAnsi"/>
              </w:rPr>
            </w:pPr>
            <w:r w:rsidRPr="002745E7">
              <w:rPr>
                <w:rFonts w:asciiTheme="majorHAnsi" w:hAnsiTheme="majorHAnsi" w:cstheme="majorHAnsi"/>
                <w:b/>
                <w:bCs/>
              </w:rPr>
              <w:t>2.1. Programas conjuntos</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11D77E"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B050"/>
              </w:rPr>
              <w:t>Cumple con el estándar mínimo</w:t>
            </w:r>
          </w:p>
        </w:tc>
        <w:tc>
          <w:tcPr>
            <w:tcW w:w="18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84D45D" w14:textId="7A6B2A24" w:rsidR="002745E7" w:rsidRPr="002745E7" w:rsidRDefault="002745E7" w:rsidP="00A80645">
            <w:pPr>
              <w:jc w:val="center"/>
              <w:rPr>
                <w:rFonts w:asciiTheme="majorHAnsi" w:hAnsiTheme="majorHAnsi" w:cstheme="majorHAnsi"/>
                <w:b/>
                <w:bCs/>
              </w:rPr>
            </w:pPr>
            <w:r w:rsidRPr="00A80645">
              <w:rPr>
                <w:rFonts w:asciiTheme="majorHAnsi" w:hAnsiTheme="majorHAnsi" w:cstheme="majorHAnsi"/>
                <w:b/>
                <w:bCs/>
                <w:noProof/>
                <w:lang w:val="en-US"/>
              </w:rPr>
              <w:drawing>
                <wp:inline distT="0" distB="0" distL="0" distR="0" wp14:anchorId="7C3C9824" wp14:editId="108E9C34">
                  <wp:extent cx="402472" cy="402472"/>
                  <wp:effectExtent l="0" t="0" r="0" b="0"/>
                  <wp:docPr id="13"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1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8"/>
                              </a:ext>
                            </a:extLst>
                          </a:blip>
                          <a:stretch>
                            <a:fillRect/>
                          </a:stretch>
                        </pic:blipFill>
                        <pic:spPr>
                          <a:xfrm rot="10800000">
                            <a:off x="0" y="0"/>
                            <a:ext cx="409096" cy="409096"/>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D3DA97"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B050"/>
              </w:rPr>
              <w:t>Cumple con el estándar mínimo</w:t>
            </w:r>
          </w:p>
        </w:tc>
      </w:tr>
      <w:tr w:rsidR="002745E7" w:rsidRPr="002745E7" w14:paraId="5700617B" w14:textId="77777777" w:rsidTr="00D24E5B">
        <w:trPr>
          <w:trHeight w:val="584"/>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E5AE95" w14:textId="77777777" w:rsidR="002745E7" w:rsidRPr="002745E7" w:rsidRDefault="002745E7" w:rsidP="00A80645">
            <w:pPr>
              <w:rPr>
                <w:rFonts w:asciiTheme="majorHAnsi" w:hAnsiTheme="majorHAnsi" w:cstheme="majorHAnsi"/>
              </w:rPr>
            </w:pPr>
            <w:r w:rsidRPr="002745E7">
              <w:rPr>
                <w:rFonts w:asciiTheme="majorHAnsi" w:hAnsiTheme="majorHAnsi" w:cstheme="majorHAnsi"/>
                <w:b/>
                <w:bCs/>
              </w:rPr>
              <w:t>3.1. Colaboración con Gobierno</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6772CD"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B050"/>
              </w:rPr>
              <w:t>Cumple con el estándar mínimo</w:t>
            </w:r>
          </w:p>
        </w:tc>
        <w:tc>
          <w:tcPr>
            <w:tcW w:w="18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AC193D" w14:textId="690B31E4" w:rsidR="002745E7" w:rsidRPr="002745E7" w:rsidRDefault="002745E7" w:rsidP="00A80645">
            <w:pPr>
              <w:jc w:val="center"/>
              <w:rPr>
                <w:rFonts w:asciiTheme="majorHAnsi" w:hAnsiTheme="majorHAnsi" w:cstheme="majorHAnsi"/>
                <w:b/>
                <w:bCs/>
              </w:rPr>
            </w:pPr>
            <w:r w:rsidRPr="00A80645">
              <w:rPr>
                <w:rFonts w:asciiTheme="majorHAnsi" w:hAnsiTheme="majorHAnsi" w:cstheme="majorHAnsi"/>
                <w:b/>
                <w:bCs/>
                <w:noProof/>
                <w:lang w:val="en-US"/>
              </w:rPr>
              <w:drawing>
                <wp:inline distT="0" distB="0" distL="0" distR="0" wp14:anchorId="6D85EDFD" wp14:editId="52C4BF48">
                  <wp:extent cx="402472" cy="402472"/>
                  <wp:effectExtent l="0" t="0" r="0" b="0"/>
                  <wp:docPr id="8"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1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8"/>
                              </a:ext>
                            </a:extLst>
                          </a:blip>
                          <a:stretch>
                            <a:fillRect/>
                          </a:stretch>
                        </pic:blipFill>
                        <pic:spPr>
                          <a:xfrm rot="5400000">
                            <a:off x="0" y="0"/>
                            <a:ext cx="408942" cy="408942"/>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50E8D0"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70C0"/>
              </w:rPr>
              <w:t>Supera el estándar mínimo</w:t>
            </w:r>
          </w:p>
        </w:tc>
      </w:tr>
      <w:tr w:rsidR="002745E7" w:rsidRPr="002745E7" w14:paraId="2F8B4C4A" w14:textId="77777777" w:rsidTr="00D24E5B">
        <w:trPr>
          <w:trHeight w:val="584"/>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A8976E" w14:textId="77777777" w:rsidR="002745E7" w:rsidRPr="002745E7" w:rsidRDefault="002745E7" w:rsidP="00A80645">
            <w:pPr>
              <w:rPr>
                <w:rFonts w:asciiTheme="majorHAnsi" w:hAnsiTheme="majorHAnsi" w:cstheme="majorHAnsi"/>
              </w:rPr>
            </w:pPr>
            <w:r w:rsidRPr="002745E7">
              <w:rPr>
                <w:rFonts w:asciiTheme="majorHAnsi" w:hAnsiTheme="majorHAnsi" w:cstheme="majorHAnsi"/>
                <w:b/>
                <w:bCs/>
              </w:rPr>
              <w:t>3.2. Colaboración con OSC</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C63872"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FFC000"/>
              </w:rPr>
              <w:t>Se aproxima al estándar mínimo</w:t>
            </w:r>
          </w:p>
        </w:tc>
        <w:tc>
          <w:tcPr>
            <w:tcW w:w="18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702CF4" w14:textId="3E4E49C9" w:rsidR="002745E7" w:rsidRPr="002745E7" w:rsidRDefault="002745E7" w:rsidP="00A80645">
            <w:pPr>
              <w:jc w:val="center"/>
              <w:rPr>
                <w:rFonts w:asciiTheme="majorHAnsi" w:hAnsiTheme="majorHAnsi" w:cstheme="majorHAnsi"/>
                <w:b/>
                <w:bCs/>
              </w:rPr>
            </w:pPr>
            <w:r w:rsidRPr="00A80645">
              <w:rPr>
                <w:rFonts w:asciiTheme="majorHAnsi" w:hAnsiTheme="majorHAnsi" w:cstheme="majorHAnsi"/>
                <w:b/>
                <w:bCs/>
                <w:noProof/>
                <w:lang w:val="en-US"/>
              </w:rPr>
              <w:drawing>
                <wp:inline distT="0" distB="0" distL="0" distR="0" wp14:anchorId="5C716EF2" wp14:editId="592D42A5">
                  <wp:extent cx="402472" cy="402472"/>
                  <wp:effectExtent l="0" t="0" r="0" b="0"/>
                  <wp:docPr id="11"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1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8"/>
                              </a:ext>
                            </a:extLst>
                          </a:blip>
                          <a:stretch>
                            <a:fillRect/>
                          </a:stretch>
                        </pic:blipFill>
                        <pic:spPr>
                          <a:xfrm rot="5400000">
                            <a:off x="0" y="0"/>
                            <a:ext cx="408298" cy="408298"/>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7967AE"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70C0"/>
              </w:rPr>
              <w:t>Supera el estándar mínimo</w:t>
            </w:r>
          </w:p>
        </w:tc>
      </w:tr>
      <w:tr w:rsidR="002745E7" w:rsidRPr="002745E7" w14:paraId="7524FCBA" w14:textId="77777777" w:rsidTr="00D24E5B">
        <w:trPr>
          <w:trHeight w:val="584"/>
        </w:trPr>
        <w:tc>
          <w:tcPr>
            <w:tcW w:w="22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FA70B4" w14:textId="77777777" w:rsidR="002745E7" w:rsidRPr="002745E7" w:rsidRDefault="002745E7" w:rsidP="00A80645">
            <w:pPr>
              <w:rPr>
                <w:rFonts w:asciiTheme="majorHAnsi" w:hAnsiTheme="majorHAnsi" w:cstheme="majorHAnsi"/>
              </w:rPr>
            </w:pPr>
            <w:r w:rsidRPr="002745E7">
              <w:rPr>
                <w:rFonts w:asciiTheme="majorHAnsi" w:hAnsiTheme="majorHAnsi" w:cstheme="majorHAnsi"/>
                <w:b/>
                <w:bCs/>
              </w:rPr>
              <w:t>5.1. Mecanismos de Coordinación</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C2573F"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FFC000"/>
              </w:rPr>
              <w:t>Se aproxima al estándar mínimo</w:t>
            </w:r>
          </w:p>
        </w:tc>
        <w:tc>
          <w:tcPr>
            <w:tcW w:w="18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99EC05" w14:textId="651828E0" w:rsidR="002745E7" w:rsidRPr="002745E7" w:rsidRDefault="002745E7" w:rsidP="00A80645">
            <w:pPr>
              <w:jc w:val="center"/>
              <w:rPr>
                <w:rFonts w:asciiTheme="majorHAnsi" w:hAnsiTheme="majorHAnsi" w:cstheme="majorHAnsi"/>
                <w:b/>
                <w:bCs/>
              </w:rPr>
            </w:pPr>
            <w:r w:rsidRPr="00A80645">
              <w:rPr>
                <w:rFonts w:asciiTheme="majorHAnsi" w:hAnsiTheme="majorHAnsi" w:cstheme="majorHAnsi"/>
                <w:b/>
                <w:bCs/>
                <w:noProof/>
                <w:lang w:val="en-US"/>
              </w:rPr>
              <w:drawing>
                <wp:inline distT="0" distB="0" distL="0" distR="0" wp14:anchorId="6AE5074B" wp14:editId="62E3B2BE">
                  <wp:extent cx="402472" cy="402472"/>
                  <wp:effectExtent l="0" t="0" r="0" b="0"/>
                  <wp:docPr id="12" name="Gráfico 9" descr="Circle with left arrow con relleno sólido">
                    <a:extLst xmlns:a="http://schemas.openxmlformats.org/drawingml/2006/main">
                      <a:ext uri="{FF2B5EF4-FFF2-40B4-BE49-F238E27FC236}">
                        <a16:creationId xmlns:a16="http://schemas.microsoft.com/office/drawing/2014/main" id="{E994266B-BE48-B84C-A11F-7788DB5B5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descr="Circle with left arrow con relleno sólido">
                            <a:extLst>
                              <a:ext uri="{FF2B5EF4-FFF2-40B4-BE49-F238E27FC236}">
                                <a16:creationId xmlns:a16="http://schemas.microsoft.com/office/drawing/2014/main" id="{E994266B-BE48-B84C-A11F-7788DB5B5E7A}"/>
                              </a:ext>
                            </a:extLst>
                          </pic:cNvPr>
                          <pic:cNvPicPr>
                            <a:picLocks noChangeAspect="1"/>
                          </pic:cNvPicPr>
                        </pic:nvPicPr>
                        <pic:blipFill>
                          <a:blip r:embed="rId17">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8"/>
                              </a:ext>
                            </a:extLst>
                          </a:blip>
                          <a:stretch>
                            <a:fillRect/>
                          </a:stretch>
                        </pic:blipFill>
                        <pic:spPr>
                          <a:xfrm rot="5400000">
                            <a:off x="0" y="0"/>
                            <a:ext cx="408417" cy="408417"/>
                          </a:xfrm>
                          <a:prstGeom prst="rect">
                            <a:avLst/>
                          </a:prstGeom>
                        </pic:spPr>
                      </pic:pic>
                    </a:graphicData>
                  </a:graphic>
                </wp:inline>
              </w:drawing>
            </w:r>
          </w:p>
        </w:tc>
        <w:tc>
          <w:tcPr>
            <w:tcW w:w="22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005761" w14:textId="77777777" w:rsidR="002745E7" w:rsidRPr="002745E7" w:rsidRDefault="002745E7" w:rsidP="00A80645">
            <w:pPr>
              <w:jc w:val="both"/>
              <w:rPr>
                <w:rFonts w:asciiTheme="majorHAnsi" w:hAnsiTheme="majorHAnsi" w:cstheme="majorHAnsi"/>
                <w:b/>
                <w:bCs/>
              </w:rPr>
            </w:pPr>
            <w:r w:rsidRPr="002745E7">
              <w:rPr>
                <w:rFonts w:asciiTheme="majorHAnsi" w:hAnsiTheme="majorHAnsi" w:cstheme="majorHAnsi"/>
                <w:b/>
                <w:bCs/>
                <w:color w:val="00B050"/>
              </w:rPr>
              <w:t>Cumple con el estándar mínimo</w:t>
            </w:r>
          </w:p>
        </w:tc>
      </w:tr>
    </w:tbl>
    <w:p w14:paraId="084DB5B2" w14:textId="77777777" w:rsidR="00D24E5B" w:rsidRDefault="00D24E5B" w:rsidP="00772037">
      <w:pPr>
        <w:spacing w:after="120"/>
        <w:jc w:val="both"/>
        <w:rPr>
          <w:rFonts w:asciiTheme="majorHAnsi" w:hAnsiTheme="majorHAnsi" w:cstheme="majorHAnsi"/>
        </w:rPr>
      </w:pPr>
    </w:p>
    <w:p w14:paraId="7830CA2C" w14:textId="684D6D69" w:rsidR="00D24E5B" w:rsidRPr="00D24E5B" w:rsidRDefault="00D24E5B" w:rsidP="00D24E5B">
      <w:pPr>
        <w:spacing w:after="120"/>
        <w:jc w:val="both"/>
        <w:rPr>
          <w:rFonts w:asciiTheme="majorHAnsi" w:hAnsiTheme="majorHAnsi" w:cstheme="majorHAnsi"/>
        </w:rPr>
      </w:pPr>
      <w:r w:rsidRPr="00D24E5B">
        <w:rPr>
          <w:rFonts w:asciiTheme="majorHAnsi" w:hAnsiTheme="majorHAnsi" w:cstheme="majorHAnsi"/>
          <w:lang w:val="es-ES_tradnl"/>
        </w:rPr>
        <w:t xml:space="preserve">Como resultado de la </w:t>
      </w:r>
      <w:r>
        <w:rPr>
          <w:rFonts w:asciiTheme="majorHAnsi" w:hAnsiTheme="majorHAnsi" w:cstheme="majorHAnsi"/>
          <w:lang w:val="es-ES_tradnl"/>
        </w:rPr>
        <w:t xml:space="preserve">revisión </w:t>
      </w:r>
      <w:r w:rsidR="00FC7AD9">
        <w:rPr>
          <w:rFonts w:asciiTheme="majorHAnsi" w:hAnsiTheme="majorHAnsi" w:cstheme="majorHAnsi"/>
          <w:lang w:val="es-ES_tradnl"/>
        </w:rPr>
        <w:t xml:space="preserve">de estos </w:t>
      </w:r>
      <w:r>
        <w:rPr>
          <w:rFonts w:asciiTheme="majorHAnsi" w:hAnsiTheme="majorHAnsi" w:cstheme="majorHAnsi"/>
          <w:lang w:val="es-ES_tradnl"/>
        </w:rPr>
        <w:t xml:space="preserve">6 indicadores, </w:t>
      </w:r>
      <w:r w:rsidRPr="00D24E5B">
        <w:rPr>
          <w:rFonts w:asciiTheme="majorHAnsi" w:hAnsiTheme="majorHAnsi" w:cstheme="majorHAnsi"/>
          <w:lang w:val="es-ES_tradnl"/>
        </w:rPr>
        <w:t>el SNU en México</w:t>
      </w:r>
      <w:r>
        <w:rPr>
          <w:rFonts w:asciiTheme="majorHAnsi" w:hAnsiTheme="majorHAnsi" w:cstheme="majorHAnsi"/>
          <w:lang w:val="es-ES_tradnl"/>
        </w:rPr>
        <w:t xml:space="preserve"> mejoró su desempeño global de la Matriz de Autodiagnóstico</w:t>
      </w:r>
      <w:r w:rsidR="00FC7AD9">
        <w:rPr>
          <w:rFonts w:asciiTheme="majorHAnsi" w:hAnsiTheme="majorHAnsi" w:cstheme="majorHAnsi"/>
          <w:lang w:val="es-ES_tradnl"/>
        </w:rPr>
        <w:t>, toda vez que, d</w:t>
      </w:r>
      <w:r>
        <w:rPr>
          <w:rFonts w:asciiTheme="majorHAnsi" w:hAnsiTheme="majorHAnsi" w:cstheme="majorHAnsi"/>
          <w:lang w:val="es-ES_tradnl"/>
        </w:rPr>
        <w:t>e los 15 indicadores</w:t>
      </w:r>
      <w:r w:rsidR="00FC7AD9">
        <w:rPr>
          <w:rFonts w:asciiTheme="majorHAnsi" w:hAnsiTheme="majorHAnsi" w:cstheme="majorHAnsi"/>
          <w:lang w:val="es-ES_tradnl"/>
        </w:rPr>
        <w:t xml:space="preserve"> que la componen</w:t>
      </w:r>
      <w:r>
        <w:rPr>
          <w:rFonts w:asciiTheme="majorHAnsi" w:hAnsiTheme="majorHAnsi" w:cstheme="majorHAnsi"/>
          <w:lang w:val="es-ES_tradnl"/>
        </w:rPr>
        <w:t xml:space="preserve">, ahora supera el estándar mínimo en 5, lo cumple en 2, se aproxima en 4 y no  lo cumple 4.  </w:t>
      </w:r>
    </w:p>
    <w:p w14:paraId="58EAE4CE" w14:textId="289D04F2" w:rsidR="00C54465" w:rsidRDefault="00C54465" w:rsidP="00C54465">
      <w:pPr>
        <w:spacing w:after="120"/>
        <w:jc w:val="both"/>
        <w:rPr>
          <w:rFonts w:asciiTheme="majorHAnsi" w:hAnsiTheme="majorHAnsi" w:cstheme="majorHAnsi"/>
        </w:rPr>
      </w:pPr>
    </w:p>
    <w:p w14:paraId="56D1C027" w14:textId="4476CD01" w:rsidR="00D24E5B" w:rsidRDefault="00A94EB7" w:rsidP="00A94EB7">
      <w:pPr>
        <w:pStyle w:val="Descripcin"/>
        <w:jc w:val="center"/>
      </w:pPr>
      <w:bookmarkStart w:id="10" w:name="_Toc89942529"/>
      <w:r>
        <w:t xml:space="preserve">Figura </w:t>
      </w:r>
      <w:r w:rsidRPr="00A94EB7">
        <w:fldChar w:fldCharType="begin"/>
      </w:r>
      <w:r w:rsidRPr="00A94EB7">
        <w:instrText xml:space="preserve"> SEQ Figura \* ARABIC </w:instrText>
      </w:r>
      <w:r w:rsidRPr="00A94EB7">
        <w:fldChar w:fldCharType="separate"/>
      </w:r>
      <w:r>
        <w:rPr>
          <w:noProof/>
        </w:rPr>
        <w:t>2</w:t>
      </w:r>
      <w:r w:rsidRPr="00A94EB7">
        <w:fldChar w:fldCharType="end"/>
      </w:r>
      <w:r>
        <w:t xml:space="preserve">. </w:t>
      </w:r>
      <w:r w:rsidR="00C54465" w:rsidRPr="00A94EB7">
        <w:t>Comparativo</w:t>
      </w:r>
      <w:r w:rsidR="00C54465" w:rsidRPr="00C54465">
        <w:t xml:space="preserve"> </w:t>
      </w:r>
      <w:r>
        <w:t xml:space="preserve">global </w:t>
      </w:r>
      <w:r w:rsidR="00C54465" w:rsidRPr="00C54465">
        <w:t xml:space="preserve">del desempeño </w:t>
      </w:r>
      <w:r>
        <w:rPr>
          <w:rFonts w:cstheme="majorHAnsi"/>
          <w:lang w:val="es-ES_tradnl"/>
        </w:rPr>
        <w:t>de la Matriz de Autodiagnóstico</w:t>
      </w:r>
      <w:r>
        <w:t>, 2019-2021</w:t>
      </w:r>
      <w:bookmarkEnd w:id="10"/>
    </w:p>
    <w:p w14:paraId="1E04E962" w14:textId="3D7A29CC" w:rsidR="00A94EB7" w:rsidRDefault="00A94EB7" w:rsidP="00A94EB7"/>
    <w:p w14:paraId="12A23EBE" w14:textId="2722D1D6" w:rsidR="00A94EB7" w:rsidRDefault="00A94EB7" w:rsidP="00A94EB7">
      <w:pPr>
        <w:jc w:val="center"/>
      </w:pPr>
      <w:r w:rsidRPr="00A94EB7">
        <w:rPr>
          <w:noProof/>
          <w:lang w:val="en-US"/>
        </w:rPr>
        <w:drawing>
          <wp:inline distT="0" distB="0" distL="0" distR="0" wp14:anchorId="7DD8C459" wp14:editId="3E675C17">
            <wp:extent cx="4429125" cy="2789878"/>
            <wp:effectExtent l="12700" t="12700" r="15875" b="1714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29125" cy="2789878"/>
                    </a:xfrm>
                    <a:prstGeom prst="rect">
                      <a:avLst/>
                    </a:prstGeom>
                    <a:ln>
                      <a:solidFill>
                        <a:schemeClr val="bg1">
                          <a:lumMod val="50000"/>
                        </a:schemeClr>
                      </a:solidFill>
                    </a:ln>
                  </pic:spPr>
                </pic:pic>
              </a:graphicData>
            </a:graphic>
          </wp:inline>
        </w:drawing>
      </w:r>
    </w:p>
    <w:p w14:paraId="64CC9EB1" w14:textId="2F2831DA" w:rsidR="00FC7AD9" w:rsidRDefault="00C54465" w:rsidP="00A94EB7">
      <w:pPr>
        <w:spacing w:after="120"/>
        <w:jc w:val="both"/>
        <w:rPr>
          <w:rFonts w:asciiTheme="majorHAnsi" w:hAnsiTheme="majorHAnsi" w:cstheme="majorHAnsi"/>
        </w:rPr>
      </w:pPr>
      <w:r>
        <w:rPr>
          <w:rFonts w:asciiTheme="majorHAnsi" w:hAnsiTheme="majorHAnsi" w:cstheme="majorHAnsi"/>
        </w:rPr>
        <w:t xml:space="preserve">Por área de desempeño, la revisión de los indicadores seleccionados evidenció un avance sustantivo en </w:t>
      </w:r>
      <w:r w:rsidR="00FC7AD9">
        <w:rPr>
          <w:rFonts w:asciiTheme="majorHAnsi" w:hAnsiTheme="majorHAnsi" w:cstheme="majorHAnsi"/>
        </w:rPr>
        <w:t>las</w:t>
      </w:r>
      <w:r>
        <w:rPr>
          <w:rFonts w:asciiTheme="majorHAnsi" w:hAnsiTheme="majorHAnsi" w:cstheme="majorHAnsi"/>
        </w:rPr>
        <w:t xml:space="preserve"> dimensiones</w:t>
      </w:r>
      <w:r w:rsidR="00FC7AD9">
        <w:rPr>
          <w:rFonts w:asciiTheme="majorHAnsi" w:hAnsiTheme="majorHAnsi" w:cstheme="majorHAnsi"/>
        </w:rPr>
        <w:t xml:space="preserve"> de </w:t>
      </w:r>
      <w:r>
        <w:rPr>
          <w:rFonts w:asciiTheme="majorHAnsi" w:hAnsiTheme="majorHAnsi" w:cstheme="majorHAnsi"/>
        </w:rPr>
        <w:t xml:space="preserve">Planificación y Asociaciones, dado que en ambos casos </w:t>
      </w:r>
      <w:r w:rsidR="00AC45EA">
        <w:rPr>
          <w:rFonts w:asciiTheme="majorHAnsi" w:hAnsiTheme="majorHAnsi" w:cstheme="majorHAnsi"/>
        </w:rPr>
        <w:t xml:space="preserve">ahora </w:t>
      </w:r>
      <w:r>
        <w:rPr>
          <w:rFonts w:asciiTheme="majorHAnsi" w:hAnsiTheme="majorHAnsi" w:cstheme="majorHAnsi"/>
        </w:rPr>
        <w:t xml:space="preserve">todos los indicadores que las componen </w:t>
      </w:r>
      <w:r w:rsidR="00FC7AD9">
        <w:rPr>
          <w:rFonts w:asciiTheme="majorHAnsi" w:hAnsiTheme="majorHAnsi" w:cstheme="majorHAnsi"/>
        </w:rPr>
        <w:t xml:space="preserve">superan el estándar mínimo, logrando </w:t>
      </w:r>
      <w:r w:rsidR="00A80645">
        <w:rPr>
          <w:rFonts w:asciiTheme="majorHAnsi" w:hAnsiTheme="majorHAnsi" w:cstheme="majorHAnsi"/>
        </w:rPr>
        <w:t xml:space="preserve">por primera vez </w:t>
      </w:r>
      <w:r w:rsidR="00FC7AD9">
        <w:rPr>
          <w:rFonts w:asciiTheme="majorHAnsi" w:hAnsiTheme="majorHAnsi" w:cstheme="majorHAnsi"/>
        </w:rPr>
        <w:t>un desempeño homogéne</w:t>
      </w:r>
      <w:r w:rsidR="00AC45EA">
        <w:rPr>
          <w:rFonts w:asciiTheme="majorHAnsi" w:hAnsiTheme="majorHAnsi" w:cstheme="majorHAnsi"/>
        </w:rPr>
        <w:t>o</w:t>
      </w:r>
      <w:r w:rsidR="00A80645">
        <w:rPr>
          <w:rFonts w:asciiTheme="majorHAnsi" w:hAnsiTheme="majorHAnsi" w:cstheme="majorHAnsi"/>
        </w:rPr>
        <w:t>. Por su parte, las áreas de Programación y M&amp;E, así como Arquitectura y capacidades de género, la disparidad en el avance de los indicadores revisados se mantuvo, mostrando brechas importantes entre los indicadores que las conforman.</w:t>
      </w:r>
    </w:p>
    <w:p w14:paraId="6A061095" w14:textId="77777777" w:rsidR="00A94EB7" w:rsidRDefault="00A94EB7" w:rsidP="00A94EB7">
      <w:pPr>
        <w:pStyle w:val="Descripcin"/>
        <w:spacing w:after="120"/>
        <w:jc w:val="center"/>
      </w:pPr>
    </w:p>
    <w:p w14:paraId="724F6C93" w14:textId="3CFF817B" w:rsidR="00FC7AD9" w:rsidRPr="00772037" w:rsidRDefault="00A94EB7" w:rsidP="00A94EB7">
      <w:pPr>
        <w:pStyle w:val="Descripcin"/>
        <w:spacing w:after="120"/>
        <w:jc w:val="center"/>
      </w:pPr>
      <w:bookmarkStart w:id="11" w:name="_Toc89942516"/>
      <w:r>
        <w:t xml:space="preserve">Tabla </w:t>
      </w:r>
      <w:r>
        <w:fldChar w:fldCharType="begin"/>
      </w:r>
      <w:r>
        <w:instrText xml:space="preserve"> SEQ Tabla \* ARABIC </w:instrText>
      </w:r>
      <w:r>
        <w:fldChar w:fldCharType="separate"/>
      </w:r>
      <w:r>
        <w:rPr>
          <w:noProof/>
        </w:rPr>
        <w:t>5</w:t>
      </w:r>
      <w:r>
        <w:fldChar w:fldCharType="end"/>
      </w:r>
      <w:r>
        <w:t xml:space="preserve">. </w:t>
      </w:r>
      <w:r w:rsidR="00FC7AD9" w:rsidRPr="00772037">
        <w:t xml:space="preserve">Matriz de </w:t>
      </w:r>
      <w:r w:rsidR="00A80645">
        <w:t>A</w:t>
      </w:r>
      <w:r w:rsidR="00FC7AD9" w:rsidRPr="00772037">
        <w:t xml:space="preserve">utodiagnóstico </w:t>
      </w:r>
      <w:r>
        <w:t>por área de desempeño actualizada</w:t>
      </w:r>
      <w:r w:rsidR="00FC7AD9" w:rsidRPr="00772037">
        <w:t xml:space="preserve">, </w:t>
      </w:r>
      <w:r w:rsidR="00FC7AD9">
        <w:t>2021</w:t>
      </w:r>
      <w:bookmarkEnd w:id="11"/>
    </w:p>
    <w:tbl>
      <w:tblPr>
        <w:tblStyle w:val="Tablaconcuadrcula"/>
        <w:tblW w:w="8931" w:type="dxa"/>
        <w:tblInd w:w="-5" w:type="dxa"/>
        <w:tblLayout w:type="fixed"/>
        <w:tblLook w:val="0420" w:firstRow="1" w:lastRow="0" w:firstColumn="0" w:lastColumn="0" w:noHBand="0" w:noVBand="1"/>
      </w:tblPr>
      <w:tblGrid>
        <w:gridCol w:w="3969"/>
        <w:gridCol w:w="1276"/>
        <w:gridCol w:w="1418"/>
        <w:gridCol w:w="1134"/>
        <w:gridCol w:w="1134"/>
      </w:tblGrid>
      <w:tr w:rsidR="00FC7AD9" w:rsidRPr="00772037" w14:paraId="1A819C1F" w14:textId="77777777" w:rsidTr="00A80645">
        <w:trPr>
          <w:trHeight w:val="520"/>
          <w:tblHeader/>
        </w:trPr>
        <w:tc>
          <w:tcPr>
            <w:tcW w:w="3969" w:type="dxa"/>
            <w:tcBorders>
              <w:bottom w:val="single" w:sz="4" w:space="0" w:color="auto"/>
            </w:tcBorders>
            <w:shd w:val="clear" w:color="auto" w:fill="00B0F0"/>
            <w:hideMark/>
          </w:tcPr>
          <w:p w14:paraId="6C05330B" w14:textId="77777777" w:rsidR="00FC7AD9" w:rsidRPr="00772037" w:rsidRDefault="00FC7AD9"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Indicador</w:t>
            </w:r>
          </w:p>
        </w:tc>
        <w:tc>
          <w:tcPr>
            <w:tcW w:w="1276" w:type="dxa"/>
            <w:tcBorders>
              <w:bottom w:val="single" w:sz="4" w:space="0" w:color="auto"/>
            </w:tcBorders>
            <w:shd w:val="clear" w:color="auto" w:fill="00B0F0"/>
            <w:hideMark/>
          </w:tcPr>
          <w:p w14:paraId="1E841FB7" w14:textId="77777777" w:rsidR="00FC7AD9" w:rsidRPr="00772037" w:rsidRDefault="00FC7AD9"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No cumple</w:t>
            </w:r>
          </w:p>
        </w:tc>
        <w:tc>
          <w:tcPr>
            <w:tcW w:w="1418" w:type="dxa"/>
            <w:tcBorders>
              <w:bottom w:val="single" w:sz="4" w:space="0" w:color="auto"/>
            </w:tcBorders>
            <w:shd w:val="clear" w:color="auto" w:fill="00B0F0"/>
          </w:tcPr>
          <w:p w14:paraId="4DC1668D" w14:textId="77777777" w:rsidR="00FC7AD9" w:rsidRPr="00772037" w:rsidRDefault="00FC7AD9"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Se aproxima</w:t>
            </w:r>
          </w:p>
        </w:tc>
        <w:tc>
          <w:tcPr>
            <w:tcW w:w="1134" w:type="dxa"/>
            <w:tcBorders>
              <w:bottom w:val="single" w:sz="4" w:space="0" w:color="auto"/>
            </w:tcBorders>
            <w:shd w:val="clear" w:color="auto" w:fill="00B0F0"/>
          </w:tcPr>
          <w:p w14:paraId="0F881C79" w14:textId="77777777" w:rsidR="00FC7AD9" w:rsidRPr="00772037" w:rsidRDefault="00FC7AD9"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Cumple</w:t>
            </w:r>
          </w:p>
        </w:tc>
        <w:tc>
          <w:tcPr>
            <w:tcW w:w="1134" w:type="dxa"/>
            <w:tcBorders>
              <w:bottom w:val="single" w:sz="4" w:space="0" w:color="auto"/>
            </w:tcBorders>
            <w:shd w:val="clear" w:color="auto" w:fill="00B0F0"/>
          </w:tcPr>
          <w:p w14:paraId="73B8FAFC" w14:textId="77777777" w:rsidR="00FC7AD9" w:rsidRPr="00772037" w:rsidRDefault="00FC7AD9" w:rsidP="00316349">
            <w:pPr>
              <w:spacing w:after="120"/>
              <w:jc w:val="center"/>
              <w:rPr>
                <w:rFonts w:asciiTheme="majorHAnsi" w:hAnsiTheme="majorHAnsi" w:cstheme="majorHAnsi"/>
                <w:b/>
                <w:bCs/>
                <w:color w:val="FFFFFF" w:themeColor="background1"/>
              </w:rPr>
            </w:pPr>
            <w:r w:rsidRPr="00772037">
              <w:rPr>
                <w:rFonts w:asciiTheme="majorHAnsi" w:hAnsiTheme="majorHAnsi" w:cstheme="majorHAnsi"/>
                <w:b/>
                <w:bCs/>
                <w:color w:val="FFFFFF" w:themeColor="background1"/>
              </w:rPr>
              <w:t>Supera</w:t>
            </w:r>
          </w:p>
        </w:tc>
      </w:tr>
      <w:tr w:rsidR="00FC7AD9" w:rsidRPr="00772037" w14:paraId="68C30954" w14:textId="77777777" w:rsidTr="00A80645">
        <w:trPr>
          <w:trHeight w:val="427"/>
          <w:tblHeader/>
        </w:trPr>
        <w:tc>
          <w:tcPr>
            <w:tcW w:w="8931" w:type="dxa"/>
            <w:gridSpan w:val="5"/>
            <w:tcBorders>
              <w:bottom w:val="single" w:sz="2" w:space="0" w:color="auto"/>
            </w:tcBorders>
            <w:shd w:val="clear" w:color="auto" w:fill="F2F2F2" w:themeFill="background1" w:themeFillShade="F2"/>
            <w:vAlign w:val="center"/>
          </w:tcPr>
          <w:p w14:paraId="794F0D6D" w14:textId="77777777" w:rsidR="00FC7AD9" w:rsidRPr="00772037" w:rsidRDefault="00FC7AD9" w:rsidP="00316349">
            <w:pPr>
              <w:spacing w:after="120"/>
              <w:rPr>
                <w:rFonts w:asciiTheme="majorHAnsi" w:hAnsiTheme="majorHAnsi" w:cstheme="majorHAnsi"/>
                <w:b/>
                <w:bCs/>
              </w:rPr>
            </w:pPr>
            <w:r w:rsidRPr="00772037">
              <w:rPr>
                <w:rFonts w:asciiTheme="majorHAnsi" w:hAnsiTheme="majorHAnsi" w:cstheme="majorHAnsi"/>
                <w:b/>
                <w:bCs/>
              </w:rPr>
              <w:t>1. Planeación</w:t>
            </w:r>
          </w:p>
        </w:tc>
      </w:tr>
      <w:tr w:rsidR="00A80645" w:rsidRPr="00772037" w14:paraId="6748D330" w14:textId="77777777" w:rsidTr="00A80645">
        <w:trPr>
          <w:trHeight w:val="241"/>
          <w:tblHeader/>
        </w:trPr>
        <w:tc>
          <w:tcPr>
            <w:tcW w:w="3969" w:type="dxa"/>
            <w:tcBorders>
              <w:top w:val="single" w:sz="2" w:space="0" w:color="auto"/>
            </w:tcBorders>
            <w:shd w:val="clear" w:color="auto" w:fill="auto"/>
          </w:tcPr>
          <w:p w14:paraId="1D49C9BD" w14:textId="77777777"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1.1. CCA</w:t>
            </w:r>
          </w:p>
        </w:tc>
        <w:tc>
          <w:tcPr>
            <w:tcW w:w="1276" w:type="dxa"/>
            <w:tcBorders>
              <w:top w:val="single" w:sz="2" w:space="0" w:color="auto"/>
            </w:tcBorders>
            <w:shd w:val="clear" w:color="auto" w:fill="auto"/>
          </w:tcPr>
          <w:p w14:paraId="32CD128E" w14:textId="77777777" w:rsidR="00FC7AD9" w:rsidRPr="00772037" w:rsidRDefault="00FC7AD9" w:rsidP="00316349">
            <w:pPr>
              <w:spacing w:after="120"/>
              <w:rPr>
                <w:rFonts w:asciiTheme="majorHAnsi" w:hAnsiTheme="majorHAnsi" w:cstheme="majorHAnsi"/>
              </w:rPr>
            </w:pPr>
          </w:p>
        </w:tc>
        <w:tc>
          <w:tcPr>
            <w:tcW w:w="1418" w:type="dxa"/>
            <w:tcBorders>
              <w:top w:val="single" w:sz="2" w:space="0" w:color="auto"/>
            </w:tcBorders>
            <w:shd w:val="clear" w:color="auto" w:fill="auto"/>
          </w:tcPr>
          <w:p w14:paraId="004DA296" w14:textId="77777777" w:rsidR="00FC7AD9" w:rsidRPr="00772037" w:rsidRDefault="00FC7AD9" w:rsidP="00316349">
            <w:pPr>
              <w:spacing w:after="120"/>
              <w:rPr>
                <w:rFonts w:asciiTheme="majorHAnsi" w:hAnsiTheme="majorHAnsi" w:cstheme="majorHAnsi"/>
              </w:rPr>
            </w:pPr>
          </w:p>
        </w:tc>
        <w:tc>
          <w:tcPr>
            <w:tcW w:w="1134" w:type="dxa"/>
            <w:tcBorders>
              <w:top w:val="single" w:sz="2" w:space="0" w:color="auto"/>
            </w:tcBorders>
            <w:shd w:val="clear" w:color="auto" w:fill="auto"/>
          </w:tcPr>
          <w:p w14:paraId="3D631588" w14:textId="77777777" w:rsidR="00FC7AD9" w:rsidRPr="00772037" w:rsidRDefault="00FC7AD9" w:rsidP="00316349">
            <w:pPr>
              <w:spacing w:after="120"/>
              <w:rPr>
                <w:rFonts w:asciiTheme="majorHAnsi" w:hAnsiTheme="majorHAnsi" w:cstheme="majorHAnsi"/>
              </w:rPr>
            </w:pPr>
          </w:p>
        </w:tc>
        <w:tc>
          <w:tcPr>
            <w:tcW w:w="1134" w:type="dxa"/>
            <w:tcBorders>
              <w:top w:val="single" w:sz="2" w:space="0" w:color="auto"/>
            </w:tcBorders>
            <w:shd w:val="clear" w:color="auto" w:fill="0070C0"/>
          </w:tcPr>
          <w:p w14:paraId="1D3DCF5D" w14:textId="77777777" w:rsidR="00FC7AD9" w:rsidRPr="00772037" w:rsidRDefault="00FC7AD9" w:rsidP="00316349">
            <w:pPr>
              <w:spacing w:after="120"/>
              <w:rPr>
                <w:rFonts w:asciiTheme="majorHAnsi" w:hAnsiTheme="majorHAnsi" w:cstheme="majorHAnsi"/>
              </w:rPr>
            </w:pPr>
          </w:p>
        </w:tc>
      </w:tr>
      <w:tr w:rsidR="00FC7AD9" w:rsidRPr="00772037" w14:paraId="6E885E32" w14:textId="77777777" w:rsidTr="00A80645">
        <w:trPr>
          <w:trHeight w:val="278"/>
          <w:tblHeader/>
        </w:trPr>
        <w:tc>
          <w:tcPr>
            <w:tcW w:w="3969" w:type="dxa"/>
            <w:shd w:val="clear" w:color="auto" w:fill="auto"/>
          </w:tcPr>
          <w:p w14:paraId="6FDABF50" w14:textId="77777777" w:rsidR="00FC7AD9" w:rsidRPr="00772037" w:rsidRDefault="00FC7AD9" w:rsidP="00316349">
            <w:pPr>
              <w:spacing w:after="120"/>
              <w:rPr>
                <w:rFonts w:asciiTheme="majorHAnsi" w:hAnsiTheme="majorHAnsi" w:cstheme="majorHAnsi"/>
              </w:rPr>
            </w:pPr>
            <w:r w:rsidRPr="00FC7AD9">
              <w:rPr>
                <w:rFonts w:asciiTheme="majorHAnsi" w:hAnsiTheme="majorHAnsi" w:cstheme="majorHAnsi"/>
                <w:color w:val="00B0F0"/>
              </w:rPr>
              <w:t>1.2. Resultados UNDAF</w:t>
            </w:r>
          </w:p>
        </w:tc>
        <w:tc>
          <w:tcPr>
            <w:tcW w:w="1276" w:type="dxa"/>
            <w:shd w:val="clear" w:color="auto" w:fill="auto"/>
          </w:tcPr>
          <w:p w14:paraId="35EA48F7"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77FDEA98"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631DB244" w14:textId="77777777" w:rsidR="00FC7AD9" w:rsidRPr="00772037" w:rsidRDefault="00FC7AD9" w:rsidP="00316349">
            <w:pPr>
              <w:spacing w:after="120"/>
              <w:rPr>
                <w:rFonts w:asciiTheme="majorHAnsi" w:hAnsiTheme="majorHAnsi" w:cstheme="majorHAnsi"/>
              </w:rPr>
            </w:pPr>
          </w:p>
        </w:tc>
        <w:tc>
          <w:tcPr>
            <w:tcW w:w="1134" w:type="dxa"/>
            <w:shd w:val="clear" w:color="auto" w:fill="0070C0"/>
          </w:tcPr>
          <w:p w14:paraId="054CCE06" w14:textId="77777777" w:rsidR="00FC7AD9" w:rsidRPr="00772037" w:rsidRDefault="00FC7AD9" w:rsidP="00316349">
            <w:pPr>
              <w:spacing w:after="120"/>
              <w:rPr>
                <w:rFonts w:asciiTheme="majorHAnsi" w:hAnsiTheme="majorHAnsi" w:cstheme="majorHAnsi"/>
              </w:rPr>
            </w:pPr>
          </w:p>
        </w:tc>
      </w:tr>
      <w:tr w:rsidR="00FC7AD9" w:rsidRPr="00772037" w14:paraId="5421310E" w14:textId="77777777" w:rsidTr="00A80645">
        <w:trPr>
          <w:trHeight w:val="287"/>
          <w:tblHeader/>
        </w:trPr>
        <w:tc>
          <w:tcPr>
            <w:tcW w:w="3969" w:type="dxa"/>
            <w:shd w:val="clear" w:color="auto" w:fill="auto"/>
          </w:tcPr>
          <w:p w14:paraId="00928FD7" w14:textId="77777777" w:rsidR="00FC7AD9" w:rsidRPr="00772037" w:rsidRDefault="00FC7AD9" w:rsidP="00316349">
            <w:pPr>
              <w:spacing w:after="120"/>
              <w:rPr>
                <w:rFonts w:asciiTheme="majorHAnsi" w:hAnsiTheme="majorHAnsi" w:cstheme="majorHAnsi"/>
              </w:rPr>
            </w:pPr>
            <w:r w:rsidRPr="00FC7AD9">
              <w:rPr>
                <w:rFonts w:asciiTheme="majorHAnsi" w:hAnsiTheme="majorHAnsi" w:cstheme="majorHAnsi"/>
                <w:color w:val="00B0F0"/>
              </w:rPr>
              <w:t>1.3. Indicadores UNDAF</w:t>
            </w:r>
          </w:p>
        </w:tc>
        <w:tc>
          <w:tcPr>
            <w:tcW w:w="1276" w:type="dxa"/>
            <w:shd w:val="clear" w:color="auto" w:fill="auto"/>
          </w:tcPr>
          <w:p w14:paraId="11A4DF55"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7D188A81"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31867F45" w14:textId="77777777" w:rsidR="00FC7AD9" w:rsidRPr="00772037" w:rsidRDefault="00FC7AD9" w:rsidP="00316349">
            <w:pPr>
              <w:spacing w:after="120"/>
              <w:rPr>
                <w:rFonts w:asciiTheme="majorHAnsi" w:hAnsiTheme="majorHAnsi" w:cstheme="majorHAnsi"/>
              </w:rPr>
            </w:pPr>
          </w:p>
        </w:tc>
        <w:tc>
          <w:tcPr>
            <w:tcW w:w="1134" w:type="dxa"/>
            <w:shd w:val="clear" w:color="auto" w:fill="0070C0"/>
          </w:tcPr>
          <w:p w14:paraId="0FCD5ACD" w14:textId="77777777" w:rsidR="00FC7AD9" w:rsidRPr="00772037" w:rsidRDefault="00FC7AD9" w:rsidP="00316349">
            <w:pPr>
              <w:spacing w:after="120"/>
              <w:rPr>
                <w:rFonts w:asciiTheme="majorHAnsi" w:hAnsiTheme="majorHAnsi" w:cstheme="majorHAnsi"/>
              </w:rPr>
            </w:pPr>
          </w:p>
        </w:tc>
      </w:tr>
      <w:tr w:rsidR="00FC7AD9" w:rsidRPr="00772037" w14:paraId="4661F1C9" w14:textId="77777777" w:rsidTr="00A80645">
        <w:trPr>
          <w:trHeight w:val="453"/>
          <w:tblHeader/>
        </w:trPr>
        <w:tc>
          <w:tcPr>
            <w:tcW w:w="8931" w:type="dxa"/>
            <w:gridSpan w:val="5"/>
            <w:shd w:val="clear" w:color="auto" w:fill="F2F2F2" w:themeFill="background1" w:themeFillShade="F2"/>
            <w:vAlign w:val="center"/>
          </w:tcPr>
          <w:p w14:paraId="1863C3F9" w14:textId="77777777" w:rsidR="00FC7AD9" w:rsidRPr="00772037" w:rsidRDefault="00FC7AD9" w:rsidP="00316349">
            <w:pPr>
              <w:spacing w:after="120"/>
              <w:rPr>
                <w:rFonts w:asciiTheme="majorHAnsi" w:hAnsiTheme="majorHAnsi" w:cstheme="majorHAnsi"/>
                <w:b/>
                <w:bCs/>
              </w:rPr>
            </w:pPr>
            <w:r w:rsidRPr="00772037">
              <w:rPr>
                <w:rFonts w:asciiTheme="majorHAnsi" w:hAnsiTheme="majorHAnsi" w:cstheme="majorHAnsi"/>
                <w:b/>
                <w:bCs/>
              </w:rPr>
              <w:t>2. Programación y M&amp;E</w:t>
            </w:r>
          </w:p>
        </w:tc>
      </w:tr>
      <w:tr w:rsidR="00A80645" w:rsidRPr="00772037" w14:paraId="632788B1" w14:textId="77777777" w:rsidTr="00A80645">
        <w:trPr>
          <w:trHeight w:val="366"/>
          <w:tblHeader/>
        </w:trPr>
        <w:tc>
          <w:tcPr>
            <w:tcW w:w="3969" w:type="dxa"/>
            <w:shd w:val="clear" w:color="auto" w:fill="auto"/>
          </w:tcPr>
          <w:p w14:paraId="36858D0D" w14:textId="77777777" w:rsidR="00FC7AD9" w:rsidRPr="00772037" w:rsidRDefault="00FC7AD9" w:rsidP="00316349">
            <w:pPr>
              <w:spacing w:after="120"/>
              <w:rPr>
                <w:rFonts w:asciiTheme="majorHAnsi" w:hAnsiTheme="majorHAnsi" w:cstheme="majorHAnsi"/>
              </w:rPr>
            </w:pPr>
            <w:r w:rsidRPr="00FC7AD9">
              <w:rPr>
                <w:rFonts w:asciiTheme="majorHAnsi" w:hAnsiTheme="majorHAnsi" w:cstheme="majorHAnsi"/>
                <w:color w:val="00B0F0"/>
              </w:rPr>
              <w:t>2.1. Programas conjuntos</w:t>
            </w:r>
          </w:p>
        </w:tc>
        <w:tc>
          <w:tcPr>
            <w:tcW w:w="1276" w:type="dxa"/>
            <w:shd w:val="clear" w:color="auto" w:fill="auto"/>
          </w:tcPr>
          <w:p w14:paraId="3C810E2E"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3E09C81D" w14:textId="77777777" w:rsidR="00FC7AD9" w:rsidRPr="00772037" w:rsidRDefault="00FC7AD9" w:rsidP="00316349">
            <w:pPr>
              <w:spacing w:after="120"/>
              <w:rPr>
                <w:rFonts w:asciiTheme="majorHAnsi" w:hAnsiTheme="majorHAnsi" w:cstheme="majorHAnsi"/>
              </w:rPr>
            </w:pPr>
          </w:p>
        </w:tc>
        <w:tc>
          <w:tcPr>
            <w:tcW w:w="1134" w:type="dxa"/>
            <w:shd w:val="clear" w:color="auto" w:fill="00B050"/>
          </w:tcPr>
          <w:p w14:paraId="184ECC5E"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2202DEBC" w14:textId="77777777" w:rsidR="00FC7AD9" w:rsidRPr="00772037" w:rsidRDefault="00FC7AD9" w:rsidP="00316349">
            <w:pPr>
              <w:spacing w:after="120"/>
              <w:rPr>
                <w:rFonts w:asciiTheme="majorHAnsi" w:hAnsiTheme="majorHAnsi" w:cstheme="majorHAnsi"/>
              </w:rPr>
            </w:pPr>
          </w:p>
        </w:tc>
      </w:tr>
      <w:tr w:rsidR="00A80645" w:rsidRPr="00772037" w14:paraId="7F673E9A" w14:textId="77777777" w:rsidTr="00A80645">
        <w:trPr>
          <w:trHeight w:val="272"/>
          <w:tblHeader/>
        </w:trPr>
        <w:tc>
          <w:tcPr>
            <w:tcW w:w="3969" w:type="dxa"/>
            <w:shd w:val="clear" w:color="auto" w:fill="auto"/>
          </w:tcPr>
          <w:p w14:paraId="7EB3E98E" w14:textId="77777777"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2.2. Comunicaciones &amp; Abogacía</w:t>
            </w:r>
          </w:p>
        </w:tc>
        <w:tc>
          <w:tcPr>
            <w:tcW w:w="1276" w:type="dxa"/>
            <w:shd w:val="clear" w:color="auto" w:fill="auto"/>
          </w:tcPr>
          <w:p w14:paraId="5713E512" w14:textId="77777777" w:rsidR="00FC7AD9" w:rsidRPr="00772037" w:rsidRDefault="00FC7AD9" w:rsidP="00316349">
            <w:pPr>
              <w:spacing w:after="120"/>
              <w:rPr>
                <w:rFonts w:asciiTheme="majorHAnsi" w:hAnsiTheme="majorHAnsi" w:cstheme="majorHAnsi"/>
              </w:rPr>
            </w:pPr>
          </w:p>
        </w:tc>
        <w:tc>
          <w:tcPr>
            <w:tcW w:w="1418" w:type="dxa"/>
            <w:shd w:val="clear" w:color="auto" w:fill="FFC000"/>
          </w:tcPr>
          <w:p w14:paraId="3147C060"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28ABFEBD"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695866A9" w14:textId="77777777" w:rsidR="00FC7AD9" w:rsidRPr="00772037" w:rsidRDefault="00FC7AD9" w:rsidP="00316349">
            <w:pPr>
              <w:spacing w:after="120"/>
              <w:rPr>
                <w:rFonts w:asciiTheme="majorHAnsi" w:hAnsiTheme="majorHAnsi" w:cstheme="majorHAnsi"/>
              </w:rPr>
            </w:pPr>
          </w:p>
        </w:tc>
      </w:tr>
      <w:tr w:rsidR="00A80645" w:rsidRPr="00772037" w14:paraId="3C7B2F6D" w14:textId="77777777" w:rsidTr="00A80645">
        <w:trPr>
          <w:trHeight w:val="276"/>
          <w:tblHeader/>
        </w:trPr>
        <w:tc>
          <w:tcPr>
            <w:tcW w:w="3969" w:type="dxa"/>
            <w:shd w:val="clear" w:color="auto" w:fill="auto"/>
          </w:tcPr>
          <w:p w14:paraId="36D998A6" w14:textId="77777777"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2.3. M&amp;E UNDAF</w:t>
            </w:r>
          </w:p>
        </w:tc>
        <w:tc>
          <w:tcPr>
            <w:tcW w:w="1276" w:type="dxa"/>
            <w:shd w:val="clear" w:color="auto" w:fill="FF0000"/>
          </w:tcPr>
          <w:p w14:paraId="54C1F823"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30593CC5"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6A7D142D"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5B7BEE8B" w14:textId="77777777" w:rsidR="00FC7AD9" w:rsidRPr="00772037" w:rsidRDefault="00FC7AD9" w:rsidP="00316349">
            <w:pPr>
              <w:spacing w:after="120"/>
              <w:rPr>
                <w:rFonts w:asciiTheme="majorHAnsi" w:hAnsiTheme="majorHAnsi" w:cstheme="majorHAnsi"/>
              </w:rPr>
            </w:pPr>
          </w:p>
        </w:tc>
      </w:tr>
      <w:tr w:rsidR="00FC7AD9" w:rsidRPr="00772037" w14:paraId="4736CA37" w14:textId="77777777" w:rsidTr="00A94EB7">
        <w:trPr>
          <w:trHeight w:val="281"/>
          <w:tblHeader/>
        </w:trPr>
        <w:tc>
          <w:tcPr>
            <w:tcW w:w="8931" w:type="dxa"/>
            <w:gridSpan w:val="5"/>
            <w:shd w:val="clear" w:color="auto" w:fill="F2F2F2" w:themeFill="background1" w:themeFillShade="F2"/>
            <w:vAlign w:val="center"/>
          </w:tcPr>
          <w:p w14:paraId="5CD735C6" w14:textId="77777777" w:rsidR="00FC7AD9" w:rsidRPr="00772037" w:rsidRDefault="00FC7AD9" w:rsidP="00316349">
            <w:pPr>
              <w:spacing w:after="120"/>
              <w:rPr>
                <w:rFonts w:asciiTheme="majorHAnsi" w:hAnsiTheme="majorHAnsi" w:cstheme="majorHAnsi"/>
                <w:b/>
                <w:bCs/>
              </w:rPr>
            </w:pPr>
            <w:r w:rsidRPr="00772037">
              <w:rPr>
                <w:rFonts w:asciiTheme="majorHAnsi" w:hAnsiTheme="majorHAnsi" w:cstheme="majorHAnsi"/>
                <w:b/>
                <w:bCs/>
              </w:rPr>
              <w:t>3. Asociaciones</w:t>
            </w:r>
          </w:p>
        </w:tc>
      </w:tr>
      <w:tr w:rsidR="00FC7AD9" w:rsidRPr="00772037" w14:paraId="7FC00896" w14:textId="77777777" w:rsidTr="00A80645">
        <w:trPr>
          <w:trHeight w:val="330"/>
          <w:tblHeader/>
        </w:trPr>
        <w:tc>
          <w:tcPr>
            <w:tcW w:w="3969" w:type="dxa"/>
            <w:shd w:val="clear" w:color="auto" w:fill="auto"/>
          </w:tcPr>
          <w:p w14:paraId="1BF87F4B" w14:textId="77777777" w:rsidR="00FC7AD9" w:rsidRPr="00FC7AD9" w:rsidRDefault="00FC7AD9" w:rsidP="00316349">
            <w:pPr>
              <w:spacing w:after="120"/>
              <w:rPr>
                <w:rFonts w:asciiTheme="majorHAnsi" w:hAnsiTheme="majorHAnsi" w:cstheme="majorHAnsi"/>
                <w:color w:val="00B0F0"/>
              </w:rPr>
            </w:pPr>
            <w:r w:rsidRPr="00FC7AD9">
              <w:rPr>
                <w:rFonts w:asciiTheme="majorHAnsi" w:hAnsiTheme="majorHAnsi" w:cstheme="majorHAnsi"/>
                <w:color w:val="00B0F0"/>
              </w:rPr>
              <w:t>3.1. Colaboración Gobierno</w:t>
            </w:r>
          </w:p>
        </w:tc>
        <w:tc>
          <w:tcPr>
            <w:tcW w:w="1276" w:type="dxa"/>
            <w:shd w:val="clear" w:color="auto" w:fill="auto"/>
          </w:tcPr>
          <w:p w14:paraId="27381586"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2D9E6EC7"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320C8B81" w14:textId="77777777" w:rsidR="00FC7AD9" w:rsidRPr="00772037" w:rsidRDefault="00FC7AD9" w:rsidP="00316349">
            <w:pPr>
              <w:spacing w:after="120"/>
              <w:rPr>
                <w:rFonts w:asciiTheme="majorHAnsi" w:hAnsiTheme="majorHAnsi" w:cstheme="majorHAnsi"/>
              </w:rPr>
            </w:pPr>
          </w:p>
        </w:tc>
        <w:tc>
          <w:tcPr>
            <w:tcW w:w="1134" w:type="dxa"/>
            <w:shd w:val="clear" w:color="auto" w:fill="0070C0"/>
          </w:tcPr>
          <w:p w14:paraId="2650AB15" w14:textId="77777777" w:rsidR="00FC7AD9" w:rsidRPr="00772037" w:rsidRDefault="00FC7AD9" w:rsidP="00316349">
            <w:pPr>
              <w:spacing w:after="120"/>
              <w:rPr>
                <w:rFonts w:asciiTheme="majorHAnsi" w:hAnsiTheme="majorHAnsi" w:cstheme="majorHAnsi"/>
              </w:rPr>
            </w:pPr>
          </w:p>
        </w:tc>
      </w:tr>
      <w:tr w:rsidR="00FC7AD9" w:rsidRPr="00772037" w14:paraId="5C460399" w14:textId="77777777" w:rsidTr="00A80645">
        <w:trPr>
          <w:trHeight w:val="278"/>
          <w:tblHeader/>
        </w:trPr>
        <w:tc>
          <w:tcPr>
            <w:tcW w:w="3969" w:type="dxa"/>
            <w:shd w:val="clear" w:color="auto" w:fill="auto"/>
          </w:tcPr>
          <w:p w14:paraId="05165908" w14:textId="77777777" w:rsidR="00FC7AD9" w:rsidRPr="00FC7AD9" w:rsidRDefault="00FC7AD9" w:rsidP="00316349">
            <w:pPr>
              <w:spacing w:after="120"/>
              <w:rPr>
                <w:rFonts w:asciiTheme="majorHAnsi" w:hAnsiTheme="majorHAnsi" w:cstheme="majorHAnsi"/>
                <w:color w:val="00B0F0"/>
              </w:rPr>
            </w:pPr>
            <w:r w:rsidRPr="00FC7AD9">
              <w:rPr>
                <w:rFonts w:asciiTheme="majorHAnsi" w:hAnsiTheme="majorHAnsi" w:cstheme="majorHAnsi"/>
                <w:color w:val="00B0F0"/>
              </w:rPr>
              <w:t xml:space="preserve">3.1. Colaboración con OSC </w:t>
            </w:r>
          </w:p>
        </w:tc>
        <w:tc>
          <w:tcPr>
            <w:tcW w:w="1276" w:type="dxa"/>
            <w:shd w:val="clear" w:color="auto" w:fill="auto"/>
          </w:tcPr>
          <w:p w14:paraId="4562492B"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669DD87A"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5086A2B3" w14:textId="77777777" w:rsidR="00FC7AD9" w:rsidRPr="00772037" w:rsidRDefault="00FC7AD9" w:rsidP="00316349">
            <w:pPr>
              <w:spacing w:after="120"/>
              <w:rPr>
                <w:rFonts w:asciiTheme="majorHAnsi" w:hAnsiTheme="majorHAnsi" w:cstheme="majorHAnsi"/>
              </w:rPr>
            </w:pPr>
          </w:p>
        </w:tc>
        <w:tc>
          <w:tcPr>
            <w:tcW w:w="1134" w:type="dxa"/>
            <w:shd w:val="clear" w:color="auto" w:fill="0070C0"/>
          </w:tcPr>
          <w:p w14:paraId="581C99D2" w14:textId="77777777" w:rsidR="00FC7AD9" w:rsidRPr="00772037" w:rsidRDefault="00FC7AD9" w:rsidP="00316349">
            <w:pPr>
              <w:spacing w:after="120"/>
              <w:rPr>
                <w:rFonts w:asciiTheme="majorHAnsi" w:hAnsiTheme="majorHAnsi" w:cstheme="majorHAnsi"/>
              </w:rPr>
            </w:pPr>
          </w:p>
        </w:tc>
      </w:tr>
      <w:tr w:rsidR="00FC7AD9" w:rsidRPr="00772037" w14:paraId="2B7E913D" w14:textId="77777777" w:rsidTr="00A94EB7">
        <w:trPr>
          <w:trHeight w:val="428"/>
          <w:tblHeader/>
        </w:trPr>
        <w:tc>
          <w:tcPr>
            <w:tcW w:w="8931" w:type="dxa"/>
            <w:gridSpan w:val="5"/>
            <w:shd w:val="clear" w:color="auto" w:fill="F2F2F2" w:themeFill="background1" w:themeFillShade="F2"/>
            <w:vAlign w:val="center"/>
          </w:tcPr>
          <w:p w14:paraId="0504FD85" w14:textId="77777777" w:rsidR="00FC7AD9" w:rsidRPr="00772037" w:rsidRDefault="00FC7AD9" w:rsidP="00316349">
            <w:pPr>
              <w:spacing w:after="120"/>
              <w:rPr>
                <w:rFonts w:asciiTheme="majorHAnsi" w:hAnsiTheme="majorHAnsi" w:cstheme="majorHAnsi"/>
                <w:b/>
                <w:bCs/>
              </w:rPr>
            </w:pPr>
            <w:r w:rsidRPr="00772037">
              <w:rPr>
                <w:rFonts w:asciiTheme="majorHAnsi" w:hAnsiTheme="majorHAnsi" w:cstheme="majorHAnsi"/>
                <w:b/>
                <w:bCs/>
              </w:rPr>
              <w:t>4. Liderazgo y cultura organizacional</w:t>
            </w:r>
          </w:p>
        </w:tc>
      </w:tr>
      <w:tr w:rsidR="00A80645" w:rsidRPr="00772037" w14:paraId="50EFE722" w14:textId="77777777" w:rsidTr="00A80645">
        <w:trPr>
          <w:trHeight w:val="290"/>
          <w:tblHeader/>
        </w:trPr>
        <w:tc>
          <w:tcPr>
            <w:tcW w:w="3969" w:type="dxa"/>
            <w:shd w:val="clear" w:color="auto" w:fill="auto"/>
          </w:tcPr>
          <w:p w14:paraId="3196944C" w14:textId="77777777"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4.1. Liderazgo</w:t>
            </w:r>
          </w:p>
        </w:tc>
        <w:tc>
          <w:tcPr>
            <w:tcW w:w="1276" w:type="dxa"/>
            <w:shd w:val="clear" w:color="auto" w:fill="auto"/>
          </w:tcPr>
          <w:p w14:paraId="78C3F7DB" w14:textId="77777777" w:rsidR="00FC7AD9" w:rsidRPr="00772037" w:rsidRDefault="00FC7AD9" w:rsidP="00316349">
            <w:pPr>
              <w:spacing w:after="120"/>
              <w:rPr>
                <w:rFonts w:asciiTheme="majorHAnsi" w:hAnsiTheme="majorHAnsi" w:cstheme="majorHAnsi"/>
              </w:rPr>
            </w:pPr>
          </w:p>
        </w:tc>
        <w:tc>
          <w:tcPr>
            <w:tcW w:w="1418" w:type="dxa"/>
            <w:shd w:val="clear" w:color="auto" w:fill="FFC000"/>
          </w:tcPr>
          <w:p w14:paraId="11087B02"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0D63A551"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42C9C0A2" w14:textId="77777777" w:rsidR="00FC7AD9" w:rsidRPr="00772037" w:rsidRDefault="00FC7AD9" w:rsidP="00316349">
            <w:pPr>
              <w:spacing w:after="120"/>
              <w:rPr>
                <w:rFonts w:asciiTheme="majorHAnsi" w:hAnsiTheme="majorHAnsi" w:cstheme="majorHAnsi"/>
              </w:rPr>
            </w:pPr>
          </w:p>
        </w:tc>
      </w:tr>
      <w:tr w:rsidR="00A80645" w:rsidRPr="00772037" w14:paraId="1AC036C3" w14:textId="77777777" w:rsidTr="00A80645">
        <w:trPr>
          <w:trHeight w:val="280"/>
          <w:tblHeader/>
        </w:trPr>
        <w:tc>
          <w:tcPr>
            <w:tcW w:w="3969" w:type="dxa"/>
            <w:shd w:val="clear" w:color="auto" w:fill="auto"/>
          </w:tcPr>
          <w:p w14:paraId="1E82ECDA" w14:textId="77777777"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4.2. Cultura organizacional</w:t>
            </w:r>
          </w:p>
        </w:tc>
        <w:tc>
          <w:tcPr>
            <w:tcW w:w="1276" w:type="dxa"/>
            <w:shd w:val="clear" w:color="auto" w:fill="auto"/>
          </w:tcPr>
          <w:p w14:paraId="1FC53772" w14:textId="77777777" w:rsidR="00FC7AD9" w:rsidRPr="00772037" w:rsidRDefault="00FC7AD9" w:rsidP="00316349">
            <w:pPr>
              <w:spacing w:after="120"/>
              <w:rPr>
                <w:rFonts w:asciiTheme="majorHAnsi" w:hAnsiTheme="majorHAnsi" w:cstheme="majorHAnsi"/>
              </w:rPr>
            </w:pPr>
          </w:p>
        </w:tc>
        <w:tc>
          <w:tcPr>
            <w:tcW w:w="1418" w:type="dxa"/>
            <w:shd w:val="clear" w:color="auto" w:fill="FFC000"/>
          </w:tcPr>
          <w:p w14:paraId="6BECD87E"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783A4FEF"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70196EE5" w14:textId="77777777" w:rsidR="00FC7AD9" w:rsidRPr="00772037" w:rsidRDefault="00FC7AD9" w:rsidP="00316349">
            <w:pPr>
              <w:spacing w:after="120"/>
              <w:rPr>
                <w:rFonts w:asciiTheme="majorHAnsi" w:hAnsiTheme="majorHAnsi" w:cstheme="majorHAnsi"/>
              </w:rPr>
            </w:pPr>
          </w:p>
        </w:tc>
      </w:tr>
      <w:tr w:rsidR="00A80645" w:rsidRPr="00772037" w14:paraId="227CB1BA" w14:textId="77777777" w:rsidTr="00A80645">
        <w:trPr>
          <w:trHeight w:val="284"/>
          <w:tblHeader/>
        </w:trPr>
        <w:tc>
          <w:tcPr>
            <w:tcW w:w="3969" w:type="dxa"/>
            <w:shd w:val="clear" w:color="auto" w:fill="auto"/>
          </w:tcPr>
          <w:p w14:paraId="5B019C26" w14:textId="77777777"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4.3. Paridad de género</w:t>
            </w:r>
          </w:p>
        </w:tc>
        <w:tc>
          <w:tcPr>
            <w:tcW w:w="1276" w:type="dxa"/>
            <w:shd w:val="clear" w:color="auto" w:fill="FF0000"/>
          </w:tcPr>
          <w:p w14:paraId="67D03851"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3A0D6573"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2EF9C771"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3F650BA6" w14:textId="77777777" w:rsidR="00FC7AD9" w:rsidRPr="00772037" w:rsidRDefault="00FC7AD9" w:rsidP="00316349">
            <w:pPr>
              <w:spacing w:after="120"/>
              <w:rPr>
                <w:rFonts w:asciiTheme="majorHAnsi" w:hAnsiTheme="majorHAnsi" w:cstheme="majorHAnsi"/>
              </w:rPr>
            </w:pPr>
          </w:p>
        </w:tc>
      </w:tr>
      <w:tr w:rsidR="00FC7AD9" w:rsidRPr="00772037" w14:paraId="34D248C0" w14:textId="77777777" w:rsidTr="00A80645">
        <w:trPr>
          <w:trHeight w:val="526"/>
          <w:tblHeader/>
        </w:trPr>
        <w:tc>
          <w:tcPr>
            <w:tcW w:w="8931" w:type="dxa"/>
            <w:gridSpan w:val="5"/>
            <w:shd w:val="clear" w:color="auto" w:fill="F2F2F2" w:themeFill="background1" w:themeFillShade="F2"/>
            <w:vAlign w:val="center"/>
          </w:tcPr>
          <w:p w14:paraId="24BAFEEB" w14:textId="77777777" w:rsidR="00FC7AD9" w:rsidRPr="00772037" w:rsidRDefault="00FC7AD9" w:rsidP="00316349">
            <w:pPr>
              <w:spacing w:after="120"/>
              <w:rPr>
                <w:rFonts w:asciiTheme="majorHAnsi" w:hAnsiTheme="majorHAnsi" w:cstheme="majorHAnsi"/>
                <w:b/>
                <w:bCs/>
              </w:rPr>
            </w:pPr>
            <w:r w:rsidRPr="00772037">
              <w:rPr>
                <w:rFonts w:asciiTheme="majorHAnsi" w:hAnsiTheme="majorHAnsi" w:cstheme="majorHAnsi"/>
                <w:b/>
                <w:bCs/>
              </w:rPr>
              <w:t>5. Arquitectura y capacidades de género</w:t>
            </w:r>
          </w:p>
        </w:tc>
      </w:tr>
      <w:tr w:rsidR="00FC7AD9" w:rsidRPr="00772037" w14:paraId="06138B25" w14:textId="77777777" w:rsidTr="00A80645">
        <w:trPr>
          <w:trHeight w:val="254"/>
          <w:tblHeader/>
        </w:trPr>
        <w:tc>
          <w:tcPr>
            <w:tcW w:w="3969" w:type="dxa"/>
            <w:shd w:val="clear" w:color="auto" w:fill="auto"/>
          </w:tcPr>
          <w:p w14:paraId="023DBD41" w14:textId="77777777" w:rsidR="00FC7AD9" w:rsidRPr="00772037" w:rsidRDefault="00FC7AD9" w:rsidP="00316349">
            <w:pPr>
              <w:spacing w:after="120"/>
              <w:rPr>
                <w:rFonts w:asciiTheme="majorHAnsi" w:hAnsiTheme="majorHAnsi" w:cstheme="majorHAnsi"/>
              </w:rPr>
            </w:pPr>
            <w:r w:rsidRPr="00FC7AD9">
              <w:rPr>
                <w:rFonts w:asciiTheme="majorHAnsi" w:hAnsiTheme="majorHAnsi" w:cstheme="majorHAnsi"/>
                <w:color w:val="00B0F0"/>
              </w:rPr>
              <w:t xml:space="preserve">5.1. Mecanismos de coordinación </w:t>
            </w:r>
          </w:p>
        </w:tc>
        <w:tc>
          <w:tcPr>
            <w:tcW w:w="1276" w:type="dxa"/>
            <w:shd w:val="clear" w:color="auto" w:fill="auto"/>
          </w:tcPr>
          <w:p w14:paraId="15920F61"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1F64A887" w14:textId="77777777" w:rsidR="00FC7AD9" w:rsidRPr="00772037" w:rsidRDefault="00FC7AD9" w:rsidP="00316349">
            <w:pPr>
              <w:spacing w:after="120"/>
              <w:rPr>
                <w:rFonts w:asciiTheme="majorHAnsi" w:hAnsiTheme="majorHAnsi" w:cstheme="majorHAnsi"/>
              </w:rPr>
            </w:pPr>
          </w:p>
        </w:tc>
        <w:tc>
          <w:tcPr>
            <w:tcW w:w="1134" w:type="dxa"/>
            <w:shd w:val="clear" w:color="auto" w:fill="00B050"/>
          </w:tcPr>
          <w:p w14:paraId="73A1F491"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2730615A" w14:textId="77777777" w:rsidR="00FC7AD9" w:rsidRPr="00772037" w:rsidRDefault="00FC7AD9" w:rsidP="00316349">
            <w:pPr>
              <w:spacing w:after="120"/>
              <w:rPr>
                <w:rFonts w:asciiTheme="majorHAnsi" w:hAnsiTheme="majorHAnsi" w:cstheme="majorHAnsi"/>
              </w:rPr>
            </w:pPr>
          </w:p>
        </w:tc>
      </w:tr>
      <w:tr w:rsidR="00A80645" w:rsidRPr="00772037" w14:paraId="24B4AF54" w14:textId="77777777" w:rsidTr="00A80645">
        <w:trPr>
          <w:trHeight w:val="244"/>
          <w:tblHeader/>
        </w:trPr>
        <w:tc>
          <w:tcPr>
            <w:tcW w:w="3969" w:type="dxa"/>
            <w:shd w:val="clear" w:color="auto" w:fill="auto"/>
          </w:tcPr>
          <w:p w14:paraId="36CDCEED" w14:textId="77777777"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 xml:space="preserve">5.1. Capacidades </w:t>
            </w:r>
          </w:p>
        </w:tc>
        <w:tc>
          <w:tcPr>
            <w:tcW w:w="1276" w:type="dxa"/>
            <w:shd w:val="clear" w:color="auto" w:fill="FF0000"/>
          </w:tcPr>
          <w:p w14:paraId="108834B0"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545A0E91"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1DEDA738"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4134E151" w14:textId="77777777" w:rsidR="00FC7AD9" w:rsidRPr="00772037" w:rsidRDefault="00FC7AD9" w:rsidP="00316349">
            <w:pPr>
              <w:spacing w:after="120"/>
              <w:rPr>
                <w:rFonts w:asciiTheme="majorHAnsi" w:hAnsiTheme="majorHAnsi" w:cstheme="majorHAnsi"/>
              </w:rPr>
            </w:pPr>
          </w:p>
        </w:tc>
      </w:tr>
      <w:tr w:rsidR="00FC7AD9" w:rsidRPr="00772037" w14:paraId="7DD29C39" w14:textId="77777777" w:rsidTr="00A80645">
        <w:trPr>
          <w:trHeight w:val="602"/>
          <w:tblHeader/>
        </w:trPr>
        <w:tc>
          <w:tcPr>
            <w:tcW w:w="8931" w:type="dxa"/>
            <w:gridSpan w:val="5"/>
            <w:shd w:val="clear" w:color="auto" w:fill="F2F2F2" w:themeFill="background1" w:themeFillShade="F2"/>
            <w:vAlign w:val="center"/>
          </w:tcPr>
          <w:p w14:paraId="42B6E742" w14:textId="77777777" w:rsidR="00FC7AD9" w:rsidRPr="00772037" w:rsidRDefault="00FC7AD9" w:rsidP="00316349">
            <w:pPr>
              <w:spacing w:after="120"/>
              <w:rPr>
                <w:rFonts w:asciiTheme="majorHAnsi" w:hAnsiTheme="majorHAnsi" w:cstheme="majorHAnsi"/>
                <w:b/>
                <w:bCs/>
              </w:rPr>
            </w:pPr>
            <w:r w:rsidRPr="00772037">
              <w:rPr>
                <w:rFonts w:asciiTheme="majorHAnsi" w:hAnsiTheme="majorHAnsi" w:cstheme="majorHAnsi"/>
                <w:b/>
                <w:bCs/>
              </w:rPr>
              <w:t>6. Recursos financieros</w:t>
            </w:r>
          </w:p>
        </w:tc>
      </w:tr>
      <w:tr w:rsidR="00A80645" w:rsidRPr="00772037" w14:paraId="26C7E972" w14:textId="77777777" w:rsidTr="00A80645">
        <w:trPr>
          <w:trHeight w:val="298"/>
          <w:tblHeader/>
        </w:trPr>
        <w:tc>
          <w:tcPr>
            <w:tcW w:w="3969" w:type="dxa"/>
            <w:shd w:val="clear" w:color="auto" w:fill="auto"/>
          </w:tcPr>
          <w:p w14:paraId="13C04154" w14:textId="2A62A5AA"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 xml:space="preserve">6.1. Recursos para la </w:t>
            </w:r>
            <w:r w:rsidR="00A80645">
              <w:rPr>
                <w:rFonts w:asciiTheme="majorHAnsi" w:hAnsiTheme="majorHAnsi" w:cstheme="majorHAnsi"/>
              </w:rPr>
              <w:t>IGEM</w:t>
            </w:r>
          </w:p>
        </w:tc>
        <w:tc>
          <w:tcPr>
            <w:tcW w:w="1276" w:type="dxa"/>
            <w:shd w:val="clear" w:color="auto" w:fill="FF0000"/>
          </w:tcPr>
          <w:p w14:paraId="5196E87D" w14:textId="77777777" w:rsidR="00FC7AD9" w:rsidRPr="00772037" w:rsidRDefault="00FC7AD9" w:rsidP="00316349">
            <w:pPr>
              <w:spacing w:after="120"/>
              <w:rPr>
                <w:rFonts w:asciiTheme="majorHAnsi" w:hAnsiTheme="majorHAnsi" w:cstheme="majorHAnsi"/>
              </w:rPr>
            </w:pPr>
          </w:p>
        </w:tc>
        <w:tc>
          <w:tcPr>
            <w:tcW w:w="1418" w:type="dxa"/>
            <w:shd w:val="clear" w:color="auto" w:fill="auto"/>
          </w:tcPr>
          <w:p w14:paraId="2561ED5C"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38DBB61E"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5FE6729D" w14:textId="77777777" w:rsidR="00FC7AD9" w:rsidRPr="00772037" w:rsidRDefault="00FC7AD9" w:rsidP="00316349">
            <w:pPr>
              <w:spacing w:after="120"/>
              <w:rPr>
                <w:rFonts w:asciiTheme="majorHAnsi" w:hAnsiTheme="majorHAnsi" w:cstheme="majorHAnsi"/>
              </w:rPr>
            </w:pPr>
          </w:p>
        </w:tc>
      </w:tr>
      <w:tr w:rsidR="00FC7AD9" w:rsidRPr="00772037" w14:paraId="46D2FA24" w14:textId="77777777" w:rsidTr="00A80645">
        <w:trPr>
          <w:trHeight w:val="513"/>
          <w:tblHeader/>
        </w:trPr>
        <w:tc>
          <w:tcPr>
            <w:tcW w:w="8931" w:type="dxa"/>
            <w:gridSpan w:val="5"/>
            <w:shd w:val="clear" w:color="auto" w:fill="F2F2F2" w:themeFill="background1" w:themeFillShade="F2"/>
            <w:vAlign w:val="center"/>
          </w:tcPr>
          <w:p w14:paraId="5E539048" w14:textId="77777777" w:rsidR="00FC7AD9" w:rsidRPr="00772037" w:rsidRDefault="00FC7AD9" w:rsidP="00316349">
            <w:pPr>
              <w:spacing w:after="120"/>
              <w:rPr>
                <w:rFonts w:asciiTheme="majorHAnsi" w:hAnsiTheme="majorHAnsi" w:cstheme="majorHAnsi"/>
                <w:b/>
                <w:bCs/>
              </w:rPr>
            </w:pPr>
            <w:r w:rsidRPr="00772037">
              <w:rPr>
                <w:rFonts w:asciiTheme="majorHAnsi" w:hAnsiTheme="majorHAnsi" w:cstheme="majorHAnsi"/>
                <w:b/>
                <w:bCs/>
              </w:rPr>
              <w:t>7. Resultados</w:t>
            </w:r>
          </w:p>
        </w:tc>
      </w:tr>
      <w:tr w:rsidR="00A80645" w:rsidRPr="00772037" w14:paraId="60CC98D0" w14:textId="77777777" w:rsidTr="00A80645">
        <w:trPr>
          <w:trHeight w:val="296"/>
          <w:tblHeader/>
        </w:trPr>
        <w:tc>
          <w:tcPr>
            <w:tcW w:w="3969" w:type="dxa"/>
            <w:shd w:val="clear" w:color="auto" w:fill="auto"/>
          </w:tcPr>
          <w:p w14:paraId="26D304B5" w14:textId="46411395" w:rsidR="00FC7AD9" w:rsidRPr="00772037" w:rsidRDefault="00FC7AD9" w:rsidP="00316349">
            <w:pPr>
              <w:spacing w:after="120"/>
              <w:rPr>
                <w:rFonts w:asciiTheme="majorHAnsi" w:hAnsiTheme="majorHAnsi" w:cstheme="majorHAnsi"/>
              </w:rPr>
            </w:pPr>
            <w:r w:rsidRPr="00772037">
              <w:rPr>
                <w:rFonts w:asciiTheme="majorHAnsi" w:hAnsiTheme="majorHAnsi" w:cstheme="majorHAnsi"/>
              </w:rPr>
              <w:t xml:space="preserve">7.1. Resultados </w:t>
            </w:r>
          </w:p>
        </w:tc>
        <w:tc>
          <w:tcPr>
            <w:tcW w:w="1276" w:type="dxa"/>
            <w:shd w:val="clear" w:color="auto" w:fill="FFFFFF" w:themeFill="background1"/>
          </w:tcPr>
          <w:p w14:paraId="08684E20" w14:textId="77777777" w:rsidR="00FC7AD9" w:rsidRPr="00772037" w:rsidRDefault="00FC7AD9" w:rsidP="00316349">
            <w:pPr>
              <w:spacing w:after="120"/>
              <w:rPr>
                <w:rFonts w:asciiTheme="majorHAnsi" w:hAnsiTheme="majorHAnsi" w:cstheme="majorHAnsi"/>
              </w:rPr>
            </w:pPr>
          </w:p>
        </w:tc>
        <w:tc>
          <w:tcPr>
            <w:tcW w:w="1418" w:type="dxa"/>
            <w:shd w:val="clear" w:color="auto" w:fill="FFC000"/>
          </w:tcPr>
          <w:p w14:paraId="2489E836"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599E1723" w14:textId="77777777" w:rsidR="00FC7AD9" w:rsidRPr="00772037" w:rsidRDefault="00FC7AD9" w:rsidP="00316349">
            <w:pPr>
              <w:spacing w:after="120"/>
              <w:rPr>
                <w:rFonts w:asciiTheme="majorHAnsi" w:hAnsiTheme="majorHAnsi" w:cstheme="majorHAnsi"/>
              </w:rPr>
            </w:pPr>
          </w:p>
        </w:tc>
        <w:tc>
          <w:tcPr>
            <w:tcW w:w="1134" w:type="dxa"/>
            <w:shd w:val="clear" w:color="auto" w:fill="auto"/>
          </w:tcPr>
          <w:p w14:paraId="20EA8A69" w14:textId="77777777" w:rsidR="00FC7AD9" w:rsidRPr="00772037" w:rsidRDefault="00FC7AD9" w:rsidP="00316349">
            <w:pPr>
              <w:spacing w:after="120"/>
              <w:rPr>
                <w:rFonts w:asciiTheme="majorHAnsi" w:hAnsiTheme="majorHAnsi" w:cstheme="majorHAnsi"/>
              </w:rPr>
            </w:pPr>
          </w:p>
        </w:tc>
      </w:tr>
      <w:tr w:rsidR="00A80645" w:rsidRPr="00772037" w14:paraId="59817F99" w14:textId="77777777" w:rsidTr="00A80645">
        <w:trPr>
          <w:trHeight w:val="269"/>
          <w:tblHeader/>
        </w:trPr>
        <w:tc>
          <w:tcPr>
            <w:tcW w:w="3969" w:type="dxa"/>
            <w:shd w:val="clear" w:color="auto" w:fill="F2F2F2" w:themeFill="background1" w:themeFillShade="F2"/>
          </w:tcPr>
          <w:p w14:paraId="240F4605" w14:textId="77777777" w:rsidR="00FC7AD9" w:rsidRPr="00772037" w:rsidRDefault="00FC7AD9" w:rsidP="00316349">
            <w:pPr>
              <w:spacing w:after="120"/>
              <w:jc w:val="center"/>
              <w:rPr>
                <w:rFonts w:asciiTheme="majorHAnsi" w:hAnsiTheme="majorHAnsi" w:cstheme="majorHAnsi"/>
                <w:b/>
                <w:bCs/>
              </w:rPr>
            </w:pPr>
            <w:r w:rsidRPr="00772037">
              <w:rPr>
                <w:rFonts w:asciiTheme="majorHAnsi" w:hAnsiTheme="majorHAnsi" w:cstheme="majorHAnsi"/>
                <w:b/>
                <w:bCs/>
              </w:rPr>
              <w:t>TOTAL</w:t>
            </w:r>
          </w:p>
        </w:tc>
        <w:tc>
          <w:tcPr>
            <w:tcW w:w="1276" w:type="dxa"/>
            <w:shd w:val="clear" w:color="auto" w:fill="F2F2F2" w:themeFill="background1" w:themeFillShade="F2"/>
          </w:tcPr>
          <w:p w14:paraId="78FDFB37" w14:textId="77777777" w:rsidR="00FC7AD9" w:rsidRPr="00772037" w:rsidRDefault="00FC7AD9" w:rsidP="00316349">
            <w:pPr>
              <w:spacing w:after="120"/>
              <w:jc w:val="center"/>
              <w:rPr>
                <w:rFonts w:asciiTheme="majorHAnsi" w:hAnsiTheme="majorHAnsi" w:cstheme="majorHAnsi"/>
                <w:b/>
                <w:bCs/>
              </w:rPr>
            </w:pPr>
            <w:r w:rsidRPr="00772037">
              <w:rPr>
                <w:rFonts w:asciiTheme="majorHAnsi" w:hAnsiTheme="majorHAnsi" w:cstheme="majorHAnsi"/>
                <w:b/>
                <w:bCs/>
              </w:rPr>
              <w:t>4</w:t>
            </w:r>
          </w:p>
        </w:tc>
        <w:tc>
          <w:tcPr>
            <w:tcW w:w="1418" w:type="dxa"/>
            <w:shd w:val="clear" w:color="auto" w:fill="F2F2F2" w:themeFill="background1" w:themeFillShade="F2"/>
          </w:tcPr>
          <w:p w14:paraId="429B5F2C" w14:textId="0A18827F" w:rsidR="00FC7AD9" w:rsidRPr="00772037" w:rsidRDefault="00FC7AD9" w:rsidP="00316349">
            <w:pPr>
              <w:spacing w:after="120"/>
              <w:jc w:val="center"/>
              <w:rPr>
                <w:rFonts w:asciiTheme="majorHAnsi" w:hAnsiTheme="majorHAnsi" w:cstheme="majorHAnsi"/>
                <w:b/>
                <w:bCs/>
              </w:rPr>
            </w:pPr>
            <w:r>
              <w:rPr>
                <w:rFonts w:asciiTheme="majorHAnsi" w:hAnsiTheme="majorHAnsi" w:cstheme="majorHAnsi"/>
                <w:b/>
                <w:bCs/>
              </w:rPr>
              <w:t>4</w:t>
            </w:r>
          </w:p>
        </w:tc>
        <w:tc>
          <w:tcPr>
            <w:tcW w:w="1134" w:type="dxa"/>
            <w:shd w:val="clear" w:color="auto" w:fill="F2F2F2" w:themeFill="background1" w:themeFillShade="F2"/>
          </w:tcPr>
          <w:p w14:paraId="5D9EEDEE" w14:textId="6234FB78" w:rsidR="00FC7AD9" w:rsidRPr="00772037" w:rsidRDefault="00FC7AD9" w:rsidP="00316349">
            <w:pPr>
              <w:spacing w:after="120"/>
              <w:jc w:val="center"/>
              <w:rPr>
                <w:rFonts w:asciiTheme="majorHAnsi" w:hAnsiTheme="majorHAnsi" w:cstheme="majorHAnsi"/>
                <w:b/>
                <w:bCs/>
              </w:rPr>
            </w:pPr>
            <w:r>
              <w:rPr>
                <w:rFonts w:asciiTheme="majorHAnsi" w:hAnsiTheme="majorHAnsi" w:cstheme="majorHAnsi"/>
                <w:b/>
                <w:bCs/>
              </w:rPr>
              <w:t>2</w:t>
            </w:r>
          </w:p>
        </w:tc>
        <w:tc>
          <w:tcPr>
            <w:tcW w:w="1134" w:type="dxa"/>
            <w:shd w:val="clear" w:color="auto" w:fill="F2F2F2" w:themeFill="background1" w:themeFillShade="F2"/>
          </w:tcPr>
          <w:p w14:paraId="351AA039" w14:textId="08054C60" w:rsidR="00FC7AD9" w:rsidRPr="00772037" w:rsidRDefault="00FC7AD9" w:rsidP="00316349">
            <w:pPr>
              <w:spacing w:after="120"/>
              <w:jc w:val="center"/>
              <w:rPr>
                <w:rFonts w:asciiTheme="majorHAnsi" w:hAnsiTheme="majorHAnsi" w:cstheme="majorHAnsi"/>
                <w:b/>
                <w:bCs/>
              </w:rPr>
            </w:pPr>
            <w:r>
              <w:rPr>
                <w:rFonts w:asciiTheme="majorHAnsi" w:hAnsiTheme="majorHAnsi" w:cstheme="majorHAnsi"/>
                <w:b/>
                <w:bCs/>
              </w:rPr>
              <w:t>5</w:t>
            </w:r>
          </w:p>
        </w:tc>
      </w:tr>
    </w:tbl>
    <w:p w14:paraId="3BB2D3E3" w14:textId="1B82D637" w:rsidR="00A80645" w:rsidRDefault="00A80645" w:rsidP="00FC7AD9">
      <w:pPr>
        <w:spacing w:after="120"/>
        <w:jc w:val="both"/>
        <w:rPr>
          <w:rFonts w:asciiTheme="majorHAnsi" w:hAnsiTheme="majorHAnsi" w:cstheme="majorHAnsi"/>
        </w:rPr>
      </w:pPr>
      <w:r>
        <w:rPr>
          <w:rFonts w:asciiTheme="majorHAnsi" w:hAnsiTheme="majorHAnsi" w:cstheme="majorHAnsi"/>
        </w:rPr>
        <w:t xml:space="preserve">La revisión por indicador muestra claramente el impacto positivo que en conjunto tuvo el cumplimiento del Plan de Acción en relación con todas las acciones vinculadas al proceso de integración del Marco de Coopeación, así como la implementación </w:t>
      </w:r>
      <w:r w:rsidR="00A94EB7">
        <w:rPr>
          <w:rFonts w:asciiTheme="majorHAnsi" w:hAnsiTheme="majorHAnsi" w:cstheme="majorHAnsi"/>
        </w:rPr>
        <w:t xml:space="preserve">particular </w:t>
      </w:r>
      <w:r>
        <w:rPr>
          <w:rFonts w:asciiTheme="majorHAnsi" w:hAnsiTheme="majorHAnsi" w:cstheme="majorHAnsi"/>
        </w:rPr>
        <w:t>de dos programas conjuntos emblemáticos para México,  Spotlight y Cerrando Brechas, los cuales  contribuyeron ampliamente al  movimiento positivo  de 5 indicadores.</w:t>
      </w:r>
    </w:p>
    <w:p w14:paraId="15E78083" w14:textId="6DB838D9" w:rsidR="00FC7AD9" w:rsidRPr="00772037" w:rsidRDefault="00A80645" w:rsidP="00FC7AD9">
      <w:pPr>
        <w:spacing w:after="120"/>
        <w:jc w:val="both"/>
        <w:rPr>
          <w:rFonts w:asciiTheme="majorHAnsi" w:hAnsiTheme="majorHAnsi" w:cstheme="majorHAnsi"/>
        </w:rPr>
      </w:pPr>
      <w:r>
        <w:rPr>
          <w:rFonts w:asciiTheme="majorHAnsi" w:hAnsiTheme="majorHAnsi" w:cstheme="majorHAnsi"/>
        </w:rPr>
        <w:t>A</w:t>
      </w:r>
      <w:r w:rsidR="00FC7AD9" w:rsidRPr="00772037">
        <w:rPr>
          <w:rFonts w:asciiTheme="majorHAnsi" w:hAnsiTheme="majorHAnsi" w:cstheme="majorHAnsi"/>
        </w:rPr>
        <w:t xml:space="preserve">continuación, se presenta </w:t>
      </w:r>
      <w:r w:rsidR="00FC7AD9">
        <w:rPr>
          <w:rFonts w:asciiTheme="majorHAnsi" w:hAnsiTheme="majorHAnsi" w:cstheme="majorHAnsi"/>
        </w:rPr>
        <w:t>la</w:t>
      </w:r>
      <w:r w:rsidR="00FC7AD9" w:rsidRPr="00772037">
        <w:rPr>
          <w:rFonts w:asciiTheme="majorHAnsi" w:hAnsiTheme="majorHAnsi" w:cstheme="majorHAnsi"/>
        </w:rPr>
        <w:t xml:space="preserve"> sinopsis </w:t>
      </w:r>
      <w:r w:rsidR="00FC7AD9">
        <w:rPr>
          <w:rFonts w:asciiTheme="majorHAnsi" w:hAnsiTheme="majorHAnsi" w:cstheme="majorHAnsi"/>
        </w:rPr>
        <w:t xml:space="preserve">de la revisión y justificación de la puntuación de los </w:t>
      </w:r>
      <w:r>
        <w:rPr>
          <w:rFonts w:asciiTheme="majorHAnsi" w:hAnsiTheme="majorHAnsi" w:cstheme="majorHAnsi"/>
        </w:rPr>
        <w:t xml:space="preserve">6 </w:t>
      </w:r>
      <w:r w:rsidR="00FC7AD9">
        <w:rPr>
          <w:rFonts w:asciiTheme="majorHAnsi" w:hAnsiTheme="majorHAnsi" w:cstheme="majorHAnsi"/>
        </w:rPr>
        <w:t xml:space="preserve">indicadores seleccionados. </w:t>
      </w:r>
      <w:r w:rsidR="00FC7AD9" w:rsidRPr="00772037">
        <w:rPr>
          <w:rFonts w:asciiTheme="majorHAnsi" w:hAnsiTheme="majorHAnsi" w:cstheme="majorHAnsi"/>
        </w:rPr>
        <w:t xml:space="preserve">El Anexo </w:t>
      </w:r>
      <w:r w:rsidR="00FC7AD9">
        <w:rPr>
          <w:rFonts w:asciiTheme="majorHAnsi" w:hAnsiTheme="majorHAnsi" w:cstheme="majorHAnsi"/>
        </w:rPr>
        <w:t xml:space="preserve">I </w:t>
      </w:r>
      <w:r w:rsidR="00FC7AD9" w:rsidRPr="00772037">
        <w:rPr>
          <w:rFonts w:asciiTheme="majorHAnsi" w:hAnsiTheme="majorHAnsi" w:cstheme="majorHAnsi"/>
        </w:rPr>
        <w:t xml:space="preserve">contiene </w:t>
      </w:r>
      <w:r w:rsidR="00AC45EA">
        <w:rPr>
          <w:rFonts w:asciiTheme="majorHAnsi" w:hAnsiTheme="majorHAnsi" w:cstheme="majorHAnsi"/>
        </w:rPr>
        <w:t>la matriz de excel con la</w:t>
      </w:r>
      <w:r w:rsidR="00FC7AD9" w:rsidRPr="00772037">
        <w:rPr>
          <w:rFonts w:asciiTheme="majorHAnsi" w:hAnsiTheme="majorHAnsi" w:cstheme="majorHAnsi"/>
        </w:rPr>
        <w:t xml:space="preserve"> rationale de</w:t>
      </w:r>
      <w:r w:rsidR="00FC7AD9">
        <w:rPr>
          <w:rFonts w:asciiTheme="majorHAnsi" w:hAnsiTheme="majorHAnsi" w:cstheme="majorHAnsi"/>
        </w:rPr>
        <w:t>l análisis de género que justifica</w:t>
      </w:r>
      <w:r w:rsidR="00FC7AD9" w:rsidRPr="00772037">
        <w:rPr>
          <w:rFonts w:asciiTheme="majorHAnsi" w:hAnsiTheme="majorHAnsi" w:cstheme="majorHAnsi"/>
        </w:rPr>
        <w:t xml:space="preserve"> la </w:t>
      </w:r>
      <w:r w:rsidR="00FC7AD9">
        <w:rPr>
          <w:rFonts w:asciiTheme="majorHAnsi" w:hAnsiTheme="majorHAnsi" w:cstheme="majorHAnsi"/>
        </w:rPr>
        <w:t>valoración</w:t>
      </w:r>
      <w:r w:rsidR="00862551">
        <w:rPr>
          <w:rFonts w:asciiTheme="majorHAnsi" w:hAnsiTheme="majorHAnsi" w:cstheme="majorHAnsi"/>
        </w:rPr>
        <w:t>.</w:t>
      </w:r>
    </w:p>
    <w:p w14:paraId="2F06D7F8" w14:textId="77777777" w:rsidR="00862551" w:rsidRDefault="00862551" w:rsidP="00862551">
      <w:pPr>
        <w:rPr>
          <w:rFonts w:ascii="Calibri" w:hAnsi="Calibri" w:cs="Calibri"/>
          <w:b/>
          <w:bCs/>
          <w:color w:val="00B0F0"/>
        </w:rPr>
      </w:pPr>
    </w:p>
    <w:p w14:paraId="0B8CD45D" w14:textId="7B3157EB" w:rsidR="00FC7AD9" w:rsidRPr="00862551" w:rsidRDefault="00FC7AD9" w:rsidP="00862551">
      <w:pPr>
        <w:rPr>
          <w:rFonts w:ascii="Calibri" w:hAnsi="Calibri" w:cs="Calibri"/>
          <w:b/>
          <w:bCs/>
          <w:color w:val="00B0F0"/>
        </w:rPr>
      </w:pPr>
      <w:r w:rsidRPr="00862551">
        <w:rPr>
          <w:rFonts w:ascii="Calibri" w:hAnsi="Calibri" w:cs="Calibri"/>
          <w:b/>
          <w:bCs/>
          <w:color w:val="00B0F0"/>
        </w:rPr>
        <w:t>1. Planificación</w:t>
      </w:r>
    </w:p>
    <w:p w14:paraId="34BBBB6B" w14:textId="77777777" w:rsidR="00FC7AD9" w:rsidRPr="004A1436" w:rsidRDefault="00FC7AD9" w:rsidP="00FC7AD9">
      <w:pPr>
        <w:rPr>
          <w:rFonts w:asciiTheme="majorHAnsi" w:hAnsiTheme="majorHAnsi" w:cstheme="majorHAnsi"/>
          <w:sz w:val="21"/>
          <w:szCs w:val="21"/>
        </w:rPr>
      </w:pPr>
    </w:p>
    <w:tbl>
      <w:tblPr>
        <w:tblStyle w:val="Tablaconcuadrcula"/>
        <w:tblW w:w="8676" w:type="dxa"/>
        <w:tblInd w:w="108" w:type="dxa"/>
        <w:tblLayout w:type="fixed"/>
        <w:tblLook w:val="04A0" w:firstRow="1" w:lastRow="0" w:firstColumn="1" w:lastColumn="0" w:noHBand="0" w:noVBand="1"/>
      </w:tblPr>
      <w:tblGrid>
        <w:gridCol w:w="3998"/>
        <w:gridCol w:w="3686"/>
        <w:gridCol w:w="992"/>
      </w:tblGrid>
      <w:tr w:rsidR="00FC7AD9" w:rsidRPr="004A1436" w14:paraId="51EE2716" w14:textId="77777777" w:rsidTr="00FC7AD9">
        <w:trPr>
          <w:trHeight w:val="949"/>
        </w:trPr>
        <w:tc>
          <w:tcPr>
            <w:tcW w:w="3998" w:type="dxa"/>
            <w:vAlign w:val="center"/>
          </w:tcPr>
          <w:p w14:paraId="2111C43A" w14:textId="77777777" w:rsidR="00FC7AD9" w:rsidRPr="00FC7AD9" w:rsidRDefault="00FC7AD9" w:rsidP="00316349">
            <w:pPr>
              <w:rPr>
                <w:rFonts w:asciiTheme="majorHAnsi" w:hAnsiTheme="majorHAnsi" w:cstheme="majorHAnsi"/>
                <w:b/>
                <w:color w:val="00B0F0"/>
              </w:rPr>
            </w:pPr>
            <w:r w:rsidRPr="00FC7AD9">
              <w:rPr>
                <w:rFonts w:asciiTheme="majorHAnsi" w:hAnsiTheme="majorHAnsi" w:cstheme="majorHAnsi"/>
                <w:b/>
                <w:color w:val="00B0F0"/>
              </w:rPr>
              <w:t>Indicador</w:t>
            </w:r>
          </w:p>
          <w:p w14:paraId="41A19C11" w14:textId="5DA6DCC3" w:rsidR="00FC7AD9" w:rsidRPr="00FC7AD9" w:rsidRDefault="00FC7AD9" w:rsidP="00316349">
            <w:pPr>
              <w:rPr>
                <w:rFonts w:asciiTheme="majorHAnsi" w:hAnsiTheme="majorHAnsi" w:cstheme="majorHAnsi"/>
                <w:b/>
                <w:color w:val="548DD4" w:themeColor="text2" w:themeTint="99"/>
              </w:rPr>
            </w:pPr>
            <w:r w:rsidRPr="00FC7AD9">
              <w:rPr>
                <w:rFonts w:asciiTheme="majorHAnsi" w:hAnsiTheme="majorHAnsi" w:cstheme="majorHAnsi"/>
                <w:b/>
                <w:color w:val="000000" w:themeColor="dark1"/>
                <w:kern w:val="24"/>
                <w:lang w:val="en-US"/>
              </w:rPr>
              <w:t xml:space="preserve">1.2. </w:t>
            </w:r>
            <w:r w:rsidRPr="00FC7AD9">
              <w:rPr>
                <w:rFonts w:asciiTheme="majorHAnsi" w:hAnsiTheme="majorHAnsi" w:cstheme="majorHAnsi"/>
                <w:b/>
                <w:color w:val="000000" w:themeColor="dark1"/>
                <w:kern w:val="24"/>
              </w:rPr>
              <w:t xml:space="preserve">Resultados </w:t>
            </w:r>
            <w:r w:rsidR="00A80645">
              <w:rPr>
                <w:rFonts w:asciiTheme="majorHAnsi" w:hAnsiTheme="majorHAnsi" w:cstheme="majorHAnsi"/>
                <w:b/>
                <w:color w:val="000000" w:themeColor="dark1"/>
                <w:kern w:val="24"/>
              </w:rPr>
              <w:t xml:space="preserve">del </w:t>
            </w:r>
            <w:r w:rsidR="00AC45EA">
              <w:rPr>
                <w:rFonts w:asciiTheme="majorHAnsi" w:hAnsiTheme="majorHAnsi" w:cstheme="majorHAnsi"/>
                <w:b/>
                <w:color w:val="000000" w:themeColor="dark1"/>
                <w:kern w:val="24"/>
              </w:rPr>
              <w:t>UNDAF</w:t>
            </w:r>
          </w:p>
        </w:tc>
        <w:tc>
          <w:tcPr>
            <w:tcW w:w="3686" w:type="dxa"/>
            <w:vAlign w:val="center"/>
          </w:tcPr>
          <w:p w14:paraId="6FED1E73" w14:textId="77777777" w:rsidR="00FC7AD9" w:rsidRPr="00FC7AD9" w:rsidRDefault="00FC7AD9" w:rsidP="00316349">
            <w:pPr>
              <w:rPr>
                <w:rFonts w:asciiTheme="majorHAnsi" w:hAnsiTheme="majorHAnsi" w:cstheme="majorHAnsi"/>
                <w:b/>
                <w:color w:val="00B0F0"/>
              </w:rPr>
            </w:pPr>
            <w:r w:rsidRPr="00FC7AD9">
              <w:rPr>
                <w:rFonts w:asciiTheme="majorHAnsi" w:hAnsiTheme="majorHAnsi" w:cstheme="majorHAnsi"/>
                <w:b/>
                <w:color w:val="00B0F0"/>
              </w:rPr>
              <w:t>Puntuación</w:t>
            </w:r>
          </w:p>
          <w:p w14:paraId="76B61FA7" w14:textId="77777777" w:rsidR="00FC7AD9" w:rsidRPr="00FC7AD9" w:rsidRDefault="00FC7AD9" w:rsidP="00316349">
            <w:pPr>
              <w:rPr>
                <w:rFonts w:asciiTheme="majorHAnsi" w:hAnsiTheme="majorHAnsi" w:cstheme="majorHAnsi"/>
                <w:b/>
                <w:kern w:val="24"/>
                <w:lang w:val="es-ES"/>
              </w:rPr>
            </w:pPr>
            <w:r w:rsidRPr="00FC7AD9">
              <w:rPr>
                <w:rFonts w:asciiTheme="majorHAnsi" w:hAnsiTheme="majorHAnsi" w:cstheme="majorHAnsi"/>
                <w:b/>
                <w:kern w:val="24"/>
                <w:lang w:val="es-ES"/>
              </w:rPr>
              <w:t>Supera  el estándar mínimo</w:t>
            </w:r>
          </w:p>
          <w:p w14:paraId="43E94FDD" w14:textId="77777777" w:rsidR="00FC7AD9" w:rsidRPr="00FC7AD9" w:rsidRDefault="00FC7AD9" w:rsidP="00316349">
            <w:pPr>
              <w:rPr>
                <w:rFonts w:asciiTheme="majorHAnsi" w:hAnsiTheme="majorHAnsi" w:cstheme="majorHAnsi"/>
                <w:bCs/>
                <w:kern w:val="24"/>
                <w:lang w:val="es-ES"/>
              </w:rPr>
            </w:pPr>
            <w:r w:rsidRPr="00FC7AD9">
              <w:rPr>
                <w:rFonts w:asciiTheme="majorHAnsi" w:hAnsiTheme="majorHAnsi" w:cstheme="majorHAnsi"/>
                <w:bCs/>
                <w:kern w:val="24"/>
                <w:lang w:val="es-ES"/>
              </w:rPr>
              <w:t>(se movió + con respecto a 2019)</w:t>
            </w:r>
          </w:p>
        </w:tc>
        <w:tc>
          <w:tcPr>
            <w:tcW w:w="992" w:type="dxa"/>
            <w:vAlign w:val="center"/>
          </w:tcPr>
          <w:p w14:paraId="68A9B769" w14:textId="77777777" w:rsidR="00FC7AD9" w:rsidRPr="004A1436" w:rsidRDefault="00FC7AD9" w:rsidP="00316349">
            <w:pPr>
              <w:rPr>
                <w:rFonts w:asciiTheme="majorHAnsi" w:hAnsiTheme="majorHAnsi" w:cstheme="majorHAnsi"/>
                <w:b/>
                <w:sz w:val="21"/>
                <w:szCs w:val="21"/>
              </w:rPr>
            </w:pPr>
            <w:r w:rsidRPr="004A1436">
              <w:rPr>
                <w:rFonts w:asciiTheme="majorHAnsi" w:hAnsiTheme="majorHAnsi" w:cstheme="majorHAnsi"/>
                <w:b/>
                <w:noProof/>
                <w:sz w:val="21"/>
                <w:szCs w:val="21"/>
                <w:lang w:val="en-US"/>
              </w:rPr>
              <w:drawing>
                <wp:anchor distT="0" distB="0" distL="114300" distR="114300" simplePos="0" relativeHeight="251673600" behindDoc="0" locked="0" layoutInCell="1" allowOverlap="1" wp14:anchorId="1AB6417F" wp14:editId="4417D9FE">
                  <wp:simplePos x="0" y="0"/>
                  <wp:positionH relativeFrom="column">
                    <wp:posOffset>40640</wp:posOffset>
                  </wp:positionH>
                  <wp:positionV relativeFrom="page">
                    <wp:posOffset>107950</wp:posOffset>
                  </wp:positionV>
                  <wp:extent cx="358140" cy="358140"/>
                  <wp:effectExtent l="0" t="0" r="0" b="0"/>
                  <wp:wrapSquare wrapText="bothSides"/>
                  <wp:docPr id="27" name="Gráfico 27"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20">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1"/>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4A1436" w14:paraId="71B60F30" w14:textId="77777777" w:rsidTr="00FC7AD9">
        <w:tc>
          <w:tcPr>
            <w:tcW w:w="8676" w:type="dxa"/>
            <w:gridSpan w:val="3"/>
          </w:tcPr>
          <w:p w14:paraId="385E5F12" w14:textId="77777777" w:rsidR="00FC7AD9" w:rsidRPr="00FC7AD9" w:rsidRDefault="00FC7AD9" w:rsidP="00316349">
            <w:pPr>
              <w:rPr>
                <w:rFonts w:asciiTheme="majorHAnsi" w:hAnsiTheme="majorHAnsi" w:cstheme="majorHAnsi"/>
                <w:b/>
                <w:color w:val="00B0F0"/>
              </w:rPr>
            </w:pPr>
            <w:r w:rsidRPr="00FC7AD9">
              <w:rPr>
                <w:rFonts w:asciiTheme="majorHAnsi" w:hAnsiTheme="majorHAnsi" w:cstheme="majorHAnsi"/>
                <w:b/>
                <w:color w:val="00B0F0"/>
              </w:rPr>
              <w:t>Hallazgos y justificación por criterio</w:t>
            </w:r>
          </w:p>
          <w:p w14:paraId="1771F47B" w14:textId="77777777" w:rsidR="00FC7AD9" w:rsidRPr="00FC7AD9" w:rsidRDefault="00FC7AD9" w:rsidP="00316349">
            <w:pPr>
              <w:rPr>
                <w:rFonts w:asciiTheme="majorHAnsi" w:hAnsiTheme="majorHAnsi" w:cstheme="majorHAnsi"/>
                <w:b/>
                <w:color w:val="0070C0"/>
              </w:rPr>
            </w:pPr>
          </w:p>
          <w:p w14:paraId="09BCDC57" w14:textId="181DDFC5" w:rsidR="00FC7AD9" w:rsidRPr="00FC7AD9" w:rsidRDefault="00FC7AD9" w:rsidP="00316349">
            <w:pPr>
              <w:jc w:val="both"/>
              <w:rPr>
                <w:rFonts w:asciiTheme="majorHAnsi" w:hAnsiTheme="majorHAnsi" w:cstheme="majorHAnsi"/>
              </w:rPr>
            </w:pPr>
            <w:r w:rsidRPr="00FC7AD9">
              <w:rPr>
                <w:rFonts w:asciiTheme="majorHAnsi" w:hAnsiTheme="majorHAnsi" w:cstheme="majorHAnsi"/>
              </w:rPr>
              <w:t xml:space="preserve">El análisis de género del </w:t>
            </w:r>
            <w:r>
              <w:rPr>
                <w:rFonts w:asciiTheme="majorHAnsi" w:hAnsiTheme="majorHAnsi" w:cstheme="majorHAnsi"/>
              </w:rPr>
              <w:t>Marco de Cooperación</w:t>
            </w:r>
            <w:r w:rsidRPr="00FC7AD9">
              <w:rPr>
                <w:rFonts w:asciiTheme="majorHAnsi" w:hAnsiTheme="majorHAnsi" w:cstheme="majorHAnsi"/>
              </w:rPr>
              <w:t xml:space="preserve"> 2020-2025 tomó como referencia los criterios de la Nota Guía del Marcador de Igualdad de Género para los Equipos de País del UNSDG (UNCT Gender Equality Marker Guidance Note, 2019).</w:t>
            </w:r>
          </w:p>
          <w:p w14:paraId="2D5DBE4A" w14:textId="77777777" w:rsidR="00FC7AD9" w:rsidRPr="00FC7AD9" w:rsidRDefault="00FC7AD9" w:rsidP="00316349">
            <w:pPr>
              <w:rPr>
                <w:rFonts w:asciiTheme="majorHAnsi" w:hAnsiTheme="majorHAnsi" w:cstheme="majorHAnsi"/>
                <w:b/>
                <w:color w:val="0070C0"/>
              </w:rPr>
            </w:pPr>
          </w:p>
          <w:p w14:paraId="0059D7B5" w14:textId="323B6665" w:rsidR="00FC7AD9" w:rsidRPr="00FC7AD9" w:rsidRDefault="00FC7AD9" w:rsidP="00D74AB5">
            <w:pPr>
              <w:pStyle w:val="Prrafodelista"/>
              <w:numPr>
                <w:ilvl w:val="0"/>
                <w:numId w:val="12"/>
              </w:numPr>
              <w:jc w:val="both"/>
              <w:rPr>
                <w:rFonts w:asciiTheme="majorHAnsi" w:hAnsiTheme="majorHAnsi" w:cstheme="majorHAnsi"/>
              </w:rPr>
            </w:pPr>
            <w:r w:rsidRPr="00FC7AD9">
              <w:rPr>
                <w:rFonts w:asciiTheme="majorHAnsi" w:eastAsiaTheme="minorEastAsia" w:hAnsiTheme="majorHAnsi" w:cstheme="majorHAnsi"/>
                <w:b/>
                <w:bCs/>
                <w:i/>
                <w:iCs/>
                <w:lang w:val="es-ES_tradnl" w:eastAsia="es-ES"/>
              </w:rPr>
              <w:t>La igualdad de género y el empoderamiento de las mujeres están visiblemente incorporados en todas las esferas de resultado</w:t>
            </w:r>
            <w:r w:rsidRPr="00FC7AD9">
              <w:rPr>
                <w:rFonts w:asciiTheme="majorHAnsi" w:hAnsiTheme="majorHAnsi" w:cstheme="majorHAnsi"/>
                <w:b/>
                <w:bCs/>
                <w:i/>
                <w:iCs/>
              </w:rPr>
              <w:t>s</w:t>
            </w:r>
            <w:r w:rsidRPr="00FC7AD9">
              <w:rPr>
                <w:rFonts w:asciiTheme="majorHAnsi" w:eastAsiaTheme="minorEastAsia" w:hAnsiTheme="majorHAnsi" w:cstheme="majorHAnsi"/>
                <w:b/>
                <w:bCs/>
                <w:i/>
                <w:iCs/>
                <w:lang w:val="es-ES_tradnl" w:eastAsia="es-ES"/>
              </w:rPr>
              <w:t xml:space="preserve"> (áreas de cooperación) en línea con las prioridades de los ODS, </w:t>
            </w:r>
            <w:r w:rsidRPr="00FC7AD9">
              <w:rPr>
                <w:rFonts w:asciiTheme="majorHAnsi" w:eastAsiaTheme="minorEastAsia" w:hAnsiTheme="majorHAnsi" w:cstheme="majorHAnsi"/>
                <w:b/>
                <w:bCs/>
                <w:i/>
                <w:iCs/>
                <w:lang w:val="es-ES" w:eastAsia="es-ES"/>
              </w:rPr>
              <w:t>incluyendo el ODS 5</w:t>
            </w:r>
            <w:r w:rsidRPr="00FC7AD9">
              <w:rPr>
                <w:rFonts w:asciiTheme="majorHAnsi" w:hAnsiTheme="majorHAnsi" w:cstheme="majorHAnsi"/>
                <w:b/>
                <w:bCs/>
                <w:i/>
                <w:iCs/>
                <w:lang w:val="es-ES"/>
              </w:rPr>
              <w:t>.</w:t>
            </w:r>
            <w:r w:rsidRPr="00FC7AD9">
              <w:rPr>
                <w:rFonts w:asciiTheme="majorHAnsi" w:hAnsiTheme="majorHAnsi" w:cstheme="majorHAnsi"/>
                <w:lang w:val="es-ES"/>
              </w:rPr>
              <w:t xml:space="preserve"> </w:t>
            </w:r>
            <w:r w:rsidRPr="00FC7AD9">
              <w:rPr>
                <w:rFonts w:asciiTheme="majorHAnsi" w:hAnsiTheme="majorHAnsi" w:cstheme="majorHAnsi"/>
                <w:b/>
                <w:bCs/>
                <w:i/>
                <w:iCs/>
                <w:color w:val="00B0F0"/>
                <w:u w:val="single"/>
                <w:lang w:val="es-ES"/>
              </w:rPr>
              <w:t>CUMPLE</w:t>
            </w:r>
            <w:r w:rsidRPr="00FC7AD9">
              <w:rPr>
                <w:rFonts w:asciiTheme="majorHAnsi" w:hAnsiTheme="majorHAnsi" w:cstheme="majorHAnsi"/>
                <w:b/>
                <w:bCs/>
                <w:i/>
                <w:iCs/>
                <w:color w:val="0070C0"/>
                <w:u w:val="single"/>
                <w:lang w:val="es-ES"/>
              </w:rPr>
              <w:t>.</w:t>
            </w:r>
            <w:r w:rsidRPr="00FC7AD9">
              <w:rPr>
                <w:rFonts w:asciiTheme="majorHAnsi" w:hAnsiTheme="majorHAnsi" w:cstheme="majorHAnsi"/>
                <w:color w:val="0070C0"/>
                <w:lang w:val="es-ES"/>
              </w:rPr>
              <w:t xml:space="preserve">  </w:t>
            </w:r>
            <w:r w:rsidRPr="00FC7AD9">
              <w:rPr>
                <w:rFonts w:asciiTheme="majorHAnsi" w:hAnsiTheme="majorHAnsi" w:cstheme="majorHAnsi"/>
                <w:lang w:val="es-ES"/>
              </w:rPr>
              <w:t xml:space="preserve">El Marco de Cooperación 2020-2025 es el tercer ciclo de planificación conjunta </w:t>
            </w:r>
            <w:r w:rsidRPr="00FC7AD9">
              <w:rPr>
                <w:rFonts w:ascii="Calibri" w:hAnsi="Calibri" w:cs="Calibri"/>
                <w:lang w:val="es-ES"/>
              </w:rPr>
              <w:t xml:space="preserve">del SNU en México y el primero plenamente alineado a la Agenda 2030 y los ODS, el cual sitúa en lo más alto de la planeación interagencial a la igualdad de género como requisito, acelerador y resultado del desarrollo sostenible del país.  Al establecer por primera vez un área transversal de igualdad de género y empoderamiento de las mujeres y las niñas (IGEM), el Marco de Cooperación 2020-2025 </w:t>
            </w:r>
            <w:r w:rsidRPr="00FC7AD9">
              <w:rPr>
                <w:rFonts w:ascii="Calibri" w:hAnsi="Calibri" w:cs="Calibri"/>
              </w:rPr>
              <w:t xml:space="preserve">incorpora una sólida perspectiva de género </w:t>
            </w:r>
            <w:r w:rsidRPr="00FC7AD9">
              <w:rPr>
                <w:rFonts w:ascii="Calibri" w:hAnsi="Calibri" w:cs="Calibri"/>
                <w:lang w:val="es-ES"/>
              </w:rPr>
              <w:t xml:space="preserve">que impacta explícitamente la teoría del cambio, los postulados de las cuatro áreas de cooperación </w:t>
            </w:r>
            <w:r w:rsidRPr="00FC7AD9">
              <w:rPr>
                <w:rFonts w:ascii="Calibri" w:hAnsi="Calibri" w:cs="Calibri"/>
              </w:rPr>
              <w:t xml:space="preserve">(Igualdad e inclusión, Prosperidad e innovación, Economía verde y cambio climático, y Paz, justicia y estado de derecho), </w:t>
            </w:r>
            <w:r w:rsidRPr="00FC7AD9">
              <w:rPr>
                <w:rFonts w:ascii="Calibri" w:hAnsi="Calibri" w:cs="Calibri"/>
                <w:lang w:val="es-ES"/>
              </w:rPr>
              <w:t xml:space="preserve"> la articulación de los 10 efectos directos —3 con  puntuación GEM 3 (ver criterio B)  y 7 con puntuación GEM 2—, así como la integración de 45 líneas estratégicas que contribuyen a la consecución de los resultados de IGEM, en línea con el ODS 5 y las metas de género de los demás ODS</w:t>
            </w:r>
            <w:r w:rsidRPr="00FC7AD9">
              <w:rPr>
                <w:rFonts w:ascii="Calibri" w:hAnsi="Calibri" w:cs="Calibri"/>
              </w:rPr>
              <w:t xml:space="preserve">. Las cuatro áreas de cooperación apuntan a la necesidad de un cambio cultural hacia la igualdad de género y la erradicación de normas y hábitos sociales que discriminan a las mujeres y las niñas. </w:t>
            </w:r>
          </w:p>
          <w:p w14:paraId="11B4DE6C" w14:textId="77777777" w:rsidR="00FC7AD9" w:rsidRPr="00FC7AD9" w:rsidRDefault="00FC7AD9" w:rsidP="00316349">
            <w:pPr>
              <w:pStyle w:val="Prrafodelista"/>
              <w:ind w:left="360"/>
              <w:jc w:val="both"/>
              <w:rPr>
                <w:rFonts w:asciiTheme="majorHAnsi" w:hAnsiTheme="majorHAnsi" w:cstheme="majorHAnsi"/>
              </w:rPr>
            </w:pPr>
          </w:p>
          <w:p w14:paraId="7F828223" w14:textId="7F03E231" w:rsidR="00FC7AD9" w:rsidRPr="00A80645" w:rsidRDefault="00FC7AD9" w:rsidP="00D74AB5">
            <w:pPr>
              <w:pStyle w:val="Prrafodelista"/>
              <w:numPr>
                <w:ilvl w:val="0"/>
                <w:numId w:val="12"/>
              </w:numPr>
              <w:jc w:val="both"/>
              <w:rPr>
                <w:rFonts w:asciiTheme="majorHAnsi" w:hAnsiTheme="majorHAnsi" w:cstheme="majorHAnsi"/>
              </w:rPr>
            </w:pPr>
            <w:r w:rsidRPr="00A80645">
              <w:rPr>
                <w:rFonts w:asciiTheme="majorHAnsi" w:hAnsiTheme="majorHAnsi" w:cstheme="majorHAnsi"/>
                <w:b/>
                <w:bCs/>
                <w:i/>
                <w:iCs/>
                <w:lang w:val="es-ES"/>
              </w:rPr>
              <w:t xml:space="preserve">Un resultado (efecto directo) del UNSDCF se refiere explícitamente a la igualdad de género como objetivo principal, en línea con la teoría del cambio del UNSDCF y las prioridades  de los ODS, incluyendo el ODS 5. </w:t>
            </w:r>
            <w:r w:rsidRPr="00A80645">
              <w:rPr>
                <w:rFonts w:asciiTheme="majorHAnsi" w:hAnsiTheme="majorHAnsi" w:cstheme="majorHAnsi"/>
                <w:b/>
                <w:bCs/>
                <w:i/>
                <w:iCs/>
                <w:color w:val="00B0F0"/>
                <w:u w:val="single"/>
                <w:lang w:val="es-ES"/>
              </w:rPr>
              <w:t>CUMPLE</w:t>
            </w:r>
            <w:r w:rsidRPr="00A80645">
              <w:rPr>
                <w:rFonts w:asciiTheme="majorHAnsi" w:hAnsiTheme="majorHAnsi" w:cstheme="majorHAnsi"/>
                <w:b/>
                <w:bCs/>
                <w:i/>
                <w:iCs/>
                <w:color w:val="0070C0"/>
                <w:u w:val="single"/>
                <w:lang w:val="es-ES"/>
              </w:rPr>
              <w:t>.</w:t>
            </w:r>
            <w:r w:rsidRPr="00A80645">
              <w:rPr>
                <w:rFonts w:asciiTheme="majorHAnsi" w:hAnsiTheme="majorHAnsi" w:cstheme="majorHAnsi"/>
                <w:color w:val="0070C0"/>
                <w:lang w:val="es-ES"/>
              </w:rPr>
              <w:t xml:space="preserve">  </w:t>
            </w:r>
            <w:r w:rsidRPr="00A80645">
              <w:rPr>
                <w:rFonts w:asciiTheme="majorHAnsi" w:hAnsiTheme="majorHAnsi" w:cstheme="majorHAnsi"/>
                <w:color w:val="000000" w:themeColor="text1"/>
                <w:lang w:val="es-ES"/>
              </w:rPr>
              <w:t>Los tres</w:t>
            </w:r>
            <w:r w:rsidRPr="00A80645">
              <w:rPr>
                <w:rFonts w:asciiTheme="majorHAnsi" w:hAnsiTheme="majorHAnsi" w:cstheme="majorHAnsi"/>
                <w:lang w:val="es-ES"/>
              </w:rPr>
              <w:t xml:space="preserve"> 3 </w:t>
            </w:r>
            <w:r w:rsidRPr="00A80645">
              <w:rPr>
                <w:rFonts w:asciiTheme="majorHAnsi" w:hAnsiTheme="majorHAnsi" w:cstheme="majorHAnsi"/>
                <w:color w:val="000000" w:themeColor="text1"/>
                <w:lang w:val="es-ES"/>
              </w:rPr>
              <w:t xml:space="preserve">efectos directos  (ED) que se enfocan específicamente en los derechos humanos el empoderamiento de las mujeres y las niñas  abordan desafíos estructurales en áreas clave para  el logro de la igualdad de género en México. El ED2  plantea como cambio esperado el ejercicio pleno de los derechos sociales y el acceso a servicios universales, incluyendo por primera vez el acceso a un </w:t>
            </w:r>
            <w:r w:rsidRPr="00A80645">
              <w:rPr>
                <w:rFonts w:asciiTheme="majorHAnsi" w:hAnsiTheme="majorHAnsi" w:cstheme="majorHAnsi"/>
                <w:u w:val="single"/>
              </w:rPr>
              <w:t>sistema integral de cuidados de calidad</w:t>
            </w:r>
            <w:r w:rsidRPr="00A80645">
              <w:rPr>
                <w:rFonts w:asciiTheme="majorHAnsi" w:hAnsiTheme="majorHAnsi" w:cstheme="majorHAnsi"/>
              </w:rPr>
              <w:t xml:space="preserve">. El </w:t>
            </w:r>
            <w:r w:rsidRPr="00A80645">
              <w:rPr>
                <w:rFonts w:asciiTheme="majorHAnsi" w:hAnsiTheme="majorHAnsi" w:cstheme="majorHAnsi"/>
                <w:lang w:val="es-ES"/>
              </w:rPr>
              <w:t xml:space="preserve">ED 5 señala la integración de programas de trabajo decente y la protección de los derechos laborales para abordar las necesidades del mercado laboral, entre ellas y de manera particular la </w:t>
            </w:r>
            <w:r w:rsidRPr="00A80645">
              <w:rPr>
                <w:rFonts w:asciiTheme="majorHAnsi" w:hAnsiTheme="majorHAnsi" w:cstheme="majorHAnsi"/>
                <w:u w:val="single"/>
              </w:rPr>
              <w:t>participación económica de las mujeres.</w:t>
            </w:r>
            <w:r w:rsidRPr="00A80645">
              <w:rPr>
                <w:rFonts w:asciiTheme="majorHAnsi" w:hAnsiTheme="majorHAnsi" w:cstheme="majorHAnsi"/>
                <w:b/>
                <w:bCs/>
              </w:rPr>
              <w:t xml:space="preserve"> </w:t>
            </w:r>
            <w:r w:rsidRPr="00A80645">
              <w:rPr>
                <w:rFonts w:asciiTheme="majorHAnsi" w:hAnsiTheme="majorHAnsi" w:cstheme="majorHAnsi"/>
              </w:rPr>
              <w:t xml:space="preserve">El ED 8 contempla la prevención y sanción de todas las formas y manifestaciones de violencia, con énfasis la </w:t>
            </w:r>
            <w:r w:rsidRPr="00A80645">
              <w:rPr>
                <w:rFonts w:asciiTheme="majorHAnsi" w:hAnsiTheme="majorHAnsi" w:cstheme="majorHAnsi"/>
                <w:u w:val="single"/>
              </w:rPr>
              <w:t>violencia contra las mujeres y las NNA</w:t>
            </w:r>
            <w:r w:rsidRPr="00A80645">
              <w:rPr>
                <w:rFonts w:asciiTheme="majorHAnsi" w:hAnsiTheme="majorHAnsi" w:cstheme="majorHAnsi"/>
                <w:b/>
                <w:bCs/>
              </w:rPr>
              <w:t xml:space="preserve">.  </w:t>
            </w:r>
          </w:p>
          <w:p w14:paraId="51C0EFA3" w14:textId="2BD402F7" w:rsidR="00FC7AD9" w:rsidRPr="00FC7AD9" w:rsidRDefault="00FC7AD9" w:rsidP="00316349">
            <w:pPr>
              <w:jc w:val="both"/>
              <w:rPr>
                <w:rFonts w:asciiTheme="majorHAnsi" w:hAnsiTheme="majorHAnsi" w:cstheme="majorHAnsi"/>
              </w:rPr>
            </w:pPr>
          </w:p>
        </w:tc>
      </w:tr>
      <w:tr w:rsidR="00FC7AD9" w:rsidRPr="004A1436" w14:paraId="006A8364" w14:textId="77777777" w:rsidTr="00FC7AD9">
        <w:tc>
          <w:tcPr>
            <w:tcW w:w="8676" w:type="dxa"/>
            <w:gridSpan w:val="3"/>
          </w:tcPr>
          <w:p w14:paraId="70718F82" w14:textId="77777777" w:rsidR="00FC7AD9" w:rsidRPr="00FC7AD9" w:rsidRDefault="00FC7AD9" w:rsidP="00316349">
            <w:pPr>
              <w:rPr>
                <w:rFonts w:asciiTheme="majorHAnsi" w:hAnsiTheme="majorHAnsi" w:cstheme="majorHAnsi"/>
                <w:b/>
                <w:color w:val="00B0F0"/>
              </w:rPr>
            </w:pPr>
            <w:r w:rsidRPr="00FC7AD9">
              <w:rPr>
                <w:rFonts w:asciiTheme="majorHAnsi" w:hAnsiTheme="majorHAnsi" w:cstheme="majorHAnsi"/>
                <w:b/>
                <w:color w:val="00B0F0"/>
              </w:rPr>
              <w:t>Evidencia/medios de verificación</w:t>
            </w:r>
          </w:p>
          <w:p w14:paraId="4F9B5DCB" w14:textId="6F5DD406" w:rsidR="00FC7AD9" w:rsidRPr="00FC7AD9" w:rsidRDefault="00FC7AD9" w:rsidP="00D74AB5">
            <w:pPr>
              <w:pStyle w:val="Prrafodelista"/>
              <w:numPr>
                <w:ilvl w:val="0"/>
                <w:numId w:val="8"/>
              </w:numPr>
              <w:rPr>
                <w:rFonts w:asciiTheme="majorHAnsi" w:hAnsiTheme="majorHAnsi" w:cstheme="majorHAnsi"/>
              </w:rPr>
            </w:pPr>
            <w:r w:rsidRPr="00FC7AD9">
              <w:rPr>
                <w:rFonts w:asciiTheme="majorHAnsi" w:hAnsiTheme="majorHAnsi" w:cstheme="majorHAnsi"/>
              </w:rPr>
              <w:t xml:space="preserve">Documento del </w:t>
            </w:r>
            <w:hyperlink r:id="rId22" w:history="1">
              <w:r>
                <w:rPr>
                  <w:rStyle w:val="Hipervnculo"/>
                  <w:rFonts w:asciiTheme="majorHAnsi" w:hAnsiTheme="majorHAnsi" w:cstheme="majorHAnsi"/>
                </w:rPr>
                <w:t>Marco de Cooperación de las Naciones Unidas para el Desarrollo Sostenible de México 2020-2025</w:t>
              </w:r>
            </w:hyperlink>
            <w:r w:rsidRPr="00FC7AD9">
              <w:rPr>
                <w:rFonts w:asciiTheme="majorHAnsi" w:hAnsiTheme="majorHAnsi" w:cstheme="majorHAnsi"/>
              </w:rPr>
              <w:t xml:space="preserve"> </w:t>
            </w:r>
          </w:p>
          <w:p w14:paraId="166A206C" w14:textId="24C9EE9A" w:rsidR="00FC7AD9" w:rsidRPr="00FC7AD9" w:rsidRDefault="00862551" w:rsidP="00D74AB5">
            <w:pPr>
              <w:pStyle w:val="Prrafodelista"/>
              <w:numPr>
                <w:ilvl w:val="0"/>
                <w:numId w:val="8"/>
              </w:numPr>
              <w:rPr>
                <w:rFonts w:asciiTheme="majorHAnsi" w:hAnsiTheme="majorHAnsi" w:cstheme="majorHAnsi"/>
              </w:rPr>
            </w:pPr>
            <w:r>
              <w:rPr>
                <w:rFonts w:asciiTheme="majorHAnsi" w:hAnsiTheme="majorHAnsi" w:cstheme="majorHAnsi"/>
              </w:rPr>
              <w:t xml:space="preserve">Documento excel con el </w:t>
            </w:r>
            <w:r w:rsidR="00FC7AD9" w:rsidRPr="00FC7AD9">
              <w:rPr>
                <w:rFonts w:asciiTheme="majorHAnsi" w:hAnsiTheme="majorHAnsi" w:cstheme="majorHAnsi"/>
              </w:rPr>
              <w:t xml:space="preserve">análisis de género de las áreas de cooperación, los efectos directos y las líneas estratégicas </w:t>
            </w:r>
            <w:r w:rsidR="00FC7AD9">
              <w:rPr>
                <w:rFonts w:asciiTheme="majorHAnsi" w:hAnsiTheme="majorHAnsi" w:cstheme="majorHAnsi"/>
              </w:rPr>
              <w:t>del Marco de Cooperación (Anexo I)</w:t>
            </w:r>
          </w:p>
        </w:tc>
      </w:tr>
    </w:tbl>
    <w:p w14:paraId="113F30A1" w14:textId="77777777" w:rsidR="00FC7AD9" w:rsidRDefault="00FC7AD9" w:rsidP="00FC7AD9">
      <w:pPr>
        <w:rPr>
          <w:rFonts w:asciiTheme="majorHAnsi" w:hAnsiTheme="majorHAnsi" w:cstheme="majorHAnsi"/>
          <w:sz w:val="21"/>
          <w:szCs w:val="21"/>
        </w:rPr>
      </w:pPr>
    </w:p>
    <w:tbl>
      <w:tblPr>
        <w:tblStyle w:val="Tablaconcuadrcula"/>
        <w:tblW w:w="8676" w:type="dxa"/>
        <w:tblInd w:w="108" w:type="dxa"/>
        <w:tblLayout w:type="fixed"/>
        <w:tblLook w:val="04A0" w:firstRow="1" w:lastRow="0" w:firstColumn="1" w:lastColumn="0" w:noHBand="0" w:noVBand="1"/>
      </w:tblPr>
      <w:tblGrid>
        <w:gridCol w:w="3573"/>
        <w:gridCol w:w="3969"/>
        <w:gridCol w:w="1134"/>
      </w:tblGrid>
      <w:tr w:rsidR="00FC7AD9" w:rsidRPr="004A1436" w14:paraId="26FAC435" w14:textId="77777777" w:rsidTr="00FC7AD9">
        <w:trPr>
          <w:trHeight w:val="978"/>
        </w:trPr>
        <w:tc>
          <w:tcPr>
            <w:tcW w:w="3573" w:type="dxa"/>
            <w:vAlign w:val="center"/>
          </w:tcPr>
          <w:p w14:paraId="51010DCA" w14:textId="77777777" w:rsidR="00FC7AD9" w:rsidRPr="00FC7AD9" w:rsidRDefault="00FC7AD9" w:rsidP="00316349">
            <w:pPr>
              <w:rPr>
                <w:rFonts w:asciiTheme="majorHAnsi" w:hAnsiTheme="majorHAnsi" w:cstheme="majorHAnsi"/>
                <w:b/>
                <w:color w:val="00B0F0"/>
                <w:sz w:val="21"/>
                <w:szCs w:val="21"/>
              </w:rPr>
            </w:pPr>
            <w:r w:rsidRPr="00FC7AD9">
              <w:rPr>
                <w:rFonts w:asciiTheme="majorHAnsi" w:hAnsiTheme="majorHAnsi" w:cstheme="majorHAnsi"/>
                <w:b/>
                <w:color w:val="00B0F0"/>
                <w:sz w:val="21"/>
                <w:szCs w:val="21"/>
              </w:rPr>
              <w:t>Indicador</w:t>
            </w:r>
          </w:p>
          <w:p w14:paraId="307AE7CF" w14:textId="2BE180B7" w:rsidR="00FC7AD9" w:rsidRPr="004A1436" w:rsidRDefault="00FC7AD9" w:rsidP="00316349">
            <w:pPr>
              <w:rPr>
                <w:rFonts w:asciiTheme="majorHAnsi" w:hAnsiTheme="majorHAnsi" w:cstheme="majorHAnsi"/>
                <w:b/>
                <w:color w:val="548DD4" w:themeColor="text2" w:themeTint="99"/>
                <w:sz w:val="21"/>
                <w:szCs w:val="21"/>
              </w:rPr>
            </w:pPr>
            <w:r w:rsidRPr="004A1436">
              <w:rPr>
                <w:rFonts w:asciiTheme="majorHAnsi" w:hAnsiTheme="majorHAnsi" w:cstheme="majorHAnsi"/>
                <w:b/>
                <w:color w:val="000000" w:themeColor="dark1"/>
                <w:kern w:val="24"/>
                <w:sz w:val="21"/>
                <w:szCs w:val="21"/>
              </w:rPr>
              <w:t xml:space="preserve">1.3. Indicadores </w:t>
            </w:r>
            <w:r w:rsidR="00A80645">
              <w:rPr>
                <w:rFonts w:asciiTheme="majorHAnsi" w:hAnsiTheme="majorHAnsi" w:cstheme="majorHAnsi"/>
                <w:b/>
                <w:color w:val="000000" w:themeColor="dark1"/>
                <w:kern w:val="24"/>
                <w:sz w:val="21"/>
                <w:szCs w:val="21"/>
              </w:rPr>
              <w:t xml:space="preserve">del </w:t>
            </w:r>
            <w:r w:rsidR="00AC45EA">
              <w:rPr>
                <w:rFonts w:asciiTheme="majorHAnsi" w:hAnsiTheme="majorHAnsi" w:cstheme="majorHAnsi"/>
                <w:b/>
                <w:color w:val="000000" w:themeColor="dark1"/>
                <w:kern w:val="24"/>
                <w:sz w:val="21"/>
                <w:szCs w:val="21"/>
              </w:rPr>
              <w:t>UNDAF</w:t>
            </w:r>
          </w:p>
        </w:tc>
        <w:tc>
          <w:tcPr>
            <w:tcW w:w="3969" w:type="dxa"/>
            <w:vAlign w:val="center"/>
          </w:tcPr>
          <w:p w14:paraId="761BB97A" w14:textId="77777777" w:rsidR="00FC7AD9" w:rsidRPr="00FC7AD9" w:rsidRDefault="00FC7AD9" w:rsidP="00316349">
            <w:pPr>
              <w:rPr>
                <w:rFonts w:asciiTheme="majorHAnsi" w:hAnsiTheme="majorHAnsi" w:cstheme="majorHAnsi"/>
                <w:b/>
                <w:color w:val="00B0F0"/>
                <w:sz w:val="21"/>
                <w:szCs w:val="21"/>
              </w:rPr>
            </w:pPr>
            <w:r w:rsidRPr="00FC7AD9">
              <w:rPr>
                <w:rFonts w:asciiTheme="majorHAnsi" w:hAnsiTheme="majorHAnsi" w:cstheme="majorHAnsi"/>
                <w:b/>
                <w:color w:val="00B0F0"/>
                <w:sz w:val="21"/>
                <w:szCs w:val="21"/>
              </w:rPr>
              <w:t>Puntuación</w:t>
            </w:r>
          </w:p>
          <w:p w14:paraId="20A76FE3" w14:textId="77777777" w:rsidR="00FC7AD9" w:rsidRPr="004A1436" w:rsidRDefault="00FC7AD9" w:rsidP="00316349">
            <w:pPr>
              <w:rPr>
                <w:rFonts w:asciiTheme="majorHAnsi" w:hAnsiTheme="majorHAnsi" w:cstheme="majorHAnsi"/>
                <w:b/>
                <w:sz w:val="21"/>
                <w:szCs w:val="21"/>
              </w:rPr>
            </w:pPr>
            <w:r w:rsidRPr="004A1436">
              <w:rPr>
                <w:rFonts w:asciiTheme="majorHAnsi" w:hAnsiTheme="majorHAnsi" w:cstheme="majorHAnsi"/>
                <w:b/>
                <w:sz w:val="21"/>
                <w:szCs w:val="21"/>
              </w:rPr>
              <w:t>Supera el estándar mínimo</w:t>
            </w:r>
          </w:p>
          <w:p w14:paraId="527C26F7" w14:textId="77777777" w:rsidR="00FC7AD9" w:rsidRPr="004A1436" w:rsidRDefault="00FC7AD9" w:rsidP="00316349">
            <w:pPr>
              <w:rPr>
                <w:rFonts w:asciiTheme="majorHAnsi" w:hAnsiTheme="majorHAnsi" w:cstheme="majorHAnsi"/>
                <w:sz w:val="21"/>
                <w:szCs w:val="21"/>
              </w:rPr>
            </w:pPr>
            <w:r w:rsidRPr="004A1436">
              <w:rPr>
                <w:rFonts w:asciiTheme="majorHAnsi" w:hAnsiTheme="majorHAnsi" w:cstheme="majorHAnsi"/>
                <w:bCs/>
                <w:kern w:val="24"/>
                <w:sz w:val="21"/>
                <w:szCs w:val="21"/>
                <w:lang w:val="es-ES"/>
              </w:rPr>
              <w:t>(se movió + con respecto a 2019)</w:t>
            </w:r>
          </w:p>
        </w:tc>
        <w:tc>
          <w:tcPr>
            <w:tcW w:w="1134" w:type="dxa"/>
            <w:vAlign w:val="center"/>
          </w:tcPr>
          <w:p w14:paraId="7FEFA0DA" w14:textId="77777777" w:rsidR="00FC7AD9" w:rsidRPr="004A1436" w:rsidRDefault="00FC7AD9" w:rsidP="00316349">
            <w:pPr>
              <w:spacing w:after="120"/>
              <w:jc w:val="center"/>
              <w:rPr>
                <w:rFonts w:asciiTheme="majorHAnsi" w:hAnsiTheme="majorHAnsi" w:cstheme="majorHAnsi"/>
                <w:b/>
                <w:sz w:val="21"/>
                <w:szCs w:val="21"/>
              </w:rPr>
            </w:pPr>
            <w:r w:rsidRPr="004A1436">
              <w:rPr>
                <w:rFonts w:asciiTheme="majorHAnsi" w:hAnsiTheme="majorHAnsi" w:cstheme="majorHAnsi"/>
                <w:b/>
                <w:noProof/>
                <w:sz w:val="21"/>
                <w:szCs w:val="21"/>
                <w:lang w:val="en-US"/>
              </w:rPr>
              <w:drawing>
                <wp:anchor distT="0" distB="0" distL="114300" distR="114300" simplePos="0" relativeHeight="251674624" behindDoc="0" locked="0" layoutInCell="1" allowOverlap="1" wp14:anchorId="3357DBA1" wp14:editId="4C917552">
                  <wp:simplePos x="0" y="0"/>
                  <wp:positionH relativeFrom="column">
                    <wp:posOffset>56515</wp:posOffset>
                  </wp:positionH>
                  <wp:positionV relativeFrom="page">
                    <wp:posOffset>76835</wp:posOffset>
                  </wp:positionV>
                  <wp:extent cx="424180" cy="424180"/>
                  <wp:effectExtent l="0" t="0" r="0" b="0"/>
                  <wp:wrapSquare wrapText="bothSides"/>
                  <wp:docPr id="3" name="Gráfico 3"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20">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1"/>
                              </a:ext>
                            </a:extLst>
                          </a:blip>
                          <a:stretch>
                            <a:fillRect/>
                          </a:stretch>
                        </pic:blipFill>
                        <pic:spPr>
                          <a:xfrm>
                            <a:off x="0" y="0"/>
                            <a:ext cx="424180" cy="42418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4A1436" w14:paraId="11ABB392" w14:textId="77777777" w:rsidTr="00FC7AD9">
        <w:tc>
          <w:tcPr>
            <w:tcW w:w="8676" w:type="dxa"/>
            <w:gridSpan w:val="3"/>
          </w:tcPr>
          <w:p w14:paraId="7D45E637" w14:textId="77777777" w:rsidR="00FC7AD9" w:rsidRPr="00FC7AD9" w:rsidRDefault="00FC7AD9" w:rsidP="00316349">
            <w:pPr>
              <w:spacing w:after="120"/>
              <w:rPr>
                <w:rFonts w:asciiTheme="majorHAnsi" w:hAnsiTheme="majorHAnsi" w:cstheme="majorHAnsi"/>
                <w:b/>
                <w:color w:val="00B0F0"/>
                <w:sz w:val="21"/>
                <w:szCs w:val="21"/>
              </w:rPr>
            </w:pPr>
            <w:r w:rsidRPr="00FC7AD9">
              <w:rPr>
                <w:rFonts w:asciiTheme="majorHAnsi" w:hAnsiTheme="majorHAnsi" w:cstheme="majorHAnsi"/>
                <w:b/>
                <w:color w:val="00B0F0"/>
                <w:sz w:val="21"/>
                <w:szCs w:val="21"/>
              </w:rPr>
              <w:t>Hallazgos y justificación por criterio</w:t>
            </w:r>
          </w:p>
          <w:p w14:paraId="7D9DB853" w14:textId="4BCEF3E9" w:rsidR="00FC7AD9" w:rsidRPr="004A1436" w:rsidRDefault="00FC7AD9" w:rsidP="00316349">
            <w:pPr>
              <w:spacing w:after="120"/>
              <w:jc w:val="both"/>
              <w:rPr>
                <w:rFonts w:asciiTheme="majorHAnsi" w:hAnsiTheme="majorHAnsi" w:cstheme="majorHAnsi"/>
                <w:sz w:val="21"/>
                <w:szCs w:val="21"/>
              </w:rPr>
            </w:pPr>
            <w:r w:rsidRPr="004A1436">
              <w:rPr>
                <w:rFonts w:asciiTheme="majorHAnsi" w:hAnsiTheme="majorHAnsi" w:cstheme="majorHAnsi"/>
                <w:sz w:val="21"/>
                <w:szCs w:val="21"/>
              </w:rPr>
              <w:t xml:space="preserve">Para la revisión de este indicador, el análisis tomó como base tres criterios de clasificación para determinar si un indicador cumple con los requisitos mínimos de la sensibilidad de género en su concepción: (i) indicadores específicos de género, los cuales </w:t>
            </w:r>
            <w:r w:rsidRPr="004A1436">
              <w:rPr>
                <w:rFonts w:asciiTheme="majorHAnsi" w:hAnsiTheme="majorHAnsi" w:cstheme="majorHAnsi"/>
                <w:color w:val="000000"/>
                <w:sz w:val="21"/>
                <w:szCs w:val="21"/>
              </w:rPr>
              <w:t xml:space="preserve">miden/identifican brechas de desigualdad entre mujeres y hombres por razones de género en un contexto determinado; (ii) indicadores que establecen explícitamente la desagregación por sexo en su definición y en la líneas de base; (iii) indicadores que establecen la disponibilidad de la desagregación por sexo para el seguimiento de la matriz de resultados como parte de las desagregaciones para cumplir con el </w:t>
            </w:r>
            <w:r w:rsidRPr="004A1436">
              <w:rPr>
                <w:rFonts w:asciiTheme="majorHAnsi" w:hAnsiTheme="majorHAnsi" w:cstheme="majorHAnsi"/>
                <w:i/>
                <w:iCs/>
                <w:color w:val="000000"/>
                <w:sz w:val="21"/>
                <w:szCs w:val="21"/>
              </w:rPr>
              <w:t>enfoque integrado de no dejar a nadie atrás, no dejar a nadie afuera</w:t>
            </w:r>
            <w:r>
              <w:rPr>
                <w:rFonts w:asciiTheme="majorHAnsi" w:hAnsiTheme="majorHAnsi" w:cstheme="majorHAnsi"/>
                <w:i/>
                <w:iCs/>
                <w:color w:val="000000"/>
                <w:sz w:val="21"/>
                <w:szCs w:val="21"/>
              </w:rPr>
              <w:t xml:space="preserve"> </w:t>
            </w:r>
            <w:r>
              <w:rPr>
                <w:rFonts w:asciiTheme="majorHAnsi" w:hAnsiTheme="majorHAnsi" w:cstheme="majorHAnsi"/>
                <w:color w:val="000000"/>
                <w:sz w:val="21"/>
                <w:szCs w:val="21"/>
              </w:rPr>
              <w:t>del Marco de Cooperación 2020-2025</w:t>
            </w:r>
            <w:r w:rsidRPr="004A1436">
              <w:rPr>
                <w:rFonts w:asciiTheme="majorHAnsi" w:hAnsiTheme="majorHAnsi" w:cstheme="majorHAnsi"/>
                <w:i/>
                <w:iCs/>
                <w:color w:val="000000"/>
                <w:sz w:val="21"/>
                <w:szCs w:val="21"/>
              </w:rPr>
              <w:t>.</w:t>
            </w:r>
            <w:r w:rsidRPr="004A1436">
              <w:rPr>
                <w:rFonts w:asciiTheme="majorHAnsi" w:hAnsiTheme="majorHAnsi" w:cstheme="majorHAnsi"/>
                <w:color w:val="000000"/>
                <w:sz w:val="21"/>
                <w:szCs w:val="21"/>
              </w:rPr>
              <w:t xml:space="preserve">  </w:t>
            </w:r>
          </w:p>
          <w:p w14:paraId="26B53B2B" w14:textId="0513AD13" w:rsidR="00FC7AD9" w:rsidRPr="004A1436" w:rsidRDefault="00FC7AD9" w:rsidP="00A80645">
            <w:pPr>
              <w:spacing w:after="120"/>
              <w:jc w:val="both"/>
              <w:rPr>
                <w:rFonts w:asciiTheme="majorHAnsi" w:hAnsiTheme="majorHAnsi" w:cstheme="majorHAnsi"/>
                <w:sz w:val="21"/>
                <w:szCs w:val="21"/>
              </w:rPr>
            </w:pPr>
            <w:r w:rsidRPr="004A1436">
              <w:rPr>
                <w:rFonts w:asciiTheme="majorHAnsi" w:hAnsiTheme="majorHAnsi" w:cstheme="majorHAnsi"/>
                <w:b/>
                <w:bCs/>
                <w:i/>
                <w:iCs/>
                <w:sz w:val="21"/>
                <w:szCs w:val="21"/>
                <w:lang w:val="es-ES"/>
              </w:rPr>
              <w:t>Más de la mitad  de los indicadores de resultados (outcomes y outputs) del UNSDCF miden cambios en la igualdad de género y el empoderamiento de las mujeres en línea con las metas de los ODS, incluyendo del ODS 5</w:t>
            </w:r>
            <w:r w:rsidRPr="004A1436">
              <w:rPr>
                <w:rFonts w:asciiTheme="majorHAnsi" w:hAnsiTheme="majorHAnsi" w:cstheme="majorHAnsi"/>
                <w:b/>
                <w:bCs/>
                <w:i/>
                <w:iCs/>
                <w:color w:val="000000" w:themeColor="text1"/>
                <w:sz w:val="21"/>
                <w:szCs w:val="21"/>
                <w:lang w:val="es-ES"/>
              </w:rPr>
              <w:t xml:space="preserve">. </w:t>
            </w:r>
            <w:r w:rsidRPr="004A1436">
              <w:rPr>
                <w:rFonts w:asciiTheme="majorHAnsi" w:hAnsiTheme="majorHAnsi" w:cstheme="majorHAnsi"/>
                <w:b/>
                <w:bCs/>
                <w:i/>
                <w:iCs/>
                <w:color w:val="0070C0"/>
                <w:sz w:val="21"/>
                <w:szCs w:val="21"/>
                <w:u w:val="single"/>
                <w:lang w:val="es-ES"/>
              </w:rPr>
              <w:t xml:space="preserve"> </w:t>
            </w:r>
            <w:r w:rsidRPr="00FC7AD9">
              <w:rPr>
                <w:rFonts w:asciiTheme="majorHAnsi" w:hAnsiTheme="majorHAnsi" w:cstheme="majorHAnsi"/>
                <w:b/>
                <w:bCs/>
                <w:i/>
                <w:iCs/>
                <w:color w:val="00B0F0"/>
                <w:sz w:val="21"/>
                <w:szCs w:val="21"/>
                <w:u w:val="single"/>
                <w:lang w:val="es-ES"/>
              </w:rPr>
              <w:t>CUMPLE</w:t>
            </w:r>
            <w:r w:rsidRPr="004A1436">
              <w:rPr>
                <w:rFonts w:asciiTheme="majorHAnsi" w:hAnsiTheme="majorHAnsi" w:cstheme="majorHAnsi"/>
                <w:b/>
                <w:bCs/>
                <w:i/>
                <w:iCs/>
                <w:color w:val="0070C0"/>
                <w:sz w:val="21"/>
                <w:szCs w:val="21"/>
                <w:lang w:val="es-ES"/>
              </w:rPr>
              <w:t xml:space="preserve">. </w:t>
            </w:r>
            <w:r w:rsidRPr="004A1436">
              <w:rPr>
                <w:rFonts w:asciiTheme="majorHAnsi" w:hAnsiTheme="majorHAnsi" w:cstheme="majorHAnsi"/>
                <w:sz w:val="21"/>
                <w:szCs w:val="21"/>
              </w:rPr>
              <w:t xml:space="preserve">De los 57 indicadores incluidos en la Matriz </w:t>
            </w:r>
            <w:r>
              <w:rPr>
                <w:rFonts w:asciiTheme="majorHAnsi" w:hAnsiTheme="majorHAnsi" w:cstheme="majorHAnsi"/>
                <w:sz w:val="21"/>
                <w:szCs w:val="21"/>
              </w:rPr>
              <w:t xml:space="preserve">Indicativa </w:t>
            </w:r>
            <w:r w:rsidRPr="004A1436">
              <w:rPr>
                <w:rFonts w:asciiTheme="majorHAnsi" w:hAnsiTheme="majorHAnsi" w:cstheme="majorHAnsi"/>
                <w:sz w:val="21"/>
                <w:szCs w:val="21"/>
              </w:rPr>
              <w:t xml:space="preserve">de Resultados del </w:t>
            </w:r>
            <w:r>
              <w:rPr>
                <w:rFonts w:asciiTheme="majorHAnsi" w:hAnsiTheme="majorHAnsi" w:cstheme="majorHAnsi"/>
                <w:sz w:val="21"/>
                <w:szCs w:val="21"/>
              </w:rPr>
              <w:t>Marco de Cooperación</w:t>
            </w:r>
            <w:r w:rsidRPr="004A1436">
              <w:rPr>
                <w:rFonts w:asciiTheme="majorHAnsi" w:hAnsiTheme="majorHAnsi" w:cstheme="majorHAnsi"/>
                <w:sz w:val="21"/>
                <w:szCs w:val="21"/>
              </w:rPr>
              <w:t xml:space="preserve"> 2020-2025, más de la mitad (30, equivalente al 53%) son indicadores sensibles al género, de los cuales 11 son específicos de género, 12 establecen de manera explícita la desagregación por sexo en  su definición</w:t>
            </w:r>
            <w:r>
              <w:rPr>
                <w:rFonts w:asciiTheme="majorHAnsi" w:hAnsiTheme="majorHAnsi" w:cstheme="majorHAnsi"/>
                <w:sz w:val="21"/>
                <w:szCs w:val="21"/>
              </w:rPr>
              <w:t xml:space="preserve"> </w:t>
            </w:r>
            <w:r w:rsidRPr="004A1436">
              <w:rPr>
                <w:rFonts w:asciiTheme="majorHAnsi" w:hAnsiTheme="majorHAnsi" w:cstheme="majorHAnsi"/>
                <w:sz w:val="21"/>
                <w:szCs w:val="21"/>
              </w:rPr>
              <w:t xml:space="preserve">y 7 plantean la disponibilidad de la desagregación por sexo para el seguimiento de </w:t>
            </w:r>
            <w:r>
              <w:rPr>
                <w:rFonts w:asciiTheme="majorHAnsi" w:hAnsiTheme="majorHAnsi" w:cstheme="majorHAnsi"/>
                <w:sz w:val="21"/>
                <w:szCs w:val="21"/>
              </w:rPr>
              <w:t xml:space="preserve">los aspectos de género de </w:t>
            </w:r>
            <w:r w:rsidRPr="004A1436">
              <w:rPr>
                <w:rFonts w:asciiTheme="majorHAnsi" w:hAnsiTheme="majorHAnsi" w:cstheme="majorHAnsi"/>
                <w:sz w:val="21"/>
                <w:szCs w:val="21"/>
              </w:rPr>
              <w:t xml:space="preserve">la Matriz de Resultados. Por área de cooperación, el análisis encontró  las mayores fortalezas en </w:t>
            </w:r>
            <w:r>
              <w:rPr>
                <w:rFonts w:asciiTheme="majorHAnsi" w:hAnsiTheme="majorHAnsi" w:cstheme="majorHAnsi"/>
                <w:sz w:val="21"/>
                <w:szCs w:val="21"/>
              </w:rPr>
              <w:t>las áreas</w:t>
            </w:r>
            <w:r w:rsidRPr="004A1436">
              <w:rPr>
                <w:rFonts w:asciiTheme="majorHAnsi" w:hAnsiTheme="majorHAnsi" w:cstheme="majorHAnsi"/>
                <w:sz w:val="21"/>
                <w:szCs w:val="21"/>
              </w:rPr>
              <w:t xml:space="preserve"> </w:t>
            </w:r>
            <w:r>
              <w:rPr>
                <w:rFonts w:asciiTheme="majorHAnsi" w:hAnsiTheme="majorHAnsi" w:cstheme="majorHAnsi"/>
                <w:sz w:val="21"/>
                <w:szCs w:val="21"/>
              </w:rPr>
              <w:t xml:space="preserve">de </w:t>
            </w:r>
            <w:r w:rsidRPr="004A1436">
              <w:rPr>
                <w:rFonts w:asciiTheme="majorHAnsi" w:hAnsiTheme="majorHAnsi" w:cstheme="majorHAnsi"/>
                <w:sz w:val="21"/>
                <w:szCs w:val="21"/>
              </w:rPr>
              <w:t>Igualdad e Inclusión, con el 67% de sus indicadores sensibles al género; Prosperidad e Innovación, con  63%; seguido del área Paz, Justicia y Estado de Derecho, con 56%</w:t>
            </w:r>
            <w:r>
              <w:rPr>
                <w:rFonts w:asciiTheme="majorHAnsi" w:hAnsiTheme="majorHAnsi" w:cstheme="majorHAnsi"/>
                <w:sz w:val="21"/>
                <w:szCs w:val="21"/>
              </w:rPr>
              <w:t xml:space="preserve">; mientras que en el área de </w:t>
            </w:r>
            <w:r w:rsidRPr="004A1436">
              <w:rPr>
                <w:rFonts w:asciiTheme="majorHAnsi" w:hAnsiTheme="majorHAnsi" w:cstheme="majorHAnsi"/>
                <w:sz w:val="21"/>
                <w:szCs w:val="21"/>
              </w:rPr>
              <w:t>Economía Verde y Cambio Climático</w:t>
            </w:r>
            <w:r>
              <w:rPr>
                <w:rFonts w:asciiTheme="majorHAnsi" w:hAnsiTheme="majorHAnsi" w:cstheme="majorHAnsi"/>
                <w:sz w:val="21"/>
                <w:szCs w:val="21"/>
              </w:rPr>
              <w:t xml:space="preserve"> el </w:t>
            </w:r>
            <w:r w:rsidRPr="004A1436">
              <w:rPr>
                <w:rFonts w:asciiTheme="majorHAnsi" w:hAnsiTheme="majorHAnsi" w:cstheme="majorHAnsi"/>
                <w:sz w:val="21"/>
                <w:szCs w:val="21"/>
              </w:rPr>
              <w:t xml:space="preserve">18% de </w:t>
            </w:r>
            <w:r>
              <w:rPr>
                <w:rFonts w:asciiTheme="majorHAnsi" w:hAnsiTheme="majorHAnsi" w:cstheme="majorHAnsi"/>
                <w:sz w:val="21"/>
                <w:szCs w:val="21"/>
              </w:rPr>
              <w:t xml:space="preserve">sus </w:t>
            </w:r>
            <w:r w:rsidRPr="004A1436">
              <w:rPr>
                <w:rFonts w:asciiTheme="majorHAnsi" w:hAnsiTheme="majorHAnsi" w:cstheme="majorHAnsi"/>
                <w:sz w:val="21"/>
                <w:szCs w:val="21"/>
              </w:rPr>
              <w:t xml:space="preserve">indicadores </w:t>
            </w:r>
            <w:r>
              <w:rPr>
                <w:rFonts w:asciiTheme="majorHAnsi" w:hAnsiTheme="majorHAnsi" w:cstheme="majorHAnsi"/>
                <w:sz w:val="21"/>
                <w:szCs w:val="21"/>
              </w:rPr>
              <w:t xml:space="preserve">son </w:t>
            </w:r>
            <w:r w:rsidRPr="004A1436">
              <w:rPr>
                <w:rFonts w:asciiTheme="majorHAnsi" w:hAnsiTheme="majorHAnsi" w:cstheme="majorHAnsi"/>
                <w:sz w:val="21"/>
                <w:szCs w:val="21"/>
              </w:rPr>
              <w:t>sensibles al géner</w:t>
            </w:r>
            <w:r>
              <w:rPr>
                <w:rFonts w:asciiTheme="majorHAnsi" w:hAnsiTheme="majorHAnsi" w:cstheme="majorHAnsi"/>
                <w:sz w:val="21"/>
                <w:szCs w:val="21"/>
              </w:rPr>
              <w:t xml:space="preserve">o. </w:t>
            </w:r>
            <w:r w:rsidRPr="004A1436">
              <w:rPr>
                <w:rFonts w:asciiTheme="majorHAnsi" w:hAnsiTheme="majorHAnsi" w:cstheme="majorHAnsi"/>
                <w:sz w:val="21"/>
                <w:szCs w:val="21"/>
              </w:rPr>
              <w:t xml:space="preserve">Si bien existen áreas con mayores fortalezas que otras, el análisis concluye que la Matriz </w:t>
            </w:r>
            <w:r>
              <w:rPr>
                <w:rFonts w:asciiTheme="majorHAnsi" w:hAnsiTheme="majorHAnsi" w:cstheme="majorHAnsi"/>
                <w:sz w:val="21"/>
                <w:szCs w:val="21"/>
              </w:rPr>
              <w:t xml:space="preserve">Indicativa </w:t>
            </w:r>
            <w:r w:rsidRPr="004A1436">
              <w:rPr>
                <w:rFonts w:asciiTheme="majorHAnsi" w:hAnsiTheme="majorHAnsi" w:cstheme="majorHAnsi"/>
                <w:sz w:val="21"/>
                <w:szCs w:val="21"/>
              </w:rPr>
              <w:t xml:space="preserve">de Resultados del </w:t>
            </w:r>
            <w:r>
              <w:rPr>
                <w:rFonts w:asciiTheme="majorHAnsi" w:hAnsiTheme="majorHAnsi" w:cstheme="majorHAnsi"/>
                <w:sz w:val="21"/>
                <w:szCs w:val="21"/>
              </w:rPr>
              <w:t>Marco de Cooperación</w:t>
            </w:r>
            <w:r w:rsidRPr="004A1436">
              <w:rPr>
                <w:rFonts w:asciiTheme="majorHAnsi" w:hAnsiTheme="majorHAnsi" w:cstheme="majorHAnsi"/>
                <w:sz w:val="21"/>
                <w:szCs w:val="21"/>
              </w:rPr>
              <w:t xml:space="preserve"> 2020-2025 logró asegurar la transversalidad de la perspectiva de género en la definición de los indicadores de todas las áreas de cooperación.</w:t>
            </w:r>
          </w:p>
        </w:tc>
      </w:tr>
      <w:tr w:rsidR="00FC7AD9" w:rsidRPr="004A1436" w14:paraId="5D7FB416" w14:textId="77777777" w:rsidTr="00FC7AD9">
        <w:tc>
          <w:tcPr>
            <w:tcW w:w="8676" w:type="dxa"/>
            <w:gridSpan w:val="3"/>
          </w:tcPr>
          <w:p w14:paraId="03149E71" w14:textId="77777777" w:rsidR="00FC7AD9" w:rsidRPr="00FC7AD9" w:rsidRDefault="00FC7AD9" w:rsidP="00316349">
            <w:pPr>
              <w:spacing w:after="120"/>
              <w:rPr>
                <w:rFonts w:asciiTheme="majorHAnsi" w:hAnsiTheme="majorHAnsi" w:cstheme="majorHAnsi"/>
                <w:b/>
                <w:color w:val="00B0F0"/>
                <w:sz w:val="21"/>
                <w:szCs w:val="21"/>
              </w:rPr>
            </w:pPr>
            <w:r w:rsidRPr="00FC7AD9">
              <w:rPr>
                <w:rFonts w:asciiTheme="majorHAnsi" w:hAnsiTheme="majorHAnsi" w:cstheme="majorHAnsi"/>
                <w:b/>
                <w:color w:val="00B0F0"/>
                <w:sz w:val="21"/>
                <w:szCs w:val="21"/>
              </w:rPr>
              <w:t>Evidencia/medios de verificación</w:t>
            </w:r>
          </w:p>
          <w:p w14:paraId="7A93894B" w14:textId="6F325F3B" w:rsidR="00FC7AD9" w:rsidRPr="00FC7AD9" w:rsidRDefault="00FC7AD9" w:rsidP="00D74AB5">
            <w:pPr>
              <w:pStyle w:val="Prrafodelista"/>
              <w:numPr>
                <w:ilvl w:val="0"/>
                <w:numId w:val="13"/>
              </w:numPr>
              <w:rPr>
                <w:rFonts w:asciiTheme="majorHAnsi" w:hAnsiTheme="majorHAnsi" w:cstheme="majorHAnsi"/>
              </w:rPr>
            </w:pPr>
            <w:r w:rsidRPr="00FC7AD9">
              <w:rPr>
                <w:rFonts w:asciiTheme="majorHAnsi" w:hAnsiTheme="majorHAnsi" w:cstheme="majorHAnsi"/>
              </w:rPr>
              <w:t xml:space="preserve">Documento del </w:t>
            </w:r>
            <w:hyperlink r:id="rId23" w:history="1">
              <w:r>
                <w:rPr>
                  <w:rStyle w:val="Hipervnculo"/>
                  <w:rFonts w:asciiTheme="majorHAnsi" w:hAnsiTheme="majorHAnsi" w:cstheme="majorHAnsi"/>
                </w:rPr>
                <w:t>Marco de Cooperación de las Naciones Unidas para el Desarrollo Sostenible de México 2020-2025</w:t>
              </w:r>
            </w:hyperlink>
            <w:r w:rsidRPr="00FC7AD9">
              <w:rPr>
                <w:rFonts w:asciiTheme="majorHAnsi" w:hAnsiTheme="majorHAnsi" w:cstheme="majorHAnsi"/>
              </w:rPr>
              <w:t xml:space="preserve"> </w:t>
            </w:r>
            <w:r w:rsidR="00AC45EA">
              <w:rPr>
                <w:rFonts w:asciiTheme="majorHAnsi" w:hAnsiTheme="majorHAnsi" w:cstheme="majorHAnsi"/>
              </w:rPr>
              <w:t>(contiene la Matriz Indicativa de Resultados)</w:t>
            </w:r>
          </w:p>
          <w:p w14:paraId="60093D40" w14:textId="248449A1" w:rsidR="00FC7AD9" w:rsidRPr="004A1436" w:rsidRDefault="00862551" w:rsidP="00D74AB5">
            <w:pPr>
              <w:pStyle w:val="Prrafodelista"/>
              <w:numPr>
                <w:ilvl w:val="0"/>
                <w:numId w:val="13"/>
              </w:numPr>
              <w:spacing w:after="120"/>
              <w:rPr>
                <w:rFonts w:asciiTheme="majorHAnsi" w:hAnsiTheme="majorHAnsi" w:cstheme="majorHAnsi"/>
                <w:sz w:val="21"/>
                <w:szCs w:val="21"/>
              </w:rPr>
            </w:pPr>
            <w:r>
              <w:rPr>
                <w:rFonts w:asciiTheme="majorHAnsi" w:hAnsiTheme="majorHAnsi" w:cstheme="majorHAnsi"/>
                <w:sz w:val="21"/>
                <w:szCs w:val="21"/>
              </w:rPr>
              <w:t>Documento Excel con el a</w:t>
            </w:r>
            <w:r w:rsidR="00FC7AD9" w:rsidRPr="004A1436">
              <w:rPr>
                <w:rFonts w:asciiTheme="majorHAnsi" w:hAnsiTheme="majorHAnsi" w:cstheme="majorHAnsi"/>
                <w:sz w:val="21"/>
                <w:szCs w:val="21"/>
              </w:rPr>
              <w:t xml:space="preserve">nálisis de género de los indicadores de la Matriz </w:t>
            </w:r>
            <w:r w:rsidR="00AC45EA">
              <w:rPr>
                <w:rFonts w:asciiTheme="majorHAnsi" w:hAnsiTheme="majorHAnsi" w:cstheme="majorHAnsi"/>
                <w:sz w:val="21"/>
                <w:szCs w:val="21"/>
              </w:rPr>
              <w:t xml:space="preserve"> Indicativa </w:t>
            </w:r>
            <w:r w:rsidR="00FC7AD9" w:rsidRPr="004A1436">
              <w:rPr>
                <w:rFonts w:asciiTheme="majorHAnsi" w:hAnsiTheme="majorHAnsi" w:cstheme="majorHAnsi"/>
                <w:sz w:val="21"/>
                <w:szCs w:val="21"/>
              </w:rPr>
              <w:t>de Resultados del Marco de Cooperación de las Naciones Unidas para el Desarrollo Sostenible de México 20</w:t>
            </w:r>
            <w:r w:rsidR="00FC7AD9">
              <w:rPr>
                <w:rFonts w:asciiTheme="majorHAnsi" w:hAnsiTheme="majorHAnsi" w:cstheme="majorHAnsi"/>
                <w:sz w:val="21"/>
                <w:szCs w:val="21"/>
              </w:rPr>
              <w:t>20</w:t>
            </w:r>
            <w:r w:rsidR="00FC7AD9" w:rsidRPr="004A1436">
              <w:rPr>
                <w:rFonts w:asciiTheme="majorHAnsi" w:hAnsiTheme="majorHAnsi" w:cstheme="majorHAnsi"/>
                <w:sz w:val="21"/>
                <w:szCs w:val="21"/>
              </w:rPr>
              <w:t>-20</w:t>
            </w:r>
            <w:r w:rsidR="00FC7AD9">
              <w:rPr>
                <w:rFonts w:asciiTheme="majorHAnsi" w:hAnsiTheme="majorHAnsi" w:cstheme="majorHAnsi"/>
                <w:sz w:val="21"/>
                <w:szCs w:val="21"/>
              </w:rPr>
              <w:t>25</w:t>
            </w:r>
            <w:r w:rsidR="00FC7AD9" w:rsidRPr="004A1436">
              <w:rPr>
                <w:rFonts w:asciiTheme="majorHAnsi" w:hAnsiTheme="majorHAnsi" w:cstheme="majorHAnsi"/>
                <w:sz w:val="21"/>
                <w:szCs w:val="21"/>
              </w:rPr>
              <w:t xml:space="preserve"> (Anexo</w:t>
            </w:r>
            <w:r w:rsidR="00FC7AD9">
              <w:rPr>
                <w:rFonts w:asciiTheme="majorHAnsi" w:hAnsiTheme="majorHAnsi" w:cstheme="majorHAnsi"/>
                <w:sz w:val="21"/>
                <w:szCs w:val="21"/>
              </w:rPr>
              <w:t xml:space="preserve"> I</w:t>
            </w:r>
            <w:r w:rsidR="00FC7AD9" w:rsidRPr="004A1436">
              <w:rPr>
                <w:rFonts w:asciiTheme="majorHAnsi" w:hAnsiTheme="majorHAnsi" w:cstheme="majorHAnsi"/>
                <w:sz w:val="21"/>
                <w:szCs w:val="21"/>
              </w:rPr>
              <w:t>)</w:t>
            </w:r>
          </w:p>
        </w:tc>
      </w:tr>
    </w:tbl>
    <w:p w14:paraId="072CA928" w14:textId="77777777" w:rsidR="00FC7AD9" w:rsidRDefault="00FC7AD9" w:rsidP="00FC7AD9">
      <w:pPr>
        <w:rPr>
          <w:rFonts w:asciiTheme="majorHAnsi" w:hAnsiTheme="majorHAnsi" w:cstheme="majorHAnsi"/>
          <w:b/>
          <w:sz w:val="21"/>
          <w:szCs w:val="21"/>
          <w:u w:val="single"/>
        </w:rPr>
      </w:pPr>
    </w:p>
    <w:p w14:paraId="6772EC68" w14:textId="77777777" w:rsidR="00FC7AD9" w:rsidRPr="00862551" w:rsidRDefault="00FC7AD9" w:rsidP="00862551">
      <w:pPr>
        <w:rPr>
          <w:rFonts w:ascii="Calibri" w:hAnsi="Calibri" w:cs="Calibri"/>
          <w:b/>
          <w:bCs/>
          <w:color w:val="00B0F0"/>
        </w:rPr>
      </w:pPr>
      <w:r w:rsidRPr="00862551">
        <w:rPr>
          <w:rFonts w:ascii="Calibri" w:hAnsi="Calibri" w:cs="Calibri"/>
          <w:b/>
          <w:bCs/>
          <w:color w:val="00B0F0"/>
        </w:rPr>
        <w:t>2. Programación y M&amp;E</w:t>
      </w:r>
    </w:p>
    <w:p w14:paraId="3EE44984" w14:textId="77777777" w:rsidR="00FC7AD9" w:rsidRPr="004A1436" w:rsidRDefault="00FC7AD9" w:rsidP="00FC7AD9">
      <w:pPr>
        <w:rPr>
          <w:rFonts w:asciiTheme="majorHAnsi" w:hAnsiTheme="majorHAnsi" w:cstheme="majorHAnsi"/>
          <w:sz w:val="21"/>
          <w:szCs w:val="21"/>
          <w:lang w:val="es-ES_tradnl" w:eastAsia="es-ES"/>
        </w:rPr>
      </w:pPr>
    </w:p>
    <w:tbl>
      <w:tblPr>
        <w:tblStyle w:val="Tablaconcuadrcula"/>
        <w:tblW w:w="8676" w:type="dxa"/>
        <w:tblInd w:w="108" w:type="dxa"/>
        <w:tblLayout w:type="fixed"/>
        <w:tblLook w:val="04A0" w:firstRow="1" w:lastRow="0" w:firstColumn="1" w:lastColumn="0" w:noHBand="0" w:noVBand="1"/>
      </w:tblPr>
      <w:tblGrid>
        <w:gridCol w:w="3573"/>
        <w:gridCol w:w="3969"/>
        <w:gridCol w:w="1134"/>
      </w:tblGrid>
      <w:tr w:rsidR="00FC7AD9" w:rsidRPr="004A1436" w14:paraId="300C56C5" w14:textId="77777777" w:rsidTr="00FC7AD9">
        <w:tc>
          <w:tcPr>
            <w:tcW w:w="3573" w:type="dxa"/>
            <w:vAlign w:val="center"/>
          </w:tcPr>
          <w:p w14:paraId="56E530D5" w14:textId="77777777" w:rsidR="00FC7AD9" w:rsidRPr="00FC7AD9" w:rsidRDefault="00FC7AD9" w:rsidP="00316349">
            <w:pPr>
              <w:rPr>
                <w:rFonts w:asciiTheme="majorHAnsi" w:hAnsiTheme="majorHAnsi" w:cstheme="majorHAnsi"/>
                <w:b/>
                <w:color w:val="00B0F0"/>
                <w:sz w:val="21"/>
                <w:szCs w:val="21"/>
              </w:rPr>
            </w:pPr>
            <w:r w:rsidRPr="00FC7AD9">
              <w:rPr>
                <w:rFonts w:asciiTheme="majorHAnsi" w:hAnsiTheme="majorHAnsi" w:cstheme="majorHAnsi"/>
                <w:b/>
                <w:color w:val="00B0F0"/>
                <w:sz w:val="21"/>
                <w:szCs w:val="21"/>
              </w:rPr>
              <w:t>Indicador</w:t>
            </w:r>
          </w:p>
          <w:p w14:paraId="318F3A17" w14:textId="05922AEB" w:rsidR="00FC7AD9" w:rsidRPr="004A1436" w:rsidRDefault="00FC7AD9" w:rsidP="00316349">
            <w:pPr>
              <w:rPr>
                <w:rFonts w:asciiTheme="majorHAnsi" w:hAnsiTheme="majorHAnsi" w:cstheme="majorHAnsi"/>
                <w:b/>
                <w:color w:val="548DD4" w:themeColor="text2" w:themeTint="99"/>
                <w:sz w:val="21"/>
                <w:szCs w:val="21"/>
              </w:rPr>
            </w:pPr>
            <w:r w:rsidRPr="004A1436">
              <w:rPr>
                <w:rFonts w:asciiTheme="majorHAnsi" w:hAnsiTheme="majorHAnsi" w:cstheme="majorHAnsi"/>
                <w:b/>
                <w:color w:val="000000" w:themeColor="dark1"/>
                <w:kern w:val="24"/>
                <w:sz w:val="21"/>
                <w:szCs w:val="21"/>
                <w:lang w:val="en-US"/>
              </w:rPr>
              <w:t xml:space="preserve">2.1. </w:t>
            </w:r>
            <w:r w:rsidRPr="004A1436">
              <w:rPr>
                <w:rFonts w:asciiTheme="majorHAnsi" w:hAnsiTheme="majorHAnsi" w:cstheme="majorHAnsi"/>
                <w:b/>
                <w:color w:val="000000" w:themeColor="dark1"/>
                <w:kern w:val="24"/>
                <w:sz w:val="21"/>
                <w:szCs w:val="21"/>
              </w:rPr>
              <w:t>Programas conjuntos</w:t>
            </w:r>
            <w:r>
              <w:rPr>
                <w:rFonts w:asciiTheme="majorHAnsi" w:hAnsiTheme="majorHAnsi" w:cstheme="majorHAnsi"/>
                <w:b/>
                <w:color w:val="000000" w:themeColor="dark1"/>
                <w:kern w:val="24"/>
                <w:sz w:val="21"/>
                <w:szCs w:val="21"/>
              </w:rPr>
              <w:t xml:space="preserve"> (PCs)</w:t>
            </w:r>
          </w:p>
        </w:tc>
        <w:tc>
          <w:tcPr>
            <w:tcW w:w="3969" w:type="dxa"/>
            <w:vAlign w:val="center"/>
          </w:tcPr>
          <w:p w14:paraId="5EB44E9C" w14:textId="77777777" w:rsidR="00FC7AD9" w:rsidRPr="00FC7AD9" w:rsidRDefault="00FC7AD9" w:rsidP="00316349">
            <w:pPr>
              <w:rPr>
                <w:rFonts w:asciiTheme="majorHAnsi" w:hAnsiTheme="majorHAnsi" w:cstheme="majorHAnsi"/>
                <w:b/>
                <w:color w:val="00B0F0"/>
                <w:sz w:val="21"/>
                <w:szCs w:val="21"/>
              </w:rPr>
            </w:pPr>
            <w:r w:rsidRPr="00FC7AD9">
              <w:rPr>
                <w:rFonts w:asciiTheme="majorHAnsi" w:hAnsiTheme="majorHAnsi" w:cstheme="majorHAnsi"/>
                <w:b/>
                <w:color w:val="00B0F0"/>
                <w:sz w:val="21"/>
                <w:szCs w:val="21"/>
              </w:rPr>
              <w:t>Puntuación</w:t>
            </w:r>
          </w:p>
          <w:p w14:paraId="463890BC" w14:textId="77777777" w:rsidR="00FC7AD9" w:rsidRPr="004A1436" w:rsidRDefault="00FC7AD9" w:rsidP="00316349">
            <w:pPr>
              <w:rPr>
                <w:rFonts w:asciiTheme="majorHAnsi" w:hAnsiTheme="majorHAnsi" w:cstheme="majorHAnsi"/>
                <w:b/>
                <w:sz w:val="21"/>
                <w:szCs w:val="21"/>
              </w:rPr>
            </w:pPr>
            <w:r w:rsidRPr="004A1436">
              <w:rPr>
                <w:rFonts w:asciiTheme="majorHAnsi" w:hAnsiTheme="majorHAnsi" w:cstheme="majorHAnsi"/>
                <w:b/>
                <w:sz w:val="21"/>
                <w:szCs w:val="21"/>
              </w:rPr>
              <w:t>Cumple el estándar mínimo</w:t>
            </w:r>
          </w:p>
          <w:p w14:paraId="031562E1" w14:textId="77777777" w:rsidR="00FC7AD9" w:rsidRPr="004A1436" w:rsidRDefault="00FC7AD9" w:rsidP="00316349">
            <w:pPr>
              <w:rPr>
                <w:rFonts w:asciiTheme="majorHAnsi" w:hAnsiTheme="majorHAnsi" w:cstheme="majorHAnsi"/>
                <w:sz w:val="21"/>
                <w:szCs w:val="21"/>
                <w:highlight w:val="yellow"/>
              </w:rPr>
            </w:pPr>
            <w:r w:rsidRPr="004A1436">
              <w:rPr>
                <w:rFonts w:asciiTheme="majorHAnsi" w:hAnsiTheme="majorHAnsi" w:cstheme="majorHAnsi"/>
                <w:bCs/>
                <w:kern w:val="24"/>
                <w:sz w:val="21"/>
                <w:szCs w:val="21"/>
                <w:lang w:val="es-ES"/>
              </w:rPr>
              <w:t>(</w:t>
            </w:r>
            <w:r>
              <w:rPr>
                <w:rFonts w:asciiTheme="majorHAnsi" w:hAnsiTheme="majorHAnsi" w:cstheme="majorHAnsi"/>
                <w:bCs/>
                <w:kern w:val="24"/>
                <w:sz w:val="21"/>
                <w:szCs w:val="21"/>
                <w:lang w:val="es-ES"/>
              </w:rPr>
              <w:t xml:space="preserve">se mantuvo igual </w:t>
            </w:r>
            <w:r w:rsidRPr="004A1436">
              <w:rPr>
                <w:rFonts w:asciiTheme="majorHAnsi" w:hAnsiTheme="majorHAnsi" w:cstheme="majorHAnsi"/>
                <w:bCs/>
                <w:kern w:val="24"/>
                <w:sz w:val="21"/>
                <w:szCs w:val="21"/>
                <w:lang w:val="es-ES"/>
              </w:rPr>
              <w:t>con respecto a 2019)</w:t>
            </w:r>
          </w:p>
        </w:tc>
        <w:tc>
          <w:tcPr>
            <w:tcW w:w="1134" w:type="dxa"/>
            <w:vAlign w:val="center"/>
          </w:tcPr>
          <w:p w14:paraId="667EF866" w14:textId="77777777" w:rsidR="00FC7AD9" w:rsidRPr="004A1436" w:rsidRDefault="00FC7AD9" w:rsidP="00316349">
            <w:pPr>
              <w:spacing w:after="120"/>
              <w:jc w:val="center"/>
              <w:rPr>
                <w:rFonts w:asciiTheme="majorHAnsi" w:hAnsiTheme="majorHAnsi" w:cstheme="majorHAnsi"/>
                <w:b/>
                <w:sz w:val="21"/>
                <w:szCs w:val="21"/>
                <w:highlight w:val="yellow"/>
              </w:rPr>
            </w:pPr>
            <w:r w:rsidRPr="004A1436">
              <w:rPr>
                <w:rFonts w:asciiTheme="majorHAnsi" w:hAnsiTheme="majorHAnsi" w:cstheme="majorHAnsi"/>
                <w:b/>
                <w:noProof/>
                <w:sz w:val="21"/>
                <w:szCs w:val="21"/>
                <w:highlight w:val="yellow"/>
                <w:lang w:val="en-US"/>
              </w:rPr>
              <w:drawing>
                <wp:anchor distT="0" distB="0" distL="114300" distR="114300" simplePos="0" relativeHeight="251675648" behindDoc="0" locked="0" layoutInCell="1" allowOverlap="1" wp14:anchorId="034EAFB9" wp14:editId="7CB7F304">
                  <wp:simplePos x="0" y="0"/>
                  <wp:positionH relativeFrom="column">
                    <wp:posOffset>80645</wp:posOffset>
                  </wp:positionH>
                  <wp:positionV relativeFrom="page">
                    <wp:posOffset>105410</wp:posOffset>
                  </wp:positionV>
                  <wp:extent cx="358140" cy="358140"/>
                  <wp:effectExtent l="0" t="0" r="0" b="0"/>
                  <wp:wrapSquare wrapText="bothSides"/>
                  <wp:docPr id="4" name="Gráfico 4"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24">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5"/>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4A1436" w14:paraId="5D476401" w14:textId="77777777" w:rsidTr="00FC7AD9">
        <w:tc>
          <w:tcPr>
            <w:tcW w:w="8676" w:type="dxa"/>
            <w:gridSpan w:val="3"/>
          </w:tcPr>
          <w:p w14:paraId="64699BC1" w14:textId="77777777" w:rsidR="00FC7AD9" w:rsidRPr="00FC7AD9" w:rsidRDefault="00FC7AD9" w:rsidP="00316349">
            <w:pPr>
              <w:spacing w:after="120"/>
              <w:rPr>
                <w:rFonts w:asciiTheme="majorHAnsi" w:hAnsiTheme="majorHAnsi" w:cstheme="majorHAnsi"/>
                <w:b/>
                <w:color w:val="00B0F0"/>
                <w:sz w:val="21"/>
                <w:szCs w:val="21"/>
              </w:rPr>
            </w:pPr>
            <w:r w:rsidRPr="00FC7AD9">
              <w:rPr>
                <w:rFonts w:asciiTheme="majorHAnsi" w:hAnsiTheme="majorHAnsi" w:cstheme="majorHAnsi"/>
                <w:b/>
                <w:color w:val="00B0F0"/>
                <w:sz w:val="21"/>
                <w:szCs w:val="21"/>
              </w:rPr>
              <w:t>Hallazgos y justificación por criterio</w:t>
            </w:r>
          </w:p>
          <w:p w14:paraId="4289334C" w14:textId="7FB41B4F" w:rsidR="00FC7AD9" w:rsidRPr="00AC45EA" w:rsidRDefault="00FC7AD9" w:rsidP="00D74AB5">
            <w:pPr>
              <w:pStyle w:val="Prrafodelista"/>
              <w:numPr>
                <w:ilvl w:val="0"/>
                <w:numId w:val="14"/>
              </w:numPr>
              <w:spacing w:after="120"/>
              <w:ind w:left="360"/>
              <w:contextualSpacing w:val="0"/>
              <w:jc w:val="both"/>
              <w:rPr>
                <w:rFonts w:asciiTheme="majorHAnsi" w:hAnsiTheme="majorHAnsi" w:cstheme="majorHAnsi"/>
                <w:b/>
                <w:bCs/>
                <w:i/>
                <w:iCs/>
                <w:sz w:val="21"/>
                <w:szCs w:val="21"/>
              </w:rPr>
            </w:pPr>
            <w:r w:rsidRPr="00AC45EA">
              <w:rPr>
                <w:rFonts w:asciiTheme="majorHAnsi" w:hAnsiTheme="majorHAnsi" w:cstheme="majorHAnsi"/>
                <w:b/>
                <w:bCs/>
                <w:i/>
                <w:iCs/>
                <w:sz w:val="21"/>
                <w:szCs w:val="21"/>
              </w:rPr>
              <w:t xml:space="preserve">La igualdad de género está explícitamente incorporada en </w:t>
            </w:r>
            <w:r w:rsidRPr="00AC45EA">
              <w:rPr>
                <w:rFonts w:asciiTheme="majorHAnsi" w:hAnsiTheme="majorHAnsi" w:cstheme="majorHAnsi"/>
                <w:b/>
                <w:bCs/>
                <w:i/>
                <w:iCs/>
                <w:sz w:val="21"/>
                <w:szCs w:val="21"/>
                <w:u w:val="single"/>
              </w:rPr>
              <w:t>todos</w:t>
            </w:r>
            <w:r w:rsidRPr="00AC45EA">
              <w:rPr>
                <w:rFonts w:asciiTheme="majorHAnsi" w:hAnsiTheme="majorHAnsi" w:cstheme="majorHAnsi"/>
                <w:b/>
                <w:bCs/>
                <w:i/>
                <w:iCs/>
                <w:sz w:val="21"/>
                <w:szCs w:val="21"/>
              </w:rPr>
              <w:t xml:space="preserve"> los PCs en funcionamiento al momento de la evaluación. </w:t>
            </w:r>
            <w:r w:rsidRPr="00AC45EA">
              <w:rPr>
                <w:rFonts w:asciiTheme="majorHAnsi" w:hAnsiTheme="majorHAnsi" w:cstheme="majorHAnsi"/>
                <w:b/>
                <w:bCs/>
                <w:i/>
                <w:iCs/>
                <w:color w:val="00B0F0"/>
                <w:sz w:val="21"/>
                <w:szCs w:val="21"/>
                <w:u w:val="single"/>
              </w:rPr>
              <w:t>CUMPLE</w:t>
            </w:r>
            <w:r w:rsidRPr="00AC45EA">
              <w:rPr>
                <w:rFonts w:asciiTheme="majorHAnsi" w:hAnsiTheme="majorHAnsi" w:cstheme="majorHAnsi"/>
                <w:b/>
                <w:bCs/>
                <w:i/>
                <w:iCs/>
                <w:color w:val="0070C0"/>
                <w:sz w:val="21"/>
                <w:szCs w:val="21"/>
              </w:rPr>
              <w:t>.</w:t>
            </w:r>
            <w:r w:rsidRPr="00AC45EA">
              <w:rPr>
                <w:rFonts w:asciiTheme="majorHAnsi" w:hAnsiTheme="majorHAnsi" w:cstheme="majorHAnsi"/>
                <w:b/>
                <w:bCs/>
                <w:i/>
                <w:iCs/>
                <w:sz w:val="21"/>
                <w:szCs w:val="21"/>
              </w:rPr>
              <w:t xml:space="preserve"> </w:t>
            </w:r>
            <w:r w:rsidRPr="00AC45EA">
              <w:rPr>
                <w:rFonts w:asciiTheme="majorHAnsi" w:hAnsiTheme="majorHAnsi" w:cstheme="majorHAnsi"/>
                <w:sz w:val="21"/>
                <w:szCs w:val="21"/>
              </w:rPr>
              <w:t>El análisis consideró un total de seis PCs en activo al momento de la revisión</w:t>
            </w:r>
            <w:r w:rsidR="00AC45EA" w:rsidRPr="00AC45EA">
              <w:rPr>
                <w:rFonts w:asciiTheme="majorHAnsi" w:hAnsiTheme="majorHAnsi" w:cstheme="majorHAnsi"/>
                <w:sz w:val="21"/>
                <w:szCs w:val="21"/>
              </w:rPr>
              <w:t xml:space="preserve"> (Ver Anexo I). </w:t>
            </w:r>
            <w:r w:rsidRPr="00AC45EA">
              <w:rPr>
                <w:rFonts w:asciiTheme="majorHAnsi" w:hAnsiTheme="majorHAnsi" w:cstheme="majorHAnsi"/>
                <w:sz w:val="21"/>
                <w:szCs w:val="21"/>
              </w:rPr>
              <w:t>Tomando como base los criterios del Marcador de Igualdad Género para los Equipos de País establecidos por el UNSDG</w:t>
            </w:r>
            <w:r w:rsidRPr="004A1436">
              <w:rPr>
                <w:rStyle w:val="Refdenotaalpie"/>
                <w:rFonts w:asciiTheme="majorHAnsi" w:hAnsiTheme="majorHAnsi" w:cstheme="majorHAnsi"/>
                <w:sz w:val="21"/>
                <w:szCs w:val="21"/>
              </w:rPr>
              <w:footnoteReference w:id="4"/>
            </w:r>
            <w:r w:rsidRPr="00AC45EA">
              <w:rPr>
                <w:rFonts w:asciiTheme="majorHAnsi" w:hAnsiTheme="majorHAnsi" w:cstheme="majorHAnsi"/>
                <w:sz w:val="21"/>
                <w:szCs w:val="21"/>
              </w:rPr>
              <w:t xml:space="preserve">, </w:t>
            </w:r>
            <w:r w:rsidR="00AC45EA">
              <w:rPr>
                <w:rFonts w:asciiTheme="majorHAnsi" w:hAnsiTheme="majorHAnsi" w:cstheme="majorHAnsi"/>
                <w:sz w:val="21"/>
                <w:szCs w:val="21"/>
              </w:rPr>
              <w:t xml:space="preserve">junto </w:t>
            </w:r>
            <w:r w:rsidRPr="00AC45EA">
              <w:rPr>
                <w:rFonts w:asciiTheme="majorHAnsi" w:hAnsiTheme="majorHAnsi" w:cstheme="majorHAnsi"/>
                <w:sz w:val="21"/>
                <w:szCs w:val="21"/>
              </w:rPr>
              <w:t xml:space="preserve"> con los marcadores de género </w:t>
            </w:r>
            <w:r w:rsidR="00AC45EA">
              <w:rPr>
                <w:rFonts w:asciiTheme="majorHAnsi" w:hAnsiTheme="majorHAnsi" w:cstheme="majorHAnsi"/>
                <w:sz w:val="21"/>
                <w:szCs w:val="21"/>
              </w:rPr>
              <w:t>de los</w:t>
            </w:r>
            <w:r w:rsidRPr="00AC45EA">
              <w:rPr>
                <w:rFonts w:asciiTheme="majorHAnsi" w:hAnsiTheme="majorHAnsi" w:cstheme="majorHAnsi"/>
                <w:sz w:val="21"/>
                <w:szCs w:val="21"/>
              </w:rPr>
              <w:t xml:space="preserve"> fondos que financian dichos PCs (Joint SDGF, MPTF-Migration y DPPA WPS Window), la revisión constató que todos los PCs incorporan a la igualdad de género ya sea como objetivo principal </w:t>
            </w:r>
            <w:r w:rsidR="00AC45EA">
              <w:rPr>
                <w:rFonts w:asciiTheme="majorHAnsi" w:hAnsiTheme="majorHAnsi" w:cstheme="majorHAnsi"/>
                <w:sz w:val="21"/>
                <w:szCs w:val="21"/>
              </w:rPr>
              <w:t xml:space="preserve">u objetivo </w:t>
            </w:r>
            <w:r w:rsidRPr="00AC45EA">
              <w:rPr>
                <w:rFonts w:asciiTheme="majorHAnsi" w:hAnsiTheme="majorHAnsi" w:cstheme="majorHAnsi"/>
                <w:sz w:val="21"/>
                <w:szCs w:val="21"/>
              </w:rPr>
              <w:t xml:space="preserve"> significativo, y garantizan la transversalidad de la perspectiva de género como estrategia programática para el logro de resultados. De los seis PCs analizados, tres tienen un marcador de género GEM 3 (ver criterio B),  al establecer a la IGEM como objetivo central o primario de la intervención e incorporar de manera sólida la perspectiva de género a través de todo el ciclo de la programación.  Dos PCs, uno relativo a los derechos de las personas migrantes y refugiadas (OIT, OIM, ACNUR), y el otro a la juventud  en riesgo ante y después de la COVID-19 (UNFPA, ONUDI, UNODC), tienen un marcador de género GEM 2, dado que refieren a la IGEM como objetivo significativo e incorporan la perspectiva de género en la </w:t>
            </w:r>
            <w:r w:rsidRPr="00AC45EA">
              <w:rPr>
                <w:rFonts w:asciiTheme="majorHAnsi" w:hAnsiTheme="majorHAnsi" w:cstheme="majorHAnsi"/>
                <w:i/>
                <w:iCs/>
                <w:sz w:val="21"/>
                <w:szCs w:val="21"/>
              </w:rPr>
              <w:t>rationale</w:t>
            </w:r>
            <w:r w:rsidRPr="00AC45EA">
              <w:rPr>
                <w:rFonts w:asciiTheme="majorHAnsi" w:hAnsiTheme="majorHAnsi" w:cstheme="majorHAnsi"/>
                <w:sz w:val="21"/>
                <w:szCs w:val="21"/>
              </w:rPr>
              <w:t xml:space="preserve">, los componentes y las estrategias para el logro de resultados.  Si bien el análisis encontró debilidades sustantivas en el diseño del PC sobre gobernanza del sistema financiero para el desarrollo sostenible (UNODC, PNUMA, PNUD), cuyo marcador de género en el documento de proyecto fue de 0.67, la evidencia recabada muestra que el PC realizó medidas correctivas para mejorar dicha puntuación e incorporar la perspectiva de género en la planificiación del segundo año de implementación, reconociéndola como criterio de aplicación transversal de todos los productos, estrategias y materiales. </w:t>
            </w:r>
          </w:p>
          <w:p w14:paraId="2481D1F0" w14:textId="760BE226" w:rsidR="00FC7AD9" w:rsidRPr="004A1436" w:rsidRDefault="00FC7AD9" w:rsidP="00D74AB5">
            <w:pPr>
              <w:pStyle w:val="Prrafodelista"/>
              <w:numPr>
                <w:ilvl w:val="0"/>
                <w:numId w:val="14"/>
              </w:numPr>
              <w:spacing w:after="120"/>
              <w:ind w:left="350"/>
              <w:contextualSpacing w:val="0"/>
              <w:jc w:val="both"/>
              <w:rPr>
                <w:rFonts w:asciiTheme="majorHAnsi" w:hAnsiTheme="majorHAnsi" w:cstheme="majorHAnsi"/>
                <w:i/>
                <w:iCs/>
                <w:sz w:val="21"/>
                <w:szCs w:val="21"/>
              </w:rPr>
            </w:pPr>
            <w:r w:rsidRPr="004A1436">
              <w:rPr>
                <w:rFonts w:asciiTheme="majorHAnsi" w:hAnsiTheme="majorHAnsi" w:cstheme="majorHAnsi"/>
                <w:b/>
                <w:bCs/>
                <w:i/>
                <w:iCs/>
                <w:sz w:val="21"/>
                <w:szCs w:val="21"/>
              </w:rPr>
              <w:t xml:space="preserve">Un PC para  la igualdad de género y el empoderamiento de las mujeres  está en funcionamiento en el marco del UNSDCF, en línea con las prioridades de los ODS, incluyendo el ODS 5. </w:t>
            </w:r>
            <w:r w:rsidRPr="00FC7AD9">
              <w:rPr>
                <w:rFonts w:asciiTheme="majorHAnsi" w:hAnsiTheme="majorHAnsi" w:cstheme="majorHAnsi"/>
                <w:b/>
                <w:bCs/>
                <w:i/>
                <w:iCs/>
                <w:color w:val="00B0F0"/>
                <w:sz w:val="21"/>
                <w:szCs w:val="21"/>
                <w:u w:val="single"/>
              </w:rPr>
              <w:t>CUMPLE</w:t>
            </w:r>
            <w:r w:rsidRPr="004A1436">
              <w:rPr>
                <w:rFonts w:asciiTheme="majorHAnsi" w:hAnsiTheme="majorHAnsi" w:cstheme="majorHAnsi"/>
                <w:b/>
                <w:bCs/>
                <w:i/>
                <w:iCs/>
                <w:color w:val="0070C0"/>
                <w:sz w:val="21"/>
                <w:szCs w:val="21"/>
              </w:rPr>
              <w:t xml:space="preserve">. </w:t>
            </w:r>
            <w:r w:rsidRPr="004A1436">
              <w:rPr>
                <w:rFonts w:asciiTheme="majorHAnsi" w:hAnsiTheme="majorHAnsi" w:cstheme="majorHAnsi"/>
                <w:color w:val="000000" w:themeColor="text1"/>
                <w:sz w:val="21"/>
                <w:szCs w:val="21"/>
              </w:rPr>
              <w:t xml:space="preserve">Existen tres </w:t>
            </w:r>
            <w:r w:rsidRPr="004A1436">
              <w:rPr>
                <w:rFonts w:asciiTheme="majorHAnsi" w:hAnsiTheme="majorHAnsi" w:cstheme="majorHAnsi"/>
                <w:sz w:val="21"/>
                <w:szCs w:val="21"/>
              </w:rPr>
              <w:t xml:space="preserve">programas conjuntos/iniciativas interagenciales actualmente en funcionamiento </w:t>
            </w:r>
            <w:r w:rsidRPr="004A1436">
              <w:rPr>
                <w:rFonts w:asciiTheme="majorHAnsi" w:hAnsiTheme="majorHAnsi" w:cstheme="majorHAnsi"/>
                <w:color w:val="000000" w:themeColor="text1"/>
                <w:sz w:val="21"/>
                <w:szCs w:val="21"/>
              </w:rPr>
              <w:t xml:space="preserve">que abordan desafíos estructurales para el logro de la IGEM en México. La </w:t>
            </w:r>
            <w:r w:rsidRPr="004A1436">
              <w:rPr>
                <w:rFonts w:asciiTheme="majorHAnsi" w:hAnsiTheme="majorHAnsi" w:cstheme="majorHAnsi"/>
                <w:i/>
                <w:iCs/>
                <w:color w:val="000000" w:themeColor="text1"/>
                <w:sz w:val="21"/>
                <w:szCs w:val="21"/>
              </w:rPr>
              <w:t xml:space="preserve">Iniciativa Spotlight para poner fin a la violencia contra las mujeres y las niñas, </w:t>
            </w:r>
            <w:r w:rsidRPr="004A1436">
              <w:rPr>
                <w:rFonts w:asciiTheme="majorHAnsi" w:hAnsiTheme="majorHAnsi" w:cstheme="majorHAnsi"/>
                <w:color w:val="000000" w:themeColor="text1"/>
                <w:sz w:val="21"/>
                <w:szCs w:val="21"/>
              </w:rPr>
              <w:t>con foco en el feminicidio</w:t>
            </w:r>
            <w:r w:rsidRPr="004A1436">
              <w:rPr>
                <w:rFonts w:asciiTheme="majorHAnsi" w:hAnsiTheme="majorHAnsi" w:cstheme="majorHAnsi"/>
                <w:i/>
                <w:iCs/>
                <w:color w:val="000000" w:themeColor="text1"/>
                <w:sz w:val="21"/>
                <w:szCs w:val="21"/>
              </w:rPr>
              <w:t xml:space="preserve"> </w:t>
            </w:r>
            <w:r>
              <w:rPr>
                <w:rFonts w:asciiTheme="majorHAnsi" w:hAnsiTheme="majorHAnsi" w:cstheme="majorHAnsi"/>
                <w:i/>
                <w:iCs/>
                <w:color w:val="000000" w:themeColor="text1"/>
                <w:sz w:val="21"/>
                <w:szCs w:val="21"/>
              </w:rPr>
              <w:t>2019-2022</w:t>
            </w:r>
            <w:r w:rsidRPr="004A1436">
              <w:rPr>
                <w:rFonts w:asciiTheme="majorHAnsi" w:hAnsiTheme="majorHAnsi" w:cstheme="majorHAnsi"/>
                <w:i/>
                <w:iCs/>
                <w:color w:val="000000" w:themeColor="text1"/>
                <w:sz w:val="21"/>
                <w:szCs w:val="21"/>
              </w:rPr>
              <w:t xml:space="preserve"> (</w:t>
            </w:r>
            <w:r w:rsidRPr="004A1436">
              <w:rPr>
                <w:rFonts w:asciiTheme="majorHAnsi" w:hAnsiTheme="majorHAnsi" w:cstheme="majorHAnsi"/>
                <w:color w:val="000000" w:themeColor="text1"/>
                <w:sz w:val="21"/>
                <w:szCs w:val="21"/>
              </w:rPr>
              <w:t>PNUD, ONU Mujeres, ONU-DH, UNODC, UNICEF, UNFPA);</w:t>
            </w:r>
            <w:r w:rsidRPr="004A1436">
              <w:rPr>
                <w:rFonts w:asciiTheme="majorHAnsi" w:hAnsiTheme="majorHAnsi" w:cstheme="majorHAnsi"/>
                <w:i/>
                <w:iCs/>
                <w:sz w:val="21"/>
                <w:szCs w:val="21"/>
              </w:rPr>
              <w:t xml:space="preserve"> el Proyecto Conjunto Cerrando Brechas: haciendo que la protección social funcione para las mujeres en México</w:t>
            </w:r>
            <w:r>
              <w:rPr>
                <w:rFonts w:asciiTheme="majorHAnsi" w:hAnsiTheme="majorHAnsi" w:cstheme="majorHAnsi"/>
                <w:i/>
                <w:iCs/>
                <w:sz w:val="21"/>
                <w:szCs w:val="21"/>
              </w:rPr>
              <w:t xml:space="preserve"> 2020-2022</w:t>
            </w:r>
            <w:r w:rsidRPr="004A1436">
              <w:rPr>
                <w:rFonts w:asciiTheme="majorHAnsi" w:hAnsiTheme="majorHAnsi" w:cstheme="majorHAnsi"/>
                <w:i/>
                <w:iCs/>
                <w:sz w:val="21"/>
                <w:szCs w:val="21"/>
              </w:rPr>
              <w:t xml:space="preserve"> (</w:t>
            </w:r>
            <w:r w:rsidRPr="004A1436">
              <w:rPr>
                <w:rFonts w:asciiTheme="majorHAnsi" w:hAnsiTheme="majorHAnsi" w:cstheme="majorHAnsi"/>
                <w:sz w:val="21"/>
                <w:szCs w:val="21"/>
              </w:rPr>
              <w:t xml:space="preserve">FAO, OIT, ONU Mujeres); </w:t>
            </w:r>
            <w:r>
              <w:rPr>
                <w:rFonts w:asciiTheme="majorHAnsi" w:hAnsiTheme="majorHAnsi" w:cstheme="majorHAnsi"/>
                <w:sz w:val="21"/>
                <w:szCs w:val="21"/>
              </w:rPr>
              <w:t>así como, la iniciativa interagencial</w:t>
            </w:r>
            <w:r w:rsidRPr="004A1436">
              <w:rPr>
                <w:rFonts w:asciiTheme="majorHAnsi" w:hAnsiTheme="majorHAnsi" w:cstheme="majorHAnsi"/>
                <w:sz w:val="21"/>
                <w:szCs w:val="21"/>
              </w:rPr>
              <w:t xml:space="preserve"> </w:t>
            </w:r>
            <w:r w:rsidRPr="004A1436">
              <w:rPr>
                <w:rFonts w:asciiTheme="majorHAnsi" w:hAnsiTheme="majorHAnsi" w:cstheme="majorHAnsi"/>
                <w:i/>
                <w:iCs/>
                <w:sz w:val="21"/>
                <w:szCs w:val="21"/>
              </w:rPr>
              <w:t xml:space="preserve">Prevención a la violencia política contra mujeres candidatas y apoyo a la estrategia de mujeres, paz y seguridad </w:t>
            </w:r>
            <w:r>
              <w:rPr>
                <w:rFonts w:asciiTheme="majorHAnsi" w:hAnsiTheme="majorHAnsi" w:cstheme="majorHAnsi"/>
                <w:i/>
                <w:iCs/>
                <w:sz w:val="21"/>
                <w:szCs w:val="21"/>
              </w:rPr>
              <w:t xml:space="preserve">2021 </w:t>
            </w:r>
            <w:r w:rsidRPr="004A1436">
              <w:rPr>
                <w:rFonts w:asciiTheme="majorHAnsi" w:hAnsiTheme="majorHAnsi" w:cstheme="majorHAnsi"/>
                <w:sz w:val="21"/>
                <w:szCs w:val="21"/>
              </w:rPr>
              <w:t>(ONU Mujeres</w:t>
            </w:r>
            <w:r>
              <w:rPr>
                <w:rFonts w:asciiTheme="majorHAnsi" w:hAnsiTheme="majorHAnsi" w:cstheme="majorHAnsi"/>
                <w:sz w:val="21"/>
                <w:szCs w:val="21"/>
              </w:rPr>
              <w:t xml:space="preserve"> y </w:t>
            </w:r>
            <w:r w:rsidRPr="004A1436">
              <w:rPr>
                <w:rFonts w:asciiTheme="majorHAnsi" w:hAnsiTheme="majorHAnsi" w:cstheme="majorHAnsi"/>
                <w:sz w:val="21"/>
                <w:szCs w:val="21"/>
              </w:rPr>
              <w:t>PNUD).</w:t>
            </w:r>
          </w:p>
          <w:p w14:paraId="0EA14E59" w14:textId="249CC11F" w:rsidR="00FC7AD9" w:rsidRPr="00E7519E" w:rsidRDefault="00FC7AD9" w:rsidP="00D74AB5">
            <w:pPr>
              <w:pStyle w:val="Prrafodelista"/>
              <w:numPr>
                <w:ilvl w:val="0"/>
                <w:numId w:val="14"/>
              </w:numPr>
              <w:spacing w:after="120"/>
              <w:ind w:left="350" w:hanging="283"/>
              <w:jc w:val="both"/>
              <w:rPr>
                <w:rFonts w:asciiTheme="majorHAnsi" w:hAnsiTheme="majorHAnsi" w:cstheme="majorHAnsi"/>
                <w:sz w:val="21"/>
                <w:szCs w:val="21"/>
              </w:rPr>
            </w:pPr>
            <w:r w:rsidRPr="00FC7AD9">
              <w:rPr>
                <w:rFonts w:asciiTheme="majorHAnsi" w:eastAsiaTheme="minorEastAsia" w:hAnsiTheme="majorHAnsi" w:cstheme="majorHAnsi"/>
                <w:b/>
                <w:bCs/>
                <w:i/>
                <w:iCs/>
                <w:color w:val="000000" w:themeColor="text1"/>
                <w:sz w:val="21"/>
                <w:szCs w:val="21"/>
                <w:lang w:val="es-ES" w:eastAsia="es-ES"/>
              </w:rPr>
              <w:t xml:space="preserve">Existe un sistema para garantizar la incorporación de la perspectiva de género en los PCs. </w:t>
            </w:r>
            <w:r w:rsidRPr="00FC7AD9">
              <w:rPr>
                <w:rFonts w:asciiTheme="majorHAnsi" w:eastAsiaTheme="minorEastAsia" w:hAnsiTheme="majorHAnsi" w:cstheme="majorHAnsi"/>
                <w:b/>
                <w:bCs/>
                <w:i/>
                <w:iCs/>
                <w:color w:val="00B0F0"/>
                <w:sz w:val="21"/>
                <w:szCs w:val="21"/>
                <w:u w:val="single"/>
                <w:lang w:val="es-ES" w:eastAsia="es-ES"/>
              </w:rPr>
              <w:t xml:space="preserve">NO CUMPLE. </w:t>
            </w:r>
            <w:r w:rsidRPr="00FC7AD9">
              <w:rPr>
                <w:rFonts w:asciiTheme="majorHAnsi" w:eastAsiaTheme="minorEastAsia" w:hAnsiTheme="majorHAnsi" w:cstheme="majorHAnsi"/>
                <w:color w:val="000000" w:themeColor="text1"/>
                <w:sz w:val="21"/>
                <w:szCs w:val="21"/>
                <w:lang w:val="es-ES" w:eastAsia="es-ES"/>
              </w:rPr>
              <w:t xml:space="preserve"> </w:t>
            </w:r>
            <w:r w:rsidRPr="00FC7AD9">
              <w:rPr>
                <w:rFonts w:asciiTheme="majorHAnsi" w:hAnsiTheme="majorHAnsi" w:cstheme="majorHAnsi"/>
                <w:sz w:val="21"/>
                <w:szCs w:val="21"/>
              </w:rPr>
              <w:t xml:space="preserve"> A pesar de las acciones incorporadas en el Plan de Acción para mejorar el desempeño de este criterio, e</w:t>
            </w:r>
            <w:r w:rsidRPr="00FC7AD9">
              <w:rPr>
                <w:rFonts w:asciiTheme="majorHAnsi" w:hAnsiTheme="majorHAnsi" w:cstheme="majorHAnsi"/>
                <w:color w:val="000000" w:themeColor="text1"/>
                <w:sz w:val="21"/>
                <w:szCs w:val="21"/>
                <w:lang w:val="es-ES"/>
              </w:rPr>
              <w:t xml:space="preserve">l </w:t>
            </w:r>
            <w:r w:rsidRPr="00FC7AD9">
              <w:rPr>
                <w:rFonts w:asciiTheme="majorHAnsi" w:hAnsiTheme="majorHAnsi" w:cstheme="majorHAnsi"/>
                <w:sz w:val="21"/>
                <w:szCs w:val="21"/>
              </w:rPr>
              <w:t xml:space="preserve">SNU en México sigue careciendo de una herramienta que permita garantizar la incorporación efectiva de la perspectiva de género </w:t>
            </w:r>
            <w:r w:rsidRPr="00FC7AD9">
              <w:rPr>
                <w:rFonts w:asciiTheme="majorHAnsi" w:hAnsiTheme="majorHAnsi" w:cstheme="majorHAnsi"/>
                <w:bCs/>
                <w:kern w:val="24"/>
                <w:sz w:val="21"/>
                <w:szCs w:val="21"/>
              </w:rPr>
              <w:t xml:space="preserve">en la formulación de </w:t>
            </w:r>
            <w:r w:rsidRPr="00FC7AD9">
              <w:rPr>
                <w:rFonts w:asciiTheme="majorHAnsi" w:hAnsiTheme="majorHAnsi" w:cstheme="majorHAnsi"/>
                <w:sz w:val="21"/>
                <w:szCs w:val="21"/>
              </w:rPr>
              <w:t xml:space="preserve">programas conjuntos/iniciativas interagenciales programáticas. Esta  herramienta resulta indispensable en el contexto de iniciativas conjuntas en áreas o temas donde la incorporación de la perspectiva de género puede no ser tan clara o bien cuando los fondos concursables/procedimientos de donantes no establecen un marcador de género como requisito, </w:t>
            </w:r>
            <w:r w:rsidR="00460B03">
              <w:rPr>
                <w:rFonts w:asciiTheme="majorHAnsi" w:hAnsiTheme="majorHAnsi" w:cstheme="majorHAnsi"/>
                <w:sz w:val="21"/>
                <w:szCs w:val="21"/>
              </w:rPr>
              <w:t>aún y cuando la temática de la iniciativa así lo requiera.</w:t>
            </w:r>
          </w:p>
        </w:tc>
      </w:tr>
      <w:tr w:rsidR="00FC7AD9" w:rsidRPr="00862551" w14:paraId="4DFE9794" w14:textId="77777777" w:rsidTr="00FC7AD9">
        <w:tc>
          <w:tcPr>
            <w:tcW w:w="8676" w:type="dxa"/>
            <w:gridSpan w:val="3"/>
          </w:tcPr>
          <w:p w14:paraId="16D452A2" w14:textId="77777777" w:rsidR="00FC7AD9" w:rsidRPr="00862551" w:rsidRDefault="00FC7AD9" w:rsidP="00316349">
            <w:pPr>
              <w:rPr>
                <w:rFonts w:asciiTheme="majorHAnsi" w:hAnsiTheme="majorHAnsi" w:cstheme="majorHAnsi"/>
                <w:b/>
                <w:color w:val="00B0F0"/>
                <w:sz w:val="21"/>
                <w:szCs w:val="21"/>
              </w:rPr>
            </w:pPr>
            <w:r w:rsidRPr="00862551">
              <w:rPr>
                <w:rFonts w:asciiTheme="majorHAnsi" w:hAnsiTheme="majorHAnsi" w:cstheme="majorHAnsi"/>
                <w:b/>
                <w:color w:val="00B0F0"/>
                <w:sz w:val="21"/>
                <w:szCs w:val="21"/>
              </w:rPr>
              <w:t>Evidencia/medios de verificación</w:t>
            </w:r>
          </w:p>
          <w:p w14:paraId="6A72C347" w14:textId="77777777" w:rsidR="00FC7AD9" w:rsidRPr="004A1436" w:rsidRDefault="00100834" w:rsidP="00D74AB5">
            <w:pPr>
              <w:pStyle w:val="Prrafodelista"/>
              <w:numPr>
                <w:ilvl w:val="0"/>
                <w:numId w:val="9"/>
              </w:numPr>
              <w:rPr>
                <w:rFonts w:asciiTheme="majorHAnsi" w:hAnsiTheme="majorHAnsi" w:cstheme="majorHAnsi"/>
                <w:sz w:val="21"/>
                <w:szCs w:val="21"/>
              </w:rPr>
            </w:pPr>
            <w:hyperlink r:id="rId26" w:history="1">
              <w:r w:rsidR="00FC7AD9" w:rsidRPr="004A1436">
                <w:rPr>
                  <w:rStyle w:val="Hipervnculo"/>
                  <w:rFonts w:asciiTheme="majorHAnsi" w:hAnsiTheme="majorHAnsi" w:cstheme="majorHAnsi"/>
                  <w:sz w:val="21"/>
                  <w:szCs w:val="21"/>
                </w:rPr>
                <w:t>Informe 2020 de Resultados del SNU en México</w:t>
              </w:r>
            </w:hyperlink>
          </w:p>
          <w:p w14:paraId="4FBA5DFF" w14:textId="13A714FF" w:rsidR="00FC7AD9" w:rsidRPr="004A1436" w:rsidRDefault="00FC7AD9" w:rsidP="00D74AB5">
            <w:pPr>
              <w:pStyle w:val="Prrafodelista"/>
              <w:numPr>
                <w:ilvl w:val="0"/>
                <w:numId w:val="9"/>
              </w:numPr>
              <w:rPr>
                <w:rFonts w:asciiTheme="majorHAnsi" w:hAnsiTheme="majorHAnsi" w:cstheme="majorHAnsi"/>
                <w:sz w:val="21"/>
                <w:szCs w:val="21"/>
              </w:rPr>
            </w:pPr>
            <w:r w:rsidRPr="004A1436">
              <w:rPr>
                <w:rFonts w:asciiTheme="majorHAnsi" w:hAnsiTheme="majorHAnsi" w:cstheme="majorHAnsi"/>
                <w:sz w:val="21"/>
                <w:szCs w:val="21"/>
              </w:rPr>
              <w:t>Documentos de proyecto e informes anuales/de seguimiento</w:t>
            </w:r>
            <w:r>
              <w:rPr>
                <w:rFonts w:asciiTheme="majorHAnsi" w:hAnsiTheme="majorHAnsi" w:cstheme="majorHAnsi"/>
                <w:sz w:val="21"/>
                <w:szCs w:val="21"/>
              </w:rPr>
              <w:t xml:space="preserve"> de los siguientes PCs:</w:t>
            </w:r>
          </w:p>
          <w:p w14:paraId="3BB4EC5C" w14:textId="77777777" w:rsidR="00FC7AD9" w:rsidRPr="004A1436" w:rsidRDefault="00100834" w:rsidP="00D74AB5">
            <w:pPr>
              <w:pStyle w:val="Prrafodelista"/>
              <w:numPr>
                <w:ilvl w:val="0"/>
                <w:numId w:val="17"/>
              </w:numPr>
              <w:rPr>
                <w:rFonts w:asciiTheme="majorHAnsi" w:hAnsiTheme="majorHAnsi" w:cstheme="majorHAnsi"/>
                <w:sz w:val="21"/>
                <w:szCs w:val="21"/>
                <w:lang w:val="en-US"/>
              </w:rPr>
            </w:pPr>
            <w:hyperlink r:id="rId27" w:history="1">
              <w:r w:rsidR="00FC7AD9" w:rsidRPr="00710A6F">
                <w:rPr>
                  <w:rStyle w:val="Hipervnculo"/>
                  <w:rFonts w:asciiTheme="majorHAnsi" w:hAnsiTheme="majorHAnsi" w:cstheme="majorHAnsi"/>
                  <w:sz w:val="21"/>
                  <w:szCs w:val="21"/>
                  <w:lang w:val="en-US"/>
                </w:rPr>
                <w:t>Spotlight Country Programm Mexico</w:t>
              </w:r>
            </w:hyperlink>
          </w:p>
          <w:p w14:paraId="26DC4E67" w14:textId="7A4E9DE9" w:rsidR="00FC7AD9" w:rsidRPr="004A1436" w:rsidRDefault="00100834" w:rsidP="00D74AB5">
            <w:pPr>
              <w:pStyle w:val="Prrafodelista"/>
              <w:numPr>
                <w:ilvl w:val="0"/>
                <w:numId w:val="17"/>
              </w:numPr>
              <w:rPr>
                <w:rFonts w:asciiTheme="majorHAnsi" w:hAnsiTheme="majorHAnsi" w:cstheme="majorHAnsi"/>
                <w:sz w:val="21"/>
                <w:szCs w:val="21"/>
                <w:lang w:val="en-US"/>
              </w:rPr>
            </w:pPr>
            <w:hyperlink r:id="rId28" w:history="1">
              <w:r w:rsidR="00FC7AD9">
                <w:rPr>
                  <w:rStyle w:val="Hipervnculo"/>
                  <w:rFonts w:asciiTheme="majorHAnsi" w:hAnsiTheme="majorHAnsi" w:cstheme="majorHAnsi"/>
                  <w:sz w:val="21"/>
                  <w:szCs w:val="21"/>
                  <w:lang w:val="en-US"/>
                </w:rPr>
                <w:t>JP Closing Gaps</w:t>
              </w:r>
            </w:hyperlink>
            <w:r w:rsidR="00FC7AD9" w:rsidRPr="004A1436">
              <w:rPr>
                <w:rFonts w:asciiTheme="majorHAnsi" w:hAnsiTheme="majorHAnsi" w:cstheme="majorHAnsi"/>
                <w:sz w:val="21"/>
                <w:szCs w:val="21"/>
                <w:lang w:val="en-US"/>
              </w:rPr>
              <w:t>: making Social Protection work for Women in Mexico</w:t>
            </w:r>
          </w:p>
          <w:p w14:paraId="6CB89C1C" w14:textId="6791BB01" w:rsidR="00FC7AD9" w:rsidRPr="004A1436" w:rsidRDefault="00100834" w:rsidP="00D74AB5">
            <w:pPr>
              <w:pStyle w:val="Prrafodelista"/>
              <w:numPr>
                <w:ilvl w:val="0"/>
                <w:numId w:val="17"/>
              </w:numPr>
              <w:rPr>
                <w:rFonts w:asciiTheme="majorHAnsi" w:hAnsiTheme="majorHAnsi" w:cstheme="majorHAnsi"/>
                <w:sz w:val="21"/>
                <w:szCs w:val="21"/>
                <w:lang w:val="en-US"/>
              </w:rPr>
            </w:pPr>
            <w:hyperlink r:id="rId29" w:history="1">
              <w:r w:rsidR="00FC7AD9" w:rsidRPr="00710A6F">
                <w:rPr>
                  <w:rStyle w:val="Hipervnculo"/>
                  <w:rFonts w:asciiTheme="majorHAnsi" w:hAnsiTheme="majorHAnsi" w:cstheme="majorHAnsi"/>
                  <w:sz w:val="21"/>
                  <w:szCs w:val="21"/>
                  <w:lang w:val="en-US"/>
                </w:rPr>
                <w:t>Improving the allocation</w:t>
              </w:r>
            </w:hyperlink>
            <w:r w:rsidR="00FC7AD9" w:rsidRPr="004A1436">
              <w:rPr>
                <w:rFonts w:asciiTheme="majorHAnsi" w:hAnsiTheme="majorHAnsi" w:cstheme="majorHAnsi"/>
                <w:sz w:val="21"/>
                <w:szCs w:val="21"/>
                <w:lang w:val="en-US"/>
              </w:rPr>
              <w:t xml:space="preserve"> of risk and resources for sustainable development</w:t>
            </w:r>
            <w:r w:rsidR="00FC7AD9">
              <w:rPr>
                <w:rFonts w:asciiTheme="majorHAnsi" w:hAnsiTheme="majorHAnsi" w:cstheme="majorHAnsi"/>
                <w:sz w:val="21"/>
                <w:szCs w:val="21"/>
                <w:lang w:val="en-US"/>
              </w:rPr>
              <w:t xml:space="preserve">; </w:t>
            </w:r>
            <w:r w:rsidR="00FC7AD9" w:rsidRPr="004A1436">
              <w:rPr>
                <w:rFonts w:asciiTheme="majorHAnsi" w:hAnsiTheme="majorHAnsi" w:cstheme="majorHAnsi"/>
                <w:sz w:val="21"/>
                <w:szCs w:val="21"/>
                <w:lang w:val="en-US"/>
              </w:rPr>
              <w:t xml:space="preserve">Annual Progress Report, 2020. </w:t>
            </w:r>
          </w:p>
          <w:p w14:paraId="0149BE16" w14:textId="77777777" w:rsidR="00FC7AD9" w:rsidRPr="004A1436" w:rsidRDefault="00100834" w:rsidP="00D74AB5">
            <w:pPr>
              <w:pStyle w:val="Prrafodelista"/>
              <w:numPr>
                <w:ilvl w:val="0"/>
                <w:numId w:val="17"/>
              </w:numPr>
              <w:rPr>
                <w:rFonts w:asciiTheme="majorHAnsi" w:hAnsiTheme="majorHAnsi" w:cstheme="majorHAnsi"/>
                <w:sz w:val="21"/>
                <w:szCs w:val="21"/>
                <w:lang w:val="en-US"/>
              </w:rPr>
            </w:pPr>
            <w:hyperlink r:id="rId30" w:history="1">
              <w:r w:rsidR="00FC7AD9" w:rsidRPr="00710A6F">
                <w:rPr>
                  <w:rStyle w:val="Hipervnculo"/>
                  <w:rFonts w:asciiTheme="majorHAnsi" w:hAnsiTheme="majorHAnsi" w:cstheme="majorHAnsi"/>
                  <w:sz w:val="21"/>
                  <w:szCs w:val="21"/>
                  <w:lang w:val="en-US"/>
                </w:rPr>
                <w:t>Prevent and reduce political violence against women candidates in the 2021 elections and support the implementation of Mexico’s first national WPS strategy</w:t>
              </w:r>
            </w:hyperlink>
            <w:r w:rsidR="00FC7AD9" w:rsidRPr="004A1436">
              <w:rPr>
                <w:rFonts w:asciiTheme="majorHAnsi" w:hAnsiTheme="majorHAnsi" w:cstheme="majorHAnsi"/>
                <w:sz w:val="21"/>
                <w:szCs w:val="21"/>
                <w:lang w:val="en-US"/>
              </w:rPr>
              <w:t>, in close collaboration with women’s organizations</w:t>
            </w:r>
          </w:p>
          <w:p w14:paraId="050DF24A" w14:textId="3D0F7CF0" w:rsidR="00FC7AD9" w:rsidRPr="004A1436" w:rsidRDefault="00100834" w:rsidP="00D74AB5">
            <w:pPr>
              <w:pStyle w:val="Prrafodelista"/>
              <w:numPr>
                <w:ilvl w:val="0"/>
                <w:numId w:val="17"/>
              </w:numPr>
              <w:rPr>
                <w:rFonts w:asciiTheme="majorHAnsi" w:hAnsiTheme="majorHAnsi" w:cstheme="majorHAnsi"/>
                <w:sz w:val="21"/>
                <w:szCs w:val="21"/>
                <w:lang w:val="en-US"/>
              </w:rPr>
            </w:pPr>
            <w:hyperlink r:id="rId31" w:history="1">
              <w:r w:rsidR="00FC7AD9" w:rsidRPr="00710A6F">
                <w:rPr>
                  <w:rStyle w:val="Hipervnculo"/>
                  <w:rFonts w:asciiTheme="majorHAnsi" w:hAnsiTheme="majorHAnsi" w:cstheme="majorHAnsi"/>
                  <w:sz w:val="21"/>
                  <w:szCs w:val="21"/>
                  <w:lang w:val="en-US"/>
                </w:rPr>
                <w:t xml:space="preserve">Capacity building of local governments in Santiago (Chile) and Mexico City to strengthen the socioeconomic integration of migrants, </w:t>
              </w:r>
              <w:r w:rsidR="00E604B5" w:rsidRPr="00710A6F">
                <w:rPr>
                  <w:rStyle w:val="Hipervnculo"/>
                  <w:rFonts w:asciiTheme="majorHAnsi" w:hAnsiTheme="majorHAnsi" w:cstheme="majorHAnsi"/>
                  <w:sz w:val="21"/>
                  <w:szCs w:val="21"/>
                  <w:lang w:val="en-US"/>
                </w:rPr>
                <w:t>refugees,</w:t>
              </w:r>
              <w:r w:rsidR="00FC7AD9" w:rsidRPr="00710A6F">
                <w:rPr>
                  <w:rStyle w:val="Hipervnculo"/>
                  <w:rFonts w:asciiTheme="majorHAnsi" w:hAnsiTheme="majorHAnsi" w:cstheme="majorHAnsi"/>
                  <w:sz w:val="21"/>
                  <w:szCs w:val="21"/>
                  <w:lang w:val="en-US"/>
                </w:rPr>
                <w:t xml:space="preserve"> and forcibly displaced persons</w:t>
              </w:r>
            </w:hyperlink>
            <w:r w:rsidR="00FC7AD9" w:rsidRPr="004A1436">
              <w:rPr>
                <w:rFonts w:asciiTheme="majorHAnsi" w:hAnsiTheme="majorHAnsi" w:cstheme="majorHAnsi"/>
                <w:sz w:val="21"/>
                <w:szCs w:val="21"/>
                <w:lang w:val="en-US"/>
              </w:rPr>
              <w:t xml:space="preserve"> through access to decent work, sustainable livelihoods, and social dialogue.</w:t>
            </w:r>
          </w:p>
          <w:p w14:paraId="10E8551E" w14:textId="77777777" w:rsidR="00FC7AD9" w:rsidRPr="00862551" w:rsidRDefault="00FC7AD9" w:rsidP="00D74AB5">
            <w:pPr>
              <w:pStyle w:val="Prrafodelista"/>
              <w:numPr>
                <w:ilvl w:val="0"/>
                <w:numId w:val="17"/>
              </w:numPr>
              <w:rPr>
                <w:rFonts w:asciiTheme="majorHAnsi" w:hAnsiTheme="majorHAnsi" w:cstheme="majorHAnsi"/>
                <w:sz w:val="21"/>
                <w:szCs w:val="21"/>
                <w:lang w:val="en-US"/>
              </w:rPr>
            </w:pPr>
            <w:r w:rsidRPr="004A1436">
              <w:rPr>
                <w:rFonts w:asciiTheme="majorHAnsi" w:hAnsiTheme="majorHAnsi" w:cstheme="majorHAnsi"/>
                <w:color w:val="000000"/>
                <w:sz w:val="21"/>
                <w:szCs w:val="21"/>
                <w:lang w:val="en-US"/>
              </w:rPr>
              <w:t>Promoting the human security approach for the protection, empowerment, and economic inclusion of youth-at-risk during and after the COVID-19 pandemic.</w:t>
            </w:r>
          </w:p>
          <w:p w14:paraId="0314BF61" w14:textId="47897883" w:rsidR="00862551" w:rsidRPr="00862551" w:rsidRDefault="00862551" w:rsidP="00D74AB5">
            <w:pPr>
              <w:pStyle w:val="Prrafodelista"/>
              <w:numPr>
                <w:ilvl w:val="0"/>
                <w:numId w:val="17"/>
              </w:numPr>
              <w:ind w:left="483" w:hanging="425"/>
              <w:rPr>
                <w:rFonts w:asciiTheme="majorHAnsi" w:hAnsiTheme="majorHAnsi" w:cstheme="majorHAnsi"/>
                <w:sz w:val="21"/>
                <w:szCs w:val="21"/>
              </w:rPr>
            </w:pPr>
            <w:r w:rsidRPr="00862551">
              <w:rPr>
                <w:rFonts w:asciiTheme="majorHAnsi" w:hAnsiTheme="majorHAnsi" w:cstheme="majorHAnsi"/>
                <w:sz w:val="21"/>
                <w:szCs w:val="21"/>
              </w:rPr>
              <w:t>Documento excel con el análi</w:t>
            </w:r>
            <w:r>
              <w:rPr>
                <w:rFonts w:asciiTheme="majorHAnsi" w:hAnsiTheme="majorHAnsi" w:cstheme="majorHAnsi"/>
                <w:sz w:val="21"/>
                <w:szCs w:val="21"/>
              </w:rPr>
              <w:t>sis de género de los Programas Conjuntos/iniciativas interragenciales programáticas en activo (Anexo I)</w:t>
            </w:r>
          </w:p>
        </w:tc>
      </w:tr>
    </w:tbl>
    <w:p w14:paraId="3B09F132" w14:textId="77777777" w:rsidR="00FC7AD9" w:rsidRPr="00862551" w:rsidRDefault="00FC7AD9" w:rsidP="00FC7AD9">
      <w:pPr>
        <w:rPr>
          <w:rFonts w:asciiTheme="majorHAnsi" w:hAnsiTheme="majorHAnsi" w:cstheme="majorHAnsi"/>
          <w:sz w:val="21"/>
          <w:szCs w:val="21"/>
        </w:rPr>
      </w:pPr>
    </w:p>
    <w:p w14:paraId="76283573" w14:textId="3481A06E" w:rsidR="00FC7AD9" w:rsidRPr="00862551" w:rsidRDefault="00460B03" w:rsidP="00862551">
      <w:pPr>
        <w:rPr>
          <w:rFonts w:ascii="Calibri" w:hAnsi="Calibri" w:cs="Calibri"/>
          <w:b/>
          <w:bCs/>
          <w:color w:val="00B0F0"/>
        </w:rPr>
      </w:pPr>
      <w:r w:rsidRPr="00862551">
        <w:rPr>
          <w:rFonts w:ascii="Calibri" w:hAnsi="Calibri" w:cs="Calibri"/>
          <w:b/>
          <w:bCs/>
          <w:color w:val="00B0F0"/>
        </w:rPr>
        <w:t>3</w:t>
      </w:r>
      <w:r w:rsidR="00FC7AD9" w:rsidRPr="00862551">
        <w:rPr>
          <w:rFonts w:ascii="Calibri" w:hAnsi="Calibri" w:cs="Calibri"/>
          <w:b/>
          <w:bCs/>
          <w:color w:val="00B0F0"/>
        </w:rPr>
        <w:t>. Asociaciones</w:t>
      </w:r>
    </w:p>
    <w:p w14:paraId="7F976227" w14:textId="77777777" w:rsidR="00FC7AD9" w:rsidRPr="00A1169D" w:rsidRDefault="00FC7AD9" w:rsidP="00FC7AD9">
      <w:pPr>
        <w:rPr>
          <w:lang w:val="es-ES_tradnl" w:eastAsia="es-ES"/>
        </w:rPr>
      </w:pPr>
    </w:p>
    <w:tbl>
      <w:tblPr>
        <w:tblStyle w:val="Tablaconcuadrcula"/>
        <w:tblW w:w="8676" w:type="dxa"/>
        <w:tblInd w:w="108" w:type="dxa"/>
        <w:tblLayout w:type="fixed"/>
        <w:tblLook w:val="04A0" w:firstRow="1" w:lastRow="0" w:firstColumn="1" w:lastColumn="0" w:noHBand="0" w:noVBand="1"/>
      </w:tblPr>
      <w:tblGrid>
        <w:gridCol w:w="3573"/>
        <w:gridCol w:w="3969"/>
        <w:gridCol w:w="1134"/>
      </w:tblGrid>
      <w:tr w:rsidR="00FC7AD9" w:rsidRPr="004A1436" w14:paraId="139EEAF5" w14:textId="77777777" w:rsidTr="00460B03">
        <w:trPr>
          <w:trHeight w:val="868"/>
        </w:trPr>
        <w:tc>
          <w:tcPr>
            <w:tcW w:w="3573" w:type="dxa"/>
            <w:vAlign w:val="center"/>
          </w:tcPr>
          <w:p w14:paraId="6D9D693A" w14:textId="77777777" w:rsidR="00FC7AD9" w:rsidRPr="00460B03" w:rsidRDefault="00FC7AD9" w:rsidP="00316349">
            <w:pPr>
              <w:rPr>
                <w:rFonts w:asciiTheme="majorHAnsi" w:hAnsiTheme="majorHAnsi" w:cstheme="majorHAnsi"/>
                <w:b/>
                <w:color w:val="00B0F0"/>
                <w:sz w:val="21"/>
                <w:szCs w:val="21"/>
                <w:lang w:val="es-ES"/>
              </w:rPr>
            </w:pPr>
            <w:r w:rsidRPr="00460B03">
              <w:rPr>
                <w:rFonts w:asciiTheme="majorHAnsi" w:hAnsiTheme="majorHAnsi" w:cstheme="majorHAnsi"/>
                <w:b/>
                <w:color w:val="00B0F0"/>
                <w:sz w:val="21"/>
                <w:szCs w:val="21"/>
                <w:lang w:val="es-ES"/>
              </w:rPr>
              <w:t>Indicador</w:t>
            </w:r>
          </w:p>
          <w:p w14:paraId="4ADAC809" w14:textId="77777777" w:rsidR="00FC7AD9" w:rsidRPr="004A1436" w:rsidRDefault="00FC7AD9" w:rsidP="00316349">
            <w:pPr>
              <w:rPr>
                <w:rFonts w:asciiTheme="majorHAnsi" w:hAnsiTheme="majorHAnsi" w:cstheme="majorHAnsi"/>
                <w:b/>
                <w:color w:val="548DD4" w:themeColor="text2" w:themeTint="99"/>
                <w:sz w:val="21"/>
                <w:szCs w:val="21"/>
              </w:rPr>
            </w:pPr>
            <w:r w:rsidRPr="004A1436">
              <w:rPr>
                <w:rFonts w:asciiTheme="majorHAnsi" w:hAnsiTheme="majorHAnsi" w:cstheme="majorHAnsi"/>
                <w:b/>
                <w:color w:val="000000" w:themeColor="dark1"/>
                <w:kern w:val="24"/>
                <w:sz w:val="21"/>
                <w:szCs w:val="21"/>
                <w:lang w:val="es-ES"/>
              </w:rPr>
              <w:t>3.1. Colaboración/coordinación con gobierno</w:t>
            </w:r>
          </w:p>
        </w:tc>
        <w:tc>
          <w:tcPr>
            <w:tcW w:w="3969" w:type="dxa"/>
            <w:vAlign w:val="center"/>
          </w:tcPr>
          <w:p w14:paraId="4638E5C0" w14:textId="77777777" w:rsidR="00FC7AD9" w:rsidRPr="00460B03" w:rsidRDefault="00FC7AD9" w:rsidP="00316349">
            <w:pPr>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Puntuación</w:t>
            </w:r>
          </w:p>
          <w:p w14:paraId="0FD2C07C" w14:textId="77777777" w:rsidR="00FC7AD9" w:rsidRPr="004A1436" w:rsidRDefault="00FC7AD9" w:rsidP="00316349">
            <w:pPr>
              <w:rPr>
                <w:rFonts w:asciiTheme="majorHAnsi" w:hAnsiTheme="majorHAnsi" w:cstheme="majorHAnsi"/>
                <w:b/>
                <w:sz w:val="21"/>
                <w:szCs w:val="21"/>
              </w:rPr>
            </w:pPr>
            <w:r w:rsidRPr="004A1436">
              <w:rPr>
                <w:rFonts w:asciiTheme="majorHAnsi" w:hAnsiTheme="majorHAnsi" w:cstheme="majorHAnsi"/>
                <w:b/>
                <w:sz w:val="21"/>
                <w:szCs w:val="21"/>
              </w:rPr>
              <w:t>Supera el estándar mínimo</w:t>
            </w:r>
          </w:p>
          <w:p w14:paraId="232EFE56" w14:textId="77777777" w:rsidR="00FC7AD9" w:rsidRPr="004A1436" w:rsidRDefault="00FC7AD9" w:rsidP="00316349">
            <w:pPr>
              <w:rPr>
                <w:rFonts w:asciiTheme="majorHAnsi" w:hAnsiTheme="majorHAnsi" w:cstheme="majorHAnsi"/>
                <w:sz w:val="21"/>
                <w:szCs w:val="21"/>
                <w:highlight w:val="yellow"/>
              </w:rPr>
            </w:pPr>
            <w:r w:rsidRPr="004A1436">
              <w:rPr>
                <w:rFonts w:asciiTheme="majorHAnsi" w:hAnsiTheme="majorHAnsi" w:cstheme="majorHAnsi"/>
                <w:bCs/>
                <w:kern w:val="24"/>
                <w:sz w:val="21"/>
                <w:szCs w:val="21"/>
                <w:lang w:val="es-ES"/>
              </w:rPr>
              <w:t>(se movió + con respecto a 2019)</w:t>
            </w:r>
          </w:p>
        </w:tc>
        <w:tc>
          <w:tcPr>
            <w:tcW w:w="1134" w:type="dxa"/>
            <w:vAlign w:val="center"/>
          </w:tcPr>
          <w:p w14:paraId="5CDFDFF0" w14:textId="77777777" w:rsidR="00FC7AD9" w:rsidRPr="004A1436" w:rsidRDefault="00FC7AD9" w:rsidP="00316349">
            <w:pPr>
              <w:ind w:left="1416"/>
              <w:jc w:val="center"/>
              <w:rPr>
                <w:rFonts w:asciiTheme="majorHAnsi" w:hAnsiTheme="majorHAnsi" w:cstheme="majorHAnsi"/>
                <w:b/>
                <w:sz w:val="21"/>
                <w:szCs w:val="21"/>
                <w:highlight w:val="yellow"/>
              </w:rPr>
            </w:pPr>
            <w:r w:rsidRPr="004A1436">
              <w:rPr>
                <w:rFonts w:asciiTheme="majorHAnsi" w:hAnsiTheme="majorHAnsi" w:cstheme="majorHAnsi"/>
                <w:b/>
                <w:noProof/>
                <w:sz w:val="21"/>
                <w:szCs w:val="21"/>
                <w:highlight w:val="yellow"/>
                <w:lang w:val="en-US"/>
              </w:rPr>
              <w:drawing>
                <wp:anchor distT="0" distB="0" distL="114300" distR="114300" simplePos="0" relativeHeight="251676672" behindDoc="0" locked="0" layoutInCell="1" allowOverlap="1" wp14:anchorId="37F2E41B" wp14:editId="7C25AFC1">
                  <wp:simplePos x="0" y="0"/>
                  <wp:positionH relativeFrom="column">
                    <wp:posOffset>132080</wp:posOffset>
                  </wp:positionH>
                  <wp:positionV relativeFrom="paragraph">
                    <wp:posOffset>-286385</wp:posOffset>
                  </wp:positionV>
                  <wp:extent cx="358140" cy="358140"/>
                  <wp:effectExtent l="0" t="0" r="0" b="0"/>
                  <wp:wrapSquare wrapText="bothSides"/>
                  <wp:docPr id="28" name="Gráfico 28"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20">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1"/>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4A1436" w14:paraId="54A26D73" w14:textId="77777777" w:rsidTr="00460B03">
        <w:tc>
          <w:tcPr>
            <w:tcW w:w="8676" w:type="dxa"/>
            <w:gridSpan w:val="3"/>
          </w:tcPr>
          <w:p w14:paraId="52A87AA4" w14:textId="77777777" w:rsidR="00FC7AD9" w:rsidRPr="00460B03" w:rsidRDefault="00FC7AD9" w:rsidP="00316349">
            <w:pPr>
              <w:spacing w:after="120"/>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Hallazgos y justificación por criterio</w:t>
            </w:r>
          </w:p>
          <w:p w14:paraId="2475C3EA" w14:textId="45025131" w:rsidR="00FC7AD9" w:rsidRPr="004A1436" w:rsidRDefault="00FC7AD9" w:rsidP="00D74AB5">
            <w:pPr>
              <w:pStyle w:val="Prrafodelista"/>
              <w:widowControl w:val="0"/>
              <w:numPr>
                <w:ilvl w:val="0"/>
                <w:numId w:val="15"/>
              </w:numPr>
              <w:autoSpaceDE w:val="0"/>
              <w:autoSpaceDN w:val="0"/>
              <w:adjustRightInd w:val="0"/>
              <w:spacing w:after="120"/>
              <w:contextualSpacing w:val="0"/>
              <w:jc w:val="both"/>
              <w:rPr>
                <w:rFonts w:asciiTheme="majorHAnsi" w:hAnsiTheme="majorHAnsi" w:cstheme="majorHAnsi"/>
                <w:sz w:val="21"/>
                <w:szCs w:val="21"/>
              </w:rPr>
            </w:pPr>
            <w:r w:rsidRPr="004A1436">
              <w:rPr>
                <w:rFonts w:asciiTheme="majorHAnsi" w:hAnsiTheme="majorHAnsi" w:cstheme="majorHAnsi"/>
                <w:b/>
                <w:bCs/>
                <w:i/>
                <w:iCs/>
                <w:sz w:val="21"/>
                <w:szCs w:val="21"/>
                <w:lang w:val="es-ES"/>
              </w:rPr>
              <w:t xml:space="preserve">El UNCT ha colaborado con al menos dos agencias de gobierno en una iniciativa conjunta para promover la igualdad de género dentro del ciclo del UNSDCF actual. </w:t>
            </w:r>
            <w:r w:rsidRPr="00460B03">
              <w:rPr>
                <w:rFonts w:asciiTheme="majorHAnsi" w:hAnsiTheme="majorHAnsi" w:cstheme="majorHAnsi"/>
                <w:b/>
                <w:bCs/>
                <w:i/>
                <w:iCs/>
                <w:color w:val="00B0F0"/>
                <w:sz w:val="21"/>
                <w:szCs w:val="21"/>
                <w:u w:val="single"/>
              </w:rPr>
              <w:t>CUMPLE.</w:t>
            </w:r>
            <w:r w:rsidRPr="00460B03">
              <w:rPr>
                <w:rFonts w:asciiTheme="majorHAnsi" w:hAnsiTheme="majorHAnsi" w:cstheme="majorHAnsi"/>
                <w:b/>
                <w:bCs/>
                <w:i/>
                <w:iCs/>
                <w:color w:val="0070C0"/>
                <w:sz w:val="21"/>
                <w:szCs w:val="21"/>
              </w:rPr>
              <w:t xml:space="preserve"> </w:t>
            </w:r>
            <w:r w:rsidR="00460B03" w:rsidRPr="00460B03">
              <w:rPr>
                <w:rFonts w:asciiTheme="majorHAnsi" w:hAnsiTheme="majorHAnsi" w:cstheme="majorHAnsi"/>
                <w:b/>
                <w:bCs/>
                <w:i/>
                <w:iCs/>
                <w:color w:val="0070C0"/>
                <w:sz w:val="21"/>
                <w:szCs w:val="21"/>
              </w:rPr>
              <w:t xml:space="preserve"> </w:t>
            </w:r>
            <w:r w:rsidRPr="004A1436">
              <w:rPr>
                <w:rFonts w:asciiTheme="majorHAnsi" w:hAnsiTheme="majorHAnsi" w:cstheme="majorHAnsi"/>
                <w:sz w:val="21"/>
                <w:szCs w:val="21"/>
              </w:rPr>
              <w:t>El SNU en México ha fortalecido sus intervenciones para promover la IGEM desde un enfoque multiactor y multisector que involucr</w:t>
            </w:r>
            <w:r w:rsidR="00460B03">
              <w:rPr>
                <w:rFonts w:asciiTheme="majorHAnsi" w:hAnsiTheme="majorHAnsi" w:cstheme="majorHAnsi"/>
                <w:sz w:val="21"/>
                <w:szCs w:val="21"/>
              </w:rPr>
              <w:t>e</w:t>
            </w:r>
            <w:r w:rsidRPr="004A1436">
              <w:rPr>
                <w:rFonts w:asciiTheme="majorHAnsi" w:hAnsiTheme="majorHAnsi" w:cstheme="majorHAnsi"/>
                <w:sz w:val="21"/>
                <w:szCs w:val="21"/>
              </w:rPr>
              <w:t xml:space="preserve"> a diversas instituciones del estado Mexicano, tanto del nivel federal, como estatal y municipal. Ejemplos claros de lo anterior incluyen a: (i) la Iniciativa  Spotlight, que involucra a dos instancias federales como contrapartes principales (CONAVIM, INMUJERES), a tres gobiernos estatales </w:t>
            </w:r>
            <w:r w:rsidR="00460B03">
              <w:rPr>
                <w:rFonts w:asciiTheme="majorHAnsi" w:hAnsiTheme="majorHAnsi" w:cstheme="majorHAnsi"/>
                <w:sz w:val="21"/>
                <w:szCs w:val="21"/>
              </w:rPr>
              <w:t xml:space="preserve">(Estado de México, Guerrero y Chihuahua) </w:t>
            </w:r>
            <w:r w:rsidRPr="004A1436">
              <w:rPr>
                <w:rFonts w:asciiTheme="majorHAnsi" w:hAnsiTheme="majorHAnsi" w:cstheme="majorHAnsi"/>
                <w:sz w:val="21"/>
                <w:szCs w:val="21"/>
              </w:rPr>
              <w:t xml:space="preserve">y 6 municipales; (ii) el </w:t>
            </w:r>
            <w:r w:rsidR="00460B03">
              <w:rPr>
                <w:rFonts w:asciiTheme="majorHAnsi" w:hAnsiTheme="majorHAnsi" w:cstheme="majorHAnsi"/>
                <w:sz w:val="21"/>
                <w:szCs w:val="21"/>
              </w:rPr>
              <w:t>PC</w:t>
            </w:r>
            <w:r w:rsidRPr="004A1436">
              <w:rPr>
                <w:rFonts w:asciiTheme="majorHAnsi" w:hAnsiTheme="majorHAnsi" w:cstheme="majorHAnsi"/>
                <w:sz w:val="21"/>
                <w:szCs w:val="21"/>
              </w:rPr>
              <w:t xml:space="preserve"> Cerrando Brechas, en donde intervienen cuatro instancias federales (OPR, IMSS, INMUJERES, STyPS) y cinco gobiernos estatales</w:t>
            </w:r>
            <w:r>
              <w:rPr>
                <w:rFonts w:asciiTheme="majorHAnsi" w:hAnsiTheme="majorHAnsi" w:cstheme="majorHAnsi"/>
                <w:sz w:val="21"/>
                <w:szCs w:val="21"/>
              </w:rPr>
              <w:t xml:space="preserve">; </w:t>
            </w:r>
            <w:r w:rsidRPr="004A1436">
              <w:rPr>
                <w:rFonts w:asciiTheme="majorHAnsi" w:hAnsiTheme="majorHAnsi" w:cstheme="majorHAnsi"/>
                <w:sz w:val="21"/>
                <w:szCs w:val="21"/>
              </w:rPr>
              <w:t xml:space="preserve"> </w:t>
            </w:r>
            <w:r>
              <w:rPr>
                <w:rFonts w:asciiTheme="majorHAnsi" w:hAnsiTheme="majorHAnsi" w:cstheme="majorHAnsi"/>
                <w:sz w:val="21"/>
                <w:szCs w:val="21"/>
              </w:rPr>
              <w:t xml:space="preserve">así como, </w:t>
            </w:r>
            <w:r w:rsidRPr="004A1436">
              <w:rPr>
                <w:rFonts w:asciiTheme="majorHAnsi" w:hAnsiTheme="majorHAnsi" w:cstheme="majorHAnsi"/>
                <w:sz w:val="21"/>
                <w:szCs w:val="21"/>
              </w:rPr>
              <w:t xml:space="preserve">(iii) </w:t>
            </w:r>
            <w:r w:rsidR="00460B03">
              <w:rPr>
                <w:rFonts w:asciiTheme="majorHAnsi" w:hAnsiTheme="majorHAnsi" w:cstheme="majorHAnsi"/>
                <w:sz w:val="21"/>
                <w:szCs w:val="21"/>
              </w:rPr>
              <w:t xml:space="preserve">la iniciativa interagencial </w:t>
            </w:r>
            <w:r w:rsidR="00460B03" w:rsidRPr="004A1436">
              <w:rPr>
                <w:rFonts w:asciiTheme="majorHAnsi" w:hAnsiTheme="majorHAnsi" w:cstheme="majorHAnsi"/>
                <w:i/>
                <w:iCs/>
                <w:sz w:val="21"/>
                <w:szCs w:val="21"/>
              </w:rPr>
              <w:t xml:space="preserve">Prevención a la violencia política contra mujeres candidatas y apoyo a la estrategia de mujeres, paz y seguridad </w:t>
            </w:r>
            <w:r w:rsidR="00460B03">
              <w:rPr>
                <w:rFonts w:asciiTheme="majorHAnsi" w:hAnsiTheme="majorHAnsi" w:cstheme="majorHAnsi"/>
                <w:i/>
                <w:iCs/>
                <w:sz w:val="21"/>
                <w:szCs w:val="21"/>
              </w:rPr>
              <w:t xml:space="preserve">2021, </w:t>
            </w:r>
            <w:r w:rsidRPr="004A1436">
              <w:rPr>
                <w:rFonts w:asciiTheme="majorHAnsi" w:hAnsiTheme="majorHAnsi" w:cstheme="majorHAnsi"/>
                <w:sz w:val="21"/>
                <w:szCs w:val="21"/>
              </w:rPr>
              <w:t xml:space="preserve"> que incluye la participación de 5 instancias federales (INMUJERES, SRE, </w:t>
            </w:r>
            <w:r w:rsidRPr="004A1436">
              <w:rPr>
                <w:rFonts w:asciiTheme="majorHAnsi" w:hAnsiTheme="majorHAnsi" w:cstheme="majorHAnsi"/>
                <w:color w:val="000000" w:themeColor="text1"/>
                <w:sz w:val="21"/>
                <w:szCs w:val="21"/>
              </w:rPr>
              <w:t>SEDENA, SEMAR, SSPC).</w:t>
            </w:r>
            <w:r>
              <w:rPr>
                <w:rFonts w:asciiTheme="majorHAnsi" w:hAnsiTheme="majorHAnsi" w:cstheme="majorHAnsi"/>
                <w:color w:val="000000" w:themeColor="text1"/>
                <w:sz w:val="21"/>
                <w:szCs w:val="21"/>
              </w:rPr>
              <w:t xml:space="preserve"> </w:t>
            </w:r>
            <w:r w:rsidR="00460B03">
              <w:rPr>
                <w:rFonts w:asciiTheme="majorHAnsi" w:hAnsiTheme="majorHAnsi" w:cstheme="majorHAnsi"/>
                <w:color w:val="000000" w:themeColor="text1"/>
                <w:sz w:val="21"/>
                <w:szCs w:val="21"/>
              </w:rPr>
              <w:t xml:space="preserve">Existen también otro tipo de </w:t>
            </w:r>
            <w:r>
              <w:rPr>
                <w:rFonts w:asciiTheme="majorHAnsi" w:hAnsiTheme="majorHAnsi" w:cstheme="majorHAnsi"/>
                <w:color w:val="000000" w:themeColor="text1"/>
                <w:sz w:val="21"/>
                <w:szCs w:val="21"/>
              </w:rPr>
              <w:t xml:space="preserve">iniciativas interagenciales, </w:t>
            </w:r>
            <w:r w:rsidR="00460B03">
              <w:rPr>
                <w:rFonts w:asciiTheme="majorHAnsi" w:hAnsiTheme="majorHAnsi" w:cstheme="majorHAnsi"/>
                <w:color w:val="000000" w:themeColor="text1"/>
                <w:sz w:val="21"/>
                <w:szCs w:val="21"/>
              </w:rPr>
              <w:t xml:space="preserve">como </w:t>
            </w:r>
            <w:r>
              <w:rPr>
                <w:rFonts w:asciiTheme="majorHAnsi" w:hAnsiTheme="majorHAnsi" w:cstheme="majorHAnsi"/>
                <w:color w:val="000000" w:themeColor="text1"/>
                <w:sz w:val="21"/>
                <w:szCs w:val="21"/>
              </w:rPr>
              <w:t>los Encuentros Internacionales en Estadísticas de Género (ONU Mujeres</w:t>
            </w:r>
            <w:r w:rsidR="00460B03">
              <w:rPr>
                <w:rFonts w:asciiTheme="majorHAnsi" w:hAnsiTheme="majorHAnsi" w:cstheme="majorHAnsi"/>
                <w:color w:val="000000" w:themeColor="text1"/>
                <w:sz w:val="21"/>
                <w:szCs w:val="21"/>
              </w:rPr>
              <w:t xml:space="preserve"> y</w:t>
            </w:r>
            <w:r>
              <w:rPr>
                <w:rFonts w:asciiTheme="majorHAnsi" w:hAnsiTheme="majorHAnsi" w:cstheme="majorHAnsi"/>
                <w:color w:val="000000" w:themeColor="text1"/>
                <w:sz w:val="21"/>
                <w:szCs w:val="21"/>
              </w:rPr>
              <w:t xml:space="preserve"> CEPAL)</w:t>
            </w:r>
            <w:r w:rsidR="00460B03">
              <w:rPr>
                <w:rFonts w:asciiTheme="majorHAnsi" w:hAnsiTheme="majorHAnsi" w:cstheme="majorHAnsi"/>
                <w:color w:val="000000" w:themeColor="text1"/>
                <w:sz w:val="21"/>
                <w:szCs w:val="21"/>
              </w:rPr>
              <w:t xml:space="preserve">, que </w:t>
            </w:r>
            <w:r>
              <w:rPr>
                <w:rFonts w:asciiTheme="majorHAnsi" w:hAnsiTheme="majorHAnsi" w:cstheme="majorHAnsi"/>
                <w:color w:val="000000" w:themeColor="text1"/>
                <w:sz w:val="21"/>
                <w:szCs w:val="21"/>
              </w:rPr>
              <w:t xml:space="preserve">se realizan de manera conjunta y coordinada con </w:t>
            </w:r>
            <w:r w:rsidR="00460B03">
              <w:rPr>
                <w:rFonts w:asciiTheme="majorHAnsi" w:hAnsiTheme="majorHAnsi" w:cstheme="majorHAnsi"/>
                <w:color w:val="000000" w:themeColor="text1"/>
                <w:sz w:val="21"/>
                <w:szCs w:val="21"/>
              </w:rPr>
              <w:t xml:space="preserve">más de una insancia federal </w:t>
            </w:r>
            <w:r>
              <w:rPr>
                <w:rFonts w:asciiTheme="majorHAnsi" w:hAnsiTheme="majorHAnsi" w:cstheme="majorHAnsi"/>
                <w:color w:val="000000" w:themeColor="text1"/>
                <w:sz w:val="21"/>
                <w:szCs w:val="21"/>
              </w:rPr>
              <w:t>(INMUJERES, INEGI).</w:t>
            </w:r>
          </w:p>
          <w:p w14:paraId="54E9B5C8" w14:textId="50B4538D" w:rsidR="00FC7AD9" w:rsidRPr="004A1436" w:rsidRDefault="00FC7AD9" w:rsidP="00D74AB5">
            <w:pPr>
              <w:pStyle w:val="Prrafodelista"/>
              <w:widowControl w:val="0"/>
              <w:numPr>
                <w:ilvl w:val="0"/>
                <w:numId w:val="15"/>
              </w:numPr>
              <w:autoSpaceDE w:val="0"/>
              <w:autoSpaceDN w:val="0"/>
              <w:adjustRightInd w:val="0"/>
              <w:spacing w:after="120"/>
              <w:contextualSpacing w:val="0"/>
              <w:jc w:val="both"/>
              <w:rPr>
                <w:rFonts w:asciiTheme="majorHAnsi" w:hAnsiTheme="majorHAnsi" w:cstheme="majorHAnsi"/>
                <w:b/>
                <w:bCs/>
                <w:i/>
                <w:iCs/>
                <w:sz w:val="21"/>
                <w:szCs w:val="21"/>
                <w:lang w:val="es-ES"/>
              </w:rPr>
            </w:pPr>
            <w:r w:rsidRPr="004A1436">
              <w:rPr>
                <w:rFonts w:asciiTheme="majorHAnsi" w:hAnsiTheme="majorHAnsi" w:cstheme="majorHAnsi"/>
                <w:b/>
                <w:bCs/>
                <w:sz w:val="21"/>
                <w:szCs w:val="21"/>
                <w:lang w:val="es-ES"/>
              </w:rPr>
              <w:t>El</w:t>
            </w:r>
            <w:r w:rsidRPr="004A1436">
              <w:rPr>
                <w:rFonts w:asciiTheme="majorHAnsi" w:hAnsiTheme="majorHAnsi" w:cstheme="majorHAnsi"/>
                <w:sz w:val="21"/>
                <w:szCs w:val="21"/>
                <w:lang w:val="es-ES"/>
              </w:rPr>
              <w:t xml:space="preserve"> </w:t>
            </w:r>
            <w:r w:rsidRPr="004A1436">
              <w:rPr>
                <w:rFonts w:asciiTheme="majorHAnsi" w:hAnsiTheme="majorHAnsi" w:cstheme="majorHAnsi"/>
                <w:b/>
                <w:bCs/>
                <w:i/>
                <w:iCs/>
                <w:sz w:val="21"/>
                <w:szCs w:val="21"/>
                <w:lang w:val="es-ES"/>
              </w:rPr>
              <w:t xml:space="preserve">Mecanismo para el adelanto de las mujeres participa en las consultas del UNSDCF, el CCA, ejercicios de priorización estratégica, implementación y monitoreo y evaluación. </w:t>
            </w:r>
            <w:r w:rsidRPr="00460B03">
              <w:rPr>
                <w:rFonts w:asciiTheme="majorHAnsi" w:hAnsiTheme="majorHAnsi" w:cstheme="majorHAnsi"/>
                <w:b/>
                <w:bCs/>
                <w:i/>
                <w:iCs/>
                <w:color w:val="00B0F0"/>
                <w:sz w:val="21"/>
                <w:szCs w:val="21"/>
                <w:u w:val="single"/>
              </w:rPr>
              <w:t xml:space="preserve">CUMPLE. </w:t>
            </w:r>
            <w:r w:rsidRPr="004A1436">
              <w:rPr>
                <w:rFonts w:asciiTheme="majorHAnsi" w:hAnsiTheme="majorHAnsi" w:cstheme="majorHAnsi"/>
                <w:color w:val="000000" w:themeColor="text1"/>
                <w:sz w:val="21"/>
                <w:szCs w:val="21"/>
              </w:rPr>
              <w:t xml:space="preserve"> El INMUJERES participó activamente en la consulta con el gobierno federal para revisar y afinar las líneas estratégicas del </w:t>
            </w:r>
            <w:r w:rsidR="00460B03">
              <w:rPr>
                <w:rFonts w:asciiTheme="majorHAnsi" w:hAnsiTheme="majorHAnsi" w:cstheme="majorHAnsi"/>
                <w:color w:val="000000" w:themeColor="text1"/>
                <w:sz w:val="21"/>
                <w:szCs w:val="21"/>
              </w:rPr>
              <w:t>Marco de Cooperación 2020-2025</w:t>
            </w:r>
            <w:r w:rsidRPr="004A1436">
              <w:rPr>
                <w:rFonts w:asciiTheme="majorHAnsi" w:hAnsiTheme="majorHAnsi" w:cstheme="majorHAnsi"/>
                <w:color w:val="000000" w:themeColor="text1"/>
                <w:sz w:val="21"/>
                <w:szCs w:val="21"/>
              </w:rPr>
              <w:t xml:space="preserve">, en particular las del área transversal de IGEM, desde una visión corresponsable para su implementación, mientras que diversas instancias estatales y municipales para el adelanto de las mujeres participaron en las consultas regionales, aportando  elementos sustanciales para fortalecer el área transversal de IGEM desde el enfoque territorial. </w:t>
            </w:r>
            <w:r w:rsidR="00460B03">
              <w:rPr>
                <w:rFonts w:asciiTheme="majorHAnsi" w:hAnsiTheme="majorHAnsi" w:cstheme="majorHAnsi"/>
                <w:color w:val="000000" w:themeColor="text1"/>
                <w:sz w:val="21"/>
                <w:szCs w:val="21"/>
              </w:rPr>
              <w:t>Además, e</w:t>
            </w:r>
            <w:r w:rsidRPr="004A1436">
              <w:rPr>
                <w:rFonts w:asciiTheme="majorHAnsi" w:hAnsiTheme="majorHAnsi" w:cstheme="majorHAnsi"/>
                <w:color w:val="000000" w:themeColor="text1"/>
                <w:sz w:val="21"/>
                <w:szCs w:val="21"/>
              </w:rPr>
              <w:t xml:space="preserve">l INMUJERES es contraparte de prácticamente todos los </w:t>
            </w:r>
            <w:r w:rsidR="00460B03">
              <w:rPr>
                <w:rFonts w:asciiTheme="majorHAnsi" w:hAnsiTheme="majorHAnsi" w:cstheme="majorHAnsi"/>
                <w:color w:val="000000" w:themeColor="text1"/>
                <w:sz w:val="21"/>
                <w:szCs w:val="21"/>
              </w:rPr>
              <w:t>PCs</w:t>
            </w:r>
            <w:r w:rsidRPr="004A1436">
              <w:rPr>
                <w:rFonts w:asciiTheme="majorHAnsi" w:hAnsiTheme="majorHAnsi" w:cstheme="majorHAnsi"/>
                <w:color w:val="000000" w:themeColor="text1"/>
                <w:sz w:val="21"/>
                <w:szCs w:val="21"/>
              </w:rPr>
              <w:t xml:space="preserve"> que incorporan a la IGEM como objetivo principal (ver indicador 2.1, criterio B), por lo que ha tenido una participación estratégica en la definición de prioridades, la implementación de actividades, así como en el monitoreo y evaluación de las iniciativas. </w:t>
            </w:r>
          </w:p>
          <w:p w14:paraId="24EFA854" w14:textId="6699D761" w:rsidR="00FC7AD9" w:rsidRPr="004A1436" w:rsidRDefault="00FC7AD9" w:rsidP="00D74AB5">
            <w:pPr>
              <w:pStyle w:val="Prrafodelista"/>
              <w:numPr>
                <w:ilvl w:val="0"/>
                <w:numId w:val="15"/>
              </w:numPr>
              <w:spacing w:after="120"/>
              <w:contextualSpacing w:val="0"/>
              <w:jc w:val="both"/>
              <w:rPr>
                <w:rFonts w:asciiTheme="majorHAnsi" w:hAnsiTheme="majorHAnsi" w:cstheme="majorHAnsi"/>
                <w:sz w:val="21"/>
                <w:szCs w:val="21"/>
              </w:rPr>
            </w:pPr>
            <w:r w:rsidRPr="004A1436">
              <w:rPr>
                <w:rFonts w:asciiTheme="majorHAnsi" w:hAnsiTheme="majorHAnsi" w:cstheme="majorHAnsi"/>
                <w:b/>
                <w:bCs/>
                <w:i/>
                <w:iCs/>
                <w:sz w:val="21"/>
                <w:szCs w:val="21"/>
                <w:lang w:val="es-ES"/>
              </w:rPr>
              <w:t xml:space="preserve">El UNCT ha hecho al menos una contribución sustantiva para fortalecer la participación y el compromiso del gobierno para la localización/implementación de los asuntos de género de los ODS. </w:t>
            </w:r>
            <w:r w:rsidRPr="00460B03">
              <w:rPr>
                <w:rFonts w:asciiTheme="majorHAnsi" w:hAnsiTheme="majorHAnsi" w:cstheme="majorHAnsi"/>
                <w:b/>
                <w:bCs/>
                <w:i/>
                <w:iCs/>
                <w:color w:val="00B0F0"/>
                <w:sz w:val="21"/>
                <w:szCs w:val="21"/>
                <w:u w:val="single"/>
              </w:rPr>
              <w:t>CUMPLE</w:t>
            </w:r>
            <w:r w:rsidR="00460B03">
              <w:rPr>
                <w:rFonts w:asciiTheme="majorHAnsi" w:hAnsiTheme="majorHAnsi" w:cstheme="majorHAnsi"/>
                <w:b/>
                <w:bCs/>
                <w:i/>
                <w:iCs/>
                <w:color w:val="00B0F0"/>
                <w:sz w:val="21"/>
                <w:szCs w:val="21"/>
                <w:u w:val="single"/>
              </w:rPr>
              <w:t>.</w:t>
            </w:r>
            <w:r w:rsidRPr="00460B03">
              <w:rPr>
                <w:rFonts w:asciiTheme="majorHAnsi" w:hAnsiTheme="majorHAnsi" w:cstheme="majorHAnsi"/>
                <w:color w:val="000000" w:themeColor="text1"/>
                <w:sz w:val="21"/>
                <w:szCs w:val="21"/>
              </w:rPr>
              <w:t xml:space="preserve">  </w:t>
            </w:r>
            <w:r w:rsidRPr="004A1436">
              <w:rPr>
                <w:rFonts w:asciiTheme="majorHAnsi" w:hAnsiTheme="majorHAnsi" w:cstheme="majorHAnsi"/>
                <w:color w:val="000000" w:themeColor="text1"/>
                <w:sz w:val="21"/>
                <w:szCs w:val="21"/>
              </w:rPr>
              <w:t xml:space="preserve">El SNU ha hecho más de una contribución sustantiva para fortalecer la participación y escalar el compromiso de diversas instancias gubernamentales, tanto nacionales como locales, para promover el cumplimiento de los aspectos de género de los ODS. </w:t>
            </w:r>
            <w:r w:rsidRPr="004A1436">
              <w:rPr>
                <w:rFonts w:asciiTheme="majorHAnsi" w:hAnsiTheme="majorHAnsi" w:cstheme="majorHAnsi"/>
                <w:sz w:val="21"/>
                <w:szCs w:val="21"/>
              </w:rPr>
              <w:t xml:space="preserve">Desde una visión colectiva, la construcción colaborativa del área transversal de IGEM del </w:t>
            </w:r>
            <w:r w:rsidR="00460B03">
              <w:rPr>
                <w:rFonts w:asciiTheme="majorHAnsi" w:hAnsiTheme="majorHAnsi" w:cstheme="majorHAnsi"/>
                <w:sz w:val="21"/>
                <w:szCs w:val="21"/>
              </w:rPr>
              <w:t>Marco de Cooperación</w:t>
            </w:r>
            <w:r w:rsidRPr="004A1436">
              <w:rPr>
                <w:rFonts w:asciiTheme="majorHAnsi" w:hAnsiTheme="majorHAnsi" w:cstheme="majorHAnsi"/>
                <w:sz w:val="21"/>
                <w:szCs w:val="21"/>
              </w:rPr>
              <w:t xml:space="preserve"> 2020-2025 marca un hito en la definición de una hoja de ruta para  el trabajo conjunto con el gobierno, </w:t>
            </w:r>
            <w:r w:rsidR="00460B03">
              <w:rPr>
                <w:rFonts w:asciiTheme="majorHAnsi" w:hAnsiTheme="majorHAnsi" w:cstheme="majorHAnsi"/>
                <w:sz w:val="21"/>
                <w:szCs w:val="21"/>
              </w:rPr>
              <w:t xml:space="preserve">tanto </w:t>
            </w:r>
            <w:r w:rsidRPr="004A1436">
              <w:rPr>
                <w:rFonts w:asciiTheme="majorHAnsi" w:hAnsiTheme="majorHAnsi" w:cstheme="majorHAnsi"/>
                <w:sz w:val="21"/>
                <w:szCs w:val="21"/>
              </w:rPr>
              <w:t xml:space="preserve">a nivel nacional </w:t>
            </w:r>
            <w:r w:rsidR="00460B03">
              <w:rPr>
                <w:rFonts w:asciiTheme="majorHAnsi" w:hAnsiTheme="majorHAnsi" w:cstheme="majorHAnsi"/>
                <w:sz w:val="21"/>
                <w:szCs w:val="21"/>
              </w:rPr>
              <w:t xml:space="preserve">como </w:t>
            </w:r>
            <w:r w:rsidRPr="004A1436">
              <w:rPr>
                <w:rFonts w:asciiTheme="majorHAnsi" w:hAnsiTheme="majorHAnsi" w:cstheme="majorHAnsi"/>
                <w:sz w:val="21"/>
                <w:szCs w:val="21"/>
              </w:rPr>
              <w:t xml:space="preserve">local,  en la consecución del ODS 5 y los aspectos de género de los demás ODS. Además, el SNU aportó insumos estratégicos para la elaboración del Tercer Informe Voluntario de México sobre el cumplimiento de la Agenda 2030 (2021),  el cual recoge los logros, retos y, principalmente, las recomendaciones del SNU para avanzar </w:t>
            </w:r>
            <w:r w:rsidR="00460B03">
              <w:rPr>
                <w:rFonts w:asciiTheme="majorHAnsi" w:hAnsiTheme="majorHAnsi" w:cstheme="majorHAnsi"/>
                <w:sz w:val="21"/>
                <w:szCs w:val="21"/>
              </w:rPr>
              <w:t xml:space="preserve">hacia </w:t>
            </w:r>
            <w:r w:rsidRPr="004A1436">
              <w:rPr>
                <w:rFonts w:asciiTheme="majorHAnsi" w:hAnsiTheme="majorHAnsi" w:cstheme="majorHAnsi"/>
                <w:sz w:val="21"/>
                <w:szCs w:val="21"/>
              </w:rPr>
              <w:t xml:space="preserve">el logro </w:t>
            </w:r>
            <w:r w:rsidR="00460B03">
              <w:rPr>
                <w:rFonts w:asciiTheme="majorHAnsi" w:hAnsiTheme="majorHAnsi" w:cstheme="majorHAnsi"/>
                <w:sz w:val="21"/>
                <w:szCs w:val="21"/>
              </w:rPr>
              <w:t xml:space="preserve">de </w:t>
            </w:r>
            <w:r w:rsidRPr="004A1436">
              <w:rPr>
                <w:rFonts w:asciiTheme="majorHAnsi" w:hAnsiTheme="majorHAnsi" w:cstheme="majorHAnsi"/>
                <w:sz w:val="21"/>
                <w:szCs w:val="21"/>
              </w:rPr>
              <w:t xml:space="preserve">la IGEM en línea con las metas de género de los ODS. </w:t>
            </w:r>
          </w:p>
          <w:p w14:paraId="7D0C1C31" w14:textId="5242681A" w:rsidR="00FC7AD9" w:rsidRPr="004A1436" w:rsidRDefault="00FC7AD9" w:rsidP="00A80645">
            <w:pPr>
              <w:ind w:left="360"/>
              <w:jc w:val="both"/>
              <w:rPr>
                <w:rFonts w:asciiTheme="majorHAnsi" w:hAnsiTheme="majorHAnsi" w:cstheme="majorHAnsi"/>
                <w:sz w:val="21"/>
                <w:szCs w:val="21"/>
              </w:rPr>
            </w:pPr>
            <w:r w:rsidRPr="004A1436">
              <w:rPr>
                <w:rFonts w:asciiTheme="majorHAnsi" w:hAnsiTheme="majorHAnsi" w:cstheme="majorHAnsi"/>
                <w:color w:val="000000" w:themeColor="text1"/>
                <w:sz w:val="21"/>
                <w:szCs w:val="21"/>
              </w:rPr>
              <w:t xml:space="preserve">Desde el trabajo interagencial, las principales contribuciones en este ámbito se enmarcan en diversos </w:t>
            </w:r>
            <w:r w:rsidR="00460B03">
              <w:rPr>
                <w:rFonts w:asciiTheme="majorHAnsi" w:hAnsiTheme="majorHAnsi" w:cstheme="majorHAnsi"/>
                <w:color w:val="000000" w:themeColor="text1"/>
                <w:sz w:val="21"/>
                <w:szCs w:val="21"/>
              </w:rPr>
              <w:t xml:space="preserve">PCs o </w:t>
            </w:r>
            <w:r w:rsidRPr="004A1436">
              <w:rPr>
                <w:rFonts w:asciiTheme="majorHAnsi" w:hAnsiTheme="majorHAnsi" w:cstheme="majorHAnsi"/>
                <w:color w:val="000000" w:themeColor="text1"/>
                <w:sz w:val="21"/>
                <w:szCs w:val="21"/>
              </w:rPr>
              <w:t xml:space="preserve">iniciativas que involucran a varias agencias. La iniciativa </w:t>
            </w:r>
            <w:r w:rsidRPr="004A1436">
              <w:rPr>
                <w:rFonts w:asciiTheme="majorHAnsi" w:hAnsiTheme="majorHAnsi" w:cstheme="majorHAnsi"/>
                <w:i/>
                <w:iCs/>
                <w:color w:val="000000" w:themeColor="text1"/>
                <w:sz w:val="21"/>
                <w:szCs w:val="21"/>
              </w:rPr>
              <w:t>Covid-19: seguras en casa</w:t>
            </w:r>
            <w:r w:rsidRPr="004A1436">
              <w:rPr>
                <w:rFonts w:asciiTheme="majorHAnsi" w:hAnsiTheme="majorHAnsi" w:cstheme="majorHAnsi"/>
                <w:color w:val="000000" w:themeColor="text1"/>
                <w:sz w:val="21"/>
                <w:szCs w:val="21"/>
              </w:rPr>
              <w:t xml:space="preserve"> (PNUD, ONU Mujeres), </w:t>
            </w:r>
            <w:r w:rsidR="00460B03">
              <w:rPr>
                <w:rFonts w:asciiTheme="majorHAnsi" w:hAnsiTheme="majorHAnsi" w:cstheme="majorHAnsi"/>
                <w:color w:val="000000" w:themeColor="text1"/>
                <w:sz w:val="21"/>
                <w:szCs w:val="21"/>
              </w:rPr>
              <w:t xml:space="preserve">implementada en 2020, </w:t>
            </w:r>
            <w:r w:rsidRPr="004A1436">
              <w:rPr>
                <w:rFonts w:asciiTheme="majorHAnsi" w:hAnsiTheme="majorHAnsi" w:cstheme="majorHAnsi"/>
                <w:sz w:val="21"/>
                <w:szCs w:val="21"/>
              </w:rPr>
              <w:t xml:space="preserve">contribuyó al fortalecimiento de la respuesta institucional del Gobierno de la CDMX ante el incremento de la violencia contra las mujeres y niñas en el hogar, derivado del confinamiento por la pandemia. La iniciativa Spotlight ha movilizado a los congresos nacional y estatales para avanzar la armonización legislativa sobre erradicación de la violencia contra las mujeres. El PC Cerrando Brechas generó </w:t>
            </w:r>
            <w:r w:rsidRPr="004A1436">
              <w:rPr>
                <w:rFonts w:asciiTheme="majorHAnsi" w:eastAsiaTheme="minorEastAsia" w:hAnsiTheme="majorHAnsi" w:cstheme="majorHAnsi"/>
                <w:sz w:val="21"/>
                <w:szCs w:val="21"/>
                <w:lang w:eastAsia="es-ES"/>
              </w:rPr>
              <w:t>mesas multisectoriales en Oaxaca y Jalisco,</w:t>
            </w:r>
            <w:r w:rsidRPr="004A1436">
              <w:rPr>
                <w:rFonts w:asciiTheme="majorHAnsi" w:hAnsiTheme="majorHAnsi" w:cstheme="majorHAnsi"/>
                <w:sz w:val="21"/>
                <w:szCs w:val="21"/>
              </w:rPr>
              <w:t xml:space="preserve"> que culminaron en un pacto de colaboración y coordinación interestatal entre ambos gobiernos </w:t>
            </w:r>
            <w:r w:rsidRPr="004A1436">
              <w:rPr>
                <w:rFonts w:asciiTheme="majorHAnsi" w:hAnsiTheme="majorHAnsi" w:cstheme="majorHAnsi"/>
                <w:color w:val="000000" w:themeColor="text1"/>
                <w:sz w:val="21"/>
                <w:szCs w:val="21"/>
                <w:shd w:val="clear" w:color="auto" w:fill="FFFFFF"/>
              </w:rPr>
              <w:t xml:space="preserve">a favor de los derechos de las jornaleras agrícolas migrantes, además de que ha establecido </w:t>
            </w:r>
            <w:r w:rsidRPr="004A1436">
              <w:rPr>
                <w:rFonts w:asciiTheme="majorHAnsi" w:hAnsiTheme="majorHAnsi" w:cstheme="majorHAnsi"/>
                <w:sz w:val="21"/>
                <w:szCs w:val="21"/>
              </w:rPr>
              <w:t xml:space="preserve">las bases para el diseño un Sistema Nacional de Cuidados en México, a través de un abordaje integral que ha incluido alianzas estratégicas multiactor que involucran la participación y el comrpomiso de diversas instituciones del Estdo mexicano.  El trabajo </w:t>
            </w:r>
            <w:r w:rsidRPr="004A1436">
              <w:rPr>
                <w:rFonts w:asciiTheme="majorHAnsi" w:hAnsiTheme="majorHAnsi" w:cstheme="majorHAnsi"/>
                <w:color w:val="000000" w:themeColor="text1"/>
                <w:sz w:val="21"/>
                <w:szCs w:val="21"/>
                <w:shd w:val="clear" w:color="auto" w:fill="FFFFFF"/>
              </w:rPr>
              <w:t>conjunto de tres agencias (OCHA, UNDSS, ONU Mujeres), fortaleció las capacidades de tres instituciones clave (</w:t>
            </w:r>
            <w:r w:rsidRPr="004A1436">
              <w:rPr>
                <w:rFonts w:asciiTheme="majorHAnsi" w:hAnsiTheme="majorHAnsi" w:cstheme="majorHAnsi"/>
                <w:sz w:val="21"/>
                <w:szCs w:val="21"/>
              </w:rPr>
              <w:t xml:space="preserve">SEDENA, la SEMAR y la SSPC)  sobre la agenda de </w:t>
            </w:r>
            <w:r w:rsidR="00460B03">
              <w:rPr>
                <w:rFonts w:asciiTheme="majorHAnsi" w:hAnsiTheme="majorHAnsi" w:cstheme="majorHAnsi"/>
                <w:sz w:val="21"/>
                <w:szCs w:val="21"/>
              </w:rPr>
              <w:t>M</w:t>
            </w:r>
            <w:r w:rsidRPr="004A1436">
              <w:rPr>
                <w:rFonts w:asciiTheme="majorHAnsi" w:hAnsiTheme="majorHAnsi" w:cstheme="majorHAnsi"/>
                <w:sz w:val="21"/>
                <w:szCs w:val="21"/>
              </w:rPr>
              <w:t>ujeres, paz y seguridad, lo que impulsó la integración de la propuesta de México al Fondo de la Iniciativa Elsie para acelerar la participación de las mujeres uniformadas en misiones de paz de las Naciones Unidas</w:t>
            </w:r>
            <w:r w:rsidR="00460B03">
              <w:rPr>
                <w:rFonts w:asciiTheme="majorHAnsi" w:hAnsiTheme="majorHAnsi" w:cstheme="majorHAnsi"/>
                <w:sz w:val="21"/>
                <w:szCs w:val="21"/>
              </w:rPr>
              <w:t>, actualmente en implementación.</w:t>
            </w:r>
          </w:p>
        </w:tc>
      </w:tr>
      <w:tr w:rsidR="00FC7AD9" w:rsidRPr="004A1436" w14:paraId="6838CE82" w14:textId="77777777" w:rsidTr="00460B03">
        <w:tc>
          <w:tcPr>
            <w:tcW w:w="8676" w:type="dxa"/>
            <w:gridSpan w:val="3"/>
          </w:tcPr>
          <w:p w14:paraId="764DB31C" w14:textId="77777777" w:rsidR="00FC7AD9" w:rsidRPr="00460B03" w:rsidRDefault="00FC7AD9" w:rsidP="00316349">
            <w:pPr>
              <w:rPr>
                <w:rFonts w:asciiTheme="majorHAnsi" w:hAnsiTheme="majorHAnsi" w:cstheme="majorHAnsi"/>
                <w:b/>
                <w:color w:val="00B0F0"/>
                <w:sz w:val="21"/>
                <w:szCs w:val="21"/>
              </w:rPr>
            </w:pPr>
            <w:r w:rsidRPr="004A1436">
              <w:rPr>
                <w:rFonts w:asciiTheme="majorHAnsi" w:hAnsiTheme="majorHAnsi" w:cstheme="majorHAnsi"/>
                <w:b/>
                <w:color w:val="548DD4" w:themeColor="text2" w:themeTint="99"/>
                <w:sz w:val="21"/>
                <w:szCs w:val="21"/>
              </w:rPr>
              <w:t>Evi</w:t>
            </w:r>
            <w:r w:rsidRPr="00460B03">
              <w:rPr>
                <w:rFonts w:asciiTheme="majorHAnsi" w:hAnsiTheme="majorHAnsi" w:cstheme="majorHAnsi"/>
                <w:b/>
                <w:color w:val="00B0F0"/>
                <w:sz w:val="21"/>
                <w:szCs w:val="21"/>
              </w:rPr>
              <w:t>dencia/medios de verificación</w:t>
            </w:r>
          </w:p>
          <w:p w14:paraId="48EED43F" w14:textId="77777777" w:rsidR="00460B03" w:rsidRPr="00FC7AD9" w:rsidRDefault="00460B03" w:rsidP="00D74AB5">
            <w:pPr>
              <w:pStyle w:val="Prrafodelista"/>
              <w:numPr>
                <w:ilvl w:val="0"/>
                <w:numId w:val="16"/>
              </w:numPr>
              <w:rPr>
                <w:rFonts w:asciiTheme="majorHAnsi" w:hAnsiTheme="majorHAnsi" w:cstheme="majorHAnsi"/>
              </w:rPr>
            </w:pPr>
            <w:r w:rsidRPr="00FC7AD9">
              <w:rPr>
                <w:rFonts w:asciiTheme="majorHAnsi" w:hAnsiTheme="majorHAnsi" w:cstheme="majorHAnsi"/>
              </w:rPr>
              <w:t xml:space="preserve">Documento del </w:t>
            </w:r>
            <w:hyperlink r:id="rId32" w:history="1">
              <w:r>
                <w:rPr>
                  <w:rStyle w:val="Hipervnculo"/>
                  <w:rFonts w:asciiTheme="majorHAnsi" w:hAnsiTheme="majorHAnsi" w:cstheme="majorHAnsi"/>
                </w:rPr>
                <w:t>Marco de Cooperación de las Naciones Unidas para el Desarrollo Sostenible de México 2020-2025</w:t>
              </w:r>
            </w:hyperlink>
            <w:r w:rsidRPr="00FC7AD9">
              <w:rPr>
                <w:rFonts w:asciiTheme="majorHAnsi" w:hAnsiTheme="majorHAnsi" w:cstheme="majorHAnsi"/>
              </w:rPr>
              <w:t xml:space="preserve"> </w:t>
            </w:r>
          </w:p>
          <w:p w14:paraId="49201E85" w14:textId="77777777" w:rsidR="00FC7AD9" w:rsidRPr="004A1436" w:rsidRDefault="00100834" w:rsidP="00D74AB5">
            <w:pPr>
              <w:pStyle w:val="Prrafodelista"/>
              <w:numPr>
                <w:ilvl w:val="0"/>
                <w:numId w:val="16"/>
              </w:numPr>
              <w:contextualSpacing w:val="0"/>
              <w:rPr>
                <w:rFonts w:asciiTheme="majorHAnsi" w:hAnsiTheme="majorHAnsi" w:cstheme="majorHAnsi"/>
                <w:sz w:val="21"/>
                <w:szCs w:val="21"/>
              </w:rPr>
            </w:pPr>
            <w:hyperlink r:id="rId33" w:history="1">
              <w:r w:rsidR="00FC7AD9" w:rsidRPr="004A1436">
                <w:rPr>
                  <w:rStyle w:val="Hipervnculo"/>
                  <w:rFonts w:asciiTheme="majorHAnsi" w:hAnsiTheme="majorHAnsi" w:cstheme="majorHAnsi"/>
                  <w:sz w:val="21"/>
                  <w:szCs w:val="21"/>
                </w:rPr>
                <w:t>Informe 2020 de Resultados del SNU en México</w:t>
              </w:r>
            </w:hyperlink>
          </w:p>
          <w:p w14:paraId="703FA097" w14:textId="1BDEF19A" w:rsidR="00FC7AD9" w:rsidRPr="004A1436" w:rsidRDefault="00FC7AD9" w:rsidP="00D74AB5">
            <w:pPr>
              <w:pStyle w:val="Prrafodelista"/>
              <w:numPr>
                <w:ilvl w:val="0"/>
                <w:numId w:val="16"/>
              </w:numPr>
              <w:rPr>
                <w:rFonts w:asciiTheme="majorHAnsi" w:hAnsiTheme="majorHAnsi" w:cstheme="majorHAnsi"/>
                <w:sz w:val="21"/>
                <w:szCs w:val="21"/>
                <w:lang w:val="en-US"/>
              </w:rPr>
            </w:pPr>
            <w:r w:rsidRPr="00B4686E">
              <w:rPr>
                <w:rFonts w:asciiTheme="majorHAnsi" w:hAnsiTheme="majorHAnsi" w:cstheme="majorHAnsi"/>
                <w:sz w:val="21"/>
                <w:szCs w:val="21"/>
                <w:lang w:val="en-US"/>
              </w:rPr>
              <w:t xml:space="preserve">Documentos de Proyecto: </w:t>
            </w:r>
            <w:hyperlink r:id="rId34" w:history="1">
              <w:r w:rsidRPr="00B4686E">
                <w:rPr>
                  <w:rStyle w:val="Hipervnculo"/>
                  <w:rFonts w:asciiTheme="majorHAnsi" w:hAnsiTheme="majorHAnsi" w:cstheme="majorHAnsi"/>
                  <w:sz w:val="21"/>
                  <w:szCs w:val="21"/>
                  <w:lang w:val="en-US"/>
                </w:rPr>
                <w:t>Spotlight Country Programm Mexico</w:t>
              </w:r>
            </w:hyperlink>
            <w:r>
              <w:rPr>
                <w:rFonts w:asciiTheme="majorHAnsi" w:hAnsiTheme="majorHAnsi" w:cstheme="majorHAnsi"/>
                <w:sz w:val="21"/>
                <w:szCs w:val="21"/>
                <w:lang w:val="en-US"/>
              </w:rPr>
              <w:t xml:space="preserve"> </w:t>
            </w:r>
            <w:r w:rsidRPr="00B4686E">
              <w:rPr>
                <w:rFonts w:asciiTheme="majorHAnsi" w:hAnsiTheme="majorHAnsi" w:cstheme="majorHAnsi"/>
                <w:sz w:val="21"/>
                <w:szCs w:val="21"/>
                <w:lang w:val="en-US"/>
              </w:rPr>
              <w:t xml:space="preserve">y Nota Conceptual para la segunda fase; </w:t>
            </w:r>
            <w:hyperlink r:id="rId35" w:history="1">
              <w:r w:rsidR="00460B03">
                <w:rPr>
                  <w:rStyle w:val="Hipervnculo"/>
                  <w:rFonts w:asciiTheme="majorHAnsi" w:hAnsiTheme="majorHAnsi" w:cstheme="majorHAnsi"/>
                  <w:sz w:val="21"/>
                  <w:szCs w:val="21"/>
                  <w:lang w:val="en-US"/>
                </w:rPr>
                <w:t>JP Closing Gaps</w:t>
              </w:r>
            </w:hyperlink>
            <w:r w:rsidRPr="00B4686E">
              <w:rPr>
                <w:rFonts w:asciiTheme="majorHAnsi" w:hAnsiTheme="majorHAnsi" w:cstheme="majorHAnsi"/>
                <w:sz w:val="21"/>
                <w:szCs w:val="21"/>
                <w:lang w:val="en-US"/>
              </w:rPr>
              <w:t xml:space="preserve">: making Social Protection work for Women in Mexico; </w:t>
            </w:r>
            <w:hyperlink r:id="rId36" w:history="1">
              <w:r w:rsidRPr="00710A6F">
                <w:rPr>
                  <w:rStyle w:val="Hipervnculo"/>
                  <w:rFonts w:asciiTheme="majorHAnsi" w:hAnsiTheme="majorHAnsi" w:cstheme="majorHAnsi"/>
                  <w:sz w:val="21"/>
                  <w:szCs w:val="21"/>
                  <w:lang w:val="en-US"/>
                </w:rPr>
                <w:t>Prevent and reduce political violence against women candidates in the 2021 elections and support the implementation of Mexico’s first national WPS strategy</w:t>
              </w:r>
            </w:hyperlink>
            <w:r w:rsidRPr="004A1436">
              <w:rPr>
                <w:rFonts w:asciiTheme="majorHAnsi" w:hAnsiTheme="majorHAnsi" w:cstheme="majorHAnsi"/>
                <w:sz w:val="21"/>
                <w:szCs w:val="21"/>
                <w:lang w:val="en-US"/>
              </w:rPr>
              <w:t>, in close collaboration with women’s organizations</w:t>
            </w:r>
          </w:p>
          <w:p w14:paraId="5400BD9C" w14:textId="77777777" w:rsidR="00FC7AD9" w:rsidRPr="004A1436" w:rsidRDefault="00FC7AD9" w:rsidP="00D74AB5">
            <w:pPr>
              <w:pStyle w:val="Prrafodelista"/>
              <w:numPr>
                <w:ilvl w:val="0"/>
                <w:numId w:val="16"/>
              </w:numPr>
              <w:rPr>
                <w:rFonts w:asciiTheme="majorHAnsi" w:hAnsiTheme="majorHAnsi" w:cstheme="majorHAnsi"/>
                <w:sz w:val="21"/>
                <w:szCs w:val="21"/>
                <w:lang w:val="es-ES"/>
              </w:rPr>
            </w:pPr>
            <w:r w:rsidRPr="004A1436">
              <w:rPr>
                <w:rFonts w:asciiTheme="majorHAnsi" w:hAnsiTheme="majorHAnsi" w:cstheme="majorHAnsi"/>
                <w:sz w:val="21"/>
                <w:szCs w:val="21"/>
                <w:lang w:val="es-ES"/>
              </w:rPr>
              <w:t>Informe de progreso de la Iniciativa Spotlight 2020</w:t>
            </w:r>
          </w:p>
          <w:p w14:paraId="3B76F425" w14:textId="3C2E8623" w:rsidR="00FC7AD9" w:rsidRPr="004A1436" w:rsidRDefault="00FC7AD9" w:rsidP="00D74AB5">
            <w:pPr>
              <w:pStyle w:val="Prrafodelista"/>
              <w:numPr>
                <w:ilvl w:val="0"/>
                <w:numId w:val="16"/>
              </w:numPr>
              <w:rPr>
                <w:rFonts w:asciiTheme="majorHAnsi" w:hAnsiTheme="majorHAnsi" w:cstheme="majorHAnsi"/>
                <w:sz w:val="21"/>
                <w:szCs w:val="21"/>
                <w:lang w:val="es-ES"/>
              </w:rPr>
            </w:pPr>
            <w:r w:rsidRPr="004A1436">
              <w:rPr>
                <w:rFonts w:asciiTheme="majorHAnsi" w:hAnsiTheme="majorHAnsi" w:cstheme="majorHAnsi"/>
                <w:sz w:val="21"/>
                <w:szCs w:val="21"/>
                <w:lang w:val="es-ES"/>
              </w:rPr>
              <w:t xml:space="preserve">Resultados principales del </w:t>
            </w:r>
            <w:r w:rsidR="00460B03">
              <w:rPr>
                <w:rFonts w:asciiTheme="majorHAnsi" w:hAnsiTheme="majorHAnsi" w:cstheme="majorHAnsi"/>
                <w:sz w:val="21"/>
                <w:szCs w:val="21"/>
                <w:lang w:val="es-ES"/>
              </w:rPr>
              <w:t xml:space="preserve">PC </w:t>
            </w:r>
            <w:r w:rsidRPr="004A1436">
              <w:rPr>
                <w:rFonts w:asciiTheme="majorHAnsi" w:hAnsiTheme="majorHAnsi" w:cstheme="majorHAnsi"/>
                <w:sz w:val="21"/>
                <w:szCs w:val="21"/>
                <w:lang w:val="es-ES"/>
              </w:rPr>
              <w:t>Cerrando Brechas: Protección social para las mujeres en México. Febrero de 2020 a junio de 2021.</w:t>
            </w:r>
          </w:p>
          <w:p w14:paraId="5D810D8D" w14:textId="77777777" w:rsidR="00FC7AD9" w:rsidRPr="004A1436" w:rsidRDefault="00FC7AD9" w:rsidP="00D74AB5">
            <w:pPr>
              <w:pStyle w:val="Prrafodelista"/>
              <w:numPr>
                <w:ilvl w:val="0"/>
                <w:numId w:val="16"/>
              </w:numPr>
              <w:rPr>
                <w:rFonts w:asciiTheme="majorHAnsi" w:hAnsiTheme="majorHAnsi" w:cstheme="majorHAnsi"/>
                <w:sz w:val="21"/>
                <w:szCs w:val="21"/>
                <w:lang w:val="es-ES"/>
              </w:rPr>
            </w:pPr>
            <w:r w:rsidRPr="004A1436">
              <w:rPr>
                <w:rFonts w:asciiTheme="majorHAnsi" w:hAnsiTheme="majorHAnsi" w:cstheme="majorHAnsi"/>
                <w:sz w:val="21"/>
                <w:szCs w:val="21"/>
                <w:lang w:val="es-ES"/>
              </w:rPr>
              <w:t>Informe final del Proyecto Prevención y atención de la violencia familiar y doméstica en CDMX en el marco de la emergencia sanitaria por COVID-19 (COVID-19: Seguras en Casa)</w:t>
            </w:r>
          </w:p>
          <w:p w14:paraId="3AF1B975" w14:textId="77777777" w:rsidR="00FC7AD9" w:rsidRPr="004A1436" w:rsidRDefault="00FC7AD9" w:rsidP="00D74AB5">
            <w:pPr>
              <w:pStyle w:val="Prrafodelista"/>
              <w:numPr>
                <w:ilvl w:val="0"/>
                <w:numId w:val="16"/>
              </w:numPr>
              <w:rPr>
                <w:rFonts w:asciiTheme="majorHAnsi" w:hAnsiTheme="majorHAnsi" w:cstheme="majorHAnsi"/>
                <w:sz w:val="21"/>
                <w:szCs w:val="21"/>
              </w:rPr>
            </w:pPr>
            <w:r w:rsidRPr="004A1436">
              <w:rPr>
                <w:rFonts w:asciiTheme="majorHAnsi" w:hAnsiTheme="majorHAnsi" w:cstheme="majorHAnsi"/>
                <w:sz w:val="21"/>
                <w:szCs w:val="21"/>
              </w:rPr>
              <w:t xml:space="preserve">Comunicados de prensa: </w:t>
            </w:r>
            <w:hyperlink r:id="rId37" w:history="1">
              <w:r w:rsidRPr="00710A6F">
                <w:rPr>
                  <w:rStyle w:val="Hipervnculo"/>
                  <w:rFonts w:asciiTheme="majorHAnsi" w:hAnsiTheme="majorHAnsi" w:cstheme="majorHAnsi"/>
                  <w:sz w:val="21"/>
                  <w:szCs w:val="21"/>
                </w:rPr>
                <w:t>Liberia, México, Níger, Senegal y Sierra Leona</w:t>
              </w:r>
            </w:hyperlink>
            <w:r w:rsidRPr="004A1436">
              <w:rPr>
                <w:rFonts w:asciiTheme="majorHAnsi" w:hAnsiTheme="majorHAnsi" w:cstheme="majorHAnsi"/>
                <w:sz w:val="21"/>
                <w:szCs w:val="21"/>
              </w:rPr>
              <w:t xml:space="preserve"> revisarán los obstáculos que impiden el despliegue de mujeres en operaciones de paz con el apoyo del Fondo de la Iniciativa Elsie de la ONU; </w:t>
            </w:r>
            <w:hyperlink r:id="rId38" w:history="1">
              <w:r w:rsidRPr="00710A6F">
                <w:rPr>
                  <w:rStyle w:val="Hipervnculo"/>
                  <w:rFonts w:asciiTheme="majorHAnsi" w:hAnsiTheme="majorHAnsi" w:cstheme="majorHAnsi"/>
                  <w:sz w:val="21"/>
                  <w:szCs w:val="21"/>
                </w:rPr>
                <w:t>Gobiernos de Jalisco y Oaxaca firman pacto de colaboración</w:t>
              </w:r>
            </w:hyperlink>
            <w:r w:rsidRPr="004A1436">
              <w:rPr>
                <w:rFonts w:asciiTheme="majorHAnsi" w:hAnsiTheme="majorHAnsi" w:cstheme="majorHAnsi"/>
                <w:sz w:val="21"/>
                <w:szCs w:val="21"/>
              </w:rPr>
              <w:t xml:space="preserve"> a favor de las mujeres jornaleras agrícolas.</w:t>
            </w:r>
          </w:p>
          <w:p w14:paraId="6664922C" w14:textId="77777777" w:rsidR="00FC7AD9" w:rsidRPr="004A1436" w:rsidRDefault="00FC7AD9" w:rsidP="00D74AB5">
            <w:pPr>
              <w:pStyle w:val="Prrafodelista"/>
              <w:numPr>
                <w:ilvl w:val="0"/>
                <w:numId w:val="16"/>
              </w:numPr>
              <w:contextualSpacing w:val="0"/>
              <w:rPr>
                <w:rFonts w:asciiTheme="majorHAnsi" w:hAnsiTheme="majorHAnsi" w:cstheme="majorHAnsi"/>
                <w:sz w:val="21"/>
                <w:szCs w:val="21"/>
                <w:lang w:val="es-ES_tradnl"/>
              </w:rPr>
            </w:pPr>
            <w:r w:rsidRPr="004A1436">
              <w:rPr>
                <w:rFonts w:asciiTheme="majorHAnsi" w:hAnsiTheme="majorHAnsi" w:cstheme="majorHAnsi"/>
                <w:sz w:val="21"/>
                <w:szCs w:val="21"/>
              </w:rPr>
              <w:t xml:space="preserve">Documento: Contribución del Sistema de las Naciones Unidas a los Objetivos de Desarrollo Sostenible. </w:t>
            </w:r>
            <w:hyperlink r:id="rId39" w:history="1">
              <w:r w:rsidRPr="00710A6F">
                <w:rPr>
                  <w:rStyle w:val="Hipervnculo"/>
                  <w:rFonts w:asciiTheme="majorHAnsi" w:hAnsiTheme="majorHAnsi" w:cstheme="majorHAnsi"/>
                  <w:sz w:val="21"/>
                  <w:szCs w:val="21"/>
                </w:rPr>
                <w:t>Insumos para el Informe Nacional Voluntario</w:t>
              </w:r>
            </w:hyperlink>
          </w:p>
          <w:p w14:paraId="3B488591" w14:textId="77777777" w:rsidR="00FC7AD9" w:rsidRPr="004A1436" w:rsidRDefault="00100834" w:rsidP="00D74AB5">
            <w:pPr>
              <w:pStyle w:val="Prrafodelista"/>
              <w:numPr>
                <w:ilvl w:val="0"/>
                <w:numId w:val="16"/>
              </w:numPr>
              <w:contextualSpacing w:val="0"/>
              <w:rPr>
                <w:rFonts w:asciiTheme="majorHAnsi" w:hAnsiTheme="majorHAnsi" w:cstheme="majorHAnsi"/>
                <w:sz w:val="21"/>
                <w:szCs w:val="21"/>
              </w:rPr>
            </w:pPr>
            <w:hyperlink r:id="rId40" w:history="1">
              <w:r w:rsidR="00FC7AD9" w:rsidRPr="00710A6F">
                <w:rPr>
                  <w:rStyle w:val="Hipervnculo"/>
                  <w:rFonts w:asciiTheme="majorHAnsi" w:hAnsiTheme="majorHAnsi" w:cstheme="majorHAnsi"/>
                  <w:sz w:val="21"/>
                  <w:szCs w:val="21"/>
                </w:rPr>
                <w:t>Informe Nacional Voluntario 2021</w:t>
              </w:r>
            </w:hyperlink>
            <w:r w:rsidR="00FC7AD9" w:rsidRPr="004A1436">
              <w:rPr>
                <w:rFonts w:asciiTheme="majorHAnsi" w:hAnsiTheme="majorHAnsi" w:cstheme="majorHAnsi"/>
                <w:sz w:val="21"/>
                <w:szCs w:val="21"/>
              </w:rPr>
              <w:t xml:space="preserve">. Agenda 2030 en México </w:t>
            </w:r>
          </w:p>
        </w:tc>
      </w:tr>
    </w:tbl>
    <w:p w14:paraId="66575253" w14:textId="77777777" w:rsidR="00FC7AD9" w:rsidRPr="004A1436" w:rsidRDefault="00FC7AD9" w:rsidP="00FC7AD9">
      <w:pPr>
        <w:rPr>
          <w:rFonts w:asciiTheme="majorHAnsi" w:hAnsiTheme="majorHAnsi" w:cstheme="majorHAnsi"/>
          <w:sz w:val="21"/>
          <w:szCs w:val="21"/>
        </w:rPr>
      </w:pPr>
    </w:p>
    <w:tbl>
      <w:tblPr>
        <w:tblStyle w:val="Tablaconcuadrcula"/>
        <w:tblW w:w="8647" w:type="dxa"/>
        <w:tblInd w:w="137" w:type="dxa"/>
        <w:tblLayout w:type="fixed"/>
        <w:tblLook w:val="04A0" w:firstRow="1" w:lastRow="0" w:firstColumn="1" w:lastColumn="0" w:noHBand="0" w:noVBand="1"/>
      </w:tblPr>
      <w:tblGrid>
        <w:gridCol w:w="3765"/>
        <w:gridCol w:w="3323"/>
        <w:gridCol w:w="1559"/>
      </w:tblGrid>
      <w:tr w:rsidR="00FC7AD9" w:rsidRPr="004A1436" w14:paraId="4442D476" w14:textId="77777777" w:rsidTr="00460B03">
        <w:trPr>
          <w:trHeight w:val="868"/>
        </w:trPr>
        <w:tc>
          <w:tcPr>
            <w:tcW w:w="3765" w:type="dxa"/>
            <w:vAlign w:val="center"/>
          </w:tcPr>
          <w:p w14:paraId="7ABD852E" w14:textId="77777777" w:rsidR="00FC7AD9" w:rsidRPr="00460B03" w:rsidRDefault="00FC7AD9" w:rsidP="00316349">
            <w:pPr>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Indicador</w:t>
            </w:r>
          </w:p>
          <w:p w14:paraId="53AB23EE" w14:textId="77777777" w:rsidR="00FC7AD9" w:rsidRPr="004A1436" w:rsidRDefault="00FC7AD9" w:rsidP="00316349">
            <w:pPr>
              <w:rPr>
                <w:rFonts w:asciiTheme="majorHAnsi" w:hAnsiTheme="majorHAnsi" w:cstheme="majorHAnsi"/>
                <w:b/>
                <w:color w:val="548DD4" w:themeColor="text2" w:themeTint="99"/>
                <w:sz w:val="21"/>
                <w:szCs w:val="21"/>
              </w:rPr>
            </w:pPr>
            <w:r w:rsidRPr="004A1436">
              <w:rPr>
                <w:rFonts w:asciiTheme="majorHAnsi" w:hAnsiTheme="majorHAnsi" w:cstheme="majorHAnsi"/>
                <w:b/>
                <w:color w:val="000000" w:themeColor="dark1"/>
                <w:kern w:val="24"/>
                <w:sz w:val="21"/>
                <w:szCs w:val="21"/>
              </w:rPr>
              <w:t>3.2. Colaboración/coordinación con OSC de género</w:t>
            </w:r>
          </w:p>
        </w:tc>
        <w:tc>
          <w:tcPr>
            <w:tcW w:w="3323" w:type="dxa"/>
            <w:vAlign w:val="center"/>
          </w:tcPr>
          <w:p w14:paraId="678E42CA" w14:textId="77777777" w:rsidR="00FC7AD9" w:rsidRPr="00460B03" w:rsidRDefault="00FC7AD9" w:rsidP="00316349">
            <w:pPr>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Puntuación</w:t>
            </w:r>
          </w:p>
          <w:p w14:paraId="57A53DB6" w14:textId="77777777" w:rsidR="00FC7AD9" w:rsidRPr="004A1436" w:rsidRDefault="00FC7AD9" w:rsidP="00316349">
            <w:pPr>
              <w:rPr>
                <w:rFonts w:asciiTheme="majorHAnsi" w:hAnsiTheme="majorHAnsi" w:cstheme="majorHAnsi"/>
                <w:b/>
                <w:sz w:val="21"/>
                <w:szCs w:val="21"/>
              </w:rPr>
            </w:pPr>
            <w:r w:rsidRPr="004A1436">
              <w:rPr>
                <w:rFonts w:asciiTheme="majorHAnsi" w:hAnsiTheme="majorHAnsi" w:cstheme="majorHAnsi"/>
                <w:b/>
                <w:sz w:val="21"/>
                <w:szCs w:val="21"/>
              </w:rPr>
              <w:t>Supera el estándar mínimo</w:t>
            </w:r>
          </w:p>
          <w:p w14:paraId="793D5265" w14:textId="77777777" w:rsidR="00FC7AD9" w:rsidRPr="004A1436" w:rsidRDefault="00FC7AD9" w:rsidP="00316349">
            <w:pPr>
              <w:rPr>
                <w:rFonts w:asciiTheme="majorHAnsi" w:hAnsiTheme="majorHAnsi" w:cstheme="majorHAnsi"/>
                <w:sz w:val="21"/>
                <w:szCs w:val="21"/>
                <w:highlight w:val="yellow"/>
              </w:rPr>
            </w:pPr>
            <w:r w:rsidRPr="004A1436">
              <w:rPr>
                <w:rFonts w:asciiTheme="majorHAnsi" w:hAnsiTheme="majorHAnsi" w:cstheme="majorHAnsi"/>
                <w:bCs/>
                <w:kern w:val="24"/>
                <w:sz w:val="21"/>
                <w:szCs w:val="21"/>
                <w:lang w:val="es-ES"/>
              </w:rPr>
              <w:t>(se movió + con respecto a 2019)</w:t>
            </w:r>
          </w:p>
        </w:tc>
        <w:tc>
          <w:tcPr>
            <w:tcW w:w="1559" w:type="dxa"/>
            <w:vAlign w:val="center"/>
          </w:tcPr>
          <w:p w14:paraId="408EE062" w14:textId="77777777" w:rsidR="00FC7AD9" w:rsidRPr="004A1436" w:rsidRDefault="00FC7AD9" w:rsidP="00316349">
            <w:pPr>
              <w:ind w:left="1416"/>
              <w:jc w:val="center"/>
              <w:rPr>
                <w:rFonts w:asciiTheme="majorHAnsi" w:hAnsiTheme="majorHAnsi" w:cstheme="majorHAnsi"/>
                <w:b/>
                <w:sz w:val="21"/>
                <w:szCs w:val="21"/>
                <w:highlight w:val="yellow"/>
              </w:rPr>
            </w:pPr>
            <w:r w:rsidRPr="004A1436">
              <w:rPr>
                <w:rFonts w:asciiTheme="majorHAnsi" w:hAnsiTheme="majorHAnsi" w:cstheme="majorHAnsi"/>
                <w:b/>
                <w:noProof/>
                <w:sz w:val="21"/>
                <w:szCs w:val="21"/>
                <w:highlight w:val="yellow"/>
                <w:lang w:val="en-US"/>
              </w:rPr>
              <w:drawing>
                <wp:anchor distT="0" distB="0" distL="114300" distR="114300" simplePos="0" relativeHeight="251677696" behindDoc="0" locked="0" layoutInCell="1" allowOverlap="1" wp14:anchorId="4CD4780C" wp14:editId="0E0E44CC">
                  <wp:simplePos x="0" y="0"/>
                  <wp:positionH relativeFrom="column">
                    <wp:posOffset>212725</wp:posOffset>
                  </wp:positionH>
                  <wp:positionV relativeFrom="paragraph">
                    <wp:posOffset>-201930</wp:posOffset>
                  </wp:positionV>
                  <wp:extent cx="358140" cy="358140"/>
                  <wp:effectExtent l="0" t="0" r="0" b="0"/>
                  <wp:wrapSquare wrapText="bothSides"/>
                  <wp:docPr id="29" name="Gráfico 29"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20">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1"/>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4A1436" w14:paraId="5EB1E0D0" w14:textId="77777777" w:rsidTr="00460B03">
        <w:tc>
          <w:tcPr>
            <w:tcW w:w="8647" w:type="dxa"/>
            <w:gridSpan w:val="3"/>
          </w:tcPr>
          <w:p w14:paraId="52DD89EF" w14:textId="77777777" w:rsidR="00FC7AD9" w:rsidRPr="00460B03" w:rsidRDefault="00FC7AD9" w:rsidP="00316349">
            <w:pPr>
              <w:spacing w:after="120"/>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Hallazgos y justificación por criterio</w:t>
            </w:r>
          </w:p>
          <w:p w14:paraId="18017237" w14:textId="7673041C" w:rsidR="00FC7AD9" w:rsidRPr="004A1436" w:rsidRDefault="00FC7AD9" w:rsidP="00D74AB5">
            <w:pPr>
              <w:pStyle w:val="Prrafodelista"/>
              <w:widowControl w:val="0"/>
              <w:numPr>
                <w:ilvl w:val="0"/>
                <w:numId w:val="18"/>
              </w:numPr>
              <w:autoSpaceDE w:val="0"/>
              <w:autoSpaceDN w:val="0"/>
              <w:adjustRightInd w:val="0"/>
              <w:spacing w:after="120"/>
              <w:contextualSpacing w:val="0"/>
              <w:jc w:val="both"/>
              <w:rPr>
                <w:rFonts w:asciiTheme="majorHAnsi" w:hAnsiTheme="majorHAnsi" w:cstheme="majorHAnsi"/>
                <w:sz w:val="21"/>
                <w:szCs w:val="21"/>
              </w:rPr>
            </w:pPr>
            <w:r w:rsidRPr="004A1436">
              <w:rPr>
                <w:rFonts w:asciiTheme="majorHAnsi" w:hAnsiTheme="majorHAnsi" w:cstheme="majorHAnsi"/>
                <w:b/>
                <w:bCs/>
                <w:i/>
                <w:iCs/>
                <w:sz w:val="21"/>
                <w:szCs w:val="21"/>
                <w:lang w:val="es-ES"/>
              </w:rPr>
              <w:t xml:space="preserve">El UNCT ha colaborado con OSC que trabajan por la IGEM en al menos dos iniciativas conjuntas para promover la igualdad de género dentro del ciclo del UNSCDF actual. </w:t>
            </w:r>
            <w:r w:rsidRPr="00460B03">
              <w:rPr>
                <w:rFonts w:asciiTheme="majorHAnsi" w:hAnsiTheme="majorHAnsi" w:cstheme="majorHAnsi"/>
                <w:b/>
                <w:bCs/>
                <w:i/>
                <w:iCs/>
                <w:color w:val="00B0F0"/>
                <w:sz w:val="21"/>
                <w:szCs w:val="21"/>
                <w:u w:val="single"/>
              </w:rPr>
              <w:t>CUMPLE.</w:t>
            </w:r>
            <w:r w:rsidRPr="004A1436">
              <w:rPr>
                <w:rFonts w:asciiTheme="majorHAnsi" w:hAnsiTheme="majorHAnsi" w:cstheme="majorHAnsi"/>
                <w:b/>
                <w:bCs/>
                <w:i/>
                <w:iCs/>
                <w:color w:val="0070C0"/>
                <w:sz w:val="21"/>
                <w:szCs w:val="21"/>
                <w:u w:val="single"/>
              </w:rPr>
              <w:t xml:space="preserve">   </w:t>
            </w:r>
            <w:r w:rsidRPr="004A1436">
              <w:rPr>
                <w:rFonts w:asciiTheme="majorHAnsi" w:hAnsiTheme="majorHAnsi" w:cstheme="majorHAnsi"/>
                <w:sz w:val="21"/>
                <w:szCs w:val="21"/>
              </w:rPr>
              <w:t>E</w:t>
            </w:r>
            <w:r w:rsidRPr="004A1436">
              <w:rPr>
                <w:rFonts w:asciiTheme="majorHAnsi" w:hAnsiTheme="majorHAnsi" w:cstheme="majorHAnsi"/>
                <w:color w:val="000000" w:themeColor="text1"/>
                <w:sz w:val="21"/>
                <w:szCs w:val="21"/>
              </w:rPr>
              <w:t xml:space="preserve">l SNU en México ha colaborado en más de dos iniciativas conjuntas que involucran la participación  activa de las OSC que trabajan por la IGEM, ya sea como socias implementadoras, aliadas o beneficiarias.  Ejemplo de ello lo constituyen: </w:t>
            </w:r>
            <w:r w:rsidR="00460B03">
              <w:rPr>
                <w:rFonts w:asciiTheme="majorHAnsi" w:hAnsiTheme="majorHAnsi" w:cstheme="majorHAnsi"/>
                <w:color w:val="000000" w:themeColor="text1"/>
                <w:sz w:val="21"/>
                <w:szCs w:val="21"/>
              </w:rPr>
              <w:t xml:space="preserve">(i) </w:t>
            </w:r>
            <w:r w:rsidRPr="004A1436">
              <w:rPr>
                <w:rFonts w:asciiTheme="majorHAnsi" w:hAnsiTheme="majorHAnsi" w:cstheme="majorHAnsi"/>
                <w:color w:val="000000" w:themeColor="text1"/>
                <w:sz w:val="21"/>
                <w:szCs w:val="21"/>
              </w:rPr>
              <w:t>la Iniciativa Spotlight, en donde 9 OSC colaboran como socias implementadoras y 80 son beneficiarias directas del proyecto</w:t>
            </w:r>
            <w:r>
              <w:rPr>
                <w:rFonts w:asciiTheme="majorHAnsi" w:hAnsiTheme="majorHAnsi" w:cstheme="majorHAnsi"/>
                <w:color w:val="000000" w:themeColor="text1"/>
                <w:sz w:val="21"/>
                <w:szCs w:val="21"/>
              </w:rPr>
              <w:t xml:space="preserve">, además de que la </w:t>
            </w:r>
            <w:r w:rsidR="00460B03">
              <w:rPr>
                <w:rFonts w:asciiTheme="majorHAnsi" w:hAnsiTheme="majorHAnsi" w:cstheme="majorHAnsi"/>
                <w:color w:val="000000" w:themeColor="text1"/>
                <w:sz w:val="21"/>
                <w:szCs w:val="21"/>
              </w:rPr>
              <w:t>sociedad</w:t>
            </w:r>
            <w:r>
              <w:rPr>
                <w:rFonts w:asciiTheme="majorHAnsi" w:hAnsiTheme="majorHAnsi" w:cstheme="majorHAnsi"/>
                <w:color w:val="000000" w:themeColor="text1"/>
                <w:sz w:val="21"/>
                <w:szCs w:val="21"/>
              </w:rPr>
              <w:t xml:space="preserve"> civil es parte de la gobernanza de la iniciativa</w:t>
            </w:r>
            <w:r w:rsidR="00460B03">
              <w:rPr>
                <w:rFonts w:asciiTheme="majorHAnsi" w:hAnsiTheme="majorHAnsi" w:cstheme="majorHAnsi"/>
                <w:color w:val="000000" w:themeColor="text1"/>
                <w:sz w:val="21"/>
                <w:szCs w:val="21"/>
              </w:rPr>
              <w:t>; (ii) e</w:t>
            </w:r>
            <w:r>
              <w:rPr>
                <w:rFonts w:asciiTheme="majorHAnsi" w:hAnsiTheme="majorHAnsi" w:cstheme="majorHAnsi"/>
                <w:color w:val="000000" w:themeColor="text1"/>
                <w:sz w:val="21"/>
                <w:szCs w:val="21"/>
              </w:rPr>
              <w:t xml:space="preserve">l </w:t>
            </w:r>
            <w:r w:rsidRPr="004A1436">
              <w:rPr>
                <w:rFonts w:asciiTheme="majorHAnsi" w:hAnsiTheme="majorHAnsi" w:cstheme="majorHAnsi"/>
                <w:color w:val="000000" w:themeColor="text1"/>
                <w:sz w:val="21"/>
                <w:szCs w:val="21"/>
              </w:rPr>
              <w:t xml:space="preserve">PC Cerrando Brechas se implementa de la mano con el Sindicato Nacional de Trabajadores y Trabajadoras del Hogar (SINACTRAHO) y el </w:t>
            </w:r>
            <w:r w:rsidRPr="00460B03">
              <w:rPr>
                <w:rStyle w:val="nfasis"/>
                <w:rFonts w:asciiTheme="majorHAnsi" w:hAnsiTheme="majorHAnsi" w:cstheme="majorHAnsi"/>
                <w:i w:val="0"/>
                <w:iCs w:val="0"/>
                <w:color w:val="000000" w:themeColor="text1"/>
                <w:sz w:val="21"/>
                <w:szCs w:val="21"/>
                <w:shd w:val="clear" w:color="auto" w:fill="FFFFFF"/>
              </w:rPr>
              <w:t>Centro de Apoyo y Capacitación para Empleadas del Hogar</w:t>
            </w:r>
            <w:r w:rsidRPr="004A1436">
              <w:rPr>
                <w:rFonts w:asciiTheme="majorHAnsi" w:hAnsiTheme="majorHAnsi" w:cstheme="majorHAnsi"/>
                <w:color w:val="000000" w:themeColor="text1"/>
                <w:sz w:val="21"/>
                <w:szCs w:val="21"/>
                <w:shd w:val="clear" w:color="auto" w:fill="FFFFFF"/>
              </w:rPr>
              <w:t xml:space="preserve"> (</w:t>
            </w:r>
            <w:r w:rsidRPr="004A1436">
              <w:rPr>
                <w:rStyle w:val="nfasis"/>
                <w:rFonts w:asciiTheme="majorHAnsi" w:hAnsiTheme="majorHAnsi" w:cstheme="majorHAnsi"/>
                <w:color w:val="000000" w:themeColor="text1"/>
                <w:sz w:val="21"/>
                <w:szCs w:val="21"/>
                <w:shd w:val="clear" w:color="auto" w:fill="FFFFFF"/>
              </w:rPr>
              <w:t>CACEH</w:t>
            </w:r>
            <w:r w:rsidRPr="004A1436">
              <w:rPr>
                <w:rFonts w:asciiTheme="majorHAnsi" w:hAnsiTheme="majorHAnsi" w:cstheme="majorHAnsi"/>
                <w:color w:val="000000" w:themeColor="text1"/>
                <w:sz w:val="21"/>
                <w:szCs w:val="21"/>
                <w:shd w:val="clear" w:color="auto" w:fill="FFFFFF"/>
              </w:rPr>
              <w:t xml:space="preserve">), e involucra la participación de 26 OSC defensoras de la IGEM  y los derechos de las trabajadoras del hogar; </w:t>
            </w:r>
            <w:r w:rsidR="00460B03">
              <w:rPr>
                <w:rFonts w:asciiTheme="majorHAnsi" w:hAnsiTheme="majorHAnsi" w:cstheme="majorHAnsi"/>
                <w:color w:val="000000" w:themeColor="text1"/>
                <w:sz w:val="21"/>
                <w:szCs w:val="21"/>
                <w:shd w:val="clear" w:color="auto" w:fill="FFFFFF"/>
              </w:rPr>
              <w:t xml:space="preserve">(iii) </w:t>
            </w:r>
            <w:r w:rsidRPr="004A1436">
              <w:rPr>
                <w:rFonts w:asciiTheme="majorHAnsi" w:hAnsiTheme="majorHAnsi" w:cstheme="majorHAnsi"/>
                <w:color w:val="000000" w:themeColor="text1"/>
                <w:sz w:val="21"/>
                <w:szCs w:val="21"/>
                <w:shd w:val="clear" w:color="auto" w:fill="FFFFFF"/>
              </w:rPr>
              <w:t xml:space="preserve">el PC Juventud en riesgo ante y después de la COVID-19 </w:t>
            </w:r>
            <w:r>
              <w:rPr>
                <w:rFonts w:asciiTheme="majorHAnsi" w:hAnsiTheme="majorHAnsi" w:cstheme="majorHAnsi"/>
                <w:color w:val="000000" w:themeColor="text1"/>
                <w:sz w:val="21"/>
                <w:szCs w:val="21"/>
                <w:shd w:val="clear" w:color="auto" w:fill="FFFFFF"/>
              </w:rPr>
              <w:t>plantea</w:t>
            </w:r>
            <w:r w:rsidRPr="004A1436">
              <w:rPr>
                <w:rFonts w:asciiTheme="majorHAnsi" w:hAnsiTheme="majorHAnsi" w:cstheme="majorHAnsi"/>
                <w:color w:val="000000" w:themeColor="text1"/>
                <w:sz w:val="21"/>
                <w:szCs w:val="21"/>
                <w:shd w:val="clear" w:color="auto" w:fill="FFFFFF"/>
              </w:rPr>
              <w:t xml:space="preserve"> alianzas estratégicas </w:t>
            </w:r>
            <w:r>
              <w:rPr>
                <w:rFonts w:asciiTheme="majorHAnsi" w:hAnsiTheme="majorHAnsi" w:cstheme="majorHAnsi"/>
                <w:color w:val="000000" w:themeColor="text1"/>
                <w:sz w:val="21"/>
                <w:szCs w:val="21"/>
                <w:shd w:val="clear" w:color="auto" w:fill="FFFFFF"/>
              </w:rPr>
              <w:t xml:space="preserve">con </w:t>
            </w:r>
            <w:r w:rsidRPr="004A1436">
              <w:rPr>
                <w:rFonts w:asciiTheme="majorHAnsi" w:hAnsiTheme="majorHAnsi" w:cstheme="majorHAnsi"/>
                <w:sz w:val="21"/>
                <w:szCs w:val="21"/>
              </w:rPr>
              <w:t xml:space="preserve">organizaciones y redes juveniles locales, </w:t>
            </w:r>
            <w:r>
              <w:rPr>
                <w:rFonts w:asciiTheme="majorHAnsi" w:hAnsiTheme="majorHAnsi" w:cstheme="majorHAnsi"/>
                <w:sz w:val="21"/>
                <w:szCs w:val="21"/>
              </w:rPr>
              <w:t xml:space="preserve">incluyendo a </w:t>
            </w:r>
            <w:r w:rsidRPr="004A1436">
              <w:rPr>
                <w:rFonts w:asciiTheme="majorHAnsi" w:hAnsiTheme="majorHAnsi" w:cstheme="majorHAnsi"/>
                <w:sz w:val="21"/>
                <w:szCs w:val="21"/>
              </w:rPr>
              <w:t xml:space="preserve"> las organizaciones de mujeres jóvenes, </w:t>
            </w:r>
            <w:r w:rsidRPr="004A1436">
              <w:rPr>
                <w:rFonts w:asciiTheme="majorHAnsi" w:hAnsiTheme="majorHAnsi" w:cstheme="majorHAnsi"/>
                <w:color w:val="000000" w:themeColor="text1"/>
                <w:sz w:val="21"/>
                <w:szCs w:val="21"/>
                <w:shd w:val="clear" w:color="auto" w:fill="FFFFFF"/>
              </w:rPr>
              <w:t xml:space="preserve">para la implementación de diversas actividades. Además, </w:t>
            </w:r>
            <w:r w:rsidRPr="004A1436">
              <w:rPr>
                <w:rFonts w:asciiTheme="majorHAnsi" w:hAnsiTheme="majorHAnsi" w:cstheme="majorHAnsi"/>
                <w:sz w:val="21"/>
                <w:szCs w:val="21"/>
              </w:rPr>
              <w:t>las alianzas del SNU para avanzar la creación de un Sistema Nacional de Cuidados incluye</w:t>
            </w:r>
            <w:r w:rsidR="00460B03">
              <w:rPr>
                <w:rFonts w:asciiTheme="majorHAnsi" w:hAnsiTheme="majorHAnsi" w:cstheme="majorHAnsi"/>
                <w:sz w:val="21"/>
                <w:szCs w:val="21"/>
              </w:rPr>
              <w:t xml:space="preserve"> la partricipación activa de </w:t>
            </w:r>
            <w:r w:rsidRPr="004A1436">
              <w:rPr>
                <w:rFonts w:asciiTheme="majorHAnsi" w:hAnsiTheme="majorHAnsi" w:cstheme="majorHAnsi"/>
                <w:sz w:val="21"/>
                <w:szCs w:val="21"/>
              </w:rPr>
              <w:t xml:space="preserve"> la Red de Cuidados en México, compuesta por  organizaciones de mujeres, colectivos y activistas feministas, cuidadoras, especialistas y ciudadanas.</w:t>
            </w:r>
          </w:p>
          <w:p w14:paraId="0670964C" w14:textId="6F4CDE47" w:rsidR="00460B03" w:rsidRDefault="00FC7AD9" w:rsidP="00D74AB5">
            <w:pPr>
              <w:pStyle w:val="Prrafodelista"/>
              <w:widowControl w:val="0"/>
              <w:numPr>
                <w:ilvl w:val="0"/>
                <w:numId w:val="18"/>
              </w:numPr>
              <w:autoSpaceDE w:val="0"/>
              <w:autoSpaceDN w:val="0"/>
              <w:adjustRightInd w:val="0"/>
              <w:spacing w:after="120"/>
              <w:contextualSpacing w:val="0"/>
              <w:jc w:val="both"/>
              <w:rPr>
                <w:rFonts w:asciiTheme="majorHAnsi" w:hAnsiTheme="majorHAnsi" w:cstheme="majorHAnsi"/>
                <w:color w:val="000000" w:themeColor="text1"/>
                <w:sz w:val="21"/>
                <w:szCs w:val="21"/>
              </w:rPr>
            </w:pPr>
            <w:r w:rsidRPr="00A80645">
              <w:rPr>
                <w:rFonts w:asciiTheme="majorHAnsi" w:hAnsiTheme="majorHAnsi" w:cstheme="majorHAnsi"/>
                <w:b/>
                <w:bCs/>
                <w:i/>
                <w:iCs/>
                <w:sz w:val="21"/>
                <w:szCs w:val="21"/>
                <w:lang w:val="es-ES"/>
              </w:rPr>
              <w:t xml:space="preserve">Las OSC que trabajan por IGEM, incluyendo expertos/as y la academia, participan en las consultas del UNSDCF, el CCA, priorización estratégica, implementación y monitoreo y evaluación. </w:t>
            </w:r>
            <w:r w:rsidRPr="00A80645">
              <w:rPr>
                <w:rFonts w:asciiTheme="majorHAnsi" w:hAnsiTheme="majorHAnsi" w:cstheme="majorHAnsi"/>
                <w:b/>
                <w:bCs/>
                <w:i/>
                <w:iCs/>
                <w:color w:val="00B0F0"/>
                <w:sz w:val="21"/>
                <w:szCs w:val="21"/>
                <w:u w:val="single"/>
              </w:rPr>
              <w:t>CUMPLE.</w:t>
            </w:r>
            <w:r w:rsidR="00460B03" w:rsidRPr="00A80645">
              <w:rPr>
                <w:rFonts w:asciiTheme="majorHAnsi" w:hAnsiTheme="majorHAnsi" w:cstheme="majorHAnsi"/>
                <w:b/>
                <w:bCs/>
                <w:i/>
                <w:iCs/>
                <w:color w:val="0070C0"/>
                <w:sz w:val="21"/>
                <w:szCs w:val="21"/>
                <w:u w:val="single"/>
              </w:rPr>
              <w:t xml:space="preserve"> </w:t>
            </w:r>
            <w:r w:rsidRPr="00A80645">
              <w:rPr>
                <w:rFonts w:asciiTheme="majorHAnsi" w:hAnsiTheme="majorHAnsi" w:cstheme="majorHAnsi"/>
                <w:b/>
                <w:bCs/>
                <w:i/>
                <w:iCs/>
                <w:color w:val="0070C0"/>
                <w:sz w:val="21"/>
                <w:szCs w:val="21"/>
                <w:u w:val="single"/>
              </w:rPr>
              <w:t xml:space="preserve"> </w:t>
            </w:r>
            <w:r w:rsidRPr="00A80645">
              <w:rPr>
                <w:rFonts w:asciiTheme="majorHAnsi" w:hAnsiTheme="majorHAnsi" w:cstheme="majorHAnsi"/>
                <w:color w:val="000000" w:themeColor="text1"/>
                <w:sz w:val="21"/>
                <w:szCs w:val="21"/>
              </w:rPr>
              <w:t xml:space="preserve">El proceso de consulta del UNSDCF fue un ejercicio inédito que involucró en sentido amplio la participación de una gran diversidad de OSC nacionales, estatales y municipales que trabajan por la IGEM, incluyendo expertas, académicas, activistas feministas y defensoras de los derechos de las mujeres y las niñas, quienes aportaron datos, insumos estratégicos y una visión integrada para fortalecer las líneas estratégicas del área transversal de IGEM desde una visión corresponsable para su implementación. </w:t>
            </w:r>
            <w:r w:rsidR="00460B03" w:rsidRPr="00A80645">
              <w:rPr>
                <w:rFonts w:asciiTheme="majorHAnsi" w:hAnsiTheme="majorHAnsi" w:cstheme="majorHAnsi"/>
                <w:color w:val="000000" w:themeColor="text1"/>
                <w:sz w:val="21"/>
                <w:szCs w:val="21"/>
              </w:rPr>
              <w:t>Derivado de lo anterior, el Marco de Cooperación 2020-2025 y la Matriz Indicativa de Resultados incorporan explícitamente a las OSC que trabajan por la IGEM como socias estratégicas para el logro de resultados.  Además, en  el marco de Spotlight, el Grupo de Referencia de la Sociedad Civil  está involucrado y ha brindado asesoría técnica en los procesos de priorización estratégica, implementación, monitoreo y evaluación de la iniciativa, siendo esta una buena práctica que el SNU en México deberá mantener en otros PCs.  Por otro lado, diversas agencias</w:t>
            </w:r>
            <w:r w:rsidRPr="00A80645">
              <w:rPr>
                <w:rFonts w:asciiTheme="majorHAnsi" w:hAnsiTheme="majorHAnsi" w:cstheme="majorHAnsi"/>
                <w:color w:val="000000" w:themeColor="text1"/>
                <w:sz w:val="21"/>
                <w:szCs w:val="21"/>
              </w:rPr>
              <w:t xml:space="preserve"> (</w:t>
            </w:r>
            <w:r w:rsidRPr="00A80645">
              <w:rPr>
                <w:rFonts w:asciiTheme="majorHAnsi" w:eastAsiaTheme="minorEastAsia" w:hAnsiTheme="majorHAnsi" w:cstheme="majorHAnsi"/>
                <w:color w:val="000000" w:themeColor="text1"/>
                <w:sz w:val="21"/>
                <w:szCs w:val="21"/>
                <w:lang w:eastAsia="es-ES"/>
              </w:rPr>
              <w:t>ONU-DH, ONU Mujeres, UNFPA</w:t>
            </w:r>
            <w:r w:rsidR="00460B03" w:rsidRPr="00A80645">
              <w:rPr>
                <w:rFonts w:asciiTheme="majorHAnsi" w:eastAsiaTheme="minorEastAsia" w:hAnsiTheme="majorHAnsi" w:cstheme="majorHAnsi"/>
                <w:color w:val="000000" w:themeColor="text1"/>
                <w:sz w:val="21"/>
                <w:szCs w:val="21"/>
                <w:lang w:eastAsia="es-ES"/>
              </w:rPr>
              <w:t xml:space="preserve"> y</w:t>
            </w:r>
            <w:r w:rsidRPr="00A80645">
              <w:rPr>
                <w:rFonts w:asciiTheme="majorHAnsi" w:eastAsiaTheme="minorEastAsia" w:hAnsiTheme="majorHAnsi" w:cstheme="majorHAnsi"/>
                <w:color w:val="000000" w:themeColor="text1"/>
                <w:sz w:val="21"/>
                <w:szCs w:val="21"/>
                <w:lang w:eastAsia="es-ES"/>
              </w:rPr>
              <w:t xml:space="preserve"> UNICEF</w:t>
            </w:r>
            <w:r w:rsidRPr="00A80645">
              <w:rPr>
                <w:rFonts w:asciiTheme="majorHAnsi" w:hAnsiTheme="majorHAnsi" w:cstheme="majorHAnsi"/>
                <w:color w:val="000000" w:themeColor="text1"/>
                <w:sz w:val="21"/>
                <w:szCs w:val="21"/>
              </w:rPr>
              <w:t xml:space="preserve">) ha consolidado mecanismos formales de intercambio y diálogo con la sociedad civil, que involucran a redes, organizaciones y colectivos de mujeres, incluyendo organizaciones </w:t>
            </w:r>
            <w:r w:rsidR="00460B03" w:rsidRPr="00A80645">
              <w:rPr>
                <w:rFonts w:asciiTheme="majorHAnsi" w:hAnsiTheme="majorHAnsi" w:cstheme="majorHAnsi"/>
                <w:color w:val="000000" w:themeColor="text1"/>
                <w:sz w:val="21"/>
                <w:szCs w:val="21"/>
              </w:rPr>
              <w:t xml:space="preserve">comunitarias </w:t>
            </w:r>
            <w:r w:rsidRPr="00A80645">
              <w:rPr>
                <w:rFonts w:asciiTheme="majorHAnsi" w:hAnsiTheme="majorHAnsi" w:cstheme="majorHAnsi"/>
                <w:color w:val="000000" w:themeColor="text1"/>
                <w:sz w:val="21"/>
                <w:szCs w:val="21"/>
              </w:rPr>
              <w:t xml:space="preserve">de mujeres jóvenes y adolescentes, que trabajan por y/o en temas vinculados con la IGEM.  Estos mecanismos han facilitado consultas efectivas y estructuradas  que han fortalecido el trabajo del SNU para el logro de la IGEM desde la perspectiva, experiencia y conocimiento de la sociedad civil.  </w:t>
            </w:r>
          </w:p>
          <w:p w14:paraId="72F843EC" w14:textId="77777777" w:rsidR="00A80645" w:rsidRPr="00A80645" w:rsidRDefault="00A80645" w:rsidP="00A80645">
            <w:pPr>
              <w:pStyle w:val="Prrafodelista"/>
              <w:widowControl w:val="0"/>
              <w:autoSpaceDE w:val="0"/>
              <w:autoSpaceDN w:val="0"/>
              <w:adjustRightInd w:val="0"/>
              <w:spacing w:after="120"/>
              <w:ind w:left="360"/>
              <w:contextualSpacing w:val="0"/>
              <w:jc w:val="both"/>
              <w:rPr>
                <w:rFonts w:asciiTheme="majorHAnsi" w:hAnsiTheme="majorHAnsi" w:cstheme="majorHAnsi"/>
                <w:color w:val="000000" w:themeColor="text1"/>
                <w:sz w:val="21"/>
                <w:szCs w:val="21"/>
              </w:rPr>
            </w:pPr>
          </w:p>
          <w:p w14:paraId="0595CBA3" w14:textId="70883444" w:rsidR="00FC7AD9" w:rsidRPr="004A1436" w:rsidRDefault="00FC7AD9" w:rsidP="00D74AB5">
            <w:pPr>
              <w:pStyle w:val="Prrafodelista"/>
              <w:numPr>
                <w:ilvl w:val="0"/>
                <w:numId w:val="18"/>
              </w:numPr>
              <w:spacing w:after="120"/>
              <w:contextualSpacing w:val="0"/>
              <w:jc w:val="both"/>
              <w:rPr>
                <w:rFonts w:asciiTheme="majorHAnsi" w:hAnsiTheme="majorHAnsi" w:cstheme="majorHAnsi"/>
                <w:sz w:val="21"/>
                <w:szCs w:val="21"/>
              </w:rPr>
            </w:pPr>
            <w:r w:rsidRPr="004A1436">
              <w:rPr>
                <w:rFonts w:asciiTheme="majorHAnsi" w:hAnsiTheme="majorHAnsi" w:cstheme="majorHAnsi"/>
                <w:b/>
                <w:bCs/>
                <w:i/>
                <w:iCs/>
                <w:sz w:val="21"/>
                <w:szCs w:val="21"/>
                <w:lang w:val="es-ES"/>
              </w:rPr>
              <w:t xml:space="preserve">El UNCT ha hecho al menos una contribución sustantiva para fortalecer la participación y el compromiso de OSC que trabajan por la IGEM para la localización/implementación de los asuntos de género de los ODS. </w:t>
            </w:r>
            <w:r w:rsidRPr="00460B03">
              <w:rPr>
                <w:rFonts w:asciiTheme="majorHAnsi" w:hAnsiTheme="majorHAnsi" w:cstheme="majorHAnsi"/>
                <w:b/>
                <w:bCs/>
                <w:i/>
                <w:iCs/>
                <w:color w:val="00B0F0"/>
                <w:sz w:val="21"/>
                <w:szCs w:val="21"/>
                <w:u w:val="single"/>
              </w:rPr>
              <w:t>CUMPLE</w:t>
            </w:r>
            <w:r w:rsidRPr="004A1436">
              <w:rPr>
                <w:rFonts w:asciiTheme="majorHAnsi" w:hAnsiTheme="majorHAnsi" w:cstheme="majorHAnsi"/>
                <w:b/>
                <w:bCs/>
                <w:i/>
                <w:iCs/>
                <w:color w:val="0070C0"/>
                <w:sz w:val="21"/>
                <w:szCs w:val="21"/>
                <w:u w:val="single"/>
              </w:rPr>
              <w:t xml:space="preserve">. </w:t>
            </w:r>
            <w:r w:rsidRPr="004A1436">
              <w:rPr>
                <w:rFonts w:asciiTheme="majorHAnsi" w:hAnsiTheme="majorHAnsi" w:cstheme="majorHAnsi"/>
                <w:color w:val="0070C0"/>
                <w:sz w:val="21"/>
                <w:szCs w:val="21"/>
              </w:rPr>
              <w:t xml:space="preserve"> </w:t>
            </w:r>
            <w:r w:rsidRPr="004A1436">
              <w:rPr>
                <w:rFonts w:asciiTheme="majorHAnsi" w:hAnsiTheme="majorHAnsi" w:cstheme="majorHAnsi"/>
                <w:color w:val="000000" w:themeColor="text1"/>
                <w:sz w:val="21"/>
                <w:szCs w:val="21"/>
              </w:rPr>
              <w:t xml:space="preserve"> Las principales contribuciones en este sentido se han hecho a través de los  </w:t>
            </w:r>
            <w:r w:rsidR="00460B03">
              <w:rPr>
                <w:rFonts w:asciiTheme="majorHAnsi" w:hAnsiTheme="majorHAnsi" w:cstheme="majorHAnsi"/>
                <w:color w:val="000000" w:themeColor="text1"/>
                <w:sz w:val="21"/>
                <w:szCs w:val="21"/>
              </w:rPr>
              <w:t>PCs e inicitivas interagenciales</w:t>
            </w:r>
            <w:r w:rsidRPr="004A1436">
              <w:rPr>
                <w:rFonts w:asciiTheme="majorHAnsi" w:hAnsiTheme="majorHAnsi" w:cstheme="majorHAnsi"/>
                <w:color w:val="000000" w:themeColor="text1"/>
                <w:sz w:val="21"/>
                <w:szCs w:val="21"/>
              </w:rPr>
              <w:t xml:space="preserve"> en activo que tienen a la IGEM como objetivo principal de la intervención, en línea con las metas de género de los ODS. </w:t>
            </w:r>
            <w:r w:rsidR="00460B03">
              <w:rPr>
                <w:rFonts w:asciiTheme="majorHAnsi" w:hAnsiTheme="majorHAnsi" w:cstheme="majorHAnsi"/>
                <w:color w:val="000000" w:themeColor="text1"/>
                <w:sz w:val="21"/>
                <w:szCs w:val="21"/>
              </w:rPr>
              <w:t>Por ejemplo, l</w:t>
            </w:r>
            <w:r w:rsidRPr="004A1436">
              <w:rPr>
                <w:rFonts w:asciiTheme="majorHAnsi" w:hAnsiTheme="majorHAnsi" w:cstheme="majorHAnsi"/>
                <w:color w:val="000000" w:themeColor="text1"/>
                <w:sz w:val="21"/>
                <w:szCs w:val="21"/>
              </w:rPr>
              <w:t xml:space="preserve">a iniciativa Spotlight ha apoyado financiera y técnicamente a las OSC, </w:t>
            </w:r>
            <w:r w:rsidRPr="004A1436">
              <w:rPr>
                <w:rFonts w:asciiTheme="majorHAnsi" w:hAnsiTheme="majorHAnsi" w:cstheme="majorHAnsi"/>
                <w:sz w:val="21"/>
                <w:szCs w:val="21"/>
                <w:lang w:val="es-ES"/>
              </w:rPr>
              <w:t xml:space="preserve">con énfasis a las organizaciones de mujeres, comunitarias, de base y colectivos feministas de  los 3 estados y 5 municipios cubiertos </w:t>
            </w:r>
            <w:r w:rsidR="00460B03">
              <w:rPr>
                <w:rFonts w:asciiTheme="majorHAnsi" w:hAnsiTheme="majorHAnsi" w:cstheme="majorHAnsi"/>
                <w:sz w:val="21"/>
                <w:szCs w:val="21"/>
                <w:lang w:val="es-ES"/>
              </w:rPr>
              <w:t>por</w:t>
            </w:r>
            <w:r w:rsidRPr="004A1436">
              <w:rPr>
                <w:rFonts w:asciiTheme="majorHAnsi" w:hAnsiTheme="majorHAnsi" w:cstheme="majorHAnsi"/>
                <w:sz w:val="21"/>
                <w:szCs w:val="21"/>
                <w:lang w:val="es-ES"/>
              </w:rPr>
              <w:t xml:space="preserve"> el Programa, para que fortalezcan su trabajo territorial en materia de prevención y atención de la VCMNA, además de que </w:t>
            </w:r>
            <w:r w:rsidR="00460B03">
              <w:rPr>
                <w:rFonts w:asciiTheme="majorHAnsi" w:hAnsiTheme="majorHAnsi" w:cstheme="majorHAnsi"/>
                <w:sz w:val="21"/>
                <w:szCs w:val="21"/>
                <w:lang w:val="es-ES"/>
              </w:rPr>
              <w:t xml:space="preserve">se propuso para </w:t>
            </w:r>
            <w:r w:rsidRPr="004A1436">
              <w:rPr>
                <w:rFonts w:asciiTheme="majorHAnsi" w:hAnsiTheme="majorHAnsi" w:cstheme="majorHAnsi"/>
                <w:sz w:val="21"/>
                <w:szCs w:val="21"/>
                <w:lang w:val="es-ES"/>
              </w:rPr>
              <w:t xml:space="preserve">la segunda fase </w:t>
            </w:r>
            <w:r w:rsidR="00460B03">
              <w:rPr>
                <w:rFonts w:asciiTheme="majorHAnsi" w:hAnsiTheme="majorHAnsi" w:cstheme="majorHAnsi"/>
                <w:sz w:val="21"/>
                <w:szCs w:val="21"/>
                <w:lang w:val="es-ES"/>
              </w:rPr>
              <w:t xml:space="preserve">la ampliación de dicha </w:t>
            </w:r>
            <w:r w:rsidRPr="004A1436">
              <w:rPr>
                <w:rFonts w:asciiTheme="majorHAnsi" w:hAnsiTheme="majorHAnsi" w:cstheme="majorHAnsi"/>
                <w:sz w:val="21"/>
                <w:szCs w:val="21"/>
                <w:lang w:val="es-ES"/>
              </w:rPr>
              <w:t xml:space="preserve"> capacitación hacia aspectos que contribuyan a su sostenibilidad financiera más allá de Spotlight. El PC Cerrando Brechas ha dado visibilidad, desarrollado las capacidades y entregado subvenciones a </w:t>
            </w:r>
            <w:r w:rsidRPr="004A1436">
              <w:rPr>
                <w:rFonts w:asciiTheme="majorHAnsi" w:hAnsiTheme="majorHAnsi" w:cstheme="majorHAnsi"/>
                <w:sz w:val="21"/>
                <w:szCs w:val="21"/>
              </w:rPr>
              <w:t xml:space="preserve">SINACTRAHO y CACEH, lo que ha contribuido al fortalecimiento  de su rol y generación de alianzas para promover la afiliación al seguro social de las trabajadoras del hogar y el cumplimiento de obligaciones patronales. En el contexto del apoyo conjunto a la Estrategia Nacional de Mujeres, Paz y seguridad, las actividades han contribuido al diálogo político entre las autoridades locales y al menos 10 organizaciones, grupos y movimientos de mujeres para fortalecer el liderazgo de las mujeres y sensibilizar sobre la agenda Mujeres, Paz y Seguridad  en el estado de Veracruz y la Ciudad de México. </w:t>
            </w:r>
          </w:p>
        </w:tc>
      </w:tr>
      <w:tr w:rsidR="00FC7AD9" w:rsidRPr="004A1436" w14:paraId="70113E24" w14:textId="77777777" w:rsidTr="00460B03">
        <w:tc>
          <w:tcPr>
            <w:tcW w:w="8647" w:type="dxa"/>
            <w:gridSpan w:val="3"/>
          </w:tcPr>
          <w:p w14:paraId="690A7908" w14:textId="77777777" w:rsidR="00FC7AD9" w:rsidRPr="00460B03" w:rsidRDefault="00FC7AD9" w:rsidP="00316349">
            <w:pPr>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Evidencia/medios de verificación</w:t>
            </w:r>
          </w:p>
          <w:p w14:paraId="7D235418" w14:textId="77777777" w:rsidR="00460B03" w:rsidRPr="00FC7AD9" w:rsidRDefault="00460B03" w:rsidP="00D74AB5">
            <w:pPr>
              <w:pStyle w:val="Prrafodelista"/>
              <w:numPr>
                <w:ilvl w:val="0"/>
                <w:numId w:val="11"/>
              </w:numPr>
              <w:rPr>
                <w:rFonts w:asciiTheme="majorHAnsi" w:hAnsiTheme="majorHAnsi" w:cstheme="majorHAnsi"/>
              </w:rPr>
            </w:pPr>
            <w:r w:rsidRPr="00FC7AD9">
              <w:rPr>
                <w:rFonts w:asciiTheme="majorHAnsi" w:hAnsiTheme="majorHAnsi" w:cstheme="majorHAnsi"/>
              </w:rPr>
              <w:t xml:space="preserve">Documento del </w:t>
            </w:r>
            <w:hyperlink r:id="rId41" w:history="1">
              <w:r>
                <w:rPr>
                  <w:rStyle w:val="Hipervnculo"/>
                  <w:rFonts w:asciiTheme="majorHAnsi" w:hAnsiTheme="majorHAnsi" w:cstheme="majorHAnsi"/>
                </w:rPr>
                <w:t>Marco de Cooperación de las Naciones Unidas para el Desarrollo Sostenible de México 2020-2025</w:t>
              </w:r>
            </w:hyperlink>
            <w:r w:rsidRPr="00FC7AD9">
              <w:rPr>
                <w:rFonts w:asciiTheme="majorHAnsi" w:hAnsiTheme="majorHAnsi" w:cstheme="majorHAnsi"/>
              </w:rPr>
              <w:t xml:space="preserve"> </w:t>
            </w:r>
          </w:p>
          <w:p w14:paraId="02C4951A" w14:textId="77777777" w:rsidR="00FC7AD9" w:rsidRPr="004A1436" w:rsidRDefault="00100834" w:rsidP="00D74AB5">
            <w:pPr>
              <w:pStyle w:val="Prrafodelista"/>
              <w:numPr>
                <w:ilvl w:val="0"/>
                <w:numId w:val="11"/>
              </w:numPr>
              <w:contextualSpacing w:val="0"/>
              <w:rPr>
                <w:rFonts w:asciiTheme="majorHAnsi" w:hAnsiTheme="majorHAnsi" w:cstheme="majorHAnsi"/>
                <w:sz w:val="21"/>
                <w:szCs w:val="21"/>
              </w:rPr>
            </w:pPr>
            <w:hyperlink r:id="rId42" w:history="1">
              <w:r w:rsidR="00FC7AD9" w:rsidRPr="004A1436">
                <w:rPr>
                  <w:rStyle w:val="Hipervnculo"/>
                  <w:rFonts w:asciiTheme="majorHAnsi" w:hAnsiTheme="majorHAnsi" w:cstheme="majorHAnsi"/>
                  <w:sz w:val="21"/>
                  <w:szCs w:val="21"/>
                </w:rPr>
                <w:t>Informe 2020 de Resultados del SNU en México</w:t>
              </w:r>
            </w:hyperlink>
          </w:p>
          <w:p w14:paraId="4A98C3BD" w14:textId="39F854CA" w:rsidR="00FC7AD9" w:rsidRPr="00B4686E" w:rsidRDefault="00FC7AD9" w:rsidP="00D74AB5">
            <w:pPr>
              <w:pStyle w:val="Prrafodelista"/>
              <w:numPr>
                <w:ilvl w:val="0"/>
                <w:numId w:val="11"/>
              </w:numPr>
              <w:rPr>
                <w:rFonts w:asciiTheme="majorHAnsi" w:hAnsiTheme="majorHAnsi" w:cstheme="majorHAnsi"/>
                <w:sz w:val="21"/>
                <w:szCs w:val="21"/>
                <w:lang w:val="en-US"/>
              </w:rPr>
            </w:pPr>
            <w:r w:rsidRPr="00B4686E">
              <w:rPr>
                <w:rFonts w:asciiTheme="majorHAnsi" w:hAnsiTheme="majorHAnsi" w:cstheme="majorHAnsi"/>
                <w:sz w:val="21"/>
                <w:szCs w:val="21"/>
                <w:lang w:val="en-US"/>
              </w:rPr>
              <w:t xml:space="preserve">Documentos de Proyecto: </w:t>
            </w:r>
            <w:hyperlink r:id="rId43" w:history="1">
              <w:r w:rsidRPr="00B4686E">
                <w:rPr>
                  <w:rStyle w:val="Hipervnculo"/>
                  <w:rFonts w:asciiTheme="majorHAnsi" w:hAnsiTheme="majorHAnsi" w:cstheme="majorHAnsi"/>
                  <w:sz w:val="21"/>
                  <w:szCs w:val="21"/>
                  <w:lang w:val="en-US"/>
                </w:rPr>
                <w:t>Spotlight Country Programm Mexico</w:t>
              </w:r>
            </w:hyperlink>
            <w:r w:rsidRPr="00B4686E">
              <w:rPr>
                <w:rFonts w:asciiTheme="majorHAnsi" w:hAnsiTheme="majorHAnsi" w:cstheme="majorHAnsi"/>
                <w:sz w:val="21"/>
                <w:szCs w:val="21"/>
                <w:lang w:val="en-US"/>
              </w:rPr>
              <w:t xml:space="preserve"> y Nota Conceptual para la segunda fase; </w:t>
            </w:r>
            <w:hyperlink r:id="rId44" w:history="1">
              <w:r w:rsidR="00460B03">
                <w:rPr>
                  <w:rStyle w:val="Hipervnculo"/>
                  <w:rFonts w:asciiTheme="majorHAnsi" w:hAnsiTheme="majorHAnsi" w:cstheme="majorHAnsi"/>
                  <w:sz w:val="21"/>
                  <w:szCs w:val="21"/>
                  <w:lang w:val="en-US"/>
                </w:rPr>
                <w:t>JP Closing Gaps</w:t>
              </w:r>
            </w:hyperlink>
            <w:r w:rsidRPr="00B4686E">
              <w:rPr>
                <w:rFonts w:asciiTheme="majorHAnsi" w:hAnsiTheme="majorHAnsi" w:cstheme="majorHAnsi"/>
                <w:sz w:val="21"/>
                <w:szCs w:val="21"/>
                <w:lang w:val="en-US"/>
              </w:rPr>
              <w:t xml:space="preserve">: making Social Protection work for Women in Mexico; </w:t>
            </w:r>
            <w:hyperlink r:id="rId45" w:history="1">
              <w:r w:rsidRPr="00B4686E">
                <w:rPr>
                  <w:rStyle w:val="Hipervnculo"/>
                  <w:rFonts w:asciiTheme="majorHAnsi" w:hAnsiTheme="majorHAnsi" w:cstheme="majorHAnsi"/>
                  <w:sz w:val="21"/>
                  <w:szCs w:val="21"/>
                  <w:lang w:val="en-US"/>
                </w:rPr>
                <w:t>Prevent and reduce political violence against women candidates in the 2021 elections and support the implementation of Mexico’s first national WPS strategy</w:t>
              </w:r>
            </w:hyperlink>
            <w:r w:rsidRPr="00B4686E">
              <w:rPr>
                <w:rFonts w:asciiTheme="majorHAnsi" w:hAnsiTheme="majorHAnsi" w:cstheme="majorHAnsi"/>
                <w:sz w:val="21"/>
                <w:szCs w:val="21"/>
                <w:lang w:val="en-US"/>
              </w:rPr>
              <w:t xml:space="preserve">, in close collaboration with women’s organizations; </w:t>
            </w:r>
            <w:r w:rsidRPr="00B4686E">
              <w:rPr>
                <w:rFonts w:asciiTheme="majorHAnsi" w:hAnsiTheme="majorHAnsi" w:cstheme="majorHAnsi"/>
                <w:color w:val="000000"/>
                <w:sz w:val="21"/>
                <w:szCs w:val="21"/>
                <w:lang w:val="en-US"/>
              </w:rPr>
              <w:t>Promoting the human security approach for the protection, empowerment, and economic inclusion of youth-at-risk during and after the COVID-19 pandemic.</w:t>
            </w:r>
          </w:p>
          <w:p w14:paraId="6199F377" w14:textId="199FAB33" w:rsidR="00FC7AD9" w:rsidRPr="004A1436" w:rsidRDefault="00FC7AD9" w:rsidP="00D74AB5">
            <w:pPr>
              <w:pStyle w:val="Prrafodelista"/>
              <w:numPr>
                <w:ilvl w:val="0"/>
                <w:numId w:val="11"/>
              </w:numPr>
              <w:rPr>
                <w:rFonts w:asciiTheme="majorHAnsi" w:hAnsiTheme="majorHAnsi" w:cstheme="majorHAnsi"/>
                <w:sz w:val="21"/>
                <w:szCs w:val="21"/>
                <w:lang w:val="es-ES"/>
              </w:rPr>
            </w:pPr>
            <w:r w:rsidRPr="004A1436">
              <w:rPr>
                <w:rFonts w:asciiTheme="majorHAnsi" w:hAnsiTheme="majorHAnsi" w:cstheme="majorHAnsi"/>
                <w:sz w:val="21"/>
                <w:szCs w:val="21"/>
                <w:lang w:val="es-ES"/>
              </w:rPr>
              <w:t xml:space="preserve">Informe de progreso de la Iniciativa </w:t>
            </w:r>
            <w:r w:rsidR="007B4464" w:rsidRPr="004A1436">
              <w:rPr>
                <w:rFonts w:asciiTheme="majorHAnsi" w:hAnsiTheme="majorHAnsi" w:cstheme="majorHAnsi"/>
                <w:sz w:val="21"/>
                <w:szCs w:val="21"/>
                <w:lang w:val="es-ES"/>
              </w:rPr>
              <w:t>Spot</w:t>
            </w:r>
            <w:r w:rsidR="007B4464">
              <w:rPr>
                <w:rFonts w:asciiTheme="majorHAnsi" w:hAnsiTheme="majorHAnsi" w:cstheme="majorHAnsi"/>
                <w:sz w:val="21"/>
                <w:szCs w:val="21"/>
                <w:lang w:val="es-ES"/>
              </w:rPr>
              <w:t>l</w:t>
            </w:r>
            <w:r w:rsidR="007B4464" w:rsidRPr="004A1436">
              <w:rPr>
                <w:rFonts w:asciiTheme="majorHAnsi" w:hAnsiTheme="majorHAnsi" w:cstheme="majorHAnsi"/>
                <w:sz w:val="21"/>
                <w:szCs w:val="21"/>
                <w:lang w:val="es-ES"/>
              </w:rPr>
              <w:t>ight</w:t>
            </w:r>
            <w:r w:rsidRPr="004A1436">
              <w:rPr>
                <w:rFonts w:asciiTheme="majorHAnsi" w:hAnsiTheme="majorHAnsi" w:cstheme="majorHAnsi"/>
                <w:sz w:val="21"/>
                <w:szCs w:val="21"/>
                <w:lang w:val="es-ES"/>
              </w:rPr>
              <w:t xml:space="preserve"> 2020.</w:t>
            </w:r>
          </w:p>
          <w:p w14:paraId="6A1E09D9" w14:textId="29B65ABB" w:rsidR="00FC7AD9" w:rsidRPr="00460B03" w:rsidRDefault="00FC7AD9" w:rsidP="00D74AB5">
            <w:pPr>
              <w:pStyle w:val="Prrafodelista"/>
              <w:numPr>
                <w:ilvl w:val="0"/>
                <w:numId w:val="11"/>
              </w:numPr>
              <w:rPr>
                <w:rFonts w:asciiTheme="majorHAnsi" w:hAnsiTheme="majorHAnsi" w:cstheme="majorHAnsi"/>
                <w:sz w:val="21"/>
                <w:szCs w:val="21"/>
              </w:rPr>
            </w:pPr>
            <w:r w:rsidRPr="004A1436">
              <w:rPr>
                <w:rFonts w:asciiTheme="majorHAnsi" w:hAnsiTheme="majorHAnsi" w:cstheme="majorHAnsi"/>
                <w:sz w:val="21"/>
                <w:szCs w:val="21"/>
                <w:lang w:val="es-ES"/>
              </w:rPr>
              <w:t xml:space="preserve">Resultados principales del </w:t>
            </w:r>
            <w:r w:rsidR="00460B03">
              <w:rPr>
                <w:rFonts w:asciiTheme="majorHAnsi" w:hAnsiTheme="majorHAnsi" w:cstheme="majorHAnsi"/>
                <w:sz w:val="21"/>
                <w:szCs w:val="21"/>
                <w:lang w:val="es-ES"/>
              </w:rPr>
              <w:t>PC</w:t>
            </w:r>
            <w:r w:rsidRPr="004A1436">
              <w:rPr>
                <w:rFonts w:asciiTheme="majorHAnsi" w:hAnsiTheme="majorHAnsi" w:cstheme="majorHAnsi"/>
                <w:sz w:val="21"/>
                <w:szCs w:val="21"/>
                <w:lang w:val="es-ES"/>
              </w:rPr>
              <w:t xml:space="preserve"> Cerrando Brechas: Protección social para las mujeres en México. Febrero de 2020 a junio de 2021. </w:t>
            </w:r>
          </w:p>
          <w:p w14:paraId="1D6CC012" w14:textId="77777777" w:rsidR="00FC7AD9" w:rsidRPr="004A1436" w:rsidRDefault="00FC7AD9" w:rsidP="00D74AB5">
            <w:pPr>
              <w:pStyle w:val="Prrafodelista"/>
              <w:numPr>
                <w:ilvl w:val="0"/>
                <w:numId w:val="11"/>
              </w:numPr>
              <w:contextualSpacing w:val="0"/>
              <w:rPr>
                <w:rFonts w:asciiTheme="majorHAnsi" w:hAnsiTheme="majorHAnsi" w:cstheme="majorHAnsi"/>
                <w:sz w:val="21"/>
                <w:szCs w:val="21"/>
                <w:lang w:val="en-US"/>
              </w:rPr>
            </w:pPr>
            <w:r w:rsidRPr="004A1436">
              <w:rPr>
                <w:rFonts w:asciiTheme="majorHAnsi" w:hAnsiTheme="majorHAnsi" w:cstheme="majorHAnsi"/>
                <w:sz w:val="21"/>
                <w:szCs w:val="21"/>
              </w:rPr>
              <w:t xml:space="preserve">Documento: Contribución del Sistema de las Naciones Unidas a los Objetivos de Desarrollo Sostenible. </w:t>
            </w:r>
            <w:hyperlink r:id="rId46" w:history="1">
              <w:r w:rsidRPr="00710A6F">
                <w:rPr>
                  <w:rStyle w:val="Hipervnculo"/>
                  <w:rFonts w:asciiTheme="majorHAnsi" w:hAnsiTheme="majorHAnsi" w:cstheme="majorHAnsi"/>
                  <w:sz w:val="21"/>
                  <w:szCs w:val="21"/>
                </w:rPr>
                <w:t>Insumos para el Informe Nacional Voluntario</w:t>
              </w:r>
            </w:hyperlink>
          </w:p>
        </w:tc>
      </w:tr>
    </w:tbl>
    <w:p w14:paraId="6089CF7B" w14:textId="77777777" w:rsidR="00FC7AD9" w:rsidRDefault="00FC7AD9" w:rsidP="00FC7AD9">
      <w:pPr>
        <w:rPr>
          <w:rFonts w:asciiTheme="majorHAnsi" w:hAnsiTheme="majorHAnsi" w:cstheme="majorHAnsi"/>
          <w:sz w:val="21"/>
          <w:szCs w:val="21"/>
          <w:lang w:val="en-US"/>
        </w:rPr>
      </w:pPr>
    </w:p>
    <w:p w14:paraId="177EFAF9" w14:textId="349819D7" w:rsidR="00FC7AD9" w:rsidRPr="00862551" w:rsidRDefault="00FC7AD9" w:rsidP="00862551">
      <w:pPr>
        <w:rPr>
          <w:rFonts w:ascii="Calibri" w:hAnsi="Calibri" w:cs="Calibri"/>
          <w:b/>
          <w:bCs/>
          <w:color w:val="00B0F0"/>
        </w:rPr>
      </w:pPr>
      <w:r w:rsidRPr="00862551">
        <w:rPr>
          <w:rFonts w:ascii="Calibri" w:hAnsi="Calibri" w:cs="Calibri"/>
          <w:b/>
          <w:bCs/>
          <w:color w:val="00B0F0"/>
        </w:rPr>
        <w:t>5. Mecanismos y capacidades de género</w:t>
      </w:r>
    </w:p>
    <w:p w14:paraId="7D6ED8C7" w14:textId="77777777" w:rsidR="00FC7AD9" w:rsidRPr="00A1169D" w:rsidRDefault="00FC7AD9" w:rsidP="00FC7AD9">
      <w:pPr>
        <w:rPr>
          <w:lang w:val="es-ES_tradnl" w:eastAsia="es-ES"/>
        </w:rPr>
      </w:pPr>
    </w:p>
    <w:tbl>
      <w:tblPr>
        <w:tblStyle w:val="Tablaconcuadrcula"/>
        <w:tblW w:w="8647" w:type="dxa"/>
        <w:tblInd w:w="137" w:type="dxa"/>
        <w:tblLayout w:type="fixed"/>
        <w:tblLook w:val="04A0" w:firstRow="1" w:lastRow="0" w:firstColumn="1" w:lastColumn="0" w:noHBand="0" w:noVBand="1"/>
      </w:tblPr>
      <w:tblGrid>
        <w:gridCol w:w="6"/>
        <w:gridCol w:w="3750"/>
        <w:gridCol w:w="3473"/>
        <w:gridCol w:w="1418"/>
      </w:tblGrid>
      <w:tr w:rsidR="00FC7AD9" w:rsidRPr="004A1436" w14:paraId="3AE02617" w14:textId="77777777" w:rsidTr="00460B03">
        <w:trPr>
          <w:gridBefore w:val="1"/>
          <w:wBefore w:w="6" w:type="dxa"/>
          <w:trHeight w:val="868"/>
        </w:trPr>
        <w:tc>
          <w:tcPr>
            <w:tcW w:w="3750" w:type="dxa"/>
            <w:vAlign w:val="center"/>
          </w:tcPr>
          <w:p w14:paraId="207F3E95" w14:textId="77777777" w:rsidR="00FC7AD9" w:rsidRPr="00460B03" w:rsidRDefault="00FC7AD9" w:rsidP="00316349">
            <w:pPr>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Indicador</w:t>
            </w:r>
          </w:p>
          <w:p w14:paraId="4C90B05F" w14:textId="77777777" w:rsidR="00FC7AD9" w:rsidRPr="004A1436" w:rsidRDefault="00FC7AD9" w:rsidP="00316349">
            <w:pPr>
              <w:rPr>
                <w:rFonts w:asciiTheme="majorHAnsi" w:hAnsiTheme="majorHAnsi" w:cstheme="majorHAnsi"/>
                <w:b/>
                <w:color w:val="548DD4" w:themeColor="text2" w:themeTint="99"/>
                <w:sz w:val="21"/>
                <w:szCs w:val="21"/>
              </w:rPr>
            </w:pPr>
            <w:r w:rsidRPr="004A1436">
              <w:rPr>
                <w:rFonts w:asciiTheme="majorHAnsi" w:hAnsiTheme="majorHAnsi" w:cstheme="majorHAnsi"/>
                <w:b/>
                <w:color w:val="000000" w:themeColor="dark1"/>
                <w:kern w:val="24"/>
                <w:sz w:val="21"/>
                <w:szCs w:val="21"/>
              </w:rPr>
              <w:t xml:space="preserve">5.1. Mecanismos de coordinación sobre género  </w:t>
            </w:r>
          </w:p>
        </w:tc>
        <w:tc>
          <w:tcPr>
            <w:tcW w:w="3473" w:type="dxa"/>
            <w:vAlign w:val="center"/>
          </w:tcPr>
          <w:p w14:paraId="65CB08F9" w14:textId="77777777" w:rsidR="00FC7AD9" w:rsidRPr="00460B03" w:rsidRDefault="00FC7AD9" w:rsidP="00316349">
            <w:pPr>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Puntuación</w:t>
            </w:r>
          </w:p>
          <w:p w14:paraId="392417D7" w14:textId="77777777" w:rsidR="00FC7AD9" w:rsidRPr="004A1436" w:rsidRDefault="00FC7AD9" w:rsidP="00316349">
            <w:pPr>
              <w:rPr>
                <w:rFonts w:asciiTheme="majorHAnsi" w:hAnsiTheme="majorHAnsi" w:cstheme="majorHAnsi"/>
                <w:b/>
                <w:sz w:val="21"/>
                <w:szCs w:val="21"/>
              </w:rPr>
            </w:pPr>
            <w:r>
              <w:rPr>
                <w:rFonts w:asciiTheme="majorHAnsi" w:hAnsiTheme="majorHAnsi" w:cstheme="majorHAnsi"/>
                <w:b/>
                <w:sz w:val="21"/>
                <w:szCs w:val="21"/>
              </w:rPr>
              <w:t xml:space="preserve">Cumple con </w:t>
            </w:r>
            <w:r w:rsidRPr="004A1436">
              <w:rPr>
                <w:rFonts w:asciiTheme="majorHAnsi" w:hAnsiTheme="majorHAnsi" w:cstheme="majorHAnsi"/>
                <w:b/>
                <w:sz w:val="21"/>
                <w:szCs w:val="21"/>
              </w:rPr>
              <w:t>el estándar mínimo</w:t>
            </w:r>
          </w:p>
          <w:p w14:paraId="38B375B6" w14:textId="77777777" w:rsidR="00FC7AD9" w:rsidRPr="004A1436" w:rsidRDefault="00FC7AD9" w:rsidP="00316349">
            <w:pPr>
              <w:rPr>
                <w:rFonts w:asciiTheme="majorHAnsi" w:hAnsiTheme="majorHAnsi" w:cstheme="majorHAnsi"/>
                <w:sz w:val="21"/>
                <w:szCs w:val="21"/>
                <w:highlight w:val="yellow"/>
              </w:rPr>
            </w:pPr>
            <w:r w:rsidRPr="004A1436">
              <w:rPr>
                <w:rFonts w:asciiTheme="majorHAnsi" w:hAnsiTheme="majorHAnsi" w:cstheme="majorHAnsi"/>
                <w:bCs/>
                <w:kern w:val="24"/>
                <w:sz w:val="21"/>
                <w:szCs w:val="21"/>
                <w:lang w:val="es-ES"/>
              </w:rPr>
              <w:t xml:space="preserve">(se </w:t>
            </w:r>
            <w:r>
              <w:rPr>
                <w:rFonts w:asciiTheme="majorHAnsi" w:hAnsiTheme="majorHAnsi" w:cstheme="majorHAnsi"/>
                <w:bCs/>
                <w:kern w:val="24"/>
                <w:sz w:val="21"/>
                <w:szCs w:val="21"/>
                <w:lang w:val="es-ES"/>
              </w:rPr>
              <w:t xml:space="preserve">movió +  </w:t>
            </w:r>
            <w:r w:rsidRPr="004A1436">
              <w:rPr>
                <w:rFonts w:asciiTheme="majorHAnsi" w:hAnsiTheme="majorHAnsi" w:cstheme="majorHAnsi"/>
                <w:bCs/>
                <w:kern w:val="24"/>
                <w:sz w:val="21"/>
                <w:szCs w:val="21"/>
                <w:lang w:val="es-ES"/>
              </w:rPr>
              <w:t>con respecto a 2019)</w:t>
            </w:r>
          </w:p>
        </w:tc>
        <w:tc>
          <w:tcPr>
            <w:tcW w:w="1418" w:type="dxa"/>
            <w:vAlign w:val="center"/>
          </w:tcPr>
          <w:p w14:paraId="57B7A274" w14:textId="77777777" w:rsidR="00FC7AD9" w:rsidRPr="004A1436" w:rsidRDefault="00FC7AD9" w:rsidP="00316349">
            <w:pPr>
              <w:ind w:left="1416"/>
              <w:jc w:val="center"/>
              <w:rPr>
                <w:rFonts w:asciiTheme="majorHAnsi" w:hAnsiTheme="majorHAnsi" w:cstheme="majorHAnsi"/>
                <w:b/>
                <w:sz w:val="21"/>
                <w:szCs w:val="21"/>
                <w:highlight w:val="yellow"/>
              </w:rPr>
            </w:pPr>
            <w:r w:rsidRPr="004A1436">
              <w:rPr>
                <w:rFonts w:asciiTheme="majorHAnsi" w:hAnsiTheme="majorHAnsi" w:cstheme="majorHAnsi"/>
                <w:b/>
                <w:noProof/>
                <w:sz w:val="21"/>
                <w:szCs w:val="21"/>
                <w:highlight w:val="yellow"/>
                <w:lang w:val="en-US"/>
              </w:rPr>
              <w:drawing>
                <wp:anchor distT="0" distB="0" distL="114300" distR="114300" simplePos="0" relativeHeight="251678720" behindDoc="0" locked="0" layoutInCell="1" allowOverlap="1" wp14:anchorId="5471F0D1" wp14:editId="3230704C">
                  <wp:simplePos x="0" y="0"/>
                  <wp:positionH relativeFrom="column">
                    <wp:posOffset>210820</wp:posOffset>
                  </wp:positionH>
                  <wp:positionV relativeFrom="page">
                    <wp:posOffset>121920</wp:posOffset>
                  </wp:positionV>
                  <wp:extent cx="358140" cy="358140"/>
                  <wp:effectExtent l="0" t="0" r="0" b="0"/>
                  <wp:wrapSquare wrapText="bothSides"/>
                  <wp:docPr id="30" name="Gráfico 30" descr="Harvey Balls 100%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áfico 1" descr="Harvey Balls 100% con relleno sólido"/>
                          <pic:cNvPicPr/>
                        </pic:nvPicPr>
                        <pic:blipFill>
                          <a:blip r:embed="rId24">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5"/>
                              </a:ext>
                            </a:extLst>
                          </a:blip>
                          <a:stretch>
                            <a:fillRect/>
                          </a:stretch>
                        </pic:blipFill>
                        <pic:spPr>
                          <a:xfrm>
                            <a:off x="0" y="0"/>
                            <a:ext cx="358140" cy="358140"/>
                          </a:xfrm>
                          <a:prstGeom prst="rect">
                            <a:avLst/>
                          </a:prstGeom>
                        </pic:spPr>
                      </pic:pic>
                    </a:graphicData>
                  </a:graphic>
                  <wp14:sizeRelH relativeFrom="page">
                    <wp14:pctWidth>0</wp14:pctWidth>
                  </wp14:sizeRelH>
                  <wp14:sizeRelV relativeFrom="page">
                    <wp14:pctHeight>0</wp14:pctHeight>
                  </wp14:sizeRelV>
                </wp:anchor>
              </w:drawing>
            </w:r>
          </w:p>
        </w:tc>
      </w:tr>
      <w:tr w:rsidR="00FC7AD9" w:rsidRPr="004A1436" w14:paraId="6937D272" w14:textId="77777777" w:rsidTr="00460B03">
        <w:tc>
          <w:tcPr>
            <w:tcW w:w="8647" w:type="dxa"/>
            <w:gridSpan w:val="4"/>
          </w:tcPr>
          <w:p w14:paraId="4422140D" w14:textId="77777777" w:rsidR="00FC7AD9" w:rsidRPr="00460B03" w:rsidRDefault="00FC7AD9" w:rsidP="00316349">
            <w:pPr>
              <w:rPr>
                <w:rFonts w:asciiTheme="majorHAnsi" w:hAnsiTheme="majorHAnsi" w:cstheme="majorHAnsi"/>
                <w:b/>
                <w:color w:val="00B0F0"/>
                <w:sz w:val="21"/>
                <w:szCs w:val="21"/>
              </w:rPr>
            </w:pPr>
            <w:r w:rsidRPr="00460B03">
              <w:rPr>
                <w:rFonts w:asciiTheme="majorHAnsi" w:hAnsiTheme="majorHAnsi" w:cstheme="majorHAnsi"/>
                <w:b/>
                <w:color w:val="00B0F0"/>
                <w:sz w:val="21"/>
                <w:szCs w:val="21"/>
              </w:rPr>
              <w:t>Hallazgos y justificación por criterio</w:t>
            </w:r>
          </w:p>
          <w:p w14:paraId="6A680C70" w14:textId="77777777" w:rsidR="00FC7AD9" w:rsidRPr="004A1436" w:rsidRDefault="00FC7AD9" w:rsidP="00316349">
            <w:pPr>
              <w:rPr>
                <w:rFonts w:asciiTheme="majorHAnsi" w:hAnsiTheme="majorHAnsi" w:cstheme="majorHAnsi"/>
                <w:sz w:val="21"/>
                <w:szCs w:val="21"/>
              </w:rPr>
            </w:pPr>
          </w:p>
          <w:p w14:paraId="34B21D19" w14:textId="528DFA65" w:rsidR="00FC7AD9" w:rsidRDefault="00FC7AD9" w:rsidP="00316349">
            <w:pPr>
              <w:spacing w:after="120"/>
              <w:jc w:val="both"/>
              <w:rPr>
                <w:rFonts w:asciiTheme="majorHAnsi" w:hAnsiTheme="majorHAnsi" w:cstheme="majorHAnsi"/>
                <w:sz w:val="21"/>
                <w:szCs w:val="21"/>
              </w:rPr>
            </w:pPr>
            <w:r w:rsidRPr="004A1436">
              <w:rPr>
                <w:rFonts w:asciiTheme="majorHAnsi" w:hAnsiTheme="majorHAnsi" w:cstheme="majorHAnsi"/>
                <w:b/>
                <w:bCs/>
                <w:i/>
                <w:iCs/>
                <w:sz w:val="21"/>
                <w:szCs w:val="21"/>
                <w:lang w:val="es-ES"/>
              </w:rPr>
              <w:t>A) El GIG es presidido por un/una Jefe/a de Agencia</w:t>
            </w:r>
            <w:r w:rsidRPr="004A1436">
              <w:rPr>
                <w:rFonts w:asciiTheme="majorHAnsi" w:hAnsiTheme="majorHAnsi" w:cstheme="majorHAnsi"/>
                <w:sz w:val="21"/>
                <w:szCs w:val="21"/>
                <w:lang w:val="es-ES"/>
              </w:rPr>
              <w:t xml:space="preserve">.  </w:t>
            </w:r>
            <w:r w:rsidRPr="00460B03">
              <w:rPr>
                <w:rFonts w:asciiTheme="majorHAnsi" w:hAnsiTheme="majorHAnsi" w:cstheme="majorHAnsi"/>
                <w:b/>
                <w:bCs/>
                <w:i/>
                <w:iCs/>
                <w:color w:val="00B0F0"/>
                <w:sz w:val="21"/>
                <w:szCs w:val="21"/>
                <w:u w:val="single"/>
              </w:rPr>
              <w:t>CUMPLE</w:t>
            </w:r>
            <w:r w:rsidRPr="004A1436">
              <w:rPr>
                <w:rFonts w:asciiTheme="majorHAnsi" w:hAnsiTheme="majorHAnsi" w:cstheme="majorHAnsi"/>
                <w:b/>
                <w:bCs/>
                <w:i/>
                <w:iCs/>
                <w:color w:val="0070C0"/>
                <w:sz w:val="21"/>
                <w:szCs w:val="21"/>
                <w:u w:val="single"/>
              </w:rPr>
              <w:t xml:space="preserve">. </w:t>
            </w:r>
            <w:r w:rsidRPr="004A1436">
              <w:rPr>
                <w:rFonts w:asciiTheme="majorHAnsi" w:hAnsiTheme="majorHAnsi" w:cstheme="majorHAnsi"/>
                <w:color w:val="0070C0"/>
                <w:sz w:val="21"/>
                <w:szCs w:val="21"/>
              </w:rPr>
              <w:t xml:space="preserve"> </w:t>
            </w:r>
            <w:r>
              <w:rPr>
                <w:rFonts w:asciiTheme="majorHAnsi" w:hAnsiTheme="majorHAnsi" w:cstheme="majorHAnsi"/>
                <w:sz w:val="21"/>
                <w:szCs w:val="21"/>
              </w:rPr>
              <w:t xml:space="preserve">El </w:t>
            </w:r>
            <w:r w:rsidRPr="004A1436">
              <w:rPr>
                <w:rFonts w:asciiTheme="majorHAnsi" w:hAnsiTheme="majorHAnsi" w:cstheme="majorHAnsi"/>
                <w:sz w:val="21"/>
                <w:szCs w:val="21"/>
              </w:rPr>
              <w:t xml:space="preserve">GIG </w:t>
            </w:r>
            <w:r>
              <w:rPr>
                <w:rFonts w:asciiTheme="majorHAnsi" w:hAnsiTheme="majorHAnsi" w:cstheme="majorHAnsi"/>
                <w:sz w:val="21"/>
                <w:szCs w:val="21"/>
              </w:rPr>
              <w:t xml:space="preserve">es  co-liderado por </w:t>
            </w:r>
            <w:r w:rsidRPr="004A1436">
              <w:rPr>
                <w:rFonts w:asciiTheme="majorHAnsi" w:hAnsiTheme="majorHAnsi" w:cstheme="majorHAnsi"/>
                <w:sz w:val="21"/>
                <w:szCs w:val="21"/>
              </w:rPr>
              <w:t>ONU Mujeres</w:t>
            </w:r>
            <w:r>
              <w:rPr>
                <w:rFonts w:asciiTheme="majorHAnsi" w:hAnsiTheme="majorHAnsi" w:cstheme="majorHAnsi"/>
                <w:sz w:val="21"/>
                <w:szCs w:val="21"/>
              </w:rPr>
              <w:t xml:space="preserve"> (presidencia) </w:t>
            </w:r>
            <w:r w:rsidRPr="004A1436">
              <w:rPr>
                <w:rFonts w:asciiTheme="majorHAnsi" w:hAnsiTheme="majorHAnsi" w:cstheme="majorHAnsi"/>
                <w:sz w:val="21"/>
                <w:szCs w:val="21"/>
              </w:rPr>
              <w:t>y OIT</w:t>
            </w:r>
            <w:r>
              <w:rPr>
                <w:rFonts w:asciiTheme="majorHAnsi" w:hAnsiTheme="majorHAnsi" w:cstheme="majorHAnsi"/>
                <w:sz w:val="21"/>
                <w:szCs w:val="21"/>
              </w:rPr>
              <w:t xml:space="preserve"> (co-presidencia) y, a partir de 2022, por ONU Mujeres y UNFPA.  La Representante de ONU Mujeres preside directamente los trabajos del grupo. </w:t>
            </w:r>
            <w:r w:rsidR="00460B03">
              <w:rPr>
                <w:rFonts w:asciiTheme="majorHAnsi" w:hAnsiTheme="majorHAnsi" w:cstheme="majorHAnsi"/>
                <w:sz w:val="21"/>
                <w:szCs w:val="21"/>
              </w:rPr>
              <w:t xml:space="preserve">Durante el periodo 2020-2021, </w:t>
            </w:r>
            <w:r>
              <w:rPr>
                <w:rFonts w:asciiTheme="majorHAnsi" w:hAnsiTheme="majorHAnsi" w:cstheme="majorHAnsi"/>
                <w:sz w:val="21"/>
                <w:szCs w:val="21"/>
              </w:rPr>
              <w:t xml:space="preserve">el GIG se </w:t>
            </w:r>
            <w:r w:rsidR="00460B03">
              <w:rPr>
                <w:rFonts w:asciiTheme="majorHAnsi" w:hAnsiTheme="majorHAnsi" w:cstheme="majorHAnsi"/>
                <w:sz w:val="21"/>
                <w:szCs w:val="21"/>
              </w:rPr>
              <w:t>reunió</w:t>
            </w:r>
            <w:r>
              <w:rPr>
                <w:rFonts w:asciiTheme="majorHAnsi" w:hAnsiTheme="majorHAnsi" w:cstheme="majorHAnsi"/>
                <w:sz w:val="21"/>
                <w:szCs w:val="21"/>
              </w:rPr>
              <w:t xml:space="preserve"> en </w:t>
            </w:r>
            <w:r w:rsidR="00460B03">
              <w:rPr>
                <w:rFonts w:asciiTheme="majorHAnsi" w:hAnsiTheme="majorHAnsi" w:cstheme="majorHAnsi"/>
                <w:sz w:val="21"/>
                <w:szCs w:val="21"/>
              </w:rPr>
              <w:t>8</w:t>
            </w:r>
            <w:r>
              <w:rPr>
                <w:rFonts w:asciiTheme="majorHAnsi" w:hAnsiTheme="majorHAnsi" w:cstheme="majorHAnsi"/>
                <w:sz w:val="21"/>
                <w:szCs w:val="21"/>
              </w:rPr>
              <w:t xml:space="preserve"> ocasiones, prácticamente en todos los casos de manera remota</w:t>
            </w:r>
            <w:r w:rsidR="00460B03">
              <w:rPr>
                <w:rFonts w:asciiTheme="majorHAnsi" w:hAnsiTheme="majorHAnsi" w:cstheme="majorHAnsi"/>
                <w:sz w:val="21"/>
                <w:szCs w:val="21"/>
              </w:rPr>
              <w:t xml:space="preserve"> debido a la pandemia.</w:t>
            </w:r>
          </w:p>
          <w:p w14:paraId="1250CA78" w14:textId="1DCDE8B7" w:rsidR="00460B03" w:rsidRDefault="00FC7AD9" w:rsidP="00316349">
            <w:pPr>
              <w:spacing w:after="120"/>
              <w:jc w:val="both"/>
              <w:rPr>
                <w:rFonts w:asciiTheme="majorHAnsi" w:hAnsiTheme="majorHAnsi" w:cstheme="majorHAnsi"/>
                <w:color w:val="000000" w:themeColor="text1"/>
                <w:sz w:val="21"/>
                <w:szCs w:val="21"/>
              </w:rPr>
            </w:pPr>
            <w:r w:rsidRPr="004A1436">
              <w:rPr>
                <w:rFonts w:asciiTheme="majorHAnsi" w:hAnsiTheme="majorHAnsi" w:cstheme="majorHAnsi"/>
                <w:b/>
                <w:bCs/>
                <w:i/>
                <w:iCs/>
                <w:sz w:val="21"/>
                <w:szCs w:val="21"/>
                <w:lang w:val="es-ES"/>
              </w:rPr>
              <w:t xml:space="preserve">B) El GIG tiene unos TDRs y un plan de trabajo aprobado. </w:t>
            </w:r>
            <w:r w:rsidRPr="00460B03">
              <w:rPr>
                <w:rFonts w:asciiTheme="majorHAnsi" w:hAnsiTheme="majorHAnsi" w:cstheme="majorHAnsi"/>
                <w:b/>
                <w:bCs/>
                <w:i/>
                <w:iCs/>
                <w:color w:val="00B0F0"/>
                <w:sz w:val="21"/>
                <w:szCs w:val="21"/>
                <w:u w:val="single"/>
              </w:rPr>
              <w:t xml:space="preserve">CUMPLE. </w:t>
            </w:r>
            <w:r w:rsidRPr="00460B03">
              <w:rPr>
                <w:rFonts w:asciiTheme="majorHAnsi" w:hAnsiTheme="majorHAnsi" w:cstheme="majorHAnsi"/>
                <w:color w:val="00B0F0"/>
                <w:sz w:val="21"/>
                <w:szCs w:val="21"/>
              </w:rPr>
              <w:t xml:space="preserve">  </w:t>
            </w:r>
            <w:r w:rsidRPr="004A1436">
              <w:rPr>
                <w:rFonts w:asciiTheme="majorHAnsi" w:hAnsiTheme="majorHAnsi" w:cstheme="majorHAnsi"/>
                <w:color w:val="000000" w:themeColor="text1"/>
                <w:sz w:val="21"/>
                <w:szCs w:val="21"/>
              </w:rPr>
              <w:t xml:space="preserve">Al momento del análisis, el GIG </w:t>
            </w:r>
            <w:r w:rsidR="00460B03">
              <w:rPr>
                <w:rFonts w:asciiTheme="majorHAnsi" w:hAnsiTheme="majorHAnsi" w:cstheme="majorHAnsi"/>
                <w:color w:val="000000" w:themeColor="text1"/>
                <w:sz w:val="21"/>
                <w:szCs w:val="21"/>
              </w:rPr>
              <w:t xml:space="preserve">operaba con TDR aprobados y su Plan de Trabajo </w:t>
            </w:r>
            <w:r w:rsidR="00460B03" w:rsidRPr="004A1436">
              <w:rPr>
                <w:rFonts w:asciiTheme="majorHAnsi" w:hAnsiTheme="majorHAnsi" w:cstheme="majorHAnsi"/>
                <w:color w:val="000000" w:themeColor="text1"/>
                <w:sz w:val="21"/>
                <w:szCs w:val="21"/>
              </w:rPr>
              <w:t xml:space="preserve">2020-2021 </w:t>
            </w:r>
            <w:r w:rsidR="00460B03">
              <w:rPr>
                <w:rFonts w:asciiTheme="majorHAnsi" w:hAnsiTheme="majorHAnsi" w:cstheme="majorHAnsi"/>
                <w:color w:val="000000" w:themeColor="text1"/>
                <w:sz w:val="21"/>
                <w:szCs w:val="21"/>
              </w:rPr>
              <w:t>se encontraba</w:t>
            </w:r>
            <w:r w:rsidR="00460B03" w:rsidRPr="004A1436">
              <w:rPr>
                <w:rFonts w:asciiTheme="majorHAnsi" w:hAnsiTheme="majorHAnsi" w:cstheme="majorHAnsi"/>
                <w:color w:val="000000" w:themeColor="text1"/>
                <w:sz w:val="21"/>
                <w:szCs w:val="21"/>
              </w:rPr>
              <w:t xml:space="preserve"> en </w:t>
            </w:r>
            <w:r w:rsidR="00460B03">
              <w:rPr>
                <w:rFonts w:asciiTheme="majorHAnsi" w:hAnsiTheme="majorHAnsi" w:cstheme="majorHAnsi"/>
                <w:color w:val="000000" w:themeColor="text1"/>
                <w:sz w:val="21"/>
                <w:szCs w:val="21"/>
              </w:rPr>
              <w:t>la</w:t>
            </w:r>
            <w:r w:rsidR="00460B03" w:rsidRPr="004A1436">
              <w:rPr>
                <w:rFonts w:asciiTheme="majorHAnsi" w:hAnsiTheme="majorHAnsi" w:cstheme="majorHAnsi"/>
                <w:color w:val="000000" w:themeColor="text1"/>
                <w:sz w:val="21"/>
                <w:szCs w:val="21"/>
              </w:rPr>
              <w:t xml:space="preserve"> última fase de implementación</w:t>
            </w:r>
            <w:r w:rsidR="00460B03">
              <w:rPr>
                <w:rFonts w:asciiTheme="majorHAnsi" w:hAnsiTheme="majorHAnsi" w:cstheme="majorHAnsi"/>
                <w:color w:val="000000" w:themeColor="text1"/>
                <w:sz w:val="21"/>
                <w:szCs w:val="21"/>
              </w:rPr>
              <w:t xml:space="preserve">. Actualmente, el GIG se encuentra en proceso de revisión y ajuste de nuevos TDR para responder a la reconfiguración de las estructuras  interagenciales en línea con el Marco de Cooperación, al tiempo que está construyendo su  </w:t>
            </w:r>
            <w:r w:rsidR="00460B03" w:rsidRPr="004A1436">
              <w:rPr>
                <w:rFonts w:asciiTheme="majorHAnsi" w:hAnsiTheme="majorHAnsi" w:cstheme="majorHAnsi"/>
                <w:color w:val="000000" w:themeColor="text1"/>
                <w:sz w:val="21"/>
                <w:szCs w:val="21"/>
              </w:rPr>
              <w:t xml:space="preserve">Plan de </w:t>
            </w:r>
            <w:r w:rsidR="00460B03" w:rsidRPr="004A1436">
              <w:rPr>
                <w:rFonts w:asciiTheme="majorHAnsi" w:hAnsiTheme="majorHAnsi" w:cstheme="majorHAnsi"/>
                <w:sz w:val="21"/>
                <w:szCs w:val="21"/>
                <w:lang w:val="es-ES"/>
              </w:rPr>
              <w:t>Trabajo 2022-2023</w:t>
            </w:r>
            <w:r w:rsidR="00460B03">
              <w:rPr>
                <w:rFonts w:asciiTheme="majorHAnsi" w:hAnsiTheme="majorHAnsi" w:cstheme="majorHAnsi"/>
                <w:sz w:val="21"/>
                <w:szCs w:val="21"/>
                <w:lang w:val="es-ES"/>
              </w:rPr>
              <w:t xml:space="preserve"> sobre la base de un análisis interno de  prioridades, desafíos y oportunidades de cara al bienio que presentó durante el Retiro de Planeación Estratégica del Equipo de País en octubre de 2021. </w:t>
            </w:r>
            <w:r w:rsidR="00460B03" w:rsidRPr="004A1436">
              <w:rPr>
                <w:rFonts w:asciiTheme="majorHAnsi" w:hAnsiTheme="majorHAnsi" w:cstheme="majorHAnsi"/>
                <w:sz w:val="21"/>
                <w:szCs w:val="21"/>
                <w:lang w:val="es-ES"/>
              </w:rPr>
              <w:t>Se prevé que en la última reunión del GIG en  2021</w:t>
            </w:r>
            <w:r w:rsidR="00460B03">
              <w:rPr>
                <w:rFonts w:asciiTheme="majorHAnsi" w:hAnsiTheme="majorHAnsi" w:cstheme="majorHAnsi"/>
                <w:sz w:val="21"/>
                <w:szCs w:val="21"/>
                <w:lang w:val="es-ES"/>
              </w:rPr>
              <w:t xml:space="preserve"> o en la primera de 2022, </w:t>
            </w:r>
            <w:r w:rsidR="00460B03" w:rsidRPr="004A1436">
              <w:rPr>
                <w:rFonts w:asciiTheme="majorHAnsi" w:hAnsiTheme="majorHAnsi" w:cstheme="majorHAnsi"/>
                <w:sz w:val="21"/>
                <w:szCs w:val="21"/>
                <w:lang w:val="es-ES"/>
              </w:rPr>
              <w:t xml:space="preserve">los </w:t>
            </w:r>
            <w:r w:rsidR="00460B03">
              <w:rPr>
                <w:rFonts w:asciiTheme="majorHAnsi" w:hAnsiTheme="majorHAnsi" w:cstheme="majorHAnsi"/>
                <w:sz w:val="21"/>
                <w:szCs w:val="21"/>
                <w:lang w:val="es-ES"/>
              </w:rPr>
              <w:t>nuevos TDR</w:t>
            </w:r>
            <w:r w:rsidR="00460B03" w:rsidRPr="004A1436">
              <w:rPr>
                <w:rFonts w:asciiTheme="majorHAnsi" w:hAnsiTheme="majorHAnsi" w:cstheme="majorHAnsi"/>
                <w:sz w:val="21"/>
                <w:szCs w:val="21"/>
                <w:lang w:val="es-ES"/>
              </w:rPr>
              <w:t xml:space="preserve"> </w:t>
            </w:r>
            <w:r w:rsidR="00460B03">
              <w:rPr>
                <w:rFonts w:asciiTheme="majorHAnsi" w:hAnsiTheme="majorHAnsi" w:cstheme="majorHAnsi"/>
                <w:sz w:val="21"/>
                <w:szCs w:val="21"/>
                <w:lang w:val="es-ES"/>
              </w:rPr>
              <w:t>y</w:t>
            </w:r>
            <w:r w:rsidR="00460B03" w:rsidRPr="004A1436">
              <w:rPr>
                <w:rFonts w:asciiTheme="majorHAnsi" w:hAnsiTheme="majorHAnsi" w:cstheme="majorHAnsi"/>
                <w:sz w:val="21"/>
                <w:szCs w:val="21"/>
                <w:lang w:val="es-ES"/>
              </w:rPr>
              <w:t xml:space="preserve"> el Plan de Trabajo 2022-2023 </w:t>
            </w:r>
            <w:r w:rsidR="00460B03">
              <w:rPr>
                <w:rFonts w:asciiTheme="majorHAnsi" w:hAnsiTheme="majorHAnsi" w:cstheme="majorHAnsi"/>
                <w:sz w:val="21"/>
                <w:szCs w:val="21"/>
                <w:lang w:val="es-ES"/>
              </w:rPr>
              <w:t>sean</w:t>
            </w:r>
            <w:r w:rsidR="00460B03" w:rsidRPr="004A1436">
              <w:rPr>
                <w:rFonts w:asciiTheme="majorHAnsi" w:hAnsiTheme="majorHAnsi" w:cstheme="majorHAnsi"/>
                <w:sz w:val="21"/>
                <w:szCs w:val="21"/>
                <w:lang w:val="es-ES"/>
              </w:rPr>
              <w:t xml:space="preserve"> aprobados</w:t>
            </w:r>
            <w:r w:rsidR="00460B03">
              <w:rPr>
                <w:rFonts w:asciiTheme="majorHAnsi" w:hAnsiTheme="majorHAnsi" w:cstheme="majorHAnsi"/>
                <w:sz w:val="21"/>
                <w:szCs w:val="21"/>
                <w:lang w:val="es-ES"/>
              </w:rPr>
              <w:t xml:space="preserve">. </w:t>
            </w:r>
          </w:p>
          <w:p w14:paraId="6870D342" w14:textId="39E1FF23" w:rsidR="00FC7AD9" w:rsidRDefault="00FC7AD9" w:rsidP="00316349">
            <w:pPr>
              <w:jc w:val="both"/>
              <w:rPr>
                <w:rFonts w:asciiTheme="majorHAnsi" w:hAnsiTheme="majorHAnsi" w:cstheme="majorHAnsi"/>
                <w:sz w:val="21"/>
                <w:szCs w:val="21"/>
              </w:rPr>
            </w:pPr>
            <w:r w:rsidRPr="00CD1C1D">
              <w:rPr>
                <w:rFonts w:ascii="Calibri" w:hAnsi="Calibri" w:cs="Calibri"/>
                <w:b/>
                <w:bCs/>
                <w:i/>
                <w:iCs/>
                <w:sz w:val="21"/>
                <w:szCs w:val="21"/>
                <w:lang w:val="es-ES"/>
              </w:rPr>
              <w:t>C) Miembros del GIG incluye al menos 50% de personal senior (P4 o más; NOC o más).</w:t>
            </w:r>
            <w:r w:rsidRPr="00CD1C1D">
              <w:rPr>
                <w:rFonts w:ascii="Calibri" w:hAnsi="Calibri" w:cs="Calibri"/>
                <w:sz w:val="21"/>
                <w:szCs w:val="21"/>
                <w:lang w:val="es-ES"/>
              </w:rPr>
              <w:t xml:space="preserve"> </w:t>
            </w:r>
            <w:r w:rsidRPr="00862551">
              <w:rPr>
                <w:rFonts w:ascii="Calibri" w:hAnsi="Calibri" w:cs="Calibri"/>
                <w:b/>
                <w:bCs/>
                <w:color w:val="00B0F0"/>
                <w:sz w:val="21"/>
                <w:szCs w:val="21"/>
                <w:u w:val="single"/>
                <w:lang w:val="es-ES"/>
              </w:rPr>
              <w:t>NO CUMPLE</w:t>
            </w:r>
            <w:r w:rsidRPr="00CD1C1D">
              <w:rPr>
                <w:rFonts w:ascii="Calibri" w:hAnsi="Calibri" w:cs="Calibri"/>
                <w:b/>
                <w:bCs/>
                <w:color w:val="0070C0"/>
                <w:sz w:val="21"/>
                <w:szCs w:val="21"/>
                <w:u w:val="single"/>
                <w:lang w:val="es-ES"/>
              </w:rPr>
              <w:t xml:space="preserve">.  </w:t>
            </w:r>
            <w:r w:rsidRPr="00CD1C1D">
              <w:rPr>
                <w:rFonts w:ascii="Calibri" w:hAnsi="Calibri" w:cs="Calibri"/>
                <w:color w:val="000000" w:themeColor="text1"/>
                <w:sz w:val="21"/>
                <w:szCs w:val="21"/>
                <w:lang w:val="es-ES"/>
              </w:rPr>
              <w:t xml:space="preserve">El GIG ha expandido su membresía y está integrado actualmente por  20 </w:t>
            </w:r>
            <w:r w:rsidRPr="00CD1C1D">
              <w:rPr>
                <w:rFonts w:ascii="Calibri" w:hAnsi="Calibri" w:cs="Calibri"/>
                <w:sz w:val="21"/>
                <w:szCs w:val="21"/>
              </w:rPr>
              <w:t>agencias, fondos, programas y oficinas</w:t>
            </w:r>
            <w:r w:rsidRPr="00CD1C1D">
              <w:rPr>
                <w:rStyle w:val="Refdenotaalpie"/>
                <w:rFonts w:ascii="Calibri" w:hAnsi="Calibri" w:cs="Calibri"/>
                <w:sz w:val="21"/>
                <w:szCs w:val="21"/>
              </w:rPr>
              <w:footnoteReference w:id="5"/>
            </w:r>
            <w:r w:rsidRPr="00CD1C1D">
              <w:rPr>
                <w:rFonts w:ascii="Calibri" w:hAnsi="Calibri" w:cs="Calibri"/>
                <w:sz w:val="21"/>
                <w:szCs w:val="21"/>
              </w:rPr>
              <w:t>, logrando una representatividad  sustancial y diversa de mandatos que escalan su valor agregado. No obstante, el nivel de seniority de las y los puntos focales, si bien avanzó con respecto a la revisión de 2019, éste sigue estando por debajo del estándar mínimo contemplado en este criterio. De acuerdo con la evidencia recabada de 18 puntos focales principales, que representan el 90% de la totalidad de puntos focales del GIG, cerca del 39% tiene un nivel igual o superior a las categorías P4 y NOC</w:t>
            </w:r>
            <w:r w:rsidR="00862551">
              <w:rPr>
                <w:rFonts w:ascii="Calibri" w:hAnsi="Calibri" w:cs="Calibri"/>
                <w:sz w:val="21"/>
                <w:szCs w:val="21"/>
              </w:rPr>
              <w:t xml:space="preserve">, pero si se se suma </w:t>
            </w:r>
            <w:r w:rsidRPr="00CD1C1D">
              <w:rPr>
                <w:rFonts w:ascii="Calibri" w:hAnsi="Calibri" w:cs="Calibri"/>
                <w:sz w:val="21"/>
                <w:szCs w:val="21"/>
              </w:rPr>
              <w:t>a todas las categorías P y NO, el pocentaje alcanza 67%</w:t>
            </w:r>
            <w:r w:rsidR="00862551">
              <w:rPr>
                <w:rFonts w:ascii="Calibri" w:hAnsi="Calibri" w:cs="Calibri"/>
                <w:sz w:val="21"/>
                <w:szCs w:val="21"/>
              </w:rPr>
              <w:t xml:space="preserve">. En </w:t>
            </w:r>
            <w:r w:rsidRPr="00CD1C1D">
              <w:rPr>
                <w:rFonts w:ascii="Calibri" w:hAnsi="Calibri" w:cs="Calibri"/>
                <w:sz w:val="21"/>
                <w:szCs w:val="21"/>
              </w:rPr>
              <w:t xml:space="preserve">contraste con la revisión </w:t>
            </w:r>
            <w:r w:rsidR="001C4A10">
              <w:rPr>
                <w:rFonts w:ascii="Calibri" w:hAnsi="Calibri" w:cs="Calibri"/>
                <w:sz w:val="21"/>
                <w:szCs w:val="21"/>
              </w:rPr>
              <w:t>de 2019</w:t>
            </w:r>
            <w:r w:rsidRPr="00CD1C1D">
              <w:rPr>
                <w:rFonts w:ascii="Calibri" w:hAnsi="Calibri" w:cs="Calibri"/>
                <w:sz w:val="21"/>
                <w:szCs w:val="21"/>
              </w:rPr>
              <w:t xml:space="preserve">, un número menor de puntos focales </w:t>
            </w:r>
            <w:r>
              <w:rPr>
                <w:rFonts w:ascii="Calibri" w:hAnsi="Calibri" w:cs="Calibri"/>
                <w:sz w:val="21"/>
                <w:szCs w:val="21"/>
              </w:rPr>
              <w:t>tienen</w:t>
            </w:r>
            <w:r w:rsidRPr="00CD1C1D">
              <w:rPr>
                <w:rFonts w:ascii="Calibri" w:hAnsi="Calibri" w:cs="Calibri"/>
                <w:sz w:val="21"/>
                <w:szCs w:val="21"/>
              </w:rPr>
              <w:t xml:space="preserve"> categorías SC y GS (33%). </w:t>
            </w:r>
            <w:r w:rsidRPr="00CD1C1D">
              <w:rPr>
                <w:rFonts w:ascii="Calibri" w:hAnsi="Calibri" w:cs="Calibri"/>
                <w:sz w:val="21"/>
                <w:szCs w:val="21"/>
                <w:lang w:val="es-ES"/>
              </w:rPr>
              <w:t xml:space="preserve"> </w:t>
            </w:r>
            <w:r w:rsidR="00862551">
              <w:rPr>
                <w:rFonts w:ascii="Calibri" w:hAnsi="Calibri" w:cs="Calibri"/>
                <w:sz w:val="21"/>
                <w:szCs w:val="21"/>
                <w:lang w:val="es-ES"/>
              </w:rPr>
              <w:t xml:space="preserve">Para </w:t>
            </w:r>
            <w:r w:rsidR="001C4A10">
              <w:rPr>
                <w:rFonts w:ascii="Calibri" w:hAnsi="Calibri" w:cs="Calibri"/>
                <w:sz w:val="21"/>
                <w:szCs w:val="21"/>
                <w:lang w:val="es-ES"/>
              </w:rPr>
              <w:t xml:space="preserve">el </w:t>
            </w:r>
            <w:r w:rsidR="00862551">
              <w:rPr>
                <w:rFonts w:ascii="Calibri" w:hAnsi="Calibri" w:cs="Calibri"/>
                <w:sz w:val="21"/>
                <w:szCs w:val="21"/>
                <w:lang w:val="es-ES"/>
              </w:rPr>
              <w:t xml:space="preserve">SNU en México, </w:t>
            </w:r>
            <w:r w:rsidRPr="00CD1C1D">
              <w:rPr>
                <w:rFonts w:ascii="Calibri" w:hAnsi="Calibri" w:cs="Calibri"/>
                <w:sz w:val="21"/>
                <w:szCs w:val="21"/>
                <w:lang w:val="es-ES"/>
              </w:rPr>
              <w:t xml:space="preserve">uno de los principales desafíos del GIG, más allá del nivel de </w:t>
            </w:r>
            <w:r w:rsidRPr="00862551">
              <w:rPr>
                <w:rFonts w:ascii="Calibri" w:hAnsi="Calibri" w:cs="Calibri"/>
                <w:i/>
                <w:iCs/>
                <w:sz w:val="21"/>
                <w:szCs w:val="21"/>
                <w:lang w:val="es-ES"/>
              </w:rPr>
              <w:t>seniority</w:t>
            </w:r>
            <w:r w:rsidRPr="00CD1C1D">
              <w:rPr>
                <w:rFonts w:ascii="Calibri" w:hAnsi="Calibri" w:cs="Calibri"/>
                <w:sz w:val="21"/>
                <w:szCs w:val="21"/>
                <w:lang w:val="es-ES"/>
              </w:rPr>
              <w:t xml:space="preserve">, es </w:t>
            </w:r>
            <w:r w:rsidRPr="00CD1C1D">
              <w:rPr>
                <w:rFonts w:ascii="Calibri" w:hAnsi="Calibri" w:cs="Calibri"/>
                <w:sz w:val="21"/>
                <w:szCs w:val="21"/>
              </w:rPr>
              <w:t xml:space="preserve">lograr una representación y participación de puntos focales con </w:t>
            </w:r>
            <w:r w:rsidR="001C4A10">
              <w:rPr>
                <w:rFonts w:ascii="Calibri" w:hAnsi="Calibri" w:cs="Calibri"/>
                <w:sz w:val="21"/>
                <w:szCs w:val="21"/>
              </w:rPr>
              <w:t xml:space="preserve">capacidad de toma de decisiones, independientemente de su nivel contractual, </w:t>
            </w:r>
            <w:r w:rsidRPr="00CD1C1D">
              <w:rPr>
                <w:rFonts w:ascii="Calibri" w:hAnsi="Calibri" w:cs="Calibri"/>
                <w:sz w:val="21"/>
                <w:szCs w:val="21"/>
              </w:rPr>
              <w:t>a fin de incrementar el nivel de intercolución en los trabajos del grupo</w:t>
            </w:r>
            <w:r w:rsidR="001C4A10">
              <w:rPr>
                <w:rFonts w:ascii="Calibri" w:hAnsi="Calibri" w:cs="Calibri"/>
                <w:sz w:val="21"/>
                <w:szCs w:val="21"/>
              </w:rPr>
              <w:t xml:space="preserve"> y tener </w:t>
            </w:r>
            <w:r w:rsidRPr="00CD1C1D">
              <w:rPr>
                <w:rFonts w:ascii="Calibri" w:hAnsi="Calibri" w:cs="Calibri"/>
                <w:sz w:val="21"/>
                <w:szCs w:val="21"/>
              </w:rPr>
              <w:t xml:space="preserve">una mayor incidencia al interior de </w:t>
            </w:r>
            <w:r w:rsidR="00862551">
              <w:rPr>
                <w:rFonts w:ascii="Calibri" w:hAnsi="Calibri" w:cs="Calibri"/>
                <w:sz w:val="21"/>
                <w:szCs w:val="21"/>
              </w:rPr>
              <w:t xml:space="preserve">las </w:t>
            </w:r>
            <w:r w:rsidRPr="00CD1C1D">
              <w:rPr>
                <w:rFonts w:ascii="Calibri" w:hAnsi="Calibri" w:cs="Calibri"/>
                <w:sz w:val="21"/>
                <w:szCs w:val="21"/>
              </w:rPr>
              <w:t>respectivas agencias</w:t>
            </w:r>
            <w:r w:rsidR="00862551">
              <w:rPr>
                <w:rFonts w:ascii="Calibri" w:hAnsi="Calibri" w:cs="Calibri"/>
                <w:sz w:val="21"/>
                <w:szCs w:val="21"/>
              </w:rPr>
              <w:t xml:space="preserve"> que lo conforman</w:t>
            </w:r>
            <w:r w:rsidRPr="00CD1C1D">
              <w:rPr>
                <w:rFonts w:ascii="Calibri" w:hAnsi="Calibri" w:cs="Calibri"/>
                <w:sz w:val="21"/>
                <w:szCs w:val="21"/>
              </w:rPr>
              <w:t>.</w:t>
            </w:r>
          </w:p>
          <w:p w14:paraId="4B657EF7" w14:textId="77777777" w:rsidR="00FC7AD9" w:rsidRPr="00B4686E" w:rsidRDefault="00FC7AD9" w:rsidP="00316349">
            <w:pPr>
              <w:jc w:val="both"/>
              <w:rPr>
                <w:rFonts w:ascii="Calibri" w:hAnsi="Calibri" w:cs="Calibri"/>
                <w:sz w:val="21"/>
                <w:szCs w:val="21"/>
              </w:rPr>
            </w:pPr>
          </w:p>
          <w:p w14:paraId="0FC4AA77" w14:textId="49EB2B50" w:rsidR="00FC7AD9" w:rsidRDefault="00FC7AD9" w:rsidP="00316349">
            <w:pPr>
              <w:jc w:val="both"/>
              <w:rPr>
                <w:rFonts w:asciiTheme="majorHAnsi" w:hAnsiTheme="majorHAnsi" w:cstheme="majorHAnsi"/>
                <w:sz w:val="21"/>
                <w:szCs w:val="21"/>
              </w:rPr>
            </w:pPr>
            <w:r>
              <w:rPr>
                <w:rFonts w:asciiTheme="majorHAnsi" w:hAnsiTheme="majorHAnsi" w:cstheme="majorHAnsi"/>
                <w:sz w:val="21"/>
                <w:szCs w:val="21"/>
              </w:rPr>
              <w:t>D)</w:t>
            </w:r>
            <w:r w:rsidRPr="00B4686E">
              <w:rPr>
                <w:rFonts w:asciiTheme="majorHAnsi" w:hAnsiTheme="majorHAnsi" w:cstheme="majorHAnsi"/>
                <w:b/>
                <w:bCs/>
                <w:i/>
                <w:iCs/>
                <w:sz w:val="21"/>
                <w:szCs w:val="21"/>
                <w:lang w:val="es-ES"/>
              </w:rPr>
              <w:t xml:space="preserve"> </w:t>
            </w:r>
            <w:r>
              <w:rPr>
                <w:rFonts w:asciiTheme="majorHAnsi" w:hAnsiTheme="majorHAnsi" w:cstheme="majorHAnsi"/>
                <w:b/>
                <w:bCs/>
                <w:i/>
                <w:iCs/>
                <w:sz w:val="21"/>
                <w:szCs w:val="21"/>
                <w:lang w:val="es-ES"/>
              </w:rPr>
              <w:t xml:space="preserve">EL </w:t>
            </w:r>
            <w:r w:rsidRPr="00B4686E">
              <w:rPr>
                <w:rFonts w:asciiTheme="majorHAnsi" w:hAnsiTheme="majorHAnsi" w:cstheme="majorHAnsi"/>
                <w:b/>
                <w:bCs/>
                <w:i/>
                <w:iCs/>
                <w:sz w:val="21"/>
                <w:szCs w:val="21"/>
                <w:lang w:val="es-ES"/>
              </w:rPr>
              <w:t xml:space="preserve">GIG ha provisto insumos sustanciales al UNSDCF actual, incluyendo el CCA, priorización estratégica, marco de resultados, y monitoreo y evaluación.  </w:t>
            </w:r>
            <w:r w:rsidRPr="00862551">
              <w:rPr>
                <w:rFonts w:asciiTheme="majorHAnsi" w:hAnsiTheme="majorHAnsi" w:cstheme="majorHAnsi"/>
                <w:b/>
                <w:bCs/>
                <w:color w:val="00B0F0"/>
                <w:sz w:val="21"/>
                <w:szCs w:val="21"/>
                <w:u w:val="single"/>
                <w:lang w:val="es-ES"/>
              </w:rPr>
              <w:t>CUMPLE</w:t>
            </w:r>
            <w:r w:rsidRPr="00862551">
              <w:rPr>
                <w:rFonts w:asciiTheme="majorHAnsi" w:hAnsiTheme="majorHAnsi" w:cstheme="majorHAnsi"/>
                <w:b/>
                <w:bCs/>
                <w:color w:val="00B0F0"/>
                <w:sz w:val="21"/>
                <w:szCs w:val="21"/>
                <w:lang w:val="es-ES"/>
              </w:rPr>
              <w:t xml:space="preserve">. </w:t>
            </w:r>
            <w:r w:rsidRPr="00B4686E">
              <w:rPr>
                <w:rFonts w:asciiTheme="majorHAnsi" w:hAnsiTheme="majorHAnsi" w:cstheme="majorHAnsi"/>
                <w:color w:val="000000" w:themeColor="text1"/>
                <w:sz w:val="21"/>
                <w:szCs w:val="21"/>
                <w:lang w:val="es-ES"/>
              </w:rPr>
              <w:t xml:space="preserve">El GIG </w:t>
            </w:r>
            <w:r w:rsidRPr="00B4686E">
              <w:rPr>
                <w:rFonts w:asciiTheme="majorHAnsi" w:hAnsiTheme="majorHAnsi" w:cstheme="majorHAnsi"/>
                <w:sz w:val="21"/>
                <w:szCs w:val="21"/>
              </w:rPr>
              <w:t xml:space="preserve"> tuvo una participación activa y sustantiva en los trabajos técnicos para la elaboración del </w:t>
            </w:r>
            <w:r w:rsidR="00862551">
              <w:rPr>
                <w:rFonts w:asciiTheme="majorHAnsi" w:hAnsiTheme="majorHAnsi" w:cstheme="majorHAnsi"/>
                <w:sz w:val="21"/>
                <w:szCs w:val="21"/>
              </w:rPr>
              <w:t>Marco de Coopeación</w:t>
            </w:r>
            <w:r w:rsidRPr="00B4686E">
              <w:rPr>
                <w:rFonts w:asciiTheme="majorHAnsi" w:hAnsiTheme="majorHAnsi" w:cstheme="majorHAnsi"/>
                <w:sz w:val="21"/>
                <w:szCs w:val="21"/>
              </w:rPr>
              <w:t xml:space="preserve"> 2020-2025, coordinando internamente múltiples sesiones con las diferentes agencias, fondos, programas y oficinas  que lo componen para revisar, proveer insumos y asegurar la transversalidad de la perspectiva de género en los distintos documentos y fases del proceso (Visión 2030, priorización estratégica, desarrollo de la teoría de cambio, definición de los efectos directos, líneas estratégicas, indicadores de la Matriz de Resultados). </w:t>
            </w:r>
            <w:r w:rsidR="00862551">
              <w:rPr>
                <w:rFonts w:asciiTheme="majorHAnsi" w:hAnsiTheme="majorHAnsi" w:cstheme="majorHAnsi"/>
                <w:sz w:val="21"/>
                <w:szCs w:val="21"/>
              </w:rPr>
              <w:t xml:space="preserve">Los </w:t>
            </w:r>
            <w:r w:rsidRPr="00B4686E">
              <w:rPr>
                <w:rFonts w:asciiTheme="majorHAnsi" w:hAnsiTheme="majorHAnsi" w:cstheme="majorHAnsi"/>
                <w:sz w:val="21"/>
                <w:szCs w:val="21"/>
              </w:rPr>
              <w:t xml:space="preserve"> aportes del GIG se reflejan</w:t>
            </w:r>
            <w:r w:rsidR="00862551">
              <w:rPr>
                <w:rFonts w:asciiTheme="majorHAnsi" w:hAnsiTheme="majorHAnsi" w:cstheme="majorHAnsi"/>
                <w:sz w:val="21"/>
                <w:szCs w:val="21"/>
              </w:rPr>
              <w:t xml:space="preserve"> </w:t>
            </w:r>
            <w:r w:rsidRPr="00B4686E">
              <w:rPr>
                <w:rFonts w:asciiTheme="majorHAnsi" w:hAnsiTheme="majorHAnsi" w:cstheme="majorHAnsi"/>
                <w:sz w:val="21"/>
                <w:szCs w:val="21"/>
              </w:rPr>
              <w:t>por primera vez</w:t>
            </w:r>
            <w:r w:rsidR="00862551">
              <w:rPr>
                <w:rFonts w:asciiTheme="majorHAnsi" w:hAnsiTheme="majorHAnsi" w:cstheme="majorHAnsi"/>
                <w:sz w:val="21"/>
                <w:szCs w:val="21"/>
              </w:rPr>
              <w:t xml:space="preserve"> </w:t>
            </w:r>
            <w:r w:rsidRPr="00B4686E">
              <w:rPr>
                <w:rFonts w:asciiTheme="majorHAnsi" w:hAnsiTheme="majorHAnsi" w:cstheme="majorHAnsi"/>
                <w:sz w:val="21"/>
                <w:szCs w:val="21"/>
              </w:rPr>
              <w:t>en la definición del instrumento de planificación interagencial más importante, lo que, además de ser una buena</w:t>
            </w:r>
            <w:r w:rsidR="00862551">
              <w:rPr>
                <w:rFonts w:asciiTheme="majorHAnsi" w:hAnsiTheme="majorHAnsi" w:cstheme="majorHAnsi"/>
                <w:sz w:val="21"/>
                <w:szCs w:val="21"/>
              </w:rPr>
              <w:t xml:space="preserve"> práctica que deberá mantenerse</w:t>
            </w:r>
            <w:r w:rsidRPr="00B4686E">
              <w:rPr>
                <w:rFonts w:asciiTheme="majorHAnsi" w:hAnsiTheme="majorHAnsi" w:cstheme="majorHAnsi"/>
                <w:sz w:val="21"/>
                <w:szCs w:val="21"/>
              </w:rPr>
              <w:t xml:space="preserve">, </w:t>
            </w:r>
            <w:r w:rsidR="00862551">
              <w:rPr>
                <w:rFonts w:asciiTheme="majorHAnsi" w:hAnsiTheme="majorHAnsi" w:cstheme="majorHAnsi"/>
                <w:sz w:val="21"/>
                <w:szCs w:val="21"/>
              </w:rPr>
              <w:t>es</w:t>
            </w:r>
            <w:r w:rsidRPr="00B4686E">
              <w:rPr>
                <w:rFonts w:asciiTheme="majorHAnsi" w:hAnsiTheme="majorHAnsi" w:cstheme="majorHAnsi"/>
                <w:sz w:val="21"/>
                <w:szCs w:val="21"/>
              </w:rPr>
              <w:t xml:space="preserve"> preámbulo de su involucramiento y </w:t>
            </w:r>
            <w:r w:rsidR="00862551">
              <w:rPr>
                <w:rFonts w:asciiTheme="majorHAnsi" w:hAnsiTheme="majorHAnsi" w:cstheme="majorHAnsi"/>
                <w:sz w:val="21"/>
                <w:szCs w:val="21"/>
              </w:rPr>
              <w:t>vinculación</w:t>
            </w:r>
            <w:r w:rsidRPr="00B4686E">
              <w:rPr>
                <w:rFonts w:asciiTheme="majorHAnsi" w:hAnsiTheme="majorHAnsi" w:cstheme="majorHAnsi"/>
                <w:sz w:val="21"/>
                <w:szCs w:val="21"/>
              </w:rPr>
              <w:t xml:space="preserve"> </w:t>
            </w:r>
            <w:r w:rsidRPr="00B4686E">
              <w:rPr>
                <w:rFonts w:ascii="Calibri" w:hAnsi="Calibri" w:cs="Calibri"/>
                <w:sz w:val="21"/>
                <w:szCs w:val="21"/>
              </w:rPr>
              <w:t>con los Grupos de Resultados para garantizar la implementación de las líneas estratégicas de</w:t>
            </w:r>
            <w:r w:rsidR="00862551">
              <w:rPr>
                <w:rFonts w:ascii="Calibri" w:hAnsi="Calibri" w:cs="Calibri"/>
                <w:sz w:val="21"/>
                <w:szCs w:val="21"/>
              </w:rPr>
              <w:t xml:space="preserve">l área transversal de IGEM.   En el contexto de la pandemia, </w:t>
            </w:r>
            <w:r w:rsidRPr="00B4686E">
              <w:rPr>
                <w:rFonts w:ascii="Calibri" w:hAnsi="Calibri" w:cs="Calibri"/>
                <w:sz w:val="21"/>
                <w:szCs w:val="21"/>
              </w:rPr>
              <w:t xml:space="preserve">el GIG fue un espacio en el cual se pudo mantener un diálogo interagencial sobre los impactos de la pandemia en las mujeres y las niñas, </w:t>
            </w:r>
            <w:r w:rsidR="00862551">
              <w:rPr>
                <w:rFonts w:ascii="Calibri" w:hAnsi="Calibri" w:cs="Calibri"/>
                <w:sz w:val="21"/>
                <w:szCs w:val="21"/>
              </w:rPr>
              <w:t xml:space="preserve">priorizando y </w:t>
            </w:r>
            <w:r w:rsidRPr="00B4686E">
              <w:rPr>
                <w:rFonts w:ascii="Calibri" w:hAnsi="Calibri" w:cs="Calibri"/>
                <w:sz w:val="21"/>
                <w:szCs w:val="21"/>
              </w:rPr>
              <w:t xml:space="preserve">coordinando acciones </w:t>
            </w:r>
            <w:r w:rsidR="00862551">
              <w:rPr>
                <w:rFonts w:ascii="Calibri" w:hAnsi="Calibri" w:cs="Calibri"/>
                <w:sz w:val="21"/>
                <w:szCs w:val="21"/>
              </w:rPr>
              <w:t xml:space="preserve">estratégicas </w:t>
            </w:r>
            <w:r w:rsidRPr="00B4686E">
              <w:rPr>
                <w:rFonts w:ascii="Calibri" w:hAnsi="Calibri" w:cs="Calibri"/>
                <w:sz w:val="21"/>
                <w:szCs w:val="21"/>
              </w:rPr>
              <w:t xml:space="preserve">para la respuesta </w:t>
            </w:r>
            <w:r w:rsidR="00862551">
              <w:rPr>
                <w:rFonts w:ascii="Calibri" w:hAnsi="Calibri" w:cs="Calibri"/>
                <w:sz w:val="21"/>
                <w:szCs w:val="21"/>
              </w:rPr>
              <w:t xml:space="preserve">del SNU en México en general y  </w:t>
            </w:r>
            <w:r w:rsidRPr="00B4686E">
              <w:rPr>
                <w:rFonts w:ascii="Calibri" w:hAnsi="Calibri" w:cs="Calibri"/>
                <w:sz w:val="21"/>
                <w:szCs w:val="21"/>
              </w:rPr>
              <w:t>de la Iniciativa Spotlight, el PC Cerrando Brechas y el PC Covid-19: Seguras en casa</w:t>
            </w:r>
            <w:r w:rsidR="00862551">
              <w:rPr>
                <w:rFonts w:ascii="Calibri" w:hAnsi="Calibri" w:cs="Calibri"/>
                <w:sz w:val="21"/>
                <w:szCs w:val="21"/>
              </w:rPr>
              <w:t>, en particular</w:t>
            </w:r>
            <w:r w:rsidRPr="00B4686E">
              <w:rPr>
                <w:rFonts w:ascii="Calibri" w:hAnsi="Calibri" w:cs="Calibri"/>
                <w:sz w:val="21"/>
                <w:szCs w:val="21"/>
              </w:rPr>
              <w:t>.</w:t>
            </w:r>
          </w:p>
          <w:p w14:paraId="06CC5DD1" w14:textId="77777777" w:rsidR="00FC7AD9" w:rsidRPr="004A1436" w:rsidRDefault="00FC7AD9" w:rsidP="00316349">
            <w:pPr>
              <w:rPr>
                <w:rFonts w:asciiTheme="majorHAnsi" w:hAnsiTheme="majorHAnsi" w:cstheme="majorHAnsi"/>
                <w:sz w:val="21"/>
                <w:szCs w:val="21"/>
              </w:rPr>
            </w:pPr>
          </w:p>
        </w:tc>
      </w:tr>
      <w:tr w:rsidR="00FC7AD9" w:rsidRPr="004A1436" w14:paraId="73BBCE9D" w14:textId="77777777" w:rsidTr="00460B03">
        <w:tc>
          <w:tcPr>
            <w:tcW w:w="8647" w:type="dxa"/>
            <w:gridSpan w:val="4"/>
          </w:tcPr>
          <w:p w14:paraId="1D91501C" w14:textId="77777777" w:rsidR="00FC7AD9" w:rsidRPr="00862551" w:rsidRDefault="00FC7AD9" w:rsidP="00316349">
            <w:pPr>
              <w:rPr>
                <w:rFonts w:asciiTheme="majorHAnsi" w:hAnsiTheme="majorHAnsi" w:cstheme="majorHAnsi"/>
                <w:b/>
                <w:color w:val="00B0F0"/>
                <w:sz w:val="21"/>
                <w:szCs w:val="21"/>
              </w:rPr>
            </w:pPr>
            <w:r w:rsidRPr="00862551">
              <w:rPr>
                <w:rFonts w:asciiTheme="majorHAnsi" w:hAnsiTheme="majorHAnsi" w:cstheme="majorHAnsi"/>
                <w:b/>
                <w:color w:val="00B0F0"/>
                <w:sz w:val="21"/>
                <w:szCs w:val="21"/>
              </w:rPr>
              <w:t>Evidencia/medios de verificación</w:t>
            </w:r>
          </w:p>
          <w:p w14:paraId="2282A690" w14:textId="4EC6D9AF" w:rsidR="00FC7AD9" w:rsidRPr="00A80645" w:rsidRDefault="00FC7AD9" w:rsidP="00D74AB5">
            <w:pPr>
              <w:pStyle w:val="Prrafodelista"/>
              <w:numPr>
                <w:ilvl w:val="0"/>
                <w:numId w:val="10"/>
              </w:numPr>
              <w:rPr>
                <w:rFonts w:asciiTheme="majorHAnsi" w:hAnsiTheme="majorHAnsi" w:cstheme="majorHAnsi"/>
                <w:sz w:val="21"/>
                <w:szCs w:val="21"/>
              </w:rPr>
            </w:pPr>
            <w:r w:rsidRPr="00A80645">
              <w:rPr>
                <w:rFonts w:asciiTheme="majorHAnsi" w:hAnsiTheme="majorHAnsi" w:cstheme="majorHAnsi"/>
                <w:sz w:val="21"/>
                <w:szCs w:val="21"/>
              </w:rPr>
              <w:t>Términos de referencia del GIG 2017</w:t>
            </w:r>
            <w:r w:rsidR="00A80645" w:rsidRPr="00A80645">
              <w:rPr>
                <w:rFonts w:asciiTheme="majorHAnsi" w:hAnsiTheme="majorHAnsi" w:cstheme="majorHAnsi"/>
                <w:sz w:val="21"/>
                <w:szCs w:val="21"/>
              </w:rPr>
              <w:t xml:space="preserve"> y </w:t>
            </w:r>
            <w:r w:rsidRPr="00A80645">
              <w:rPr>
                <w:rFonts w:asciiTheme="majorHAnsi" w:hAnsiTheme="majorHAnsi" w:cstheme="majorHAnsi"/>
                <w:sz w:val="21"/>
                <w:szCs w:val="21"/>
              </w:rPr>
              <w:t>Borrador Términos de Referencia del GIG 2021</w:t>
            </w:r>
          </w:p>
          <w:p w14:paraId="093CAFB8" w14:textId="77777777" w:rsidR="00FC7AD9" w:rsidRDefault="00FC7AD9" w:rsidP="00D74AB5">
            <w:pPr>
              <w:pStyle w:val="Prrafodelista"/>
              <w:numPr>
                <w:ilvl w:val="0"/>
                <w:numId w:val="10"/>
              </w:numPr>
              <w:rPr>
                <w:rFonts w:asciiTheme="majorHAnsi" w:hAnsiTheme="majorHAnsi" w:cstheme="majorHAnsi"/>
                <w:sz w:val="21"/>
                <w:szCs w:val="21"/>
              </w:rPr>
            </w:pPr>
            <w:r>
              <w:rPr>
                <w:rFonts w:asciiTheme="majorHAnsi" w:hAnsiTheme="majorHAnsi" w:cstheme="majorHAnsi"/>
                <w:sz w:val="21"/>
                <w:szCs w:val="21"/>
              </w:rPr>
              <w:t>Plan de Trabajo del GIG 2020-2021</w:t>
            </w:r>
          </w:p>
          <w:p w14:paraId="782DCB4E" w14:textId="33F9917D" w:rsidR="00FC7AD9" w:rsidRDefault="00FC7AD9" w:rsidP="00D74AB5">
            <w:pPr>
              <w:pStyle w:val="Prrafodelista"/>
              <w:numPr>
                <w:ilvl w:val="0"/>
                <w:numId w:val="10"/>
              </w:numPr>
              <w:rPr>
                <w:rFonts w:asciiTheme="majorHAnsi" w:hAnsiTheme="majorHAnsi" w:cstheme="majorHAnsi"/>
                <w:sz w:val="21"/>
                <w:szCs w:val="21"/>
              </w:rPr>
            </w:pPr>
            <w:r>
              <w:rPr>
                <w:rFonts w:asciiTheme="majorHAnsi" w:hAnsiTheme="majorHAnsi" w:cstheme="majorHAnsi"/>
                <w:sz w:val="21"/>
                <w:szCs w:val="21"/>
              </w:rPr>
              <w:t xml:space="preserve">Prioridades </w:t>
            </w:r>
            <w:r w:rsidR="00862551">
              <w:rPr>
                <w:rFonts w:asciiTheme="majorHAnsi" w:hAnsiTheme="majorHAnsi" w:cstheme="majorHAnsi"/>
                <w:sz w:val="21"/>
                <w:szCs w:val="21"/>
              </w:rPr>
              <w:t xml:space="preserve">2022 </w:t>
            </w:r>
            <w:r>
              <w:rPr>
                <w:rFonts w:asciiTheme="majorHAnsi" w:hAnsiTheme="majorHAnsi" w:cstheme="majorHAnsi"/>
                <w:sz w:val="21"/>
                <w:szCs w:val="21"/>
              </w:rPr>
              <w:t xml:space="preserve">y desafíos del GIG presentados durante el retiro de planeación estratégica del </w:t>
            </w:r>
            <w:r w:rsidR="00862551">
              <w:rPr>
                <w:rFonts w:asciiTheme="majorHAnsi" w:hAnsiTheme="majorHAnsi" w:cstheme="majorHAnsi"/>
                <w:sz w:val="21"/>
                <w:szCs w:val="21"/>
              </w:rPr>
              <w:t>Equpo de País 2021.</w:t>
            </w:r>
          </w:p>
          <w:p w14:paraId="0FDD68A6" w14:textId="084F3A76" w:rsidR="00FC7AD9" w:rsidRPr="004A1436" w:rsidRDefault="00FC7AD9" w:rsidP="00D74AB5">
            <w:pPr>
              <w:pStyle w:val="Prrafodelista"/>
              <w:numPr>
                <w:ilvl w:val="0"/>
                <w:numId w:val="10"/>
              </w:numPr>
              <w:rPr>
                <w:rFonts w:asciiTheme="majorHAnsi" w:hAnsiTheme="majorHAnsi" w:cstheme="majorHAnsi"/>
                <w:sz w:val="21"/>
                <w:szCs w:val="21"/>
              </w:rPr>
            </w:pPr>
            <w:r w:rsidRPr="004A1436">
              <w:rPr>
                <w:rFonts w:asciiTheme="majorHAnsi" w:hAnsiTheme="majorHAnsi" w:cstheme="majorHAnsi"/>
                <w:sz w:val="21"/>
                <w:szCs w:val="21"/>
              </w:rPr>
              <w:t xml:space="preserve">Minutas de las reuniones </w:t>
            </w:r>
            <w:r>
              <w:rPr>
                <w:rFonts w:asciiTheme="majorHAnsi" w:hAnsiTheme="majorHAnsi" w:cstheme="majorHAnsi"/>
                <w:sz w:val="21"/>
                <w:szCs w:val="21"/>
              </w:rPr>
              <w:t>d</w:t>
            </w:r>
            <w:r w:rsidRPr="004A1436">
              <w:rPr>
                <w:rFonts w:asciiTheme="majorHAnsi" w:hAnsiTheme="majorHAnsi" w:cstheme="majorHAnsi"/>
                <w:sz w:val="21"/>
                <w:szCs w:val="21"/>
              </w:rPr>
              <w:t xml:space="preserve">el GIG </w:t>
            </w:r>
            <w:r>
              <w:rPr>
                <w:rFonts w:asciiTheme="majorHAnsi" w:hAnsiTheme="majorHAnsi" w:cstheme="majorHAnsi"/>
                <w:sz w:val="21"/>
                <w:szCs w:val="21"/>
              </w:rPr>
              <w:t>2020-2021</w:t>
            </w:r>
            <w:r w:rsidR="00862551">
              <w:rPr>
                <w:rFonts w:asciiTheme="majorHAnsi" w:hAnsiTheme="majorHAnsi" w:cstheme="majorHAnsi"/>
                <w:sz w:val="21"/>
                <w:szCs w:val="21"/>
              </w:rPr>
              <w:t>.</w:t>
            </w:r>
          </w:p>
          <w:p w14:paraId="3C045EC7" w14:textId="6282705F" w:rsidR="00FC7AD9" w:rsidRDefault="00FC7AD9" w:rsidP="00D74AB5">
            <w:pPr>
              <w:pStyle w:val="Prrafodelista"/>
              <w:numPr>
                <w:ilvl w:val="0"/>
                <w:numId w:val="10"/>
              </w:numPr>
              <w:rPr>
                <w:rFonts w:asciiTheme="majorHAnsi" w:hAnsiTheme="majorHAnsi" w:cstheme="majorHAnsi"/>
                <w:sz w:val="21"/>
                <w:szCs w:val="21"/>
              </w:rPr>
            </w:pPr>
            <w:r>
              <w:rPr>
                <w:rFonts w:asciiTheme="majorHAnsi" w:hAnsiTheme="majorHAnsi" w:cstheme="majorHAnsi"/>
                <w:sz w:val="21"/>
                <w:szCs w:val="21"/>
              </w:rPr>
              <w:t xml:space="preserve">Informe </w:t>
            </w:r>
            <w:r w:rsidRPr="004A1436">
              <w:rPr>
                <w:rFonts w:asciiTheme="majorHAnsi" w:hAnsiTheme="majorHAnsi" w:cstheme="majorHAnsi"/>
                <w:sz w:val="21"/>
                <w:szCs w:val="21"/>
              </w:rPr>
              <w:t xml:space="preserve">de labores del GIG </w:t>
            </w:r>
            <w:r>
              <w:rPr>
                <w:rFonts w:asciiTheme="majorHAnsi" w:hAnsiTheme="majorHAnsi" w:cstheme="majorHAnsi"/>
                <w:sz w:val="21"/>
                <w:szCs w:val="21"/>
              </w:rPr>
              <w:t>2020</w:t>
            </w:r>
            <w:r w:rsidR="00862551">
              <w:rPr>
                <w:rFonts w:asciiTheme="majorHAnsi" w:hAnsiTheme="majorHAnsi" w:cstheme="majorHAnsi"/>
                <w:sz w:val="21"/>
                <w:szCs w:val="21"/>
              </w:rPr>
              <w:t>.</w:t>
            </w:r>
          </w:p>
          <w:p w14:paraId="4A3BD088" w14:textId="531845F3" w:rsidR="00FC7AD9" w:rsidRPr="00371998" w:rsidRDefault="00FC7AD9" w:rsidP="00D74AB5">
            <w:pPr>
              <w:pStyle w:val="Prrafodelista"/>
              <w:numPr>
                <w:ilvl w:val="0"/>
                <w:numId w:val="10"/>
              </w:numPr>
              <w:rPr>
                <w:rFonts w:asciiTheme="majorHAnsi" w:hAnsiTheme="majorHAnsi" w:cstheme="majorHAnsi"/>
                <w:sz w:val="21"/>
                <w:szCs w:val="21"/>
              </w:rPr>
            </w:pPr>
            <w:r>
              <w:rPr>
                <w:rFonts w:asciiTheme="majorHAnsi" w:hAnsiTheme="majorHAnsi" w:cstheme="majorHAnsi"/>
                <w:sz w:val="21"/>
                <w:szCs w:val="21"/>
              </w:rPr>
              <w:t>Excel que contiene las designaciones</w:t>
            </w:r>
            <w:r w:rsidRPr="00371998">
              <w:rPr>
                <w:rFonts w:asciiTheme="majorHAnsi" w:hAnsiTheme="majorHAnsi" w:cstheme="majorHAnsi"/>
                <w:sz w:val="21"/>
                <w:szCs w:val="21"/>
              </w:rPr>
              <w:t xml:space="preserve"> de puntos focales para los grupos interagenciales de la estructura </w:t>
            </w:r>
            <w:r>
              <w:rPr>
                <w:rFonts w:asciiTheme="majorHAnsi" w:hAnsiTheme="majorHAnsi" w:cstheme="majorHAnsi"/>
                <w:sz w:val="21"/>
                <w:szCs w:val="21"/>
              </w:rPr>
              <w:t>principal de coordinación</w:t>
            </w:r>
            <w:r w:rsidR="00862551">
              <w:rPr>
                <w:rFonts w:asciiTheme="majorHAnsi" w:hAnsiTheme="majorHAnsi" w:cstheme="majorHAnsi"/>
                <w:sz w:val="21"/>
                <w:szCs w:val="21"/>
              </w:rPr>
              <w:t xml:space="preserve"> (Anexo I)</w:t>
            </w:r>
          </w:p>
        </w:tc>
      </w:tr>
    </w:tbl>
    <w:p w14:paraId="06F25BBE" w14:textId="77777777" w:rsidR="00FC7AD9" w:rsidRPr="004A1436" w:rsidRDefault="00FC7AD9" w:rsidP="00FC7AD9">
      <w:pPr>
        <w:rPr>
          <w:rFonts w:asciiTheme="majorHAnsi" w:hAnsiTheme="majorHAnsi" w:cstheme="majorHAnsi"/>
          <w:sz w:val="21"/>
          <w:szCs w:val="21"/>
        </w:rPr>
      </w:pPr>
    </w:p>
    <w:p w14:paraId="5CA677D5" w14:textId="77777777" w:rsidR="00AC45EA" w:rsidRDefault="00AC45EA" w:rsidP="007B4464"/>
    <w:p w14:paraId="09C6F8D6" w14:textId="48E8A3F8" w:rsidR="00487D54" w:rsidRDefault="00681412" w:rsidP="00772037">
      <w:pPr>
        <w:pStyle w:val="Ttulo1"/>
        <w:spacing w:before="0" w:after="120"/>
        <w:rPr>
          <w:rFonts w:cstheme="majorHAnsi"/>
          <w:color w:val="00B0F0"/>
          <w:sz w:val="22"/>
          <w:szCs w:val="22"/>
        </w:rPr>
      </w:pPr>
      <w:bookmarkStart w:id="12" w:name="_Toc89942359"/>
      <w:r w:rsidRPr="00AC45EA">
        <w:rPr>
          <w:rFonts w:cstheme="majorHAnsi"/>
          <w:color w:val="00B0F0"/>
          <w:sz w:val="22"/>
          <w:szCs w:val="22"/>
        </w:rPr>
        <w:t xml:space="preserve">V. </w:t>
      </w:r>
      <w:r w:rsidR="001C4A10">
        <w:rPr>
          <w:rFonts w:cstheme="majorHAnsi"/>
          <w:color w:val="00B0F0"/>
          <w:sz w:val="22"/>
          <w:szCs w:val="22"/>
        </w:rPr>
        <w:t xml:space="preserve">Revisión del progreso </w:t>
      </w:r>
      <w:r w:rsidR="00606597">
        <w:rPr>
          <w:rFonts w:cstheme="majorHAnsi"/>
          <w:color w:val="00B0F0"/>
          <w:sz w:val="22"/>
          <w:szCs w:val="22"/>
        </w:rPr>
        <w:t xml:space="preserve">y ajustes al </w:t>
      </w:r>
      <w:r w:rsidR="00FC2A36" w:rsidRPr="00AC45EA">
        <w:rPr>
          <w:rFonts w:cstheme="majorHAnsi"/>
          <w:color w:val="00B0F0"/>
          <w:sz w:val="22"/>
          <w:szCs w:val="22"/>
        </w:rPr>
        <w:t>Plan de Acción</w:t>
      </w:r>
      <w:bookmarkEnd w:id="12"/>
      <w:r w:rsidR="00FC2A36" w:rsidRPr="00AC45EA">
        <w:rPr>
          <w:rFonts w:cstheme="majorHAnsi"/>
          <w:color w:val="00B0F0"/>
          <w:sz w:val="22"/>
          <w:szCs w:val="22"/>
        </w:rPr>
        <w:t xml:space="preserve"> </w:t>
      </w:r>
    </w:p>
    <w:p w14:paraId="6CDE6D16" w14:textId="3F067558" w:rsidR="00AC45EA" w:rsidRPr="00341E83" w:rsidRDefault="00AC45EA" w:rsidP="00AC45EA">
      <w:pPr>
        <w:spacing w:after="120"/>
        <w:jc w:val="both"/>
        <w:rPr>
          <w:rFonts w:asciiTheme="majorHAnsi" w:hAnsiTheme="majorHAnsi" w:cstheme="majorHAnsi"/>
          <w:bdr w:val="nil"/>
          <w:lang w:val="es-ES_tradnl"/>
        </w:rPr>
      </w:pPr>
      <w:r w:rsidRPr="00341E83">
        <w:rPr>
          <w:rFonts w:asciiTheme="majorHAnsi" w:eastAsia="Times New Roman" w:hAnsiTheme="majorHAnsi" w:cstheme="majorHAnsi"/>
        </w:rPr>
        <w:t xml:space="preserve">La revisión del progreso global en la implementación del Plan de Acción  evidencia que, a dos años de su adopción, </w:t>
      </w:r>
      <w:r w:rsidR="00341E83" w:rsidRPr="00341E83">
        <w:rPr>
          <w:rFonts w:asciiTheme="majorHAnsi" w:eastAsia="Times New Roman" w:hAnsiTheme="majorHAnsi" w:cstheme="majorHAnsi"/>
        </w:rPr>
        <w:t>el SNU en México ha r</w:t>
      </w:r>
      <w:r w:rsidRPr="00341E83">
        <w:rPr>
          <w:rFonts w:asciiTheme="majorHAnsi" w:eastAsia="Times New Roman" w:hAnsiTheme="majorHAnsi" w:cstheme="majorHAnsi"/>
        </w:rPr>
        <w:t xml:space="preserve">egistrado avances en </w:t>
      </w:r>
      <w:r w:rsidRPr="00341E83">
        <w:rPr>
          <w:rFonts w:asciiTheme="majorHAnsi" w:hAnsiTheme="majorHAnsi" w:cstheme="majorHAnsi"/>
          <w:bdr w:val="nil"/>
          <w:lang w:val="es-ES_tradnl"/>
        </w:rPr>
        <w:t>28 de las 38 acciones que lo conforman (74%)</w:t>
      </w:r>
      <w:r w:rsidR="00341E83" w:rsidRPr="00341E83">
        <w:rPr>
          <w:rFonts w:asciiTheme="majorHAnsi" w:hAnsiTheme="majorHAnsi" w:cstheme="majorHAnsi"/>
          <w:bdr w:val="nil"/>
          <w:lang w:val="es-ES_tradnl"/>
        </w:rPr>
        <w:t xml:space="preserve">: </w:t>
      </w:r>
      <w:r w:rsidRPr="00341E83">
        <w:rPr>
          <w:rFonts w:asciiTheme="majorHAnsi" w:hAnsiTheme="majorHAnsi" w:cstheme="majorHAnsi"/>
          <w:bdr w:val="nil"/>
          <w:lang w:val="es-ES_tradnl"/>
        </w:rPr>
        <w:t xml:space="preserve">10 acciones han sido completadas </w:t>
      </w:r>
      <w:r w:rsidR="00341E83">
        <w:rPr>
          <w:rFonts w:asciiTheme="majorHAnsi" w:hAnsiTheme="majorHAnsi" w:cstheme="majorHAnsi"/>
          <w:bdr w:val="nil"/>
          <w:lang w:val="es-ES_tradnl"/>
        </w:rPr>
        <w:t>en su totalidad</w:t>
      </w:r>
      <w:r w:rsidRPr="00341E83">
        <w:rPr>
          <w:rFonts w:asciiTheme="majorHAnsi" w:hAnsiTheme="majorHAnsi" w:cstheme="majorHAnsi"/>
          <w:bdr w:val="nil"/>
          <w:lang w:val="es-ES_tradnl"/>
        </w:rPr>
        <w:t xml:space="preserve"> y 18 se encuentran como iniciadas, mientras que 10 </w:t>
      </w:r>
      <w:r w:rsidR="00341E83">
        <w:rPr>
          <w:rFonts w:asciiTheme="majorHAnsi" w:hAnsiTheme="majorHAnsi" w:cstheme="majorHAnsi"/>
          <w:bdr w:val="nil"/>
          <w:lang w:val="es-ES_tradnl"/>
        </w:rPr>
        <w:t xml:space="preserve">no </w:t>
      </w:r>
      <w:r w:rsidR="00A80645">
        <w:rPr>
          <w:rFonts w:asciiTheme="majorHAnsi" w:hAnsiTheme="majorHAnsi" w:cstheme="majorHAnsi"/>
          <w:bdr w:val="nil"/>
          <w:lang w:val="es-ES_tradnl"/>
        </w:rPr>
        <w:t xml:space="preserve">han registrado </w:t>
      </w:r>
      <w:r w:rsidR="00341E83">
        <w:rPr>
          <w:rFonts w:asciiTheme="majorHAnsi" w:hAnsiTheme="majorHAnsi" w:cstheme="majorHAnsi"/>
          <w:bdr w:val="nil"/>
          <w:lang w:val="es-ES_tradnl"/>
        </w:rPr>
        <w:t xml:space="preserve">avance alguno. </w:t>
      </w:r>
    </w:p>
    <w:p w14:paraId="168EE64C" w14:textId="77777777" w:rsidR="00A94EB7" w:rsidRDefault="00A94EB7" w:rsidP="00A94EB7">
      <w:pPr>
        <w:spacing w:after="120"/>
        <w:jc w:val="both"/>
        <w:rPr>
          <w:b/>
          <w:bCs/>
          <w:bdr w:val="nil"/>
        </w:rPr>
      </w:pPr>
    </w:p>
    <w:p w14:paraId="1B036E10" w14:textId="0A2A7465" w:rsidR="00A94EB7" w:rsidRDefault="00A94EB7" w:rsidP="00A94EB7">
      <w:pPr>
        <w:pStyle w:val="Descripcin"/>
        <w:jc w:val="center"/>
        <w:rPr>
          <w:bCs/>
          <w:bdr w:val="nil"/>
        </w:rPr>
      </w:pPr>
      <w:bookmarkStart w:id="13" w:name="_Toc89942530"/>
      <w:r>
        <w:t xml:space="preserve">Figura </w:t>
      </w:r>
      <w:r>
        <w:fldChar w:fldCharType="begin"/>
      </w:r>
      <w:r>
        <w:instrText xml:space="preserve"> SEQ Figura \* ARABIC </w:instrText>
      </w:r>
      <w:r>
        <w:fldChar w:fldCharType="separate"/>
      </w:r>
      <w:r>
        <w:rPr>
          <w:noProof/>
        </w:rPr>
        <w:t>3</w:t>
      </w:r>
      <w:r>
        <w:fldChar w:fldCharType="end"/>
      </w:r>
      <w:r>
        <w:t xml:space="preserve">. </w:t>
      </w:r>
      <w:r w:rsidRPr="00A94EB7">
        <w:rPr>
          <w:bCs/>
          <w:bdr w:val="nil"/>
        </w:rPr>
        <w:t>Avances globales en la implementación del Plan de Acción</w:t>
      </w:r>
      <w:bookmarkEnd w:id="13"/>
      <w:r w:rsidR="001C4A44">
        <w:rPr>
          <w:bCs/>
          <w:bdr w:val="nil"/>
        </w:rPr>
        <w:t xml:space="preserve"> (corte a diciembre de 2021)</w:t>
      </w:r>
    </w:p>
    <w:p w14:paraId="3B677A14" w14:textId="59AFB899" w:rsidR="001C4A44" w:rsidRPr="00A94EB7" w:rsidRDefault="001C4A44" w:rsidP="001C4A44"/>
    <w:p w14:paraId="5DA1C454" w14:textId="222CCEBB" w:rsidR="00341E83" w:rsidRDefault="00341E83" w:rsidP="00A94EB7">
      <w:pPr>
        <w:spacing w:after="120"/>
        <w:jc w:val="center"/>
        <w:rPr>
          <w:rFonts w:ascii="Arial Nova Cond" w:hAnsi="Arial Nova Cond"/>
          <w:lang w:val="es-ES"/>
        </w:rPr>
      </w:pPr>
      <w:r w:rsidRPr="0016524E">
        <w:rPr>
          <w:noProof/>
          <w:lang w:val="en-US"/>
        </w:rPr>
        <w:drawing>
          <wp:inline distT="0" distB="0" distL="0" distR="0" wp14:anchorId="67B1FF9A" wp14:editId="43937269">
            <wp:extent cx="5046027" cy="2614295"/>
            <wp:effectExtent l="0" t="0" r="8890" b="14605"/>
            <wp:docPr id="32" name="Gráfico 32">
              <a:extLst xmlns:a="http://schemas.openxmlformats.org/drawingml/2006/main">
                <a:ext uri="{FF2B5EF4-FFF2-40B4-BE49-F238E27FC236}">
                  <a16:creationId xmlns:a16="http://schemas.microsoft.com/office/drawing/2014/main" id="{F121E294-2A5D-4AEA-BCE8-099F7D3A2C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1CCE13AE" w14:textId="77777777" w:rsidR="00341E83" w:rsidRDefault="00341E83" w:rsidP="00AC45EA">
      <w:pPr>
        <w:spacing w:after="120"/>
        <w:jc w:val="both"/>
        <w:rPr>
          <w:rFonts w:asciiTheme="majorHAnsi" w:hAnsiTheme="majorHAnsi" w:cstheme="majorHAnsi"/>
          <w:lang w:val="es-ES"/>
        </w:rPr>
      </w:pPr>
    </w:p>
    <w:p w14:paraId="1EFACA90" w14:textId="4E70193E" w:rsidR="00A80645" w:rsidRDefault="003050AC" w:rsidP="00772037">
      <w:pPr>
        <w:spacing w:after="120"/>
        <w:jc w:val="both"/>
        <w:rPr>
          <w:rFonts w:asciiTheme="majorHAnsi" w:hAnsiTheme="majorHAnsi" w:cstheme="majorHAnsi"/>
          <w:lang w:val="es-ES"/>
        </w:rPr>
      </w:pPr>
      <w:r>
        <w:rPr>
          <w:rFonts w:asciiTheme="majorHAnsi" w:hAnsiTheme="majorHAnsi" w:cstheme="majorHAnsi"/>
          <w:lang w:val="es-ES"/>
        </w:rPr>
        <w:t>E</w:t>
      </w:r>
      <w:r w:rsidR="00341E83" w:rsidRPr="00341E83">
        <w:rPr>
          <w:rFonts w:asciiTheme="majorHAnsi" w:hAnsiTheme="majorHAnsi" w:cstheme="majorHAnsi"/>
          <w:lang w:val="es-ES"/>
        </w:rPr>
        <w:t xml:space="preserve">l análisis </w:t>
      </w:r>
      <w:r w:rsidR="00341E83">
        <w:rPr>
          <w:rFonts w:asciiTheme="majorHAnsi" w:hAnsiTheme="majorHAnsi" w:cstheme="majorHAnsi"/>
          <w:lang w:val="es-ES"/>
        </w:rPr>
        <w:t xml:space="preserve">por </w:t>
      </w:r>
      <w:r w:rsidR="00341E83" w:rsidRPr="00341E83">
        <w:rPr>
          <w:rFonts w:asciiTheme="majorHAnsi" w:hAnsiTheme="majorHAnsi" w:cstheme="majorHAnsi"/>
          <w:lang w:val="es-ES"/>
        </w:rPr>
        <w:t xml:space="preserve">área de desempeño </w:t>
      </w:r>
      <w:r w:rsidR="00341E83">
        <w:rPr>
          <w:rFonts w:asciiTheme="majorHAnsi" w:hAnsiTheme="majorHAnsi" w:cstheme="majorHAnsi"/>
          <w:lang w:val="es-ES"/>
        </w:rPr>
        <w:t xml:space="preserve">muestra que los </w:t>
      </w:r>
      <w:r w:rsidRPr="00E604B5">
        <w:rPr>
          <w:rFonts w:asciiTheme="majorHAnsi" w:hAnsiTheme="majorHAnsi" w:cstheme="majorHAnsi"/>
          <w:b/>
          <w:bCs/>
          <w:lang w:val="es-ES"/>
        </w:rPr>
        <w:t xml:space="preserve">avances </w:t>
      </w:r>
      <w:r w:rsidR="00A94EB7" w:rsidRPr="00E604B5">
        <w:rPr>
          <w:rFonts w:asciiTheme="majorHAnsi" w:hAnsiTheme="majorHAnsi" w:cstheme="majorHAnsi"/>
          <w:b/>
          <w:bCs/>
          <w:lang w:val="es-ES"/>
        </w:rPr>
        <w:t xml:space="preserve">del Plan del Acción son </w:t>
      </w:r>
      <w:r w:rsidR="00A80645" w:rsidRPr="00E604B5">
        <w:rPr>
          <w:rFonts w:asciiTheme="majorHAnsi" w:hAnsiTheme="majorHAnsi" w:cstheme="majorHAnsi"/>
          <w:b/>
          <w:bCs/>
          <w:lang w:val="es-ES"/>
        </w:rPr>
        <w:t xml:space="preserve">atomizados y </w:t>
      </w:r>
      <w:r w:rsidR="00341E83" w:rsidRPr="00E604B5">
        <w:rPr>
          <w:rFonts w:asciiTheme="majorHAnsi" w:hAnsiTheme="majorHAnsi" w:cstheme="majorHAnsi"/>
          <w:b/>
          <w:bCs/>
          <w:lang w:val="es-ES"/>
        </w:rPr>
        <w:t>heterogéneos</w:t>
      </w:r>
      <w:r w:rsidR="00A80645" w:rsidRPr="00E604B5">
        <w:rPr>
          <w:rFonts w:asciiTheme="majorHAnsi" w:hAnsiTheme="majorHAnsi" w:cstheme="majorHAnsi"/>
          <w:b/>
          <w:bCs/>
          <w:lang w:val="es-ES"/>
        </w:rPr>
        <w:t>,</w:t>
      </w:r>
      <w:r w:rsidR="00A80645">
        <w:rPr>
          <w:rFonts w:asciiTheme="majorHAnsi" w:hAnsiTheme="majorHAnsi" w:cstheme="majorHAnsi"/>
          <w:lang w:val="es-ES"/>
        </w:rPr>
        <w:t xml:space="preserve"> afectando l</w:t>
      </w:r>
      <w:r w:rsidR="00A94EB7">
        <w:rPr>
          <w:rFonts w:asciiTheme="majorHAnsi" w:hAnsiTheme="majorHAnsi" w:cstheme="majorHAnsi"/>
          <w:lang w:val="es-ES"/>
        </w:rPr>
        <w:t xml:space="preserve">a </w:t>
      </w:r>
      <w:r w:rsidR="00A80645">
        <w:rPr>
          <w:rFonts w:asciiTheme="majorHAnsi" w:hAnsiTheme="majorHAnsi" w:cstheme="majorHAnsi"/>
          <w:lang w:val="es-ES"/>
        </w:rPr>
        <w:t>integralidad del progreso</w:t>
      </w:r>
      <w:r w:rsidR="00A94EB7">
        <w:rPr>
          <w:rFonts w:asciiTheme="majorHAnsi" w:hAnsiTheme="majorHAnsi" w:cstheme="majorHAnsi"/>
          <w:lang w:val="es-ES"/>
        </w:rPr>
        <w:t xml:space="preserve"> </w:t>
      </w:r>
      <w:r w:rsidR="00E604B5">
        <w:rPr>
          <w:rFonts w:asciiTheme="majorHAnsi" w:hAnsiTheme="majorHAnsi" w:cstheme="majorHAnsi"/>
          <w:lang w:val="es-ES"/>
        </w:rPr>
        <w:t>que se necesita</w:t>
      </w:r>
      <w:r w:rsidR="00A94EB7">
        <w:rPr>
          <w:rFonts w:asciiTheme="majorHAnsi" w:hAnsiTheme="majorHAnsi" w:cstheme="majorHAnsi"/>
          <w:lang w:val="es-ES"/>
        </w:rPr>
        <w:t xml:space="preserve"> para fortalecer la incorporación efectiva de la perspectiva de género en las siete dimensiones. </w:t>
      </w:r>
    </w:p>
    <w:p w14:paraId="3E9146C4" w14:textId="59583F59" w:rsidR="00A80645" w:rsidRDefault="00341E83" w:rsidP="00D74AB5">
      <w:pPr>
        <w:pStyle w:val="Prrafodelista"/>
        <w:numPr>
          <w:ilvl w:val="0"/>
          <w:numId w:val="21"/>
        </w:numPr>
        <w:spacing w:after="120"/>
        <w:ind w:left="714" w:hanging="357"/>
        <w:contextualSpacing w:val="0"/>
        <w:jc w:val="both"/>
        <w:rPr>
          <w:rFonts w:asciiTheme="majorHAnsi" w:hAnsiTheme="majorHAnsi" w:cstheme="majorHAnsi"/>
          <w:lang w:val="es-ES"/>
        </w:rPr>
      </w:pPr>
      <w:r w:rsidRPr="00A80645">
        <w:rPr>
          <w:rFonts w:asciiTheme="majorHAnsi" w:hAnsiTheme="majorHAnsi" w:cstheme="majorHAnsi"/>
          <w:lang w:val="es-ES"/>
        </w:rPr>
        <w:t>Las mayores fortalezas se observa</w:t>
      </w:r>
      <w:r w:rsidR="00A80645">
        <w:rPr>
          <w:rFonts w:asciiTheme="majorHAnsi" w:hAnsiTheme="majorHAnsi" w:cstheme="majorHAnsi"/>
          <w:lang w:val="es-ES"/>
        </w:rPr>
        <w:t>n</w:t>
      </w:r>
      <w:r w:rsidR="003050AC" w:rsidRPr="00A80645">
        <w:rPr>
          <w:rFonts w:asciiTheme="majorHAnsi" w:hAnsiTheme="majorHAnsi" w:cstheme="majorHAnsi"/>
          <w:lang w:val="es-ES"/>
        </w:rPr>
        <w:t xml:space="preserve"> </w:t>
      </w:r>
      <w:r w:rsidRPr="00A80645">
        <w:rPr>
          <w:rFonts w:asciiTheme="majorHAnsi" w:hAnsiTheme="majorHAnsi" w:cstheme="majorHAnsi"/>
          <w:lang w:val="es-ES"/>
        </w:rPr>
        <w:t xml:space="preserve">en las dimensiones de Planificación y Asociaciones, </w:t>
      </w:r>
      <w:r w:rsidR="003050AC" w:rsidRPr="00A80645">
        <w:rPr>
          <w:rFonts w:asciiTheme="majorHAnsi" w:hAnsiTheme="majorHAnsi" w:cstheme="majorHAnsi"/>
          <w:lang w:val="es-ES"/>
        </w:rPr>
        <w:t>particularmente en las acciones vinculadas</w:t>
      </w:r>
      <w:r w:rsidR="00A94EB7">
        <w:rPr>
          <w:rFonts w:asciiTheme="majorHAnsi" w:hAnsiTheme="majorHAnsi" w:cstheme="majorHAnsi"/>
          <w:lang w:val="es-ES"/>
        </w:rPr>
        <w:t xml:space="preserve"> </w:t>
      </w:r>
      <w:r w:rsidR="003050AC" w:rsidRPr="00A80645">
        <w:rPr>
          <w:rFonts w:asciiTheme="majorHAnsi" w:hAnsiTheme="majorHAnsi" w:cstheme="majorHAnsi"/>
          <w:lang w:val="es-ES"/>
        </w:rPr>
        <w:t xml:space="preserve">a los procesos del Marco de Cooperación 2020-2025, </w:t>
      </w:r>
      <w:r w:rsidRPr="00A80645">
        <w:rPr>
          <w:rFonts w:asciiTheme="majorHAnsi" w:hAnsiTheme="majorHAnsi" w:cstheme="majorHAnsi"/>
          <w:lang w:val="es-ES"/>
        </w:rPr>
        <w:t>lo que explica en consecuencia</w:t>
      </w:r>
      <w:r w:rsidR="00A94EB7">
        <w:rPr>
          <w:rFonts w:asciiTheme="majorHAnsi" w:hAnsiTheme="majorHAnsi" w:cstheme="majorHAnsi"/>
          <w:lang w:val="es-ES"/>
        </w:rPr>
        <w:t>, como se mencionó anteriormente,</w:t>
      </w:r>
      <w:r w:rsidRPr="00A80645">
        <w:rPr>
          <w:rFonts w:asciiTheme="majorHAnsi" w:hAnsiTheme="majorHAnsi" w:cstheme="majorHAnsi"/>
          <w:lang w:val="es-ES"/>
        </w:rPr>
        <w:t xml:space="preserve"> el movimiento positivo que mostraron los cuatro indicadores revisados en 2021 con respecto a </w:t>
      </w:r>
      <w:r w:rsidR="00A94EB7">
        <w:rPr>
          <w:rFonts w:asciiTheme="majorHAnsi" w:hAnsiTheme="majorHAnsi" w:cstheme="majorHAnsi"/>
          <w:lang w:val="es-ES"/>
        </w:rPr>
        <w:t xml:space="preserve">la </w:t>
      </w:r>
      <w:r w:rsidRPr="00A80645">
        <w:rPr>
          <w:rFonts w:asciiTheme="majorHAnsi" w:hAnsiTheme="majorHAnsi" w:cstheme="majorHAnsi"/>
          <w:lang w:val="es-ES"/>
        </w:rPr>
        <w:t xml:space="preserve">valoración </w:t>
      </w:r>
      <w:r w:rsidR="003050AC" w:rsidRPr="00A80645">
        <w:rPr>
          <w:rFonts w:asciiTheme="majorHAnsi" w:hAnsiTheme="majorHAnsi" w:cstheme="majorHAnsi"/>
          <w:lang w:val="es-ES"/>
        </w:rPr>
        <w:t>de</w:t>
      </w:r>
      <w:r w:rsidRPr="00A80645">
        <w:rPr>
          <w:rFonts w:asciiTheme="majorHAnsi" w:hAnsiTheme="majorHAnsi" w:cstheme="majorHAnsi"/>
          <w:lang w:val="es-ES"/>
        </w:rPr>
        <w:t xml:space="preserve"> 2019.  </w:t>
      </w:r>
    </w:p>
    <w:p w14:paraId="3A953EC0" w14:textId="5726535A" w:rsidR="00341E83" w:rsidRPr="00A80645" w:rsidRDefault="00A80645" w:rsidP="00D74AB5">
      <w:pPr>
        <w:pStyle w:val="Prrafodelista"/>
        <w:numPr>
          <w:ilvl w:val="0"/>
          <w:numId w:val="21"/>
        </w:numPr>
        <w:spacing w:after="120"/>
        <w:ind w:left="714" w:hanging="357"/>
        <w:contextualSpacing w:val="0"/>
        <w:jc w:val="both"/>
        <w:rPr>
          <w:rFonts w:asciiTheme="majorHAnsi" w:hAnsiTheme="majorHAnsi" w:cstheme="majorHAnsi"/>
          <w:lang w:val="es-ES"/>
        </w:rPr>
      </w:pPr>
      <w:r>
        <w:rPr>
          <w:rFonts w:asciiTheme="majorHAnsi" w:hAnsiTheme="majorHAnsi" w:cstheme="majorHAnsi"/>
          <w:lang w:val="es-ES"/>
        </w:rPr>
        <w:t>L</w:t>
      </w:r>
      <w:r w:rsidR="00341E83" w:rsidRPr="00A80645">
        <w:rPr>
          <w:rFonts w:asciiTheme="majorHAnsi" w:hAnsiTheme="majorHAnsi" w:cstheme="majorHAnsi"/>
          <w:lang w:val="es-ES"/>
        </w:rPr>
        <w:t xml:space="preserve">os mayores retos de implementación se </w:t>
      </w:r>
      <w:r w:rsidR="001C4A10" w:rsidRPr="00A80645">
        <w:rPr>
          <w:rFonts w:asciiTheme="majorHAnsi" w:hAnsiTheme="majorHAnsi" w:cstheme="majorHAnsi"/>
          <w:lang w:val="es-ES"/>
        </w:rPr>
        <w:t>ubicaron</w:t>
      </w:r>
      <w:r w:rsidR="00341E83" w:rsidRPr="00A80645">
        <w:rPr>
          <w:rFonts w:asciiTheme="majorHAnsi" w:hAnsiTheme="majorHAnsi" w:cstheme="majorHAnsi"/>
          <w:lang w:val="es-ES"/>
        </w:rPr>
        <w:t xml:space="preserve"> en la dimensión  de Liderazgo y cultura organizacional, la cual concentra el 80% de las acciones que permanecen sin iniciar, </w:t>
      </w:r>
      <w:r w:rsidR="007B4464" w:rsidRPr="00A80645">
        <w:rPr>
          <w:rFonts w:asciiTheme="majorHAnsi" w:hAnsiTheme="majorHAnsi" w:cstheme="majorHAnsi"/>
          <w:lang w:val="es-ES"/>
        </w:rPr>
        <w:t>siguiendo</w:t>
      </w:r>
      <w:r w:rsidR="00341E83" w:rsidRPr="00A80645">
        <w:rPr>
          <w:rFonts w:asciiTheme="majorHAnsi" w:hAnsiTheme="majorHAnsi" w:cstheme="majorHAnsi"/>
          <w:lang w:val="es-ES"/>
        </w:rPr>
        <w:t xml:space="preserve"> Arquitectura y capacidades de género</w:t>
      </w:r>
      <w:r w:rsidR="007B4464" w:rsidRPr="00A80645">
        <w:rPr>
          <w:rFonts w:asciiTheme="majorHAnsi" w:hAnsiTheme="majorHAnsi" w:cstheme="majorHAnsi"/>
          <w:lang w:val="es-ES"/>
        </w:rPr>
        <w:t>, así como Programación y M&amp;E.</w:t>
      </w:r>
    </w:p>
    <w:p w14:paraId="4234ADC2" w14:textId="79FABF18" w:rsidR="00AC45EA" w:rsidRPr="001C4A10" w:rsidRDefault="00AC45EA" w:rsidP="00772037">
      <w:pPr>
        <w:spacing w:after="120"/>
        <w:jc w:val="both"/>
        <w:rPr>
          <w:rFonts w:asciiTheme="majorHAnsi" w:eastAsia="Times New Roman" w:hAnsiTheme="majorHAnsi" w:cstheme="majorHAnsi"/>
          <w:lang w:val="es-ES"/>
        </w:rPr>
      </w:pPr>
    </w:p>
    <w:p w14:paraId="2B9EBC0A" w14:textId="03A08794" w:rsidR="00AC45EA" w:rsidRDefault="00AC45EA" w:rsidP="00772037">
      <w:pPr>
        <w:spacing w:after="120"/>
        <w:jc w:val="both"/>
        <w:rPr>
          <w:rFonts w:asciiTheme="majorHAnsi" w:eastAsia="Times New Roman" w:hAnsiTheme="majorHAnsi" w:cstheme="majorHAnsi"/>
        </w:rPr>
      </w:pPr>
    </w:p>
    <w:p w14:paraId="0C75BA5C" w14:textId="4EBC7E51" w:rsidR="00AC45EA" w:rsidRDefault="00A94EB7" w:rsidP="00A94EB7">
      <w:pPr>
        <w:pStyle w:val="Descripcin"/>
        <w:jc w:val="center"/>
        <w:rPr>
          <w:bCs/>
          <w:bdr w:val="nil"/>
        </w:rPr>
      </w:pPr>
      <w:bookmarkStart w:id="14" w:name="_Toc89942531"/>
      <w:r w:rsidRPr="007B4464">
        <w:rPr>
          <w:rFonts w:eastAsia="Times New Roman" w:cstheme="majorHAnsi"/>
          <w:noProof/>
          <w:lang w:val="en-US"/>
        </w:rPr>
        <w:drawing>
          <wp:anchor distT="0" distB="0" distL="114300" distR="114300" simplePos="0" relativeHeight="251679744" behindDoc="0" locked="0" layoutInCell="1" allowOverlap="1" wp14:anchorId="771B53E0" wp14:editId="0806BC32">
            <wp:simplePos x="0" y="0"/>
            <wp:positionH relativeFrom="column">
              <wp:posOffset>-225425</wp:posOffset>
            </wp:positionH>
            <wp:positionV relativeFrom="paragraph">
              <wp:posOffset>581518</wp:posOffset>
            </wp:positionV>
            <wp:extent cx="6311900" cy="3018155"/>
            <wp:effectExtent l="12700" t="12700" r="12700" b="17145"/>
            <wp:wrapSquare wrapText="bothSides"/>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6311900" cy="3018155"/>
                    </a:xfrm>
                    <a:prstGeom prst="rect">
                      <a:avLst/>
                    </a:prstGeom>
                    <a:ln>
                      <a:solidFill>
                        <a:schemeClr val="bg1">
                          <a:lumMod val="50000"/>
                        </a:schemeClr>
                      </a:solidFill>
                    </a:ln>
                  </pic:spPr>
                </pic:pic>
              </a:graphicData>
            </a:graphic>
            <wp14:sizeRelH relativeFrom="page">
              <wp14:pctWidth>0</wp14:pctWidth>
            </wp14:sizeRelH>
            <wp14:sizeRelV relativeFrom="page">
              <wp14:pctHeight>0</wp14:pctHeight>
            </wp14:sizeRelV>
          </wp:anchor>
        </w:drawing>
      </w:r>
      <w:r>
        <w:t xml:space="preserve">Figura </w:t>
      </w:r>
      <w:r>
        <w:fldChar w:fldCharType="begin"/>
      </w:r>
      <w:r>
        <w:instrText xml:space="preserve"> SEQ Figura \* ARABIC </w:instrText>
      </w:r>
      <w:r>
        <w:fldChar w:fldCharType="separate"/>
      </w:r>
      <w:r>
        <w:rPr>
          <w:noProof/>
        </w:rPr>
        <w:t>4</w:t>
      </w:r>
      <w:r>
        <w:fldChar w:fldCharType="end"/>
      </w:r>
      <w:r>
        <w:t xml:space="preserve">. </w:t>
      </w:r>
      <w:r w:rsidR="007B4464" w:rsidRPr="007B4464">
        <w:t xml:space="preserve">Avances </w:t>
      </w:r>
      <w:r w:rsidRPr="007B4464">
        <w:t xml:space="preserve">por área de desempeño </w:t>
      </w:r>
      <w:r w:rsidR="007B4464" w:rsidRPr="007B4464">
        <w:t>en la implementación del Plan de Acción</w:t>
      </w:r>
      <w:bookmarkEnd w:id="14"/>
      <w:r w:rsidR="001C4A44">
        <w:t>,</w:t>
      </w:r>
      <w:r w:rsidR="001C4A44">
        <w:rPr>
          <w:bCs/>
          <w:bdr w:val="nil"/>
        </w:rPr>
        <w:t>(corte a diciembre de 2021)</w:t>
      </w:r>
    </w:p>
    <w:p w14:paraId="786A7FF3" w14:textId="77777777" w:rsidR="001C4A44" w:rsidRPr="001C4A44" w:rsidRDefault="001C4A44" w:rsidP="001C4A44"/>
    <w:p w14:paraId="67EE8867" w14:textId="187F44BF" w:rsidR="007B4464" w:rsidRDefault="00A94EB7" w:rsidP="00772037">
      <w:pPr>
        <w:spacing w:after="120"/>
        <w:jc w:val="both"/>
        <w:rPr>
          <w:rFonts w:asciiTheme="majorHAnsi" w:eastAsia="Times New Roman" w:hAnsiTheme="majorHAnsi" w:cstheme="majorHAnsi"/>
        </w:rPr>
      </w:pPr>
      <w:r>
        <w:rPr>
          <w:rFonts w:asciiTheme="majorHAnsi" w:eastAsia="Times New Roman" w:hAnsiTheme="majorHAnsi" w:cstheme="majorHAnsi"/>
        </w:rPr>
        <w:t xml:space="preserve">Los </w:t>
      </w:r>
      <w:r w:rsidR="00B61578" w:rsidRPr="00E604B5">
        <w:rPr>
          <w:rFonts w:asciiTheme="majorHAnsi" w:eastAsia="Times New Roman" w:hAnsiTheme="majorHAnsi" w:cstheme="majorHAnsi"/>
          <w:b/>
          <w:bCs/>
        </w:rPr>
        <w:t>desafíos y principales cuellos de botella</w:t>
      </w:r>
      <w:r w:rsidR="00B61578">
        <w:rPr>
          <w:rFonts w:asciiTheme="majorHAnsi" w:eastAsia="Times New Roman" w:hAnsiTheme="majorHAnsi" w:cstheme="majorHAnsi"/>
        </w:rPr>
        <w:t xml:space="preserve"> </w:t>
      </w:r>
      <w:r>
        <w:rPr>
          <w:rFonts w:asciiTheme="majorHAnsi" w:eastAsia="Times New Roman" w:hAnsiTheme="majorHAnsi" w:cstheme="majorHAnsi"/>
        </w:rPr>
        <w:t xml:space="preserve">identificados </w:t>
      </w:r>
      <w:r w:rsidR="00B61578">
        <w:rPr>
          <w:rFonts w:asciiTheme="majorHAnsi" w:eastAsia="Times New Roman" w:hAnsiTheme="majorHAnsi" w:cstheme="majorHAnsi"/>
        </w:rPr>
        <w:t xml:space="preserve">que limitaron la implementación integral y seguimiento del Plan de Acción  </w:t>
      </w:r>
      <w:r>
        <w:rPr>
          <w:rFonts w:asciiTheme="majorHAnsi" w:eastAsia="Times New Roman" w:hAnsiTheme="majorHAnsi" w:cstheme="majorHAnsi"/>
        </w:rPr>
        <w:t>son los siguientes</w:t>
      </w:r>
      <w:r w:rsidR="00B61578">
        <w:rPr>
          <w:rFonts w:asciiTheme="majorHAnsi" w:eastAsia="Times New Roman" w:hAnsiTheme="majorHAnsi" w:cstheme="majorHAnsi"/>
        </w:rPr>
        <w:t>:</w:t>
      </w:r>
    </w:p>
    <w:p w14:paraId="260C6E8E" w14:textId="2F4B3315" w:rsidR="007B4464" w:rsidRDefault="00B61578" w:rsidP="00D74AB5">
      <w:pPr>
        <w:pStyle w:val="Prrafodelista"/>
        <w:numPr>
          <w:ilvl w:val="0"/>
          <w:numId w:val="19"/>
        </w:numPr>
        <w:spacing w:after="120"/>
        <w:ind w:left="714" w:hanging="357"/>
        <w:contextualSpacing w:val="0"/>
        <w:jc w:val="both"/>
        <w:rPr>
          <w:rFonts w:asciiTheme="majorHAnsi" w:eastAsia="Times New Roman" w:hAnsiTheme="majorHAnsi" w:cstheme="majorHAnsi"/>
        </w:rPr>
      </w:pPr>
      <w:r w:rsidRPr="00B61578">
        <w:rPr>
          <w:rFonts w:asciiTheme="majorHAnsi" w:eastAsia="Times New Roman" w:hAnsiTheme="majorHAnsi" w:cstheme="majorHAnsi"/>
        </w:rPr>
        <w:t xml:space="preserve">La pandemia de la </w:t>
      </w:r>
      <w:r w:rsidRPr="00B61578">
        <w:rPr>
          <w:rFonts w:asciiTheme="majorHAnsi" w:eastAsia="Times New Roman" w:hAnsiTheme="majorHAnsi" w:cstheme="majorHAnsi"/>
          <w:b/>
          <w:bCs/>
        </w:rPr>
        <w:t>COVID-19</w:t>
      </w:r>
      <w:r w:rsidRPr="00B61578">
        <w:rPr>
          <w:rFonts w:asciiTheme="majorHAnsi" w:eastAsia="Times New Roman" w:hAnsiTheme="majorHAnsi" w:cstheme="majorHAnsi"/>
        </w:rPr>
        <w:t xml:space="preserve"> implicó para todos </w:t>
      </w:r>
      <w:r>
        <w:rPr>
          <w:rFonts w:asciiTheme="majorHAnsi" w:eastAsia="Times New Roman" w:hAnsiTheme="majorHAnsi" w:cstheme="majorHAnsi"/>
        </w:rPr>
        <w:t xml:space="preserve">los </w:t>
      </w:r>
      <w:r w:rsidRPr="00B61578">
        <w:rPr>
          <w:rFonts w:asciiTheme="majorHAnsi" w:eastAsia="Times New Roman" w:hAnsiTheme="majorHAnsi" w:cstheme="majorHAnsi"/>
        </w:rPr>
        <w:t xml:space="preserve">mecanismos interagenciales con responsabilidades en el Plan de Acción un </w:t>
      </w:r>
      <w:r w:rsidRPr="00B61578">
        <w:rPr>
          <w:rFonts w:asciiTheme="majorHAnsi" w:eastAsia="Times New Roman" w:hAnsiTheme="majorHAnsi" w:cstheme="majorHAnsi"/>
          <w:b/>
          <w:bCs/>
        </w:rPr>
        <w:t>cambio de prioridades</w:t>
      </w:r>
      <w:r w:rsidRPr="00B61578">
        <w:rPr>
          <w:rFonts w:asciiTheme="majorHAnsi" w:eastAsia="Times New Roman" w:hAnsiTheme="majorHAnsi" w:cstheme="majorHAnsi"/>
        </w:rPr>
        <w:t xml:space="preserve"> y la consecuente </w:t>
      </w:r>
      <w:r w:rsidRPr="00B61578">
        <w:rPr>
          <w:rFonts w:asciiTheme="majorHAnsi" w:eastAsia="Times New Roman" w:hAnsiTheme="majorHAnsi" w:cstheme="majorHAnsi"/>
          <w:b/>
          <w:bCs/>
        </w:rPr>
        <w:t>reprogramación de actividades</w:t>
      </w:r>
      <w:r w:rsidRPr="00B61578">
        <w:rPr>
          <w:rFonts w:asciiTheme="majorHAnsi" w:eastAsia="Times New Roman" w:hAnsiTheme="majorHAnsi" w:cstheme="majorHAnsi"/>
        </w:rPr>
        <w:t xml:space="preserve"> para responder de manera efectiva y oportuna a los desafíos de la emergencia sanitaria</w:t>
      </w:r>
      <w:r>
        <w:rPr>
          <w:rFonts w:asciiTheme="majorHAnsi" w:eastAsia="Times New Roman" w:hAnsiTheme="majorHAnsi" w:cstheme="majorHAnsi"/>
        </w:rPr>
        <w:t>. Esto a</w:t>
      </w:r>
      <w:r w:rsidRPr="00B61578">
        <w:rPr>
          <w:rFonts w:asciiTheme="majorHAnsi" w:eastAsia="Times New Roman" w:hAnsiTheme="majorHAnsi" w:cstheme="majorHAnsi"/>
        </w:rPr>
        <w:t xml:space="preserve">fectó </w:t>
      </w:r>
      <w:r>
        <w:rPr>
          <w:rFonts w:asciiTheme="majorHAnsi" w:eastAsia="Times New Roman" w:hAnsiTheme="majorHAnsi" w:cstheme="majorHAnsi"/>
        </w:rPr>
        <w:t xml:space="preserve">de </w:t>
      </w:r>
      <w:r w:rsidRPr="00B61578">
        <w:rPr>
          <w:rFonts w:asciiTheme="majorHAnsi" w:eastAsia="Times New Roman" w:hAnsiTheme="majorHAnsi" w:cstheme="majorHAnsi"/>
        </w:rPr>
        <w:t xml:space="preserve">manera importante </w:t>
      </w:r>
      <w:r>
        <w:rPr>
          <w:rFonts w:asciiTheme="majorHAnsi" w:eastAsia="Times New Roman" w:hAnsiTheme="majorHAnsi" w:cstheme="majorHAnsi"/>
        </w:rPr>
        <w:t xml:space="preserve">la implementación de diversas acciones en 2020, </w:t>
      </w:r>
      <w:r w:rsidR="00A94EB7">
        <w:rPr>
          <w:rFonts w:asciiTheme="majorHAnsi" w:eastAsia="Times New Roman" w:hAnsiTheme="majorHAnsi" w:cstheme="majorHAnsi"/>
        </w:rPr>
        <w:t xml:space="preserve">pero </w:t>
      </w:r>
      <w:r>
        <w:rPr>
          <w:rFonts w:asciiTheme="majorHAnsi" w:eastAsia="Times New Roman" w:hAnsiTheme="majorHAnsi" w:cstheme="majorHAnsi"/>
        </w:rPr>
        <w:t>cuya operación, en muchos casos, no fue retomada en 2021.</w:t>
      </w:r>
    </w:p>
    <w:p w14:paraId="4B5E2392" w14:textId="24FC7379" w:rsidR="00B61578" w:rsidRPr="00B61578" w:rsidRDefault="00B61578" w:rsidP="00D74AB5">
      <w:pPr>
        <w:pStyle w:val="Prrafodelista"/>
        <w:numPr>
          <w:ilvl w:val="0"/>
          <w:numId w:val="19"/>
        </w:numPr>
        <w:spacing w:after="120"/>
        <w:ind w:left="714" w:hanging="357"/>
        <w:contextualSpacing w:val="0"/>
        <w:jc w:val="both"/>
        <w:rPr>
          <w:rFonts w:asciiTheme="majorHAnsi" w:eastAsia="Times New Roman" w:hAnsiTheme="majorHAnsi" w:cstheme="majorHAnsi"/>
        </w:rPr>
      </w:pPr>
      <w:r w:rsidRPr="00B61578">
        <w:rPr>
          <w:rFonts w:asciiTheme="majorHAnsi" w:eastAsia="Times New Roman" w:hAnsiTheme="majorHAnsi" w:cstheme="majorHAnsi"/>
        </w:rPr>
        <w:t xml:space="preserve">La </w:t>
      </w:r>
      <w:r w:rsidRPr="00B61578">
        <w:rPr>
          <w:rFonts w:asciiTheme="majorHAnsi" w:eastAsia="Times New Roman" w:hAnsiTheme="majorHAnsi" w:cstheme="majorHAnsi"/>
          <w:b/>
          <w:bCs/>
        </w:rPr>
        <w:t>falta de apropiación</w:t>
      </w:r>
      <w:r w:rsidR="005D57C6">
        <w:rPr>
          <w:rFonts w:asciiTheme="majorHAnsi" w:eastAsia="Times New Roman" w:hAnsiTheme="majorHAnsi" w:cstheme="majorHAnsi"/>
          <w:b/>
          <w:bCs/>
        </w:rPr>
        <w:t xml:space="preserve">, </w:t>
      </w:r>
      <w:r w:rsidRPr="00B61578">
        <w:rPr>
          <w:rFonts w:asciiTheme="majorHAnsi" w:eastAsia="Times New Roman" w:hAnsiTheme="majorHAnsi" w:cstheme="majorHAnsi"/>
          <w:b/>
          <w:bCs/>
        </w:rPr>
        <w:t xml:space="preserve">conocimiento </w:t>
      </w:r>
      <w:r w:rsidR="005D57C6">
        <w:rPr>
          <w:rFonts w:asciiTheme="majorHAnsi" w:eastAsia="Times New Roman" w:hAnsiTheme="majorHAnsi" w:cstheme="majorHAnsi"/>
          <w:b/>
          <w:bCs/>
        </w:rPr>
        <w:t>e involucramiento en el</w:t>
      </w:r>
      <w:r w:rsidRPr="00B61578">
        <w:rPr>
          <w:rFonts w:asciiTheme="majorHAnsi" w:eastAsia="Times New Roman" w:hAnsiTheme="majorHAnsi" w:cstheme="majorHAnsi"/>
          <w:b/>
          <w:bCs/>
        </w:rPr>
        <w:t xml:space="preserve"> UNCT-SWAP y del Plan de Acción</w:t>
      </w:r>
      <w:r>
        <w:rPr>
          <w:rFonts w:asciiTheme="majorHAnsi" w:eastAsia="Times New Roman" w:hAnsiTheme="majorHAnsi" w:cstheme="majorHAnsi"/>
          <w:b/>
          <w:bCs/>
        </w:rPr>
        <w:t xml:space="preserve"> </w:t>
      </w:r>
      <w:r w:rsidRPr="00B61578">
        <w:rPr>
          <w:rFonts w:asciiTheme="majorHAnsi" w:eastAsia="Times New Roman" w:hAnsiTheme="majorHAnsi" w:cstheme="majorHAnsi"/>
        </w:rPr>
        <w:t xml:space="preserve">por parte de los mecanismos interagenciales, en particular </w:t>
      </w:r>
      <w:r>
        <w:rPr>
          <w:rFonts w:asciiTheme="majorHAnsi" w:eastAsia="Times New Roman" w:hAnsiTheme="majorHAnsi" w:cstheme="majorHAnsi"/>
        </w:rPr>
        <w:t>sobre</w:t>
      </w:r>
      <w:r w:rsidRPr="00B61578">
        <w:rPr>
          <w:rFonts w:asciiTheme="majorHAnsi" w:eastAsia="Times New Roman" w:hAnsiTheme="majorHAnsi" w:cstheme="majorHAnsi"/>
        </w:rPr>
        <w:t xml:space="preserve"> las responsabilidades que se derivan de él para garantizar su cumplimiento,  fue reconocido como uno de los principales desafíos que deberán solventarse en el corto plazo para cerrar la brecha </w:t>
      </w:r>
      <w:r>
        <w:rPr>
          <w:rFonts w:asciiTheme="majorHAnsi" w:eastAsia="Times New Roman" w:hAnsiTheme="majorHAnsi" w:cstheme="majorHAnsi"/>
        </w:rPr>
        <w:t xml:space="preserve">de implementación </w:t>
      </w:r>
      <w:r w:rsidRPr="00B61578">
        <w:rPr>
          <w:rFonts w:asciiTheme="majorHAnsi" w:eastAsia="Times New Roman" w:hAnsiTheme="majorHAnsi" w:cstheme="majorHAnsi"/>
        </w:rPr>
        <w:t>en las áreas que presentan los mayores retos.</w:t>
      </w:r>
    </w:p>
    <w:p w14:paraId="248CF75A" w14:textId="4FB66DB9" w:rsidR="007B4464" w:rsidRDefault="00B61578" w:rsidP="00D74AB5">
      <w:pPr>
        <w:pStyle w:val="Prrafodelista"/>
        <w:numPr>
          <w:ilvl w:val="0"/>
          <w:numId w:val="19"/>
        </w:numPr>
        <w:spacing w:after="120"/>
        <w:ind w:left="714" w:hanging="357"/>
        <w:contextualSpacing w:val="0"/>
        <w:jc w:val="both"/>
        <w:rPr>
          <w:rFonts w:asciiTheme="majorHAnsi" w:eastAsia="Times New Roman" w:hAnsiTheme="majorHAnsi" w:cstheme="majorHAnsi"/>
        </w:rPr>
      </w:pPr>
      <w:r>
        <w:rPr>
          <w:rFonts w:asciiTheme="majorHAnsi" w:eastAsia="Times New Roman" w:hAnsiTheme="majorHAnsi" w:cstheme="majorHAnsi"/>
        </w:rPr>
        <w:t xml:space="preserve">El </w:t>
      </w:r>
      <w:r w:rsidRPr="00B61578">
        <w:rPr>
          <w:rFonts w:asciiTheme="majorHAnsi" w:eastAsia="Times New Roman" w:hAnsiTheme="majorHAnsi" w:cstheme="majorHAnsi"/>
          <w:b/>
          <w:bCs/>
        </w:rPr>
        <w:t>cambio de liderazgos y/o la rotación de personal técnico</w:t>
      </w:r>
      <w:r>
        <w:rPr>
          <w:rFonts w:asciiTheme="majorHAnsi" w:eastAsia="Times New Roman" w:hAnsiTheme="majorHAnsi" w:cstheme="majorHAnsi"/>
        </w:rPr>
        <w:t xml:space="preserve"> </w:t>
      </w:r>
      <w:r w:rsidRPr="00B61578">
        <w:rPr>
          <w:rFonts w:asciiTheme="majorHAnsi" w:eastAsia="Times New Roman" w:hAnsiTheme="majorHAnsi" w:cstheme="majorHAnsi"/>
        </w:rPr>
        <w:t xml:space="preserve">impactó </w:t>
      </w:r>
      <w:r>
        <w:rPr>
          <w:rFonts w:asciiTheme="majorHAnsi" w:eastAsia="Times New Roman" w:hAnsiTheme="majorHAnsi" w:cstheme="majorHAnsi"/>
        </w:rPr>
        <w:t xml:space="preserve">el </w:t>
      </w:r>
      <w:r w:rsidRPr="00B61578">
        <w:rPr>
          <w:rFonts w:asciiTheme="majorHAnsi" w:eastAsia="Times New Roman" w:hAnsiTheme="majorHAnsi" w:cstheme="majorHAnsi"/>
        </w:rPr>
        <w:t xml:space="preserve">cumplimiento </w:t>
      </w:r>
      <w:r w:rsidR="00A94EB7">
        <w:rPr>
          <w:rFonts w:asciiTheme="majorHAnsi" w:eastAsia="Times New Roman" w:hAnsiTheme="majorHAnsi" w:cstheme="majorHAnsi"/>
        </w:rPr>
        <w:t>de acciones en</w:t>
      </w:r>
      <w:r w:rsidRPr="00B61578">
        <w:rPr>
          <w:rFonts w:asciiTheme="majorHAnsi" w:eastAsia="Times New Roman" w:hAnsiTheme="majorHAnsi" w:cstheme="majorHAnsi"/>
        </w:rPr>
        <w:t xml:space="preserve"> áreas </w:t>
      </w:r>
      <w:r>
        <w:rPr>
          <w:rFonts w:asciiTheme="majorHAnsi" w:eastAsia="Times New Roman" w:hAnsiTheme="majorHAnsi" w:cstheme="majorHAnsi"/>
        </w:rPr>
        <w:t xml:space="preserve">críticas. Si bien los compromisos eran compartidos, no había entendimiento claro de cómo implementarlos, lo que resultó en rezagos o estancamientos </w:t>
      </w:r>
      <w:r w:rsidR="00A94EB7">
        <w:rPr>
          <w:rFonts w:asciiTheme="majorHAnsi" w:eastAsia="Times New Roman" w:hAnsiTheme="majorHAnsi" w:cstheme="majorHAnsi"/>
        </w:rPr>
        <w:t xml:space="preserve">importantes de </w:t>
      </w:r>
      <w:r>
        <w:rPr>
          <w:rFonts w:asciiTheme="majorHAnsi" w:eastAsia="Times New Roman" w:hAnsiTheme="majorHAnsi" w:cstheme="majorHAnsi"/>
        </w:rPr>
        <w:t>diversas acciones consideradas como catalíticas para mejorar el desempeño.</w:t>
      </w:r>
    </w:p>
    <w:p w14:paraId="7D89E92C" w14:textId="3358807F" w:rsidR="00B61578" w:rsidRPr="00B61578" w:rsidRDefault="00B61578" w:rsidP="00D74AB5">
      <w:pPr>
        <w:pStyle w:val="Prrafodelista"/>
        <w:numPr>
          <w:ilvl w:val="0"/>
          <w:numId w:val="19"/>
        </w:numPr>
        <w:spacing w:after="120"/>
        <w:ind w:left="714" w:hanging="357"/>
        <w:contextualSpacing w:val="0"/>
        <w:jc w:val="both"/>
        <w:rPr>
          <w:rFonts w:asciiTheme="majorHAnsi" w:eastAsia="Times New Roman" w:hAnsiTheme="majorHAnsi" w:cstheme="majorHAnsi"/>
        </w:rPr>
      </w:pPr>
      <w:r>
        <w:rPr>
          <w:rFonts w:asciiTheme="majorHAnsi" w:eastAsia="Times New Roman" w:hAnsiTheme="majorHAnsi" w:cstheme="majorHAnsi"/>
        </w:rPr>
        <w:t xml:space="preserve">La </w:t>
      </w:r>
      <w:r w:rsidRPr="00B61578">
        <w:rPr>
          <w:rFonts w:asciiTheme="majorHAnsi" w:eastAsia="Times New Roman" w:hAnsiTheme="majorHAnsi" w:cstheme="majorHAnsi"/>
          <w:b/>
          <w:bCs/>
        </w:rPr>
        <w:t>carga de trabajo</w:t>
      </w:r>
      <w:r w:rsidR="00A94EB7">
        <w:rPr>
          <w:rFonts w:asciiTheme="majorHAnsi" w:eastAsia="Times New Roman" w:hAnsiTheme="majorHAnsi" w:cstheme="majorHAnsi"/>
          <w:b/>
          <w:bCs/>
        </w:rPr>
        <w:t xml:space="preserve"> </w:t>
      </w:r>
      <w:r w:rsidRPr="00B61578">
        <w:rPr>
          <w:rFonts w:asciiTheme="majorHAnsi" w:eastAsia="Times New Roman" w:hAnsiTheme="majorHAnsi" w:cstheme="majorHAnsi"/>
          <w:b/>
          <w:bCs/>
        </w:rPr>
        <w:t xml:space="preserve">y </w:t>
      </w:r>
      <w:r w:rsidR="00A94EB7">
        <w:rPr>
          <w:rFonts w:asciiTheme="majorHAnsi" w:eastAsia="Times New Roman" w:hAnsiTheme="majorHAnsi" w:cstheme="majorHAnsi"/>
          <w:b/>
          <w:bCs/>
        </w:rPr>
        <w:t xml:space="preserve">la </w:t>
      </w:r>
      <w:r w:rsidRPr="00B61578">
        <w:rPr>
          <w:rFonts w:asciiTheme="majorHAnsi" w:eastAsia="Times New Roman" w:hAnsiTheme="majorHAnsi" w:cstheme="majorHAnsi"/>
          <w:b/>
          <w:bCs/>
        </w:rPr>
        <w:t>falta de tiempo del personal</w:t>
      </w:r>
      <w:r>
        <w:rPr>
          <w:rFonts w:asciiTheme="majorHAnsi" w:eastAsia="Times New Roman" w:hAnsiTheme="majorHAnsi" w:cstheme="majorHAnsi"/>
        </w:rPr>
        <w:t xml:space="preserve">, aunado a la </w:t>
      </w:r>
      <w:r w:rsidRPr="00B61578">
        <w:rPr>
          <w:rFonts w:asciiTheme="majorHAnsi" w:eastAsia="Times New Roman" w:hAnsiTheme="majorHAnsi" w:cstheme="majorHAnsi"/>
          <w:b/>
          <w:bCs/>
        </w:rPr>
        <w:t>falta de recursos financieros</w:t>
      </w:r>
      <w:r>
        <w:rPr>
          <w:rFonts w:asciiTheme="majorHAnsi" w:eastAsia="Times New Roman" w:hAnsiTheme="majorHAnsi" w:cstheme="majorHAnsi"/>
        </w:rPr>
        <w:t xml:space="preserve"> para implementar </w:t>
      </w:r>
      <w:r w:rsidR="00A94EB7">
        <w:rPr>
          <w:rFonts w:asciiTheme="majorHAnsi" w:eastAsia="Times New Roman" w:hAnsiTheme="majorHAnsi" w:cstheme="majorHAnsi"/>
        </w:rPr>
        <w:t>algunas de las</w:t>
      </w:r>
      <w:r>
        <w:rPr>
          <w:rFonts w:asciiTheme="majorHAnsi" w:eastAsia="Times New Roman" w:hAnsiTheme="majorHAnsi" w:cstheme="majorHAnsi"/>
        </w:rPr>
        <w:t xml:space="preserve"> acciones a través consultorías, </w:t>
      </w:r>
      <w:r w:rsidR="00A94EB7">
        <w:rPr>
          <w:rFonts w:asciiTheme="majorHAnsi" w:eastAsia="Times New Roman" w:hAnsiTheme="majorHAnsi" w:cstheme="majorHAnsi"/>
        </w:rPr>
        <w:t xml:space="preserve">fue </w:t>
      </w:r>
      <w:r>
        <w:rPr>
          <w:rFonts w:asciiTheme="majorHAnsi" w:eastAsia="Times New Roman" w:hAnsiTheme="majorHAnsi" w:cstheme="majorHAnsi"/>
        </w:rPr>
        <w:t xml:space="preserve"> una limitante </w:t>
      </w:r>
      <w:r w:rsidR="00A94EB7">
        <w:rPr>
          <w:rFonts w:asciiTheme="majorHAnsi" w:eastAsia="Times New Roman" w:hAnsiTheme="majorHAnsi" w:cstheme="majorHAnsi"/>
        </w:rPr>
        <w:t xml:space="preserve">para diversos mecanismos interagenciales con responsabilidades múltiples en </w:t>
      </w:r>
      <w:r>
        <w:rPr>
          <w:rFonts w:asciiTheme="majorHAnsi" w:eastAsia="Times New Roman" w:hAnsiTheme="majorHAnsi" w:cstheme="majorHAnsi"/>
        </w:rPr>
        <w:t>el cumplimiento del Plan de Acción.</w:t>
      </w:r>
    </w:p>
    <w:p w14:paraId="679CC7AD" w14:textId="74CE5324" w:rsidR="007B4464" w:rsidRDefault="007B4464" w:rsidP="00772037">
      <w:pPr>
        <w:spacing w:after="120"/>
        <w:jc w:val="both"/>
        <w:rPr>
          <w:rFonts w:asciiTheme="majorHAnsi" w:eastAsia="Times New Roman" w:hAnsiTheme="majorHAnsi" w:cstheme="majorHAnsi"/>
        </w:rPr>
      </w:pPr>
    </w:p>
    <w:p w14:paraId="64141F02" w14:textId="5847A792" w:rsidR="00A80645" w:rsidRDefault="00B61578" w:rsidP="00772037">
      <w:pPr>
        <w:spacing w:after="120"/>
        <w:jc w:val="both"/>
        <w:rPr>
          <w:rFonts w:asciiTheme="majorHAnsi" w:eastAsia="Times New Roman" w:hAnsiTheme="majorHAnsi" w:cstheme="majorHAnsi"/>
        </w:rPr>
      </w:pPr>
      <w:r>
        <w:rPr>
          <w:rFonts w:asciiTheme="majorHAnsi" w:eastAsia="Times New Roman" w:hAnsiTheme="majorHAnsi" w:cstheme="majorHAnsi"/>
        </w:rPr>
        <w:t>Con el objetivo de acelerar y facilitar el cumplimiento del Plan de Acción</w:t>
      </w:r>
      <w:r w:rsidR="00A80645">
        <w:rPr>
          <w:rFonts w:asciiTheme="majorHAnsi" w:eastAsia="Times New Roman" w:hAnsiTheme="majorHAnsi" w:cstheme="majorHAnsi"/>
        </w:rPr>
        <w:t xml:space="preserve">, </w:t>
      </w:r>
      <w:r>
        <w:rPr>
          <w:rFonts w:asciiTheme="majorHAnsi" w:eastAsia="Times New Roman" w:hAnsiTheme="majorHAnsi" w:cstheme="majorHAnsi"/>
        </w:rPr>
        <w:t xml:space="preserve"> el GIM </w:t>
      </w:r>
      <w:r w:rsidR="00A94EB7">
        <w:rPr>
          <w:rFonts w:asciiTheme="majorHAnsi" w:eastAsia="Times New Roman" w:hAnsiTheme="majorHAnsi" w:cstheme="majorHAnsi"/>
        </w:rPr>
        <w:t xml:space="preserve">identificó  </w:t>
      </w:r>
      <w:r>
        <w:rPr>
          <w:rFonts w:asciiTheme="majorHAnsi" w:eastAsia="Times New Roman" w:hAnsiTheme="majorHAnsi" w:cstheme="majorHAnsi"/>
        </w:rPr>
        <w:t xml:space="preserve">una serie de </w:t>
      </w:r>
      <w:r w:rsidR="00606597" w:rsidRPr="00E604B5">
        <w:rPr>
          <w:rFonts w:asciiTheme="majorHAnsi" w:eastAsia="Times New Roman" w:hAnsiTheme="majorHAnsi" w:cstheme="majorHAnsi"/>
          <w:b/>
          <w:bCs/>
        </w:rPr>
        <w:t>medidas correctivas</w:t>
      </w:r>
      <w:r w:rsidR="00A94EB7">
        <w:rPr>
          <w:rStyle w:val="Refdenotaalpie"/>
          <w:rFonts w:asciiTheme="majorHAnsi" w:eastAsia="Times New Roman" w:hAnsiTheme="majorHAnsi" w:cstheme="majorHAnsi"/>
        </w:rPr>
        <w:footnoteReference w:id="6"/>
      </w:r>
      <w:r w:rsidR="00A94EB7">
        <w:rPr>
          <w:rFonts w:asciiTheme="majorHAnsi" w:eastAsia="Times New Roman" w:hAnsiTheme="majorHAnsi" w:cstheme="majorHAnsi"/>
        </w:rPr>
        <w:t xml:space="preserve">, </w:t>
      </w:r>
      <w:r w:rsidR="00A80645">
        <w:rPr>
          <w:rFonts w:asciiTheme="majorHAnsi" w:eastAsia="Times New Roman" w:hAnsiTheme="majorHAnsi" w:cstheme="majorHAnsi"/>
        </w:rPr>
        <w:t xml:space="preserve">con base en </w:t>
      </w:r>
      <w:r w:rsidR="00A94EB7">
        <w:rPr>
          <w:rFonts w:asciiTheme="majorHAnsi" w:eastAsia="Times New Roman" w:hAnsiTheme="majorHAnsi" w:cstheme="majorHAnsi"/>
        </w:rPr>
        <w:t xml:space="preserve">los resultados de la revisión de los 6 indicadores seleccionados, </w:t>
      </w:r>
      <w:r w:rsidR="00A80645">
        <w:rPr>
          <w:rFonts w:asciiTheme="majorHAnsi" w:eastAsia="Times New Roman" w:hAnsiTheme="majorHAnsi" w:cstheme="majorHAnsi"/>
        </w:rPr>
        <w:t xml:space="preserve">la Matriz de Autodiagnóstico 2021 y en función de </w:t>
      </w:r>
      <w:r>
        <w:rPr>
          <w:rFonts w:asciiTheme="majorHAnsi" w:eastAsia="Times New Roman" w:hAnsiTheme="majorHAnsi" w:cstheme="majorHAnsi"/>
        </w:rPr>
        <w:t>los avances, rezagos</w:t>
      </w:r>
      <w:r w:rsidR="000C35FF">
        <w:rPr>
          <w:rFonts w:asciiTheme="majorHAnsi" w:eastAsia="Times New Roman" w:hAnsiTheme="majorHAnsi" w:cstheme="majorHAnsi"/>
        </w:rPr>
        <w:t xml:space="preserve">, </w:t>
      </w:r>
      <w:r>
        <w:rPr>
          <w:rFonts w:asciiTheme="majorHAnsi" w:eastAsia="Times New Roman" w:hAnsiTheme="majorHAnsi" w:cstheme="majorHAnsi"/>
        </w:rPr>
        <w:t xml:space="preserve">desafíos </w:t>
      </w:r>
      <w:r w:rsidR="000C35FF">
        <w:rPr>
          <w:rFonts w:asciiTheme="majorHAnsi" w:eastAsia="Times New Roman" w:hAnsiTheme="majorHAnsi" w:cstheme="majorHAnsi"/>
        </w:rPr>
        <w:t>y cuellos de botella</w:t>
      </w:r>
      <w:r w:rsidR="00A94EB7">
        <w:rPr>
          <w:rFonts w:asciiTheme="majorHAnsi" w:eastAsia="Times New Roman" w:hAnsiTheme="majorHAnsi" w:cstheme="majorHAnsi"/>
        </w:rPr>
        <w:t xml:space="preserve"> en materia de </w:t>
      </w:r>
      <w:r w:rsidR="00A80645">
        <w:rPr>
          <w:rFonts w:asciiTheme="majorHAnsi" w:eastAsia="Times New Roman" w:hAnsiTheme="majorHAnsi" w:cstheme="majorHAnsi"/>
        </w:rPr>
        <w:t xml:space="preserve">implementación y seguimiento </w:t>
      </w:r>
      <w:r>
        <w:rPr>
          <w:rFonts w:asciiTheme="majorHAnsi" w:eastAsia="Times New Roman" w:hAnsiTheme="majorHAnsi" w:cstheme="majorHAnsi"/>
        </w:rPr>
        <w:t xml:space="preserve">identificados </w:t>
      </w:r>
      <w:r w:rsidR="00A80645">
        <w:rPr>
          <w:rFonts w:asciiTheme="majorHAnsi" w:eastAsia="Times New Roman" w:hAnsiTheme="majorHAnsi" w:cstheme="majorHAnsi"/>
        </w:rPr>
        <w:t xml:space="preserve">en la revisión. </w:t>
      </w:r>
      <w:r w:rsidR="000C35FF">
        <w:rPr>
          <w:rFonts w:asciiTheme="majorHAnsi" w:eastAsia="Times New Roman" w:hAnsiTheme="majorHAnsi" w:cstheme="majorHAnsi"/>
        </w:rPr>
        <w:t>L</w:t>
      </w:r>
      <w:r w:rsidR="00606597">
        <w:rPr>
          <w:rFonts w:asciiTheme="majorHAnsi" w:eastAsia="Times New Roman" w:hAnsiTheme="majorHAnsi" w:cstheme="majorHAnsi"/>
        </w:rPr>
        <w:t xml:space="preserve">as medidas correctivas </w:t>
      </w:r>
      <w:r w:rsidR="00A80645">
        <w:rPr>
          <w:rFonts w:asciiTheme="majorHAnsi" w:eastAsia="Times New Roman" w:hAnsiTheme="majorHAnsi" w:cstheme="majorHAnsi"/>
        </w:rPr>
        <w:t>pretenden acelerar el cumplimiento en aquellas áreas que muestran los mayores retos</w:t>
      </w:r>
      <w:r w:rsidR="00A94EB7">
        <w:rPr>
          <w:rFonts w:asciiTheme="majorHAnsi" w:eastAsia="Times New Roman" w:hAnsiTheme="majorHAnsi" w:cstheme="majorHAnsi"/>
        </w:rPr>
        <w:t xml:space="preserve"> de desempeño y rezagos en la implementación</w:t>
      </w:r>
      <w:r w:rsidR="00A80645">
        <w:rPr>
          <w:rFonts w:asciiTheme="majorHAnsi" w:eastAsia="Times New Roman" w:hAnsiTheme="majorHAnsi" w:cstheme="majorHAnsi"/>
        </w:rPr>
        <w:t xml:space="preserve">, a través de una mayor </w:t>
      </w:r>
      <w:r w:rsidR="00A94EB7">
        <w:rPr>
          <w:rFonts w:asciiTheme="majorHAnsi" w:eastAsia="Times New Roman" w:hAnsiTheme="majorHAnsi" w:cstheme="majorHAnsi"/>
        </w:rPr>
        <w:t xml:space="preserve">y mejor </w:t>
      </w:r>
      <w:r w:rsidR="00A80645">
        <w:rPr>
          <w:rFonts w:asciiTheme="majorHAnsi" w:eastAsia="Times New Roman" w:hAnsiTheme="majorHAnsi" w:cstheme="majorHAnsi"/>
        </w:rPr>
        <w:t>coherencia, relevancia y claridad de las acciones.  Los cambios se reflejan en:</w:t>
      </w:r>
    </w:p>
    <w:p w14:paraId="3AA4E9E2" w14:textId="65FF92BB" w:rsidR="00606597" w:rsidRDefault="00606597" w:rsidP="00D74AB5">
      <w:pPr>
        <w:pStyle w:val="Prrafodelista"/>
        <w:numPr>
          <w:ilvl w:val="0"/>
          <w:numId w:val="20"/>
        </w:numPr>
        <w:ind w:left="765" w:hanging="357"/>
        <w:contextualSpacing w:val="0"/>
        <w:jc w:val="both"/>
        <w:rPr>
          <w:rFonts w:asciiTheme="majorHAnsi" w:eastAsia="Times New Roman" w:hAnsiTheme="majorHAnsi" w:cstheme="majorHAnsi"/>
        </w:rPr>
      </w:pPr>
      <w:r>
        <w:rPr>
          <w:rFonts w:asciiTheme="majorHAnsi" w:eastAsia="Times New Roman" w:hAnsiTheme="majorHAnsi" w:cstheme="majorHAnsi"/>
        </w:rPr>
        <w:t xml:space="preserve">La </w:t>
      </w:r>
      <w:r w:rsidRPr="00A94EB7">
        <w:rPr>
          <w:rFonts w:asciiTheme="majorHAnsi" w:eastAsia="Times New Roman" w:hAnsiTheme="majorHAnsi" w:cstheme="majorHAnsi"/>
          <w:b/>
          <w:bCs/>
        </w:rPr>
        <w:t xml:space="preserve">eliminación de </w:t>
      </w:r>
      <w:r w:rsidR="00A94EB7" w:rsidRPr="00A94EB7">
        <w:rPr>
          <w:rFonts w:asciiTheme="majorHAnsi" w:eastAsia="Times New Roman" w:hAnsiTheme="majorHAnsi" w:cstheme="majorHAnsi"/>
          <w:b/>
          <w:bCs/>
        </w:rPr>
        <w:t>7</w:t>
      </w:r>
      <w:r w:rsidRPr="00A94EB7">
        <w:rPr>
          <w:rFonts w:asciiTheme="majorHAnsi" w:eastAsia="Times New Roman" w:hAnsiTheme="majorHAnsi" w:cstheme="majorHAnsi"/>
          <w:b/>
          <w:bCs/>
        </w:rPr>
        <w:t xml:space="preserve"> acciones</w:t>
      </w:r>
      <w:r>
        <w:rPr>
          <w:rFonts w:asciiTheme="majorHAnsi" w:eastAsia="Times New Roman" w:hAnsiTheme="majorHAnsi" w:cstheme="majorHAnsi"/>
        </w:rPr>
        <w:t xml:space="preserve"> totalmente cumplidas </w:t>
      </w:r>
      <w:r w:rsidR="00A94EB7">
        <w:rPr>
          <w:rFonts w:asciiTheme="majorHAnsi" w:eastAsia="Times New Roman" w:hAnsiTheme="majorHAnsi" w:cstheme="majorHAnsi"/>
        </w:rPr>
        <w:t>durante</w:t>
      </w:r>
      <w:r>
        <w:rPr>
          <w:rFonts w:asciiTheme="majorHAnsi" w:eastAsia="Times New Roman" w:hAnsiTheme="majorHAnsi" w:cstheme="majorHAnsi"/>
        </w:rPr>
        <w:t xml:space="preserve"> 2019-202</w:t>
      </w:r>
      <w:r w:rsidR="00A94EB7">
        <w:rPr>
          <w:rFonts w:asciiTheme="majorHAnsi" w:eastAsia="Times New Roman" w:hAnsiTheme="majorHAnsi" w:cstheme="majorHAnsi"/>
        </w:rPr>
        <w:t xml:space="preserve">0, </w:t>
      </w:r>
      <w:r>
        <w:rPr>
          <w:rFonts w:asciiTheme="majorHAnsi" w:eastAsia="Times New Roman" w:hAnsiTheme="majorHAnsi" w:cstheme="majorHAnsi"/>
        </w:rPr>
        <w:t xml:space="preserve">cuya temporalidad de ejecución </w:t>
      </w:r>
      <w:r w:rsidRPr="00606597">
        <w:rPr>
          <w:rFonts w:asciiTheme="majorHAnsi" w:eastAsia="Times New Roman" w:hAnsiTheme="majorHAnsi" w:cstheme="majorHAnsi"/>
        </w:rPr>
        <w:t xml:space="preserve">correspondía </w:t>
      </w:r>
      <w:r w:rsidR="00A94EB7">
        <w:rPr>
          <w:rFonts w:asciiTheme="majorHAnsi" w:eastAsia="Times New Roman" w:hAnsiTheme="majorHAnsi" w:cstheme="majorHAnsi"/>
        </w:rPr>
        <w:t>exclusivamente</w:t>
      </w:r>
      <w:r w:rsidRPr="00606597">
        <w:rPr>
          <w:rFonts w:asciiTheme="majorHAnsi" w:eastAsia="Times New Roman" w:hAnsiTheme="majorHAnsi" w:cstheme="majorHAnsi"/>
        </w:rPr>
        <w:t xml:space="preserve"> al proceso de integración del Marco de Cooperación 2020-2025</w:t>
      </w:r>
      <w:r w:rsidR="00A94EB7">
        <w:rPr>
          <w:rFonts w:asciiTheme="majorHAnsi" w:eastAsia="Times New Roman" w:hAnsiTheme="majorHAnsi" w:cstheme="majorHAnsi"/>
        </w:rPr>
        <w:t xml:space="preserve"> o que la transformación del contexto las hacía irrelevantes y ya no aplicaban tal y como fueron concebidas en 2019.</w:t>
      </w:r>
    </w:p>
    <w:p w14:paraId="37990461" w14:textId="17E8421A" w:rsidR="00606597" w:rsidRDefault="00606597" w:rsidP="00D74AB5">
      <w:pPr>
        <w:pStyle w:val="Prrafodelista"/>
        <w:numPr>
          <w:ilvl w:val="0"/>
          <w:numId w:val="20"/>
        </w:numPr>
        <w:ind w:left="765" w:hanging="357"/>
        <w:contextualSpacing w:val="0"/>
        <w:jc w:val="both"/>
        <w:rPr>
          <w:rFonts w:asciiTheme="majorHAnsi" w:eastAsia="Times New Roman" w:hAnsiTheme="majorHAnsi" w:cstheme="majorHAnsi"/>
        </w:rPr>
      </w:pPr>
      <w:r>
        <w:rPr>
          <w:rFonts w:asciiTheme="majorHAnsi" w:eastAsia="Times New Roman" w:hAnsiTheme="majorHAnsi" w:cstheme="majorHAnsi"/>
        </w:rPr>
        <w:t xml:space="preserve">Los </w:t>
      </w:r>
      <w:r w:rsidRPr="00A94EB7">
        <w:rPr>
          <w:rFonts w:asciiTheme="majorHAnsi" w:eastAsia="Times New Roman" w:hAnsiTheme="majorHAnsi" w:cstheme="majorHAnsi"/>
          <w:b/>
          <w:bCs/>
        </w:rPr>
        <w:t>a</w:t>
      </w:r>
      <w:r w:rsidR="000C35FF" w:rsidRPr="00A94EB7">
        <w:rPr>
          <w:rFonts w:asciiTheme="majorHAnsi" w:eastAsia="Times New Roman" w:hAnsiTheme="majorHAnsi" w:cstheme="majorHAnsi"/>
          <w:b/>
          <w:bCs/>
        </w:rPr>
        <w:t xml:space="preserve">justes </w:t>
      </w:r>
      <w:r w:rsidRPr="00A94EB7">
        <w:rPr>
          <w:rFonts w:asciiTheme="majorHAnsi" w:eastAsia="Times New Roman" w:hAnsiTheme="majorHAnsi" w:cstheme="majorHAnsi"/>
          <w:b/>
          <w:bCs/>
        </w:rPr>
        <w:t xml:space="preserve">en </w:t>
      </w:r>
      <w:r w:rsidR="000C35FF" w:rsidRPr="00A94EB7">
        <w:rPr>
          <w:rFonts w:asciiTheme="majorHAnsi" w:eastAsia="Times New Roman" w:hAnsiTheme="majorHAnsi" w:cstheme="majorHAnsi"/>
          <w:b/>
          <w:bCs/>
        </w:rPr>
        <w:t>la redacción d</w:t>
      </w:r>
      <w:r w:rsidRPr="00A94EB7">
        <w:rPr>
          <w:rFonts w:asciiTheme="majorHAnsi" w:eastAsia="Times New Roman" w:hAnsiTheme="majorHAnsi" w:cstheme="majorHAnsi"/>
          <w:b/>
          <w:bCs/>
        </w:rPr>
        <w:t xml:space="preserve">e 18 </w:t>
      </w:r>
      <w:r w:rsidR="000C35FF" w:rsidRPr="00A94EB7">
        <w:rPr>
          <w:rFonts w:asciiTheme="majorHAnsi" w:eastAsia="Times New Roman" w:hAnsiTheme="majorHAnsi" w:cstheme="majorHAnsi"/>
          <w:b/>
          <w:bCs/>
        </w:rPr>
        <w:t>acciones</w:t>
      </w:r>
      <w:r>
        <w:rPr>
          <w:rFonts w:asciiTheme="majorHAnsi" w:eastAsia="Times New Roman" w:hAnsiTheme="majorHAnsi" w:cstheme="majorHAnsi"/>
        </w:rPr>
        <w:t>, en algunos casos para adaptarlas al nuevo contexto</w:t>
      </w:r>
      <w:r w:rsidR="00A80645">
        <w:rPr>
          <w:rFonts w:asciiTheme="majorHAnsi" w:eastAsia="Times New Roman" w:hAnsiTheme="majorHAnsi" w:cstheme="majorHAnsi"/>
        </w:rPr>
        <w:t xml:space="preserve"> y/o vincularlas ahora con la implementación del Marco de Cooperación </w:t>
      </w:r>
      <w:r w:rsidR="00A80645" w:rsidRPr="00606597">
        <w:rPr>
          <w:rFonts w:asciiTheme="majorHAnsi" w:eastAsia="Times New Roman" w:hAnsiTheme="majorHAnsi" w:cstheme="majorHAnsi"/>
        </w:rPr>
        <w:t>2020-2025</w:t>
      </w:r>
      <w:r w:rsidR="00A80645">
        <w:rPr>
          <w:rFonts w:asciiTheme="majorHAnsi" w:eastAsia="Times New Roman" w:hAnsiTheme="majorHAnsi" w:cstheme="majorHAnsi"/>
        </w:rPr>
        <w:t xml:space="preserve">; en otros para incorporar </w:t>
      </w:r>
      <w:r w:rsidR="00A94EB7">
        <w:rPr>
          <w:rFonts w:asciiTheme="majorHAnsi" w:eastAsia="Times New Roman" w:hAnsiTheme="majorHAnsi" w:cstheme="majorHAnsi"/>
        </w:rPr>
        <w:t xml:space="preserve">el sentido de </w:t>
      </w:r>
      <w:r w:rsidR="00A80645">
        <w:rPr>
          <w:rFonts w:asciiTheme="majorHAnsi" w:eastAsia="Times New Roman" w:hAnsiTheme="majorHAnsi" w:cstheme="majorHAnsi"/>
        </w:rPr>
        <w:t xml:space="preserve">progresividad de acciones ya cumplidas </w:t>
      </w:r>
      <w:r w:rsidR="00A94EB7">
        <w:rPr>
          <w:rFonts w:asciiTheme="majorHAnsi" w:eastAsia="Times New Roman" w:hAnsiTheme="majorHAnsi" w:cstheme="majorHAnsi"/>
        </w:rPr>
        <w:t>o iniciadas</w:t>
      </w:r>
      <w:r w:rsidR="00A80645">
        <w:rPr>
          <w:rFonts w:asciiTheme="majorHAnsi" w:eastAsia="Times New Roman" w:hAnsiTheme="majorHAnsi" w:cstheme="majorHAnsi"/>
        </w:rPr>
        <w:t xml:space="preserve">; </w:t>
      </w:r>
      <w:r>
        <w:rPr>
          <w:rFonts w:asciiTheme="majorHAnsi" w:eastAsia="Times New Roman" w:hAnsiTheme="majorHAnsi" w:cstheme="majorHAnsi"/>
        </w:rPr>
        <w:t xml:space="preserve">y en otros </w:t>
      </w:r>
      <w:r w:rsidR="00A80645">
        <w:rPr>
          <w:rFonts w:asciiTheme="majorHAnsi" w:eastAsia="Times New Roman" w:hAnsiTheme="majorHAnsi" w:cstheme="majorHAnsi"/>
        </w:rPr>
        <w:t xml:space="preserve">casos </w:t>
      </w:r>
      <w:r>
        <w:rPr>
          <w:rFonts w:asciiTheme="majorHAnsi" w:eastAsia="Times New Roman" w:hAnsiTheme="majorHAnsi" w:cstheme="majorHAnsi"/>
        </w:rPr>
        <w:t>para establecer de mane</w:t>
      </w:r>
      <w:r w:rsidR="00A80645">
        <w:rPr>
          <w:rFonts w:asciiTheme="majorHAnsi" w:eastAsia="Times New Roman" w:hAnsiTheme="majorHAnsi" w:cstheme="majorHAnsi"/>
        </w:rPr>
        <w:t>r</w:t>
      </w:r>
      <w:r>
        <w:rPr>
          <w:rFonts w:asciiTheme="majorHAnsi" w:eastAsia="Times New Roman" w:hAnsiTheme="majorHAnsi" w:cstheme="majorHAnsi"/>
        </w:rPr>
        <w:t xml:space="preserve">a más clara </w:t>
      </w:r>
      <w:r w:rsidR="00A94EB7">
        <w:rPr>
          <w:rFonts w:asciiTheme="majorHAnsi" w:eastAsia="Times New Roman" w:hAnsiTheme="majorHAnsi" w:cstheme="majorHAnsi"/>
        </w:rPr>
        <w:t>el</w:t>
      </w:r>
      <w:r>
        <w:rPr>
          <w:rFonts w:asciiTheme="majorHAnsi" w:eastAsia="Times New Roman" w:hAnsiTheme="majorHAnsi" w:cstheme="majorHAnsi"/>
        </w:rPr>
        <w:t xml:space="preserve"> </w:t>
      </w:r>
      <w:r w:rsidR="000C35FF" w:rsidRPr="00606597">
        <w:rPr>
          <w:rFonts w:asciiTheme="majorHAnsi" w:eastAsia="Times New Roman" w:hAnsiTheme="majorHAnsi" w:cstheme="majorHAnsi"/>
        </w:rPr>
        <w:t>objetivo, sentido y alcance</w:t>
      </w:r>
      <w:r w:rsidR="00A94EB7">
        <w:rPr>
          <w:rFonts w:asciiTheme="majorHAnsi" w:eastAsia="Times New Roman" w:hAnsiTheme="majorHAnsi" w:cstheme="majorHAnsi"/>
        </w:rPr>
        <w:t xml:space="preserve"> de la acción </w:t>
      </w:r>
      <w:r w:rsidR="000C35FF" w:rsidRPr="00606597">
        <w:rPr>
          <w:rFonts w:asciiTheme="majorHAnsi" w:eastAsia="Times New Roman" w:hAnsiTheme="majorHAnsi" w:cstheme="majorHAnsi"/>
        </w:rPr>
        <w:t xml:space="preserve"> y con ello </w:t>
      </w:r>
      <w:r>
        <w:rPr>
          <w:rFonts w:asciiTheme="majorHAnsi" w:eastAsia="Times New Roman" w:hAnsiTheme="majorHAnsi" w:cstheme="majorHAnsi"/>
        </w:rPr>
        <w:t>agilizar</w:t>
      </w:r>
      <w:r w:rsidR="000C35FF" w:rsidRPr="00606597">
        <w:rPr>
          <w:rFonts w:asciiTheme="majorHAnsi" w:eastAsia="Times New Roman" w:hAnsiTheme="majorHAnsi" w:cstheme="majorHAnsi"/>
        </w:rPr>
        <w:t xml:space="preserve"> su cumplimiento; </w:t>
      </w:r>
    </w:p>
    <w:p w14:paraId="6145F326" w14:textId="33EE11BA" w:rsidR="00606597" w:rsidRDefault="00606597" w:rsidP="00D74AB5">
      <w:pPr>
        <w:pStyle w:val="Prrafodelista"/>
        <w:numPr>
          <w:ilvl w:val="0"/>
          <w:numId w:val="20"/>
        </w:numPr>
        <w:ind w:left="765" w:hanging="357"/>
        <w:contextualSpacing w:val="0"/>
        <w:jc w:val="both"/>
        <w:rPr>
          <w:rFonts w:asciiTheme="majorHAnsi" w:eastAsia="Times New Roman" w:hAnsiTheme="majorHAnsi" w:cstheme="majorHAnsi"/>
        </w:rPr>
      </w:pPr>
      <w:r>
        <w:rPr>
          <w:rFonts w:asciiTheme="majorHAnsi" w:eastAsia="Times New Roman" w:hAnsiTheme="majorHAnsi" w:cstheme="majorHAnsi"/>
        </w:rPr>
        <w:t>L</w:t>
      </w:r>
      <w:r w:rsidR="000C35FF" w:rsidRPr="00606597">
        <w:rPr>
          <w:rFonts w:asciiTheme="majorHAnsi" w:eastAsia="Times New Roman" w:hAnsiTheme="majorHAnsi" w:cstheme="majorHAnsi"/>
        </w:rPr>
        <w:t xml:space="preserve">a </w:t>
      </w:r>
      <w:r w:rsidR="000C35FF" w:rsidRPr="00A94EB7">
        <w:rPr>
          <w:rFonts w:asciiTheme="majorHAnsi" w:eastAsia="Times New Roman" w:hAnsiTheme="majorHAnsi" w:cstheme="majorHAnsi"/>
          <w:b/>
          <w:bCs/>
        </w:rPr>
        <w:t>actualización</w:t>
      </w:r>
      <w:r w:rsidR="00A80645" w:rsidRPr="00A94EB7">
        <w:rPr>
          <w:rFonts w:asciiTheme="majorHAnsi" w:eastAsia="Times New Roman" w:hAnsiTheme="majorHAnsi" w:cstheme="majorHAnsi"/>
          <w:b/>
          <w:bCs/>
        </w:rPr>
        <w:t>/ajuste</w:t>
      </w:r>
      <w:r w:rsidR="000C35FF" w:rsidRPr="00A94EB7">
        <w:rPr>
          <w:rFonts w:asciiTheme="majorHAnsi" w:eastAsia="Times New Roman" w:hAnsiTheme="majorHAnsi" w:cstheme="majorHAnsi"/>
          <w:b/>
          <w:bCs/>
        </w:rPr>
        <w:t xml:space="preserve"> de los tiempos de ejecución</w:t>
      </w:r>
      <w:r w:rsidR="00A80645">
        <w:rPr>
          <w:rFonts w:asciiTheme="majorHAnsi" w:eastAsia="Times New Roman" w:hAnsiTheme="majorHAnsi" w:cstheme="majorHAnsi"/>
        </w:rPr>
        <w:t xml:space="preserve">, </w:t>
      </w:r>
      <w:r w:rsidR="00A94EB7">
        <w:rPr>
          <w:rFonts w:asciiTheme="majorHAnsi" w:eastAsia="Times New Roman" w:hAnsiTheme="majorHAnsi" w:cstheme="majorHAnsi"/>
        </w:rPr>
        <w:t xml:space="preserve">principalmente en las acciones que no se han iniciado aún y </w:t>
      </w:r>
      <w:r w:rsidR="00A80645">
        <w:rPr>
          <w:rFonts w:asciiTheme="majorHAnsi" w:eastAsia="Times New Roman" w:hAnsiTheme="majorHAnsi" w:cstheme="majorHAnsi"/>
        </w:rPr>
        <w:t xml:space="preserve">estableciendo en algunas </w:t>
      </w:r>
      <w:r w:rsidR="00A94EB7">
        <w:rPr>
          <w:rFonts w:asciiTheme="majorHAnsi" w:eastAsia="Times New Roman" w:hAnsiTheme="majorHAnsi" w:cstheme="majorHAnsi"/>
        </w:rPr>
        <w:t xml:space="preserve">otras acciones la </w:t>
      </w:r>
      <w:r w:rsidR="00A80645">
        <w:rPr>
          <w:rFonts w:asciiTheme="majorHAnsi" w:eastAsia="Times New Roman" w:hAnsiTheme="majorHAnsi" w:cstheme="majorHAnsi"/>
        </w:rPr>
        <w:t>implementación permanente.</w:t>
      </w:r>
    </w:p>
    <w:p w14:paraId="6707E640" w14:textId="12A857DD" w:rsidR="00A80645" w:rsidRDefault="00606597" w:rsidP="00D74AB5">
      <w:pPr>
        <w:pStyle w:val="Prrafodelista"/>
        <w:numPr>
          <w:ilvl w:val="0"/>
          <w:numId w:val="20"/>
        </w:numPr>
        <w:ind w:left="765" w:hanging="357"/>
        <w:contextualSpacing w:val="0"/>
        <w:jc w:val="both"/>
        <w:rPr>
          <w:rFonts w:asciiTheme="majorHAnsi" w:eastAsia="Times New Roman" w:hAnsiTheme="majorHAnsi" w:cstheme="majorHAnsi"/>
        </w:rPr>
      </w:pPr>
      <w:r>
        <w:rPr>
          <w:rFonts w:asciiTheme="majorHAnsi" w:eastAsia="Times New Roman" w:hAnsiTheme="majorHAnsi" w:cstheme="majorHAnsi"/>
        </w:rPr>
        <w:t>L</w:t>
      </w:r>
      <w:r w:rsidR="000C35FF" w:rsidRPr="00606597">
        <w:rPr>
          <w:rFonts w:asciiTheme="majorHAnsi" w:eastAsia="Times New Roman" w:hAnsiTheme="majorHAnsi" w:cstheme="majorHAnsi"/>
        </w:rPr>
        <w:t xml:space="preserve">a </w:t>
      </w:r>
      <w:r w:rsidR="000C35FF" w:rsidRPr="00A94EB7">
        <w:rPr>
          <w:rFonts w:asciiTheme="majorHAnsi" w:eastAsia="Times New Roman" w:hAnsiTheme="majorHAnsi" w:cstheme="majorHAnsi"/>
          <w:b/>
          <w:bCs/>
        </w:rPr>
        <w:t xml:space="preserve">incorporación </w:t>
      </w:r>
      <w:r w:rsidR="00A80645" w:rsidRPr="00A94EB7">
        <w:rPr>
          <w:rFonts w:asciiTheme="majorHAnsi" w:eastAsia="Times New Roman" w:hAnsiTheme="majorHAnsi" w:cstheme="majorHAnsi"/>
          <w:b/>
          <w:bCs/>
        </w:rPr>
        <w:t xml:space="preserve">en </w:t>
      </w:r>
      <w:r w:rsidR="00A94EB7" w:rsidRPr="00A94EB7">
        <w:rPr>
          <w:rFonts w:asciiTheme="majorHAnsi" w:eastAsia="Times New Roman" w:hAnsiTheme="majorHAnsi" w:cstheme="majorHAnsi"/>
          <w:b/>
          <w:bCs/>
        </w:rPr>
        <w:t xml:space="preserve">algunas acciones </w:t>
      </w:r>
      <w:r w:rsidR="000C35FF" w:rsidRPr="00A94EB7">
        <w:rPr>
          <w:rFonts w:asciiTheme="majorHAnsi" w:eastAsia="Times New Roman" w:hAnsiTheme="majorHAnsi" w:cstheme="majorHAnsi"/>
          <w:b/>
          <w:bCs/>
        </w:rPr>
        <w:t xml:space="preserve">de </w:t>
      </w:r>
      <w:r w:rsidR="00A80645" w:rsidRPr="00A94EB7">
        <w:rPr>
          <w:rFonts w:asciiTheme="majorHAnsi" w:eastAsia="Times New Roman" w:hAnsiTheme="majorHAnsi" w:cstheme="majorHAnsi"/>
          <w:b/>
          <w:bCs/>
        </w:rPr>
        <w:t xml:space="preserve">nuevas </w:t>
      </w:r>
      <w:r w:rsidR="000C35FF" w:rsidRPr="00A94EB7">
        <w:rPr>
          <w:rFonts w:asciiTheme="majorHAnsi" w:eastAsia="Times New Roman" w:hAnsiTheme="majorHAnsi" w:cstheme="majorHAnsi"/>
          <w:b/>
          <w:bCs/>
        </w:rPr>
        <w:t>entidades</w:t>
      </w:r>
      <w:r w:rsidR="000C35FF" w:rsidRPr="00606597">
        <w:rPr>
          <w:rFonts w:asciiTheme="majorHAnsi" w:eastAsia="Times New Roman" w:hAnsiTheme="majorHAnsi" w:cstheme="majorHAnsi"/>
        </w:rPr>
        <w:t xml:space="preserve"> responsables</w:t>
      </w:r>
      <w:r>
        <w:rPr>
          <w:rFonts w:asciiTheme="majorHAnsi" w:eastAsia="Times New Roman" w:hAnsiTheme="majorHAnsi" w:cstheme="majorHAnsi"/>
        </w:rPr>
        <w:t>/</w:t>
      </w:r>
      <w:r w:rsidR="000C35FF" w:rsidRPr="00606597">
        <w:rPr>
          <w:rFonts w:asciiTheme="majorHAnsi" w:eastAsia="Times New Roman" w:hAnsiTheme="majorHAnsi" w:cstheme="majorHAnsi"/>
        </w:rPr>
        <w:t>corresponsables en línea con la nueva estructura interagencial</w:t>
      </w:r>
      <w:r w:rsidR="00A80645">
        <w:rPr>
          <w:rFonts w:asciiTheme="majorHAnsi" w:eastAsia="Times New Roman" w:hAnsiTheme="majorHAnsi" w:cstheme="majorHAnsi"/>
        </w:rPr>
        <w:t>.</w:t>
      </w:r>
    </w:p>
    <w:p w14:paraId="6037BEDB" w14:textId="15E27BC4" w:rsidR="00A80645" w:rsidRDefault="00A80645" w:rsidP="00D74AB5">
      <w:pPr>
        <w:pStyle w:val="Prrafodelista"/>
        <w:numPr>
          <w:ilvl w:val="0"/>
          <w:numId w:val="20"/>
        </w:numPr>
        <w:ind w:left="765" w:hanging="357"/>
        <w:contextualSpacing w:val="0"/>
        <w:jc w:val="both"/>
        <w:rPr>
          <w:rFonts w:asciiTheme="majorHAnsi" w:eastAsia="Times New Roman" w:hAnsiTheme="majorHAnsi" w:cstheme="majorHAnsi"/>
        </w:rPr>
      </w:pPr>
      <w:r>
        <w:rPr>
          <w:rFonts w:asciiTheme="majorHAnsi" w:eastAsia="Times New Roman" w:hAnsiTheme="majorHAnsi" w:cstheme="majorHAnsi"/>
        </w:rPr>
        <w:t xml:space="preserve">La </w:t>
      </w:r>
      <w:r w:rsidR="00A94EB7" w:rsidRPr="00A94EB7">
        <w:rPr>
          <w:rFonts w:asciiTheme="majorHAnsi" w:eastAsia="Times New Roman" w:hAnsiTheme="majorHAnsi" w:cstheme="majorHAnsi"/>
          <w:b/>
          <w:bCs/>
        </w:rPr>
        <w:t xml:space="preserve">propuesta de </w:t>
      </w:r>
      <w:r w:rsidRPr="00A94EB7">
        <w:rPr>
          <w:rFonts w:asciiTheme="majorHAnsi" w:eastAsia="Times New Roman" w:hAnsiTheme="majorHAnsi" w:cstheme="majorHAnsi"/>
          <w:b/>
          <w:bCs/>
        </w:rPr>
        <w:t>contratación de algunas consultorías</w:t>
      </w:r>
      <w:r>
        <w:rPr>
          <w:rFonts w:asciiTheme="majorHAnsi" w:eastAsia="Times New Roman" w:hAnsiTheme="majorHAnsi" w:cstheme="majorHAnsi"/>
        </w:rPr>
        <w:t xml:space="preserve"> para la concreción de acciones puntuales</w:t>
      </w:r>
      <w:r w:rsidR="000E7B59">
        <w:rPr>
          <w:rFonts w:asciiTheme="majorHAnsi" w:eastAsia="Times New Roman" w:hAnsiTheme="majorHAnsi" w:cstheme="majorHAnsi"/>
        </w:rPr>
        <w:t>.</w:t>
      </w:r>
    </w:p>
    <w:p w14:paraId="2CB2CAE6" w14:textId="77777777" w:rsidR="00E604B5" w:rsidRDefault="00E604B5" w:rsidP="00E604B5">
      <w:pPr>
        <w:pStyle w:val="Prrafodelista"/>
        <w:ind w:left="765"/>
        <w:contextualSpacing w:val="0"/>
        <w:jc w:val="both"/>
        <w:rPr>
          <w:rFonts w:asciiTheme="majorHAnsi" w:eastAsia="Times New Roman" w:hAnsiTheme="majorHAnsi" w:cstheme="majorHAnsi"/>
        </w:rPr>
      </w:pPr>
    </w:p>
    <w:p w14:paraId="2533A1E2" w14:textId="56989C53" w:rsidR="007B4464" w:rsidRDefault="00A80645" w:rsidP="00772037">
      <w:pPr>
        <w:spacing w:after="120"/>
        <w:jc w:val="both"/>
        <w:rPr>
          <w:rFonts w:asciiTheme="majorHAnsi" w:eastAsia="Times New Roman" w:hAnsiTheme="majorHAnsi" w:cstheme="majorHAnsi"/>
        </w:rPr>
      </w:pPr>
      <w:r>
        <w:rPr>
          <w:rFonts w:asciiTheme="majorHAnsi" w:eastAsia="Times New Roman" w:hAnsiTheme="majorHAnsi" w:cstheme="majorHAnsi"/>
        </w:rPr>
        <w:t xml:space="preserve">Como resultado, </w:t>
      </w:r>
      <w:r w:rsidR="00795077">
        <w:rPr>
          <w:rFonts w:asciiTheme="majorHAnsi" w:eastAsia="Times New Roman" w:hAnsiTheme="majorHAnsi" w:cstheme="majorHAnsi"/>
        </w:rPr>
        <w:t>el Plan de Acción revisitado</w:t>
      </w:r>
      <w:r>
        <w:rPr>
          <w:rFonts w:asciiTheme="majorHAnsi" w:eastAsia="Times New Roman" w:hAnsiTheme="majorHAnsi" w:cstheme="majorHAnsi"/>
        </w:rPr>
        <w:t xml:space="preserve"> </w:t>
      </w:r>
      <w:r w:rsidR="00A94EB7">
        <w:rPr>
          <w:rFonts w:asciiTheme="majorHAnsi" w:eastAsia="Times New Roman" w:hAnsiTheme="majorHAnsi" w:cstheme="majorHAnsi"/>
        </w:rPr>
        <w:t xml:space="preserve">(Ver Anexo. II) </w:t>
      </w:r>
      <w:r>
        <w:rPr>
          <w:rFonts w:asciiTheme="majorHAnsi" w:eastAsia="Times New Roman" w:hAnsiTheme="majorHAnsi" w:cstheme="majorHAnsi"/>
        </w:rPr>
        <w:t>contiene ahora 3</w:t>
      </w:r>
      <w:r w:rsidR="00A94EB7">
        <w:rPr>
          <w:rFonts w:asciiTheme="majorHAnsi" w:eastAsia="Times New Roman" w:hAnsiTheme="majorHAnsi" w:cstheme="majorHAnsi"/>
        </w:rPr>
        <w:t>1</w:t>
      </w:r>
      <w:r>
        <w:rPr>
          <w:rFonts w:asciiTheme="majorHAnsi" w:eastAsia="Times New Roman" w:hAnsiTheme="majorHAnsi" w:cstheme="majorHAnsi"/>
        </w:rPr>
        <w:t xml:space="preserve"> acciones, que se distribuyen de la siguiente manera según las áreas de desempeño</w:t>
      </w:r>
      <w:r w:rsidR="00A94EB7">
        <w:rPr>
          <w:rFonts w:asciiTheme="majorHAnsi" w:eastAsia="Times New Roman" w:hAnsiTheme="majorHAnsi" w:cstheme="majorHAnsi"/>
        </w:rPr>
        <w:t>:</w:t>
      </w:r>
    </w:p>
    <w:p w14:paraId="42006402" w14:textId="79618678" w:rsidR="00A94EB7" w:rsidRDefault="00A94EB7" w:rsidP="00A94EB7">
      <w:pPr>
        <w:pStyle w:val="Descripcin"/>
        <w:jc w:val="center"/>
        <w:rPr>
          <w:rFonts w:eastAsia="Times New Roman" w:cstheme="majorHAnsi"/>
        </w:rPr>
      </w:pPr>
      <w:bookmarkStart w:id="15" w:name="_Toc89942517"/>
      <w:r>
        <w:t xml:space="preserve">Tabla </w:t>
      </w:r>
      <w:r>
        <w:fldChar w:fldCharType="begin"/>
      </w:r>
      <w:r>
        <w:instrText xml:space="preserve"> SEQ Tabla \* ARABIC </w:instrText>
      </w:r>
      <w:r>
        <w:fldChar w:fldCharType="separate"/>
      </w:r>
      <w:r>
        <w:rPr>
          <w:noProof/>
        </w:rPr>
        <w:t>6</w:t>
      </w:r>
      <w:r>
        <w:fldChar w:fldCharType="end"/>
      </w:r>
      <w:r>
        <w:t xml:space="preserve">. </w:t>
      </w:r>
      <w:r>
        <w:rPr>
          <w:rFonts w:eastAsia="Times New Roman" w:cstheme="majorHAnsi"/>
        </w:rPr>
        <w:t>Acciones del Plan de Acción revisitado por áreas de desempeño</w:t>
      </w:r>
      <w:bookmarkEnd w:id="15"/>
    </w:p>
    <w:tbl>
      <w:tblPr>
        <w:tblW w:w="8363" w:type="dxa"/>
        <w:tblInd w:w="416" w:type="dxa"/>
        <w:tblCellMar>
          <w:left w:w="0" w:type="dxa"/>
          <w:right w:w="0" w:type="dxa"/>
        </w:tblCellMar>
        <w:tblLook w:val="0420" w:firstRow="1" w:lastRow="0" w:firstColumn="0" w:lastColumn="0" w:noHBand="0" w:noVBand="1"/>
      </w:tblPr>
      <w:tblGrid>
        <w:gridCol w:w="4394"/>
        <w:gridCol w:w="2126"/>
        <w:gridCol w:w="1843"/>
      </w:tblGrid>
      <w:tr w:rsidR="000E7B59" w:rsidRPr="002745E7" w14:paraId="3223D257" w14:textId="77777777" w:rsidTr="000E7B59">
        <w:trPr>
          <w:trHeight w:val="476"/>
        </w:trPr>
        <w:tc>
          <w:tcPr>
            <w:tcW w:w="4394"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78A839E7" w14:textId="77777777" w:rsidR="00A80645" w:rsidRPr="002745E7" w:rsidRDefault="00A80645" w:rsidP="00A80645">
            <w:pPr>
              <w:jc w:val="center"/>
              <w:rPr>
                <w:rFonts w:asciiTheme="majorHAnsi" w:hAnsiTheme="majorHAnsi" w:cstheme="majorHAnsi"/>
                <w:color w:val="FFFFFF" w:themeColor="background1"/>
              </w:rPr>
            </w:pPr>
            <w:r w:rsidRPr="002745E7">
              <w:rPr>
                <w:rFonts w:asciiTheme="majorHAnsi" w:hAnsiTheme="majorHAnsi" w:cstheme="majorHAnsi"/>
                <w:b/>
                <w:bCs/>
                <w:color w:val="FFFFFF" w:themeColor="background1"/>
              </w:rPr>
              <w:t>ÁREA</w:t>
            </w:r>
          </w:p>
        </w:tc>
        <w:tc>
          <w:tcPr>
            <w:tcW w:w="2126"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68C25AB0" w14:textId="681C2438" w:rsidR="00A80645" w:rsidRPr="002745E7" w:rsidRDefault="00A80645" w:rsidP="00A80645">
            <w:pPr>
              <w:jc w:val="center"/>
              <w:rPr>
                <w:rFonts w:asciiTheme="majorHAnsi" w:hAnsiTheme="majorHAnsi" w:cstheme="majorHAnsi"/>
                <w:color w:val="FFFFFF" w:themeColor="background1"/>
              </w:rPr>
            </w:pPr>
            <w:r>
              <w:rPr>
                <w:rFonts w:asciiTheme="majorHAnsi" w:hAnsiTheme="majorHAnsi" w:cstheme="majorHAnsi"/>
                <w:b/>
                <w:bCs/>
                <w:color w:val="FFFFFF" w:themeColor="background1"/>
              </w:rPr>
              <w:t>Acciones 2019</w:t>
            </w:r>
          </w:p>
        </w:tc>
        <w:tc>
          <w:tcPr>
            <w:tcW w:w="1843" w:type="dxa"/>
            <w:tcBorders>
              <w:top w:val="single" w:sz="8" w:space="0" w:color="000000"/>
              <w:left w:val="single" w:sz="8" w:space="0" w:color="000000"/>
              <w:bottom w:val="single" w:sz="8" w:space="0" w:color="000000"/>
              <w:right w:val="single" w:sz="8" w:space="0" w:color="000000"/>
            </w:tcBorders>
            <w:shd w:val="clear" w:color="auto" w:fill="00B0F0"/>
            <w:tcMar>
              <w:top w:w="72" w:type="dxa"/>
              <w:left w:w="144" w:type="dxa"/>
              <w:bottom w:w="72" w:type="dxa"/>
              <w:right w:w="144" w:type="dxa"/>
            </w:tcMar>
            <w:hideMark/>
          </w:tcPr>
          <w:p w14:paraId="031E07F4" w14:textId="0E505875" w:rsidR="00A80645" w:rsidRPr="002745E7" w:rsidRDefault="00A80645" w:rsidP="00A80645">
            <w:pPr>
              <w:jc w:val="center"/>
              <w:rPr>
                <w:rFonts w:asciiTheme="majorHAnsi" w:hAnsiTheme="majorHAnsi" w:cstheme="majorHAnsi"/>
                <w:color w:val="FFFFFF" w:themeColor="background1"/>
              </w:rPr>
            </w:pPr>
            <w:r>
              <w:rPr>
                <w:rFonts w:asciiTheme="majorHAnsi" w:hAnsiTheme="majorHAnsi" w:cstheme="majorHAnsi"/>
                <w:b/>
                <w:bCs/>
                <w:color w:val="FFFFFF" w:themeColor="background1"/>
              </w:rPr>
              <w:t>Acciones 2021</w:t>
            </w:r>
          </w:p>
        </w:tc>
      </w:tr>
      <w:tr w:rsidR="000E7B59" w:rsidRPr="002745E7" w14:paraId="0588AF39" w14:textId="77777777" w:rsidTr="000E7B59">
        <w:trPr>
          <w:trHeight w:val="216"/>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491E04" w14:textId="77777777" w:rsidR="00A80645" w:rsidRPr="002745E7" w:rsidRDefault="00A80645" w:rsidP="00A80645">
            <w:pPr>
              <w:jc w:val="both"/>
              <w:rPr>
                <w:rFonts w:asciiTheme="majorHAnsi" w:hAnsiTheme="majorHAnsi" w:cstheme="majorHAnsi"/>
                <w:color w:val="000000" w:themeColor="text1"/>
              </w:rPr>
            </w:pPr>
            <w:r w:rsidRPr="002745E7">
              <w:rPr>
                <w:rFonts w:asciiTheme="majorHAnsi" w:hAnsiTheme="majorHAnsi" w:cstheme="majorHAnsi"/>
                <w:color w:val="000000" w:themeColor="text1"/>
              </w:rPr>
              <w:t>1. Planificiación</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1AA17E" w14:textId="52C65C7B"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4</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551EBB" w14:textId="2DFDAA07"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3</w:t>
            </w:r>
          </w:p>
        </w:tc>
      </w:tr>
      <w:tr w:rsidR="000E7B59" w:rsidRPr="002745E7" w14:paraId="6D2AE7AB" w14:textId="77777777" w:rsidTr="000E7B59">
        <w:trPr>
          <w:trHeight w:val="66"/>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B6D587" w14:textId="77777777" w:rsidR="00A80645" w:rsidRPr="002745E7" w:rsidRDefault="00A80645" w:rsidP="00A80645">
            <w:pPr>
              <w:jc w:val="both"/>
              <w:rPr>
                <w:rFonts w:asciiTheme="majorHAnsi" w:hAnsiTheme="majorHAnsi" w:cstheme="majorHAnsi"/>
                <w:color w:val="000000" w:themeColor="text1"/>
              </w:rPr>
            </w:pPr>
            <w:r w:rsidRPr="002745E7">
              <w:rPr>
                <w:rFonts w:asciiTheme="majorHAnsi" w:hAnsiTheme="majorHAnsi" w:cstheme="majorHAnsi"/>
                <w:color w:val="000000" w:themeColor="text1"/>
              </w:rPr>
              <w:t>2. Programación y M&amp;E</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33355B" w14:textId="1ED6CF93"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6</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0E7EFF" w14:textId="69B81B60"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6</w:t>
            </w:r>
          </w:p>
        </w:tc>
      </w:tr>
      <w:tr w:rsidR="000E7B59" w:rsidRPr="002745E7" w14:paraId="2DC30195" w14:textId="77777777" w:rsidTr="000E7B59">
        <w:trPr>
          <w:trHeight w:val="256"/>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068A5A" w14:textId="77777777" w:rsidR="00A80645" w:rsidRPr="002745E7" w:rsidRDefault="00A80645" w:rsidP="00A80645">
            <w:pPr>
              <w:jc w:val="both"/>
              <w:rPr>
                <w:rFonts w:asciiTheme="majorHAnsi" w:hAnsiTheme="majorHAnsi" w:cstheme="majorHAnsi"/>
                <w:color w:val="000000" w:themeColor="text1"/>
              </w:rPr>
            </w:pPr>
            <w:r w:rsidRPr="002745E7">
              <w:rPr>
                <w:rFonts w:asciiTheme="majorHAnsi" w:hAnsiTheme="majorHAnsi" w:cstheme="majorHAnsi"/>
                <w:color w:val="000000" w:themeColor="text1"/>
              </w:rPr>
              <w:t>3. Asociaciones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339734" w14:textId="2E470A67"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2</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0DE2D0" w14:textId="56FF335A"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0</w:t>
            </w:r>
          </w:p>
        </w:tc>
      </w:tr>
      <w:tr w:rsidR="000E7B59" w:rsidRPr="002745E7" w14:paraId="5BA50889" w14:textId="77777777" w:rsidTr="000E7B59">
        <w:trPr>
          <w:trHeight w:val="220"/>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207790" w14:textId="77777777" w:rsidR="00A80645" w:rsidRPr="002745E7" w:rsidRDefault="00A80645" w:rsidP="00A80645">
            <w:pPr>
              <w:jc w:val="both"/>
              <w:rPr>
                <w:rFonts w:asciiTheme="majorHAnsi" w:hAnsiTheme="majorHAnsi" w:cstheme="majorHAnsi"/>
                <w:color w:val="000000" w:themeColor="text1"/>
              </w:rPr>
            </w:pPr>
            <w:r w:rsidRPr="002745E7">
              <w:rPr>
                <w:rFonts w:asciiTheme="majorHAnsi" w:hAnsiTheme="majorHAnsi" w:cstheme="majorHAnsi"/>
                <w:color w:val="000000" w:themeColor="text1"/>
              </w:rPr>
              <w:t>4. Liderazgo y cultura organizacional</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948DED" w14:textId="413FD39B"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15</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C3B289" w14:textId="38CEC11C"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14</w:t>
            </w:r>
          </w:p>
        </w:tc>
      </w:tr>
      <w:tr w:rsidR="000E7B59" w:rsidRPr="002745E7" w14:paraId="5A1EE3E3" w14:textId="77777777" w:rsidTr="000E7B59">
        <w:trPr>
          <w:trHeight w:val="263"/>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4556A5" w14:textId="77777777" w:rsidR="00A80645" w:rsidRPr="002745E7" w:rsidRDefault="00A80645" w:rsidP="00A80645">
            <w:pPr>
              <w:rPr>
                <w:rFonts w:asciiTheme="majorHAnsi" w:hAnsiTheme="majorHAnsi" w:cstheme="majorHAnsi"/>
                <w:color w:val="000000" w:themeColor="text1"/>
              </w:rPr>
            </w:pPr>
            <w:r w:rsidRPr="002745E7">
              <w:rPr>
                <w:rFonts w:asciiTheme="majorHAnsi" w:hAnsiTheme="majorHAnsi" w:cstheme="majorHAnsi"/>
                <w:color w:val="000000" w:themeColor="text1"/>
              </w:rPr>
              <w:t>5. Capacidades y arquitectura de género</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D37D55" w14:textId="7666E855"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5</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558D69" w14:textId="6ED31347" w:rsidR="00A80645" w:rsidRPr="002745E7" w:rsidRDefault="00A80645" w:rsidP="00A80645">
            <w:pPr>
              <w:jc w:val="center"/>
              <w:rPr>
                <w:rFonts w:asciiTheme="majorHAnsi" w:hAnsiTheme="majorHAnsi" w:cstheme="majorHAnsi"/>
                <w:color w:val="000000" w:themeColor="text1"/>
              </w:rPr>
            </w:pPr>
            <w:r>
              <w:rPr>
                <w:rFonts w:asciiTheme="majorHAnsi" w:hAnsiTheme="majorHAnsi" w:cstheme="majorHAnsi"/>
                <w:color w:val="000000" w:themeColor="text1"/>
              </w:rPr>
              <w:t>4</w:t>
            </w:r>
          </w:p>
        </w:tc>
      </w:tr>
      <w:tr w:rsidR="000E7B59" w:rsidRPr="002745E7" w14:paraId="4F8D6662" w14:textId="77777777" w:rsidTr="000E7B59">
        <w:trPr>
          <w:trHeight w:val="242"/>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196722" w14:textId="77777777" w:rsidR="00A80645" w:rsidRPr="002745E7" w:rsidRDefault="00A80645" w:rsidP="00A80645">
            <w:pPr>
              <w:jc w:val="both"/>
              <w:rPr>
                <w:rFonts w:asciiTheme="majorHAnsi" w:hAnsiTheme="majorHAnsi" w:cstheme="majorHAnsi"/>
              </w:rPr>
            </w:pPr>
            <w:r w:rsidRPr="002745E7">
              <w:rPr>
                <w:rFonts w:asciiTheme="majorHAnsi" w:hAnsiTheme="majorHAnsi" w:cstheme="majorHAnsi"/>
              </w:rPr>
              <w:t>6. Recursos financieros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96843A" w14:textId="17A7E263" w:rsidR="00A80645" w:rsidRPr="002745E7" w:rsidRDefault="00A80645" w:rsidP="00A80645">
            <w:pPr>
              <w:jc w:val="center"/>
              <w:rPr>
                <w:rFonts w:asciiTheme="majorHAnsi" w:hAnsiTheme="majorHAnsi" w:cstheme="majorHAnsi"/>
              </w:rPr>
            </w:pPr>
            <w:r>
              <w:rPr>
                <w:rFonts w:asciiTheme="majorHAnsi" w:hAnsiTheme="majorHAnsi" w:cstheme="majorHAnsi"/>
              </w:rPr>
              <w:t>3</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5B8F18" w14:textId="4A3CE266" w:rsidR="00A80645" w:rsidRPr="002745E7" w:rsidRDefault="00A80645" w:rsidP="00A94EB7">
            <w:pPr>
              <w:jc w:val="center"/>
              <w:rPr>
                <w:rFonts w:asciiTheme="majorHAnsi" w:hAnsiTheme="majorHAnsi" w:cstheme="majorHAnsi"/>
              </w:rPr>
            </w:pPr>
            <w:r>
              <w:rPr>
                <w:rFonts w:asciiTheme="majorHAnsi" w:hAnsiTheme="majorHAnsi" w:cstheme="majorHAnsi"/>
              </w:rPr>
              <w:t>3</w:t>
            </w:r>
          </w:p>
        </w:tc>
      </w:tr>
      <w:tr w:rsidR="000E7B59" w:rsidRPr="002745E7" w14:paraId="20EA0294" w14:textId="77777777" w:rsidTr="000E7B59">
        <w:trPr>
          <w:trHeight w:val="134"/>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9D8F32" w14:textId="77777777" w:rsidR="00A80645" w:rsidRPr="002745E7" w:rsidRDefault="00A80645" w:rsidP="00A80645">
            <w:pPr>
              <w:jc w:val="both"/>
              <w:rPr>
                <w:rFonts w:asciiTheme="majorHAnsi" w:hAnsiTheme="majorHAnsi" w:cstheme="majorHAnsi"/>
              </w:rPr>
            </w:pPr>
            <w:r w:rsidRPr="002745E7">
              <w:rPr>
                <w:rFonts w:asciiTheme="majorHAnsi" w:hAnsiTheme="majorHAnsi" w:cstheme="majorHAnsi"/>
              </w:rPr>
              <w:t>7. Resultados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8B69F2" w14:textId="1EA4AB29" w:rsidR="00A80645" w:rsidRPr="002745E7" w:rsidRDefault="00A80645" w:rsidP="00A80645">
            <w:pPr>
              <w:jc w:val="center"/>
              <w:rPr>
                <w:rFonts w:asciiTheme="majorHAnsi" w:hAnsiTheme="majorHAnsi" w:cstheme="majorHAnsi"/>
              </w:rPr>
            </w:pPr>
            <w:r>
              <w:rPr>
                <w:rFonts w:asciiTheme="majorHAnsi" w:hAnsiTheme="majorHAnsi" w:cstheme="majorHAnsi"/>
              </w:rPr>
              <w:t>3</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6C619F" w14:textId="7B6002EF" w:rsidR="00A80645" w:rsidRPr="002745E7" w:rsidRDefault="00A80645" w:rsidP="00A80645">
            <w:pPr>
              <w:jc w:val="center"/>
              <w:rPr>
                <w:rFonts w:asciiTheme="majorHAnsi" w:hAnsiTheme="majorHAnsi" w:cstheme="majorHAnsi"/>
              </w:rPr>
            </w:pPr>
            <w:r>
              <w:rPr>
                <w:rFonts w:asciiTheme="majorHAnsi" w:hAnsiTheme="majorHAnsi" w:cstheme="majorHAnsi"/>
              </w:rPr>
              <w:t>1</w:t>
            </w:r>
          </w:p>
        </w:tc>
      </w:tr>
      <w:tr w:rsidR="00A80645" w:rsidRPr="002745E7" w14:paraId="545BA77D" w14:textId="77777777" w:rsidTr="000E7B59">
        <w:trPr>
          <w:trHeight w:val="12"/>
        </w:trPr>
        <w:tc>
          <w:tcPr>
            <w:tcW w:w="4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15EA0AE" w14:textId="0F8E31B2" w:rsidR="00A80645" w:rsidRPr="00E604B5" w:rsidRDefault="00A80645" w:rsidP="00A94EB7">
            <w:pPr>
              <w:jc w:val="right"/>
              <w:rPr>
                <w:rFonts w:asciiTheme="majorHAnsi" w:hAnsiTheme="majorHAnsi" w:cstheme="majorHAnsi"/>
                <w:b/>
                <w:bCs/>
              </w:rPr>
            </w:pPr>
            <w:r w:rsidRPr="00E604B5">
              <w:rPr>
                <w:rFonts w:asciiTheme="majorHAnsi" w:hAnsiTheme="majorHAnsi" w:cstheme="majorHAnsi"/>
                <w:b/>
                <w:bCs/>
              </w:rPr>
              <w:t>Total</w:t>
            </w:r>
            <w:r w:rsidR="00A94EB7" w:rsidRPr="00E604B5">
              <w:rPr>
                <w:rFonts w:asciiTheme="majorHAnsi" w:hAnsiTheme="majorHAnsi" w:cstheme="majorHAnsi"/>
                <w:b/>
                <w:bCs/>
              </w:rPr>
              <w:t xml:space="preserve"> de acciones</w:t>
            </w:r>
          </w:p>
        </w:tc>
        <w:tc>
          <w:tcPr>
            <w:tcW w:w="21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1646F41A" w14:textId="57F571B6" w:rsidR="00A80645" w:rsidRPr="00A94EB7" w:rsidRDefault="00A80645" w:rsidP="00A80645">
            <w:pPr>
              <w:jc w:val="center"/>
              <w:rPr>
                <w:rFonts w:asciiTheme="majorHAnsi" w:hAnsiTheme="majorHAnsi" w:cstheme="majorHAnsi"/>
                <w:b/>
                <w:bCs/>
              </w:rPr>
            </w:pPr>
            <w:r w:rsidRPr="00A94EB7">
              <w:rPr>
                <w:rFonts w:asciiTheme="majorHAnsi" w:hAnsiTheme="majorHAnsi" w:cstheme="majorHAnsi"/>
                <w:b/>
                <w:bCs/>
              </w:rPr>
              <w:t>38</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B0F4876" w14:textId="6857E8E3" w:rsidR="00A80645" w:rsidRPr="00A94EB7" w:rsidRDefault="00A94EB7" w:rsidP="00A80645">
            <w:pPr>
              <w:jc w:val="center"/>
              <w:rPr>
                <w:rFonts w:asciiTheme="majorHAnsi" w:hAnsiTheme="majorHAnsi" w:cstheme="majorHAnsi"/>
                <w:b/>
                <w:bCs/>
              </w:rPr>
            </w:pPr>
            <w:r w:rsidRPr="00A94EB7">
              <w:rPr>
                <w:rFonts w:asciiTheme="majorHAnsi" w:hAnsiTheme="majorHAnsi" w:cstheme="majorHAnsi"/>
                <w:b/>
                <w:bCs/>
              </w:rPr>
              <w:t>31</w:t>
            </w:r>
          </w:p>
        </w:tc>
      </w:tr>
    </w:tbl>
    <w:p w14:paraId="0CC73BF4" w14:textId="5253BD9B" w:rsidR="00A80645" w:rsidRDefault="00A80645" w:rsidP="00772037">
      <w:pPr>
        <w:spacing w:after="120"/>
        <w:jc w:val="both"/>
        <w:rPr>
          <w:rFonts w:asciiTheme="majorHAnsi" w:eastAsia="Times New Roman" w:hAnsiTheme="majorHAnsi" w:cstheme="majorHAnsi"/>
        </w:rPr>
      </w:pPr>
    </w:p>
    <w:p w14:paraId="40DB86BC" w14:textId="14A6FD9A" w:rsidR="00A94EB7" w:rsidRDefault="000E7B59" w:rsidP="00772037">
      <w:pPr>
        <w:spacing w:after="120"/>
        <w:jc w:val="both"/>
        <w:rPr>
          <w:rFonts w:asciiTheme="majorHAnsi" w:eastAsia="Times New Roman" w:hAnsiTheme="majorHAnsi" w:cstheme="majorHAnsi"/>
        </w:rPr>
      </w:pPr>
      <w:r>
        <w:rPr>
          <w:rFonts w:asciiTheme="majorHAnsi" w:eastAsia="Times New Roman" w:hAnsiTheme="majorHAnsi" w:cstheme="majorHAnsi"/>
        </w:rPr>
        <w:t xml:space="preserve">Para el </w:t>
      </w:r>
      <w:r w:rsidRPr="00E604B5">
        <w:rPr>
          <w:rFonts w:asciiTheme="majorHAnsi" w:eastAsia="Times New Roman" w:hAnsiTheme="majorHAnsi" w:cstheme="majorHAnsi"/>
          <w:b/>
          <w:bCs/>
        </w:rPr>
        <w:t xml:space="preserve">seguimiento </w:t>
      </w:r>
      <w:r>
        <w:rPr>
          <w:rFonts w:asciiTheme="majorHAnsi" w:eastAsia="Times New Roman" w:hAnsiTheme="majorHAnsi" w:cstheme="majorHAnsi"/>
        </w:rPr>
        <w:t xml:space="preserve">del Plan de Acción revisitado, el GIM propone, sobre la base </w:t>
      </w:r>
      <w:r w:rsidR="00A94EB7">
        <w:rPr>
          <w:rFonts w:asciiTheme="majorHAnsi" w:eastAsia="Times New Roman" w:hAnsiTheme="majorHAnsi" w:cstheme="majorHAnsi"/>
        </w:rPr>
        <w:t xml:space="preserve"> </w:t>
      </w:r>
      <w:r>
        <w:rPr>
          <w:rFonts w:asciiTheme="majorHAnsi" w:eastAsia="Times New Roman" w:hAnsiTheme="majorHAnsi" w:cstheme="majorHAnsi"/>
        </w:rPr>
        <w:t xml:space="preserve">de </w:t>
      </w:r>
      <w:r w:rsidR="00A94EB7">
        <w:rPr>
          <w:rFonts w:asciiTheme="majorHAnsi" w:eastAsia="Times New Roman" w:hAnsiTheme="majorHAnsi" w:cstheme="majorHAnsi"/>
        </w:rPr>
        <w:t>la reconfiguración de la nueva estructura interagencial</w:t>
      </w:r>
      <w:r>
        <w:rPr>
          <w:rFonts w:asciiTheme="majorHAnsi" w:eastAsia="Times New Roman" w:hAnsiTheme="majorHAnsi" w:cstheme="majorHAnsi"/>
        </w:rPr>
        <w:t xml:space="preserve">, que el GIG sea el mecanismo responsable de dar seguimiento y llamar a rendición de cuentas de manera periódica a las agencias líderes de los grupos y mecanismos interagenciales implicados en su concreción. </w:t>
      </w:r>
      <w:r w:rsidR="00E604B5">
        <w:rPr>
          <w:rFonts w:asciiTheme="majorHAnsi" w:eastAsia="Times New Roman" w:hAnsiTheme="majorHAnsi" w:cstheme="majorHAnsi"/>
        </w:rPr>
        <w:t xml:space="preserve">Lo anterior </w:t>
      </w:r>
      <w:r>
        <w:rPr>
          <w:rFonts w:asciiTheme="majorHAnsi" w:eastAsia="Times New Roman" w:hAnsiTheme="majorHAnsi" w:cstheme="majorHAnsi"/>
        </w:rPr>
        <w:t>permimtirá, por un</w:t>
      </w:r>
      <w:r w:rsidR="00E604B5">
        <w:rPr>
          <w:rFonts w:asciiTheme="majorHAnsi" w:eastAsia="Times New Roman" w:hAnsiTheme="majorHAnsi" w:cstheme="majorHAnsi"/>
        </w:rPr>
        <w:t xml:space="preserve"> </w:t>
      </w:r>
      <w:r>
        <w:rPr>
          <w:rFonts w:asciiTheme="majorHAnsi" w:eastAsia="Times New Roman" w:hAnsiTheme="majorHAnsi" w:cstheme="majorHAnsi"/>
        </w:rPr>
        <w:t xml:space="preserve">lado, elevar el nivel del seguimiento del Plan de Acción y, por el otro, mejorar la comunicación, articulación y coordinación de las entidades responsables de la implementación y seguimiento de las acciones. </w:t>
      </w:r>
      <w:r w:rsidR="00E604B5">
        <w:rPr>
          <w:rFonts w:asciiTheme="majorHAnsi" w:eastAsia="Times New Roman" w:hAnsiTheme="majorHAnsi" w:cstheme="majorHAnsi"/>
        </w:rPr>
        <w:t xml:space="preserve">Esto </w:t>
      </w:r>
      <w:r>
        <w:rPr>
          <w:rFonts w:asciiTheme="majorHAnsi" w:eastAsia="Times New Roman" w:hAnsiTheme="majorHAnsi" w:cstheme="majorHAnsi"/>
        </w:rPr>
        <w:t xml:space="preserve"> facilitará, además, la integración de los Reportes Anuales de Progreso a la plataforma global del UNCT-SWAP, así como a la IMS de UNSDG.</w:t>
      </w:r>
    </w:p>
    <w:p w14:paraId="39F2FE80" w14:textId="1FE74640" w:rsidR="00FC2A36" w:rsidRPr="000E7B59" w:rsidRDefault="00681412" w:rsidP="00772037">
      <w:pPr>
        <w:pStyle w:val="Ttulo1"/>
        <w:spacing w:before="0" w:after="120"/>
        <w:rPr>
          <w:rFonts w:cstheme="majorHAnsi"/>
          <w:color w:val="00B0F0"/>
          <w:sz w:val="22"/>
          <w:szCs w:val="22"/>
        </w:rPr>
      </w:pPr>
      <w:bookmarkStart w:id="16" w:name="_Toc89942360"/>
      <w:r w:rsidRPr="000E7B59">
        <w:rPr>
          <w:rFonts w:cstheme="majorHAnsi"/>
          <w:color w:val="00B0F0"/>
          <w:sz w:val="22"/>
          <w:szCs w:val="22"/>
        </w:rPr>
        <w:t xml:space="preserve">VI. </w:t>
      </w:r>
      <w:r w:rsidR="00EB639B" w:rsidRPr="000E7B59">
        <w:rPr>
          <w:rFonts w:cstheme="majorHAnsi"/>
          <w:color w:val="00B0F0"/>
          <w:sz w:val="22"/>
          <w:szCs w:val="22"/>
        </w:rPr>
        <w:t>Buenas prácticas</w:t>
      </w:r>
      <w:r w:rsidR="003D1B2B">
        <w:rPr>
          <w:rFonts w:cstheme="majorHAnsi"/>
          <w:color w:val="00B0F0"/>
          <w:sz w:val="22"/>
          <w:szCs w:val="22"/>
        </w:rPr>
        <w:t xml:space="preserve"> y </w:t>
      </w:r>
      <w:r w:rsidR="00EB639B" w:rsidRPr="000E7B59">
        <w:rPr>
          <w:rFonts w:cstheme="majorHAnsi"/>
          <w:color w:val="00B0F0"/>
          <w:sz w:val="22"/>
          <w:szCs w:val="22"/>
        </w:rPr>
        <w:t>lecciones aprendidas</w:t>
      </w:r>
      <w:bookmarkEnd w:id="16"/>
      <w:r w:rsidR="000E7B59" w:rsidRPr="000E7B59">
        <w:rPr>
          <w:rFonts w:cstheme="majorHAnsi"/>
          <w:color w:val="00B0F0"/>
          <w:sz w:val="22"/>
          <w:szCs w:val="22"/>
        </w:rPr>
        <w:t xml:space="preserve"> </w:t>
      </w:r>
    </w:p>
    <w:p w14:paraId="3A1A3D68" w14:textId="57205758" w:rsidR="00487D54" w:rsidRPr="00772037" w:rsidRDefault="000E7B59" w:rsidP="00772037">
      <w:pPr>
        <w:spacing w:after="120"/>
        <w:jc w:val="both"/>
        <w:rPr>
          <w:rFonts w:asciiTheme="majorHAnsi" w:hAnsiTheme="majorHAnsi" w:cstheme="majorHAnsi"/>
        </w:rPr>
      </w:pPr>
      <w:r>
        <w:rPr>
          <w:rFonts w:asciiTheme="majorHAnsi" w:hAnsiTheme="majorHAnsi" w:cstheme="majorHAnsi"/>
        </w:rPr>
        <w:t xml:space="preserve">La RMT del </w:t>
      </w:r>
      <w:r w:rsidR="007221C1" w:rsidRPr="00772037">
        <w:rPr>
          <w:rFonts w:asciiTheme="majorHAnsi" w:hAnsiTheme="majorHAnsi" w:cstheme="majorHAnsi"/>
        </w:rPr>
        <w:t>UNCT-SWAP</w:t>
      </w:r>
      <w:r>
        <w:rPr>
          <w:rFonts w:asciiTheme="majorHAnsi" w:hAnsiTheme="majorHAnsi" w:cstheme="majorHAnsi"/>
        </w:rPr>
        <w:t xml:space="preserve"> </w:t>
      </w:r>
      <w:r w:rsidR="005941CB" w:rsidRPr="00772037">
        <w:rPr>
          <w:rFonts w:asciiTheme="majorHAnsi" w:hAnsiTheme="majorHAnsi" w:cstheme="majorHAnsi"/>
        </w:rPr>
        <w:t xml:space="preserve"> </w:t>
      </w:r>
      <w:r w:rsidR="00DA5D46" w:rsidRPr="00772037">
        <w:rPr>
          <w:rFonts w:asciiTheme="majorHAnsi" w:hAnsiTheme="majorHAnsi" w:cstheme="majorHAnsi"/>
        </w:rPr>
        <w:t xml:space="preserve">es el primer ejercicio que realiza </w:t>
      </w:r>
      <w:r w:rsidR="005941CB" w:rsidRPr="00772037">
        <w:rPr>
          <w:rFonts w:asciiTheme="majorHAnsi" w:hAnsiTheme="majorHAnsi" w:cstheme="majorHAnsi"/>
        </w:rPr>
        <w:t xml:space="preserve">el SNU en México </w:t>
      </w:r>
      <w:r w:rsidR="00DA5D46" w:rsidRPr="00772037">
        <w:rPr>
          <w:rFonts w:asciiTheme="majorHAnsi" w:hAnsiTheme="majorHAnsi" w:cstheme="majorHAnsi"/>
        </w:rPr>
        <w:t>de esta naturaleza</w:t>
      </w:r>
      <w:r>
        <w:rPr>
          <w:rFonts w:asciiTheme="majorHAnsi" w:hAnsiTheme="majorHAnsi" w:cstheme="majorHAnsi"/>
        </w:rPr>
        <w:t xml:space="preserve"> y su implementación permitió identificar con visión colectiva </w:t>
      </w:r>
      <w:r w:rsidR="00EB639B" w:rsidRPr="00772037">
        <w:rPr>
          <w:rFonts w:asciiTheme="majorHAnsi" w:hAnsiTheme="majorHAnsi" w:cstheme="majorHAnsi"/>
        </w:rPr>
        <w:t xml:space="preserve">una batería de </w:t>
      </w:r>
      <w:r w:rsidR="00BF71A8" w:rsidRPr="00772037">
        <w:rPr>
          <w:rFonts w:asciiTheme="majorHAnsi" w:hAnsiTheme="majorHAnsi" w:cstheme="majorHAnsi"/>
        </w:rPr>
        <w:t>buenas prácticas</w:t>
      </w:r>
      <w:r>
        <w:rPr>
          <w:rFonts w:asciiTheme="majorHAnsi" w:hAnsiTheme="majorHAnsi" w:cstheme="majorHAnsi"/>
        </w:rPr>
        <w:t xml:space="preserve">, </w:t>
      </w:r>
      <w:r w:rsidR="00BF71A8" w:rsidRPr="00772037">
        <w:rPr>
          <w:rFonts w:asciiTheme="majorHAnsi" w:hAnsiTheme="majorHAnsi" w:cstheme="majorHAnsi"/>
        </w:rPr>
        <w:t>lecciones aprendidas</w:t>
      </w:r>
      <w:r w:rsidR="00DA5D46" w:rsidRPr="00772037">
        <w:rPr>
          <w:rFonts w:asciiTheme="majorHAnsi" w:hAnsiTheme="majorHAnsi" w:cstheme="majorHAnsi"/>
        </w:rPr>
        <w:t xml:space="preserve"> </w:t>
      </w:r>
      <w:r>
        <w:rPr>
          <w:rFonts w:asciiTheme="majorHAnsi" w:hAnsiTheme="majorHAnsi" w:cstheme="majorHAnsi"/>
        </w:rPr>
        <w:t xml:space="preserve">y recomendaciones en términos de la implementación y seguimiento de la herramienta, así como del proceso de la RMT.   </w:t>
      </w:r>
    </w:p>
    <w:p w14:paraId="17F1631A" w14:textId="75E8C50D" w:rsidR="00E27B11" w:rsidRPr="000E7B59" w:rsidRDefault="00C742A4" w:rsidP="00772037">
      <w:pPr>
        <w:spacing w:after="120"/>
        <w:rPr>
          <w:rFonts w:asciiTheme="majorHAnsi" w:hAnsiTheme="majorHAnsi" w:cstheme="majorHAnsi"/>
          <w:b/>
          <w:bCs/>
        </w:rPr>
      </w:pPr>
      <w:r w:rsidRPr="000E7B59">
        <w:rPr>
          <w:rFonts w:asciiTheme="majorHAnsi" w:hAnsiTheme="majorHAnsi" w:cstheme="majorHAnsi"/>
          <w:b/>
          <w:bCs/>
        </w:rPr>
        <w:t>Buenas prácticas</w:t>
      </w:r>
    </w:p>
    <w:p w14:paraId="42B1EA90" w14:textId="107C0B1A" w:rsidR="000E7B59" w:rsidRDefault="000E7B59" w:rsidP="00D74AB5">
      <w:pPr>
        <w:pStyle w:val="Prrafodelista"/>
        <w:numPr>
          <w:ilvl w:val="0"/>
          <w:numId w:val="1"/>
        </w:numPr>
        <w:spacing w:after="120"/>
        <w:ind w:left="714" w:hanging="357"/>
        <w:contextualSpacing w:val="0"/>
        <w:jc w:val="both"/>
        <w:rPr>
          <w:rFonts w:asciiTheme="majorHAnsi" w:hAnsiTheme="majorHAnsi" w:cstheme="majorHAnsi"/>
        </w:rPr>
      </w:pPr>
      <w:r>
        <w:rPr>
          <w:rFonts w:asciiTheme="majorHAnsi" w:hAnsiTheme="majorHAnsi" w:cstheme="majorHAnsi"/>
        </w:rPr>
        <w:t xml:space="preserve">La </w:t>
      </w:r>
      <w:r w:rsidRPr="00E604B5">
        <w:rPr>
          <w:rFonts w:asciiTheme="majorHAnsi" w:hAnsiTheme="majorHAnsi" w:cstheme="majorHAnsi"/>
          <w:b/>
          <w:bCs/>
        </w:rPr>
        <w:t>prioridad asignada a la implementación y seguimiento del UNCT-SWAP por parte del GIG y del OMT al más alto nivel</w:t>
      </w:r>
      <w:r>
        <w:rPr>
          <w:rFonts w:asciiTheme="majorHAnsi" w:hAnsiTheme="majorHAnsi" w:cstheme="majorHAnsi"/>
        </w:rPr>
        <w:t xml:space="preserve"> marca un </w:t>
      </w:r>
      <w:r w:rsidRPr="000E7B59">
        <w:rPr>
          <w:rFonts w:asciiTheme="majorHAnsi" w:hAnsiTheme="majorHAnsi" w:cstheme="majorHAnsi"/>
          <w:i/>
          <w:iCs/>
        </w:rPr>
        <w:t>momentum</w:t>
      </w:r>
      <w:r>
        <w:rPr>
          <w:rFonts w:asciiTheme="majorHAnsi" w:hAnsiTheme="majorHAnsi" w:cstheme="majorHAnsi"/>
        </w:rPr>
        <w:t xml:space="preserve"> importante </w:t>
      </w:r>
      <w:r w:rsidR="00C2309B">
        <w:rPr>
          <w:rFonts w:asciiTheme="majorHAnsi" w:hAnsiTheme="majorHAnsi" w:cstheme="majorHAnsi"/>
        </w:rPr>
        <w:t>para</w:t>
      </w:r>
      <w:r>
        <w:rPr>
          <w:rFonts w:asciiTheme="majorHAnsi" w:hAnsiTheme="majorHAnsi" w:cstheme="majorHAnsi"/>
        </w:rPr>
        <w:t xml:space="preserve"> posicionar la herramienta y socializar los hallazgos de la RMT con </w:t>
      </w:r>
      <w:r w:rsidR="00C2309B">
        <w:rPr>
          <w:rFonts w:asciiTheme="majorHAnsi" w:hAnsiTheme="majorHAnsi" w:cstheme="majorHAnsi"/>
        </w:rPr>
        <w:t xml:space="preserve">los nuevos liderazgos de los demás </w:t>
      </w:r>
      <w:r>
        <w:rPr>
          <w:rFonts w:asciiTheme="majorHAnsi" w:hAnsiTheme="majorHAnsi" w:cstheme="majorHAnsi"/>
        </w:rPr>
        <w:t>grupos y mecanismos interagenciales</w:t>
      </w:r>
      <w:r w:rsidR="00C2309B">
        <w:rPr>
          <w:rFonts w:asciiTheme="majorHAnsi" w:hAnsiTheme="majorHAnsi" w:cstheme="majorHAnsi"/>
        </w:rPr>
        <w:t xml:space="preserve">, a fin de </w:t>
      </w:r>
      <w:r>
        <w:rPr>
          <w:rFonts w:asciiTheme="majorHAnsi" w:hAnsiTheme="majorHAnsi" w:cstheme="majorHAnsi"/>
        </w:rPr>
        <w:t xml:space="preserve"> informar la toma de decisiones y lograr avances </w:t>
      </w:r>
      <w:r w:rsidR="00C2309B">
        <w:rPr>
          <w:rFonts w:asciiTheme="majorHAnsi" w:hAnsiTheme="majorHAnsi" w:cstheme="majorHAnsi"/>
        </w:rPr>
        <w:t xml:space="preserve">sostenidos e </w:t>
      </w:r>
      <w:r>
        <w:rPr>
          <w:rFonts w:asciiTheme="majorHAnsi" w:hAnsiTheme="majorHAnsi" w:cstheme="majorHAnsi"/>
        </w:rPr>
        <w:t>integrales.</w:t>
      </w:r>
    </w:p>
    <w:p w14:paraId="76701483" w14:textId="0F30C6B8" w:rsidR="000E7B59" w:rsidRDefault="003255E0" w:rsidP="00D74AB5">
      <w:pPr>
        <w:pStyle w:val="Prrafodelista"/>
        <w:numPr>
          <w:ilvl w:val="0"/>
          <w:numId w:val="1"/>
        </w:numPr>
        <w:spacing w:after="120"/>
        <w:ind w:left="714" w:hanging="357"/>
        <w:contextualSpacing w:val="0"/>
        <w:jc w:val="both"/>
        <w:rPr>
          <w:rFonts w:asciiTheme="majorHAnsi" w:hAnsiTheme="majorHAnsi" w:cstheme="majorHAnsi"/>
        </w:rPr>
      </w:pPr>
      <w:r w:rsidRPr="000E7B59">
        <w:rPr>
          <w:rFonts w:asciiTheme="majorHAnsi" w:hAnsiTheme="majorHAnsi" w:cstheme="majorHAnsi"/>
        </w:rPr>
        <w:t xml:space="preserve">El </w:t>
      </w:r>
      <w:r w:rsidRPr="00E604B5">
        <w:rPr>
          <w:rFonts w:asciiTheme="majorHAnsi" w:hAnsiTheme="majorHAnsi" w:cstheme="majorHAnsi"/>
          <w:b/>
          <w:bCs/>
        </w:rPr>
        <w:t>liderazgo de la OCR</w:t>
      </w:r>
      <w:r w:rsidR="000E7B59" w:rsidRPr="00E604B5">
        <w:rPr>
          <w:rFonts w:asciiTheme="majorHAnsi" w:hAnsiTheme="majorHAnsi" w:cstheme="majorHAnsi"/>
          <w:b/>
          <w:bCs/>
        </w:rPr>
        <w:t xml:space="preserve"> y de </w:t>
      </w:r>
      <w:r w:rsidR="00DF396E" w:rsidRPr="00E604B5">
        <w:rPr>
          <w:rFonts w:asciiTheme="majorHAnsi" w:hAnsiTheme="majorHAnsi" w:cstheme="majorHAnsi"/>
          <w:b/>
          <w:bCs/>
        </w:rPr>
        <w:t>ONU Mujeres</w:t>
      </w:r>
      <w:r w:rsidR="000E7B59" w:rsidRPr="000E7B59">
        <w:rPr>
          <w:rFonts w:asciiTheme="majorHAnsi" w:hAnsiTheme="majorHAnsi" w:cstheme="majorHAnsi"/>
        </w:rPr>
        <w:t xml:space="preserve">, así como la conformación del Grupo </w:t>
      </w:r>
      <w:r w:rsidR="000E7B59" w:rsidRPr="000E7B59">
        <w:rPr>
          <w:rFonts w:asciiTheme="majorHAnsi" w:hAnsiTheme="majorHAnsi" w:cstheme="majorHAnsi"/>
          <w:i/>
          <w:iCs/>
        </w:rPr>
        <w:t>Core</w:t>
      </w:r>
      <w:r w:rsidR="000E7B59" w:rsidRPr="000E7B59">
        <w:rPr>
          <w:rFonts w:asciiTheme="majorHAnsi" w:hAnsiTheme="majorHAnsi" w:cstheme="majorHAnsi"/>
        </w:rPr>
        <w:t xml:space="preserve"> y la contratación de una consultoría externa dedicada a facilitar </w:t>
      </w:r>
      <w:r w:rsidR="000E7B59">
        <w:rPr>
          <w:rFonts w:asciiTheme="majorHAnsi" w:hAnsiTheme="majorHAnsi" w:cstheme="majorHAnsi"/>
        </w:rPr>
        <w:t>el</w:t>
      </w:r>
      <w:r w:rsidR="000E7B59" w:rsidRPr="000E7B59">
        <w:rPr>
          <w:rFonts w:asciiTheme="majorHAnsi" w:hAnsiTheme="majorHAnsi" w:cstheme="majorHAnsi"/>
        </w:rPr>
        <w:t xml:space="preserve"> proceso</w:t>
      </w:r>
      <w:r w:rsidR="000E7B59">
        <w:rPr>
          <w:rFonts w:asciiTheme="majorHAnsi" w:hAnsiTheme="majorHAnsi" w:cstheme="majorHAnsi"/>
        </w:rPr>
        <w:t xml:space="preserve"> de la RMT, </w:t>
      </w:r>
      <w:r w:rsidR="000E7B59" w:rsidRPr="000E7B59">
        <w:rPr>
          <w:rFonts w:asciiTheme="majorHAnsi" w:hAnsiTheme="majorHAnsi" w:cstheme="majorHAnsi"/>
        </w:rPr>
        <w:t>guiar el análisis</w:t>
      </w:r>
      <w:r w:rsidR="000E7B59">
        <w:rPr>
          <w:rFonts w:asciiTheme="majorHAnsi" w:hAnsiTheme="majorHAnsi" w:cstheme="majorHAnsi"/>
        </w:rPr>
        <w:t xml:space="preserve">, consolidar los documentos </w:t>
      </w:r>
      <w:r w:rsidR="000E7B59" w:rsidRPr="000E7B59">
        <w:rPr>
          <w:rFonts w:asciiTheme="majorHAnsi" w:hAnsiTheme="majorHAnsi" w:cstheme="majorHAnsi"/>
        </w:rPr>
        <w:t xml:space="preserve">y sistematizar </w:t>
      </w:r>
      <w:r w:rsidR="000E7B59">
        <w:rPr>
          <w:rFonts w:asciiTheme="majorHAnsi" w:hAnsiTheme="majorHAnsi" w:cstheme="majorHAnsi"/>
        </w:rPr>
        <w:t>los resultados,</w:t>
      </w:r>
      <w:r w:rsidR="000E7B59" w:rsidRPr="000E7B59">
        <w:rPr>
          <w:rFonts w:asciiTheme="majorHAnsi" w:hAnsiTheme="majorHAnsi" w:cstheme="majorHAnsi"/>
        </w:rPr>
        <w:t xml:space="preserve"> </w:t>
      </w:r>
      <w:r w:rsidR="000E7B59">
        <w:rPr>
          <w:rFonts w:asciiTheme="majorHAnsi" w:hAnsiTheme="majorHAnsi" w:cstheme="majorHAnsi"/>
        </w:rPr>
        <w:t>son</w:t>
      </w:r>
      <w:r w:rsidR="000E7B59" w:rsidRPr="000E7B59">
        <w:rPr>
          <w:rFonts w:asciiTheme="majorHAnsi" w:hAnsiTheme="majorHAnsi" w:cstheme="majorHAnsi"/>
        </w:rPr>
        <w:t xml:space="preserve"> elemento</w:t>
      </w:r>
      <w:r w:rsidR="000E7B59">
        <w:rPr>
          <w:rFonts w:asciiTheme="majorHAnsi" w:hAnsiTheme="majorHAnsi" w:cstheme="majorHAnsi"/>
        </w:rPr>
        <w:t>s</w:t>
      </w:r>
      <w:r w:rsidR="000E7B59" w:rsidRPr="000E7B59">
        <w:rPr>
          <w:rFonts w:asciiTheme="majorHAnsi" w:hAnsiTheme="majorHAnsi" w:cstheme="majorHAnsi"/>
        </w:rPr>
        <w:t xml:space="preserve"> clave </w:t>
      </w:r>
      <w:r w:rsidR="000E7B59">
        <w:rPr>
          <w:rFonts w:asciiTheme="majorHAnsi" w:hAnsiTheme="majorHAnsi" w:cstheme="majorHAnsi"/>
        </w:rPr>
        <w:t xml:space="preserve">para concluir las revisiones anuales de progreso del </w:t>
      </w:r>
      <w:r w:rsidR="000E7B59" w:rsidRPr="000E7B59">
        <w:rPr>
          <w:rFonts w:asciiTheme="majorHAnsi" w:hAnsiTheme="majorHAnsi" w:cstheme="majorHAnsi"/>
        </w:rPr>
        <w:t xml:space="preserve">UNCT-SWAP con la rigurosidad metodológica que el ejercicio </w:t>
      </w:r>
      <w:r w:rsidR="000E7B59">
        <w:rPr>
          <w:rFonts w:asciiTheme="majorHAnsi" w:hAnsiTheme="majorHAnsi" w:cstheme="majorHAnsi"/>
        </w:rPr>
        <w:t>requiere</w:t>
      </w:r>
      <w:r w:rsidR="000E7B59" w:rsidRPr="000E7B59">
        <w:rPr>
          <w:rFonts w:asciiTheme="majorHAnsi" w:hAnsiTheme="majorHAnsi" w:cstheme="majorHAnsi"/>
        </w:rPr>
        <w:t>.</w:t>
      </w:r>
    </w:p>
    <w:p w14:paraId="50B6B959" w14:textId="6AB88248" w:rsidR="000E7B59" w:rsidRDefault="000E7B59" w:rsidP="00D74AB5">
      <w:pPr>
        <w:pStyle w:val="Prrafodelista"/>
        <w:numPr>
          <w:ilvl w:val="0"/>
          <w:numId w:val="1"/>
        </w:numPr>
        <w:spacing w:after="120"/>
        <w:ind w:left="714" w:hanging="357"/>
        <w:contextualSpacing w:val="0"/>
        <w:jc w:val="both"/>
        <w:rPr>
          <w:rFonts w:asciiTheme="majorHAnsi" w:hAnsiTheme="majorHAnsi" w:cstheme="majorHAnsi"/>
        </w:rPr>
      </w:pPr>
      <w:r>
        <w:rPr>
          <w:rFonts w:asciiTheme="majorHAnsi" w:hAnsiTheme="majorHAnsi" w:cstheme="majorHAnsi"/>
        </w:rPr>
        <w:t xml:space="preserve">La </w:t>
      </w:r>
      <w:r w:rsidRPr="00E604B5">
        <w:rPr>
          <w:rFonts w:asciiTheme="majorHAnsi" w:hAnsiTheme="majorHAnsi" w:cstheme="majorHAnsi"/>
          <w:b/>
          <w:bCs/>
        </w:rPr>
        <w:t>conformación equilibrada del GIM</w:t>
      </w:r>
      <w:r>
        <w:rPr>
          <w:rFonts w:asciiTheme="majorHAnsi" w:hAnsiTheme="majorHAnsi" w:cstheme="majorHAnsi"/>
        </w:rPr>
        <w:t xml:space="preserve"> a partir de la experiencia de quienes participaron en la implementación del UNCT-SWAP en 2019, junto con nuevos perfiles y liderazgos, incluyendo la representación por primera vez de los GdR, </w:t>
      </w:r>
      <w:r w:rsidRPr="00772037">
        <w:rPr>
          <w:rFonts w:asciiTheme="majorHAnsi" w:hAnsiTheme="majorHAnsi" w:cstheme="majorHAnsi"/>
        </w:rPr>
        <w:t>fue un acierto que permitió contrarrestar el posible sesgo y la subjetividad en el análisis y la puntuación de los indicadores</w:t>
      </w:r>
      <w:r>
        <w:rPr>
          <w:rFonts w:asciiTheme="majorHAnsi" w:hAnsiTheme="majorHAnsi" w:cstheme="majorHAnsi"/>
        </w:rPr>
        <w:t xml:space="preserve"> seleccionados, al tiempo que impulsó un intercambio plural de ideas que se refleja en la relevancia de los ajustes planteados al Plan de Acción revisitado.  </w:t>
      </w:r>
    </w:p>
    <w:p w14:paraId="2D661E4A" w14:textId="03AC964D" w:rsidR="00A3320D" w:rsidRPr="00772037" w:rsidRDefault="003C033B" w:rsidP="00D74AB5">
      <w:pPr>
        <w:pStyle w:val="Prrafodelista"/>
        <w:numPr>
          <w:ilvl w:val="0"/>
          <w:numId w:val="1"/>
        </w:numPr>
        <w:spacing w:after="120"/>
        <w:ind w:left="714" w:hanging="357"/>
        <w:contextualSpacing w:val="0"/>
        <w:jc w:val="both"/>
        <w:rPr>
          <w:rFonts w:asciiTheme="majorHAnsi" w:hAnsiTheme="majorHAnsi" w:cstheme="majorHAnsi"/>
        </w:rPr>
      </w:pPr>
      <w:r w:rsidRPr="00772037">
        <w:rPr>
          <w:rFonts w:asciiTheme="majorHAnsi" w:hAnsiTheme="majorHAnsi" w:cstheme="majorHAnsi"/>
        </w:rPr>
        <w:t xml:space="preserve">La </w:t>
      </w:r>
      <w:r w:rsidR="002E68AA" w:rsidRPr="00E604B5">
        <w:rPr>
          <w:rFonts w:asciiTheme="majorHAnsi" w:hAnsiTheme="majorHAnsi" w:cstheme="majorHAnsi"/>
          <w:b/>
          <w:bCs/>
        </w:rPr>
        <w:t>creación de una</w:t>
      </w:r>
      <w:r w:rsidR="00FD7235" w:rsidRPr="00E604B5">
        <w:rPr>
          <w:rFonts w:asciiTheme="majorHAnsi" w:hAnsiTheme="majorHAnsi" w:cstheme="majorHAnsi"/>
          <w:b/>
          <w:bCs/>
        </w:rPr>
        <w:t xml:space="preserve"> </w:t>
      </w:r>
      <w:r w:rsidR="00920C2C" w:rsidRPr="00E604B5">
        <w:rPr>
          <w:rFonts w:asciiTheme="majorHAnsi" w:hAnsiTheme="majorHAnsi" w:cstheme="majorHAnsi"/>
          <w:b/>
          <w:bCs/>
        </w:rPr>
        <w:t>plataforma virtual</w:t>
      </w:r>
      <w:r w:rsidR="00920C2C" w:rsidRPr="00772037">
        <w:rPr>
          <w:rFonts w:asciiTheme="majorHAnsi" w:hAnsiTheme="majorHAnsi" w:cstheme="majorHAnsi"/>
        </w:rPr>
        <w:t xml:space="preserve"> para </w:t>
      </w:r>
      <w:r w:rsidR="00FD7235" w:rsidRPr="00772037">
        <w:rPr>
          <w:rFonts w:asciiTheme="majorHAnsi" w:hAnsiTheme="majorHAnsi" w:cstheme="majorHAnsi"/>
        </w:rPr>
        <w:t>concentrar</w:t>
      </w:r>
      <w:r w:rsidR="00920C2C" w:rsidRPr="00772037">
        <w:rPr>
          <w:rFonts w:asciiTheme="majorHAnsi" w:hAnsiTheme="majorHAnsi" w:cstheme="majorHAnsi"/>
        </w:rPr>
        <w:t xml:space="preserve"> </w:t>
      </w:r>
      <w:r w:rsidR="00D33BF5" w:rsidRPr="00772037">
        <w:rPr>
          <w:rFonts w:asciiTheme="majorHAnsi" w:hAnsiTheme="majorHAnsi" w:cstheme="majorHAnsi"/>
        </w:rPr>
        <w:t xml:space="preserve">la </w:t>
      </w:r>
      <w:r w:rsidR="000E7B59">
        <w:rPr>
          <w:rFonts w:asciiTheme="majorHAnsi" w:hAnsiTheme="majorHAnsi" w:cstheme="majorHAnsi"/>
        </w:rPr>
        <w:t xml:space="preserve">información de la RMT, incluyendo la evidencia para el análisis y revisión de los indicadores seleccionados en 2021, es </w:t>
      </w:r>
      <w:r w:rsidR="00D33BF5" w:rsidRPr="00772037">
        <w:rPr>
          <w:rFonts w:asciiTheme="majorHAnsi" w:hAnsiTheme="majorHAnsi" w:cstheme="majorHAnsi"/>
        </w:rPr>
        <w:t xml:space="preserve">un acierto </w:t>
      </w:r>
      <w:r w:rsidR="002E68AA" w:rsidRPr="00772037">
        <w:rPr>
          <w:rFonts w:asciiTheme="majorHAnsi" w:hAnsiTheme="majorHAnsi" w:cstheme="majorHAnsi"/>
        </w:rPr>
        <w:t>que permitió</w:t>
      </w:r>
      <w:r w:rsidR="006821EF" w:rsidRPr="00772037">
        <w:rPr>
          <w:rFonts w:asciiTheme="majorHAnsi" w:hAnsiTheme="majorHAnsi" w:cstheme="majorHAnsi"/>
        </w:rPr>
        <w:t xml:space="preserve"> compartir la información </w:t>
      </w:r>
      <w:r w:rsidR="000E7B59">
        <w:rPr>
          <w:rFonts w:asciiTheme="majorHAnsi" w:hAnsiTheme="majorHAnsi" w:cstheme="majorHAnsi"/>
        </w:rPr>
        <w:t>entre</w:t>
      </w:r>
      <w:r w:rsidR="006821EF" w:rsidRPr="00772037">
        <w:rPr>
          <w:rFonts w:asciiTheme="majorHAnsi" w:hAnsiTheme="majorHAnsi" w:cstheme="majorHAnsi"/>
        </w:rPr>
        <w:t xml:space="preserve"> </w:t>
      </w:r>
      <w:r w:rsidR="000E7B59">
        <w:rPr>
          <w:rFonts w:asciiTheme="majorHAnsi" w:hAnsiTheme="majorHAnsi" w:cstheme="majorHAnsi"/>
        </w:rPr>
        <w:t xml:space="preserve">el Grupo Core y la consultora de manera </w:t>
      </w:r>
      <w:r w:rsidR="0004432E" w:rsidRPr="00772037">
        <w:rPr>
          <w:rFonts w:asciiTheme="majorHAnsi" w:hAnsiTheme="majorHAnsi" w:cstheme="majorHAnsi"/>
        </w:rPr>
        <w:t xml:space="preserve">eficiente, además de que </w:t>
      </w:r>
      <w:r w:rsidR="000E7B59">
        <w:rPr>
          <w:rFonts w:asciiTheme="majorHAnsi" w:hAnsiTheme="majorHAnsi" w:cstheme="majorHAnsi"/>
        </w:rPr>
        <w:t>sirve</w:t>
      </w:r>
      <w:r w:rsidR="0004432E" w:rsidRPr="00772037">
        <w:rPr>
          <w:rFonts w:asciiTheme="majorHAnsi" w:hAnsiTheme="majorHAnsi" w:cstheme="majorHAnsi"/>
        </w:rPr>
        <w:t xml:space="preserve"> como memoria </w:t>
      </w:r>
      <w:r w:rsidR="002E68AA" w:rsidRPr="00772037">
        <w:rPr>
          <w:rFonts w:asciiTheme="majorHAnsi" w:hAnsiTheme="majorHAnsi" w:cstheme="majorHAnsi"/>
        </w:rPr>
        <w:t xml:space="preserve">documental </w:t>
      </w:r>
      <w:r w:rsidR="0004432E" w:rsidRPr="00772037">
        <w:rPr>
          <w:rFonts w:asciiTheme="majorHAnsi" w:hAnsiTheme="majorHAnsi" w:cstheme="majorHAnsi"/>
        </w:rPr>
        <w:t>del ejercicio</w:t>
      </w:r>
      <w:r w:rsidR="000E7B59">
        <w:rPr>
          <w:rFonts w:asciiTheme="majorHAnsi" w:hAnsiTheme="majorHAnsi" w:cstheme="majorHAnsi"/>
        </w:rPr>
        <w:t xml:space="preserve"> para ser compartida con todos los grupos y mecanismos interagenciales.</w:t>
      </w:r>
    </w:p>
    <w:p w14:paraId="46BE3E66" w14:textId="5E3411B2" w:rsidR="00E27B11" w:rsidRPr="000E7B59" w:rsidRDefault="00CE2314" w:rsidP="00772037">
      <w:pPr>
        <w:spacing w:after="120"/>
        <w:rPr>
          <w:rFonts w:asciiTheme="majorHAnsi" w:hAnsiTheme="majorHAnsi" w:cstheme="majorHAnsi"/>
          <w:b/>
          <w:bCs/>
        </w:rPr>
      </w:pPr>
      <w:r w:rsidRPr="000E7B59">
        <w:rPr>
          <w:rFonts w:asciiTheme="majorHAnsi" w:hAnsiTheme="majorHAnsi" w:cstheme="majorHAnsi"/>
          <w:b/>
          <w:bCs/>
        </w:rPr>
        <w:t>Lecciones aprendidas</w:t>
      </w:r>
    </w:p>
    <w:p w14:paraId="2559CCA2" w14:textId="4C76F87B" w:rsidR="000E7B59" w:rsidRPr="00772037" w:rsidRDefault="000E7B59" w:rsidP="00D74AB5">
      <w:pPr>
        <w:pStyle w:val="Prrafodelista"/>
        <w:numPr>
          <w:ilvl w:val="0"/>
          <w:numId w:val="2"/>
        </w:numPr>
        <w:spacing w:after="120"/>
        <w:ind w:left="714" w:hanging="357"/>
        <w:contextualSpacing w:val="0"/>
        <w:jc w:val="both"/>
        <w:rPr>
          <w:rFonts w:asciiTheme="majorHAnsi" w:hAnsiTheme="majorHAnsi" w:cstheme="majorHAnsi"/>
        </w:rPr>
      </w:pPr>
      <w:r>
        <w:rPr>
          <w:rFonts w:asciiTheme="majorHAnsi" w:hAnsiTheme="majorHAnsi" w:cstheme="majorHAnsi"/>
        </w:rPr>
        <w:t xml:space="preserve">Los </w:t>
      </w:r>
      <w:r w:rsidRPr="00E604B5">
        <w:rPr>
          <w:rFonts w:asciiTheme="majorHAnsi" w:hAnsiTheme="majorHAnsi" w:cstheme="majorHAnsi"/>
          <w:b/>
          <w:bCs/>
        </w:rPr>
        <w:t>esfuerzos de socialización y posicionamiento del UNCT-SWAP</w:t>
      </w:r>
      <w:r>
        <w:rPr>
          <w:rFonts w:asciiTheme="majorHAnsi" w:hAnsiTheme="majorHAnsi" w:cstheme="majorHAnsi"/>
        </w:rPr>
        <w:t xml:space="preserve"> entre el personal y los mecanismsos interagenciales han sido insuficientes y se han centrado principalmente en los aspectos instrumentales de la herramienta. Es indispensable </w:t>
      </w:r>
      <w:r w:rsidR="003D1B2B">
        <w:rPr>
          <w:rFonts w:asciiTheme="majorHAnsi" w:hAnsiTheme="majorHAnsi" w:cstheme="majorHAnsi"/>
        </w:rPr>
        <w:t xml:space="preserve">pensar en una estrategia de socialización y comunicación interna orientada a </w:t>
      </w:r>
      <w:r>
        <w:rPr>
          <w:rFonts w:asciiTheme="majorHAnsi" w:hAnsiTheme="majorHAnsi" w:cstheme="majorHAnsi"/>
        </w:rPr>
        <w:t xml:space="preserve">mostrar el impacto y los beneficios </w:t>
      </w:r>
      <w:r w:rsidR="008E6945">
        <w:rPr>
          <w:rFonts w:asciiTheme="majorHAnsi" w:hAnsiTheme="majorHAnsi" w:cstheme="majorHAnsi"/>
        </w:rPr>
        <w:t xml:space="preserve">que el </w:t>
      </w:r>
      <w:r>
        <w:rPr>
          <w:rFonts w:asciiTheme="majorHAnsi" w:hAnsiTheme="majorHAnsi" w:cstheme="majorHAnsi"/>
        </w:rPr>
        <w:t xml:space="preserve">cumplimiento </w:t>
      </w:r>
      <w:r w:rsidR="008E6945">
        <w:rPr>
          <w:rFonts w:asciiTheme="majorHAnsi" w:hAnsiTheme="majorHAnsi" w:cstheme="majorHAnsi"/>
        </w:rPr>
        <w:t xml:space="preserve">efectivo </w:t>
      </w:r>
      <w:r>
        <w:rPr>
          <w:rFonts w:asciiTheme="majorHAnsi" w:hAnsiTheme="majorHAnsi" w:cstheme="majorHAnsi"/>
        </w:rPr>
        <w:t xml:space="preserve">del Plan de Acción tiene directamente en </w:t>
      </w:r>
      <w:r w:rsidR="003D1B2B">
        <w:rPr>
          <w:rFonts w:asciiTheme="majorHAnsi" w:hAnsiTheme="majorHAnsi" w:cstheme="majorHAnsi"/>
        </w:rPr>
        <w:t xml:space="preserve">el trabajo y bienestar de </w:t>
      </w:r>
      <w:r>
        <w:rPr>
          <w:rFonts w:asciiTheme="majorHAnsi" w:hAnsiTheme="majorHAnsi" w:cstheme="majorHAnsi"/>
        </w:rPr>
        <w:t>las personas</w:t>
      </w:r>
      <w:r w:rsidR="008E6945">
        <w:rPr>
          <w:rFonts w:asciiTheme="majorHAnsi" w:hAnsiTheme="majorHAnsi" w:cstheme="majorHAnsi"/>
        </w:rPr>
        <w:t xml:space="preserve">. Esto </w:t>
      </w:r>
      <w:r>
        <w:rPr>
          <w:rFonts w:asciiTheme="majorHAnsi" w:hAnsiTheme="majorHAnsi" w:cstheme="majorHAnsi"/>
        </w:rPr>
        <w:t>es particularmente relevante en la dimensión de cultura organizacional</w:t>
      </w:r>
      <w:r w:rsidR="003D1B2B">
        <w:rPr>
          <w:rFonts w:asciiTheme="majorHAnsi" w:hAnsiTheme="majorHAnsi" w:cstheme="majorHAnsi"/>
        </w:rPr>
        <w:t xml:space="preserve"> y capacidades de género.</w:t>
      </w:r>
    </w:p>
    <w:p w14:paraId="1001C859" w14:textId="77777777" w:rsidR="003D1B2B" w:rsidRPr="003D1B2B" w:rsidRDefault="003D1B2B" w:rsidP="003D1B2B">
      <w:pPr>
        <w:spacing w:after="120"/>
        <w:jc w:val="both"/>
        <w:rPr>
          <w:rFonts w:asciiTheme="majorHAnsi" w:hAnsiTheme="majorHAnsi" w:cstheme="majorHAnsi"/>
        </w:rPr>
      </w:pPr>
    </w:p>
    <w:p w14:paraId="2D6C1511" w14:textId="0B2765D9" w:rsidR="000E7B59" w:rsidRDefault="000E7B59" w:rsidP="00D74AB5">
      <w:pPr>
        <w:pStyle w:val="Prrafodelista"/>
        <w:numPr>
          <w:ilvl w:val="0"/>
          <w:numId w:val="2"/>
        </w:numPr>
        <w:spacing w:after="120"/>
        <w:ind w:left="714" w:hanging="357"/>
        <w:contextualSpacing w:val="0"/>
        <w:jc w:val="both"/>
        <w:rPr>
          <w:rFonts w:asciiTheme="majorHAnsi" w:hAnsiTheme="majorHAnsi" w:cstheme="majorHAnsi"/>
        </w:rPr>
      </w:pPr>
      <w:r w:rsidRPr="000E7B59">
        <w:rPr>
          <w:rFonts w:asciiTheme="majorHAnsi" w:hAnsiTheme="majorHAnsi" w:cstheme="majorHAnsi"/>
        </w:rPr>
        <w:t xml:space="preserve">La </w:t>
      </w:r>
      <w:r w:rsidRPr="00E604B5">
        <w:rPr>
          <w:rFonts w:asciiTheme="majorHAnsi" w:hAnsiTheme="majorHAnsi" w:cstheme="majorHAnsi"/>
          <w:b/>
          <w:bCs/>
        </w:rPr>
        <w:t>carga de trabajo y la falta de tiempo del personal</w:t>
      </w:r>
      <w:r w:rsidRPr="000E7B59">
        <w:rPr>
          <w:rFonts w:asciiTheme="majorHAnsi" w:hAnsiTheme="majorHAnsi" w:cstheme="majorHAnsi"/>
        </w:rPr>
        <w:t>, que es especialmente evidente en el último trimestre del año, limitó la participación de muchas agencias y mecanismos interagenciales convocados para integrar al GIM</w:t>
      </w:r>
      <w:r w:rsidR="003D1B2B">
        <w:rPr>
          <w:rFonts w:asciiTheme="majorHAnsi" w:hAnsiTheme="majorHAnsi" w:cstheme="majorHAnsi"/>
        </w:rPr>
        <w:t xml:space="preserve">, </w:t>
      </w:r>
      <w:r w:rsidRPr="000E7B59">
        <w:rPr>
          <w:rFonts w:asciiTheme="majorHAnsi" w:hAnsiTheme="majorHAnsi" w:cstheme="majorHAnsi"/>
        </w:rPr>
        <w:t>afectando ciertamente una apropiación más amplia de la RMT</w:t>
      </w:r>
      <w:r w:rsidR="003D1B2B">
        <w:rPr>
          <w:rFonts w:asciiTheme="majorHAnsi" w:hAnsiTheme="majorHAnsi" w:cstheme="majorHAnsi"/>
        </w:rPr>
        <w:t xml:space="preserve"> y sus resultados</w:t>
      </w:r>
      <w:r w:rsidRPr="000E7B59">
        <w:rPr>
          <w:rFonts w:asciiTheme="majorHAnsi" w:hAnsiTheme="majorHAnsi" w:cstheme="majorHAnsi"/>
        </w:rPr>
        <w:t xml:space="preserve">. </w:t>
      </w:r>
      <w:r>
        <w:rPr>
          <w:rFonts w:asciiTheme="majorHAnsi" w:hAnsiTheme="majorHAnsi" w:cstheme="majorHAnsi"/>
        </w:rPr>
        <w:t xml:space="preserve"> </w:t>
      </w:r>
      <w:r w:rsidRPr="00772037">
        <w:rPr>
          <w:rFonts w:asciiTheme="majorHAnsi" w:hAnsiTheme="majorHAnsi" w:cstheme="majorHAnsi"/>
        </w:rPr>
        <w:t>Este es un aspecto a mejorar en un siguiente ejercicio</w:t>
      </w:r>
      <w:r>
        <w:rPr>
          <w:rFonts w:asciiTheme="majorHAnsi" w:hAnsiTheme="majorHAnsi" w:cstheme="majorHAnsi"/>
        </w:rPr>
        <w:t>.</w:t>
      </w:r>
    </w:p>
    <w:p w14:paraId="017ADD2C" w14:textId="653682B9" w:rsidR="008E6945" w:rsidRPr="008E6945" w:rsidRDefault="008E6945" w:rsidP="00D74AB5">
      <w:pPr>
        <w:pStyle w:val="Prrafodelista"/>
        <w:numPr>
          <w:ilvl w:val="0"/>
          <w:numId w:val="2"/>
        </w:numPr>
        <w:spacing w:after="120"/>
        <w:jc w:val="both"/>
        <w:rPr>
          <w:rFonts w:asciiTheme="majorHAnsi" w:hAnsiTheme="majorHAnsi" w:cstheme="majorHAnsi"/>
        </w:rPr>
      </w:pPr>
      <w:r>
        <w:rPr>
          <w:rFonts w:asciiTheme="majorHAnsi" w:hAnsiTheme="majorHAnsi" w:cstheme="majorHAnsi"/>
        </w:rPr>
        <w:t xml:space="preserve">Es indispensable que los grupos y mecanismos interagenciales con responsabilidades en el Plan de Acción realicen </w:t>
      </w:r>
      <w:r w:rsidR="00E604B5">
        <w:rPr>
          <w:rFonts w:asciiTheme="majorHAnsi" w:hAnsiTheme="majorHAnsi" w:cstheme="majorHAnsi"/>
        </w:rPr>
        <w:t xml:space="preserve">al menos un </w:t>
      </w:r>
      <w:r w:rsidR="00E604B5" w:rsidRPr="00E604B5">
        <w:rPr>
          <w:rFonts w:asciiTheme="majorHAnsi" w:hAnsiTheme="majorHAnsi" w:cstheme="majorHAnsi"/>
          <w:b/>
          <w:bCs/>
        </w:rPr>
        <w:t xml:space="preserve">ejercicio al año </w:t>
      </w:r>
      <w:r w:rsidRPr="00E604B5">
        <w:rPr>
          <w:rFonts w:asciiTheme="majorHAnsi" w:hAnsiTheme="majorHAnsi" w:cstheme="majorHAnsi"/>
          <w:b/>
          <w:bCs/>
        </w:rPr>
        <w:t>de intercambio de ideas, lecciones aprendidas y buenas prácticas en materia de implementación y seguimiento</w:t>
      </w:r>
      <w:r w:rsidR="00E604B5" w:rsidRPr="00E604B5">
        <w:rPr>
          <w:rFonts w:asciiTheme="majorHAnsi" w:hAnsiTheme="majorHAnsi" w:cstheme="majorHAnsi"/>
          <w:b/>
          <w:bCs/>
        </w:rPr>
        <w:t xml:space="preserve"> del UNCT-SWAP</w:t>
      </w:r>
      <w:r w:rsidRPr="00E604B5">
        <w:rPr>
          <w:rFonts w:asciiTheme="majorHAnsi" w:hAnsiTheme="majorHAnsi" w:cstheme="majorHAnsi"/>
          <w:b/>
          <w:bCs/>
        </w:rPr>
        <w:t>,</w:t>
      </w:r>
      <w:r>
        <w:rPr>
          <w:rFonts w:asciiTheme="majorHAnsi" w:hAnsiTheme="majorHAnsi" w:cstheme="majorHAnsi"/>
        </w:rPr>
        <w:t xml:space="preserve"> a fin de tomar acciones correctivas</w:t>
      </w:r>
      <w:r w:rsidR="00E604B5">
        <w:rPr>
          <w:rFonts w:asciiTheme="majorHAnsi" w:hAnsiTheme="majorHAnsi" w:cstheme="majorHAnsi"/>
        </w:rPr>
        <w:t xml:space="preserve"> en el corto y mediano plazo.</w:t>
      </w:r>
      <w:r>
        <w:rPr>
          <w:rFonts w:asciiTheme="majorHAnsi" w:hAnsiTheme="majorHAnsi" w:cstheme="majorHAnsi"/>
        </w:rPr>
        <w:t xml:space="preserve"> </w:t>
      </w:r>
    </w:p>
    <w:p w14:paraId="1BB28E82" w14:textId="50609C52" w:rsidR="001B6263" w:rsidRPr="003D1B2B" w:rsidRDefault="001B6263" w:rsidP="003D1B2B">
      <w:pPr>
        <w:spacing w:after="120"/>
        <w:ind w:left="357"/>
        <w:jc w:val="both"/>
        <w:rPr>
          <w:rFonts w:asciiTheme="majorHAnsi" w:hAnsiTheme="majorHAnsi" w:cstheme="majorHAnsi"/>
        </w:rPr>
      </w:pPr>
    </w:p>
    <w:sectPr w:rsidR="001B6263" w:rsidRPr="003D1B2B" w:rsidSect="00874B74">
      <w:footerReference w:type="even" r:id="rId50"/>
      <w:footerReference w:type="default" r:id="rId5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72CC9C" w14:textId="77777777" w:rsidR="00100834" w:rsidRDefault="00100834" w:rsidP="0017003C">
      <w:r>
        <w:separator/>
      </w:r>
    </w:p>
  </w:endnote>
  <w:endnote w:type="continuationSeparator" w:id="0">
    <w:p w14:paraId="537AC508" w14:textId="77777777" w:rsidR="00100834" w:rsidRDefault="00100834" w:rsidP="00170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Arial Nova Cond">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939EC4" w14:textId="77777777" w:rsidR="00564C1E" w:rsidRDefault="00564C1E" w:rsidP="002B0A4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1F6F14A" w14:textId="77777777" w:rsidR="00564C1E" w:rsidRDefault="00564C1E" w:rsidP="002B0A4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3861A2" w14:textId="297EBA83" w:rsidR="00564C1E" w:rsidRPr="00FC7AD9" w:rsidRDefault="00564C1E" w:rsidP="002B0A46">
    <w:pPr>
      <w:pStyle w:val="Piedepgina"/>
      <w:framePr w:wrap="around" w:vAnchor="text" w:hAnchor="margin" w:xAlign="right" w:y="1"/>
      <w:rPr>
        <w:rStyle w:val="Nmerodepgina"/>
        <w:rFonts w:asciiTheme="majorHAnsi" w:hAnsiTheme="majorHAnsi" w:cstheme="majorHAnsi"/>
        <w:sz w:val="20"/>
        <w:szCs w:val="20"/>
      </w:rPr>
    </w:pPr>
    <w:r w:rsidRPr="00FC7AD9">
      <w:rPr>
        <w:rStyle w:val="Nmerodepgina"/>
        <w:rFonts w:asciiTheme="majorHAnsi" w:hAnsiTheme="majorHAnsi" w:cstheme="majorHAnsi"/>
        <w:sz w:val="20"/>
        <w:szCs w:val="20"/>
      </w:rPr>
      <w:fldChar w:fldCharType="begin"/>
    </w:r>
    <w:r w:rsidRPr="00FC7AD9">
      <w:rPr>
        <w:rStyle w:val="Nmerodepgina"/>
        <w:rFonts w:asciiTheme="majorHAnsi" w:hAnsiTheme="majorHAnsi" w:cstheme="majorHAnsi"/>
        <w:sz w:val="20"/>
        <w:szCs w:val="20"/>
      </w:rPr>
      <w:instrText xml:space="preserve">PAGE  </w:instrText>
    </w:r>
    <w:r w:rsidRPr="00FC7AD9">
      <w:rPr>
        <w:rStyle w:val="Nmerodepgina"/>
        <w:rFonts w:asciiTheme="majorHAnsi" w:hAnsiTheme="majorHAnsi" w:cstheme="majorHAnsi"/>
        <w:sz w:val="20"/>
        <w:szCs w:val="20"/>
      </w:rPr>
      <w:fldChar w:fldCharType="separate"/>
    </w:r>
    <w:r w:rsidR="002C4350">
      <w:rPr>
        <w:rStyle w:val="Nmerodepgina"/>
        <w:rFonts w:asciiTheme="majorHAnsi" w:hAnsiTheme="majorHAnsi" w:cstheme="majorHAnsi"/>
        <w:noProof/>
        <w:sz w:val="20"/>
        <w:szCs w:val="20"/>
      </w:rPr>
      <w:t>1</w:t>
    </w:r>
    <w:r w:rsidRPr="00FC7AD9">
      <w:rPr>
        <w:rStyle w:val="Nmerodepgina"/>
        <w:rFonts w:asciiTheme="majorHAnsi" w:hAnsiTheme="majorHAnsi" w:cstheme="majorHAnsi"/>
        <w:sz w:val="20"/>
        <w:szCs w:val="20"/>
      </w:rPr>
      <w:fldChar w:fldCharType="end"/>
    </w:r>
  </w:p>
  <w:p w14:paraId="6FC741E8" w14:textId="77777777" w:rsidR="00564C1E" w:rsidRDefault="00564C1E" w:rsidP="002B0A46">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723B01" w14:textId="77777777" w:rsidR="00100834" w:rsidRDefault="00100834" w:rsidP="0017003C">
      <w:r>
        <w:separator/>
      </w:r>
    </w:p>
  </w:footnote>
  <w:footnote w:type="continuationSeparator" w:id="0">
    <w:p w14:paraId="3E8784F1" w14:textId="77777777" w:rsidR="00100834" w:rsidRDefault="00100834" w:rsidP="0017003C">
      <w:r>
        <w:continuationSeparator/>
      </w:r>
    </w:p>
  </w:footnote>
  <w:footnote w:id="1">
    <w:p w14:paraId="160AC1B6" w14:textId="77777777" w:rsidR="00377C3D" w:rsidRPr="00377C3D" w:rsidRDefault="00377C3D" w:rsidP="00377C3D">
      <w:pPr>
        <w:pStyle w:val="Textonotapie"/>
        <w:rPr>
          <w:rFonts w:asciiTheme="majorHAnsi" w:hAnsiTheme="majorHAnsi" w:cstheme="majorHAnsi"/>
          <w:sz w:val="16"/>
          <w:szCs w:val="16"/>
          <w:lang w:val="en-US"/>
        </w:rPr>
      </w:pPr>
      <w:r w:rsidRPr="00377C3D">
        <w:rPr>
          <w:rStyle w:val="Refdenotaalpie"/>
          <w:rFonts w:asciiTheme="majorHAnsi" w:hAnsiTheme="majorHAnsi" w:cstheme="majorHAnsi"/>
          <w:sz w:val="16"/>
          <w:szCs w:val="16"/>
        </w:rPr>
        <w:footnoteRef/>
      </w:r>
      <w:r w:rsidRPr="00377C3D">
        <w:rPr>
          <w:rFonts w:asciiTheme="majorHAnsi" w:hAnsiTheme="majorHAnsi" w:cstheme="majorHAnsi"/>
          <w:sz w:val="16"/>
          <w:szCs w:val="16"/>
          <w:lang w:val="en-US"/>
        </w:rPr>
        <w:t xml:space="preserve"> </w:t>
      </w:r>
      <w:r w:rsidRPr="00772037">
        <w:rPr>
          <w:rFonts w:asciiTheme="majorHAnsi" w:hAnsiTheme="majorHAnsi" w:cstheme="majorHAnsi"/>
          <w:sz w:val="16"/>
          <w:szCs w:val="16"/>
          <w:lang w:val="en-US"/>
        </w:rPr>
        <w:t xml:space="preserve"> </w:t>
      </w:r>
      <w:r w:rsidRPr="00377C3D">
        <w:rPr>
          <w:rFonts w:asciiTheme="majorHAnsi" w:hAnsiTheme="majorHAnsi" w:cstheme="majorHAnsi"/>
          <w:sz w:val="16"/>
          <w:szCs w:val="16"/>
          <w:lang w:val="en-US"/>
        </w:rPr>
        <w:t xml:space="preserve">UNCT-SWAP Gender Equality Scorecard, </w:t>
      </w:r>
      <w:r w:rsidRPr="00377C3D">
        <w:rPr>
          <w:rFonts w:asciiTheme="majorHAnsi" w:hAnsiTheme="majorHAnsi" w:cstheme="majorHAnsi"/>
          <w:i/>
          <w:iCs/>
          <w:sz w:val="16"/>
          <w:szCs w:val="16"/>
          <w:lang w:val="en-US"/>
        </w:rPr>
        <w:t>Annual progress reporting guidance</w:t>
      </w:r>
      <w:r w:rsidRPr="00377C3D">
        <w:rPr>
          <w:rFonts w:asciiTheme="majorHAnsi" w:hAnsiTheme="majorHAnsi" w:cstheme="majorHAnsi"/>
          <w:sz w:val="16"/>
          <w:szCs w:val="16"/>
          <w:lang w:val="en-US"/>
        </w:rPr>
        <w:t xml:space="preserve">, October 2021; </w:t>
      </w:r>
    </w:p>
  </w:footnote>
  <w:footnote w:id="2">
    <w:p w14:paraId="71A506EC" w14:textId="77777777" w:rsidR="00A80645" w:rsidRPr="005B4862" w:rsidRDefault="00A80645" w:rsidP="00A80645">
      <w:pPr>
        <w:pStyle w:val="Textonotapie"/>
        <w:rPr>
          <w:rFonts w:asciiTheme="majorHAnsi" w:hAnsiTheme="majorHAnsi"/>
          <w:sz w:val="18"/>
          <w:szCs w:val="18"/>
          <w:lang w:val="en-US"/>
        </w:rPr>
      </w:pPr>
      <w:r w:rsidRPr="00377C3D">
        <w:rPr>
          <w:rStyle w:val="Refdenotaalpie"/>
          <w:rFonts w:asciiTheme="majorHAnsi" w:hAnsiTheme="majorHAnsi" w:cstheme="majorHAnsi"/>
          <w:sz w:val="16"/>
          <w:szCs w:val="16"/>
        </w:rPr>
        <w:footnoteRef/>
      </w:r>
      <w:r w:rsidRPr="00377C3D">
        <w:rPr>
          <w:rFonts w:asciiTheme="majorHAnsi" w:hAnsiTheme="majorHAnsi" w:cstheme="majorHAnsi"/>
          <w:sz w:val="16"/>
          <w:szCs w:val="16"/>
          <w:lang w:val="en-US"/>
        </w:rPr>
        <w:t xml:space="preserve"> UNSDG, </w:t>
      </w:r>
      <w:r w:rsidRPr="00377C3D">
        <w:rPr>
          <w:rFonts w:asciiTheme="majorHAnsi" w:hAnsiTheme="majorHAnsi" w:cstheme="majorHAnsi"/>
          <w:i/>
          <w:sz w:val="16"/>
          <w:szCs w:val="16"/>
          <w:lang w:val="en-US"/>
        </w:rPr>
        <w:t>UNCT-SWAP Gender Equality Scorecard</w:t>
      </w:r>
      <w:r w:rsidRPr="00377C3D">
        <w:rPr>
          <w:rFonts w:asciiTheme="majorHAnsi" w:hAnsiTheme="majorHAnsi" w:cstheme="majorHAnsi"/>
          <w:sz w:val="16"/>
          <w:szCs w:val="16"/>
          <w:lang w:val="en-US"/>
        </w:rPr>
        <w:t xml:space="preserve"> . </w:t>
      </w:r>
      <w:r w:rsidRPr="00377C3D">
        <w:rPr>
          <w:rFonts w:asciiTheme="majorHAnsi" w:hAnsiTheme="majorHAnsi" w:cstheme="majorHAnsi"/>
          <w:i/>
          <w:sz w:val="16"/>
          <w:szCs w:val="16"/>
          <w:lang w:val="en-US"/>
        </w:rPr>
        <w:t>Performance indicators for gender equality and the empowerment of women for United Nations Country Teams. 2018  Framework &amp; Technical Guidance.</w:t>
      </w:r>
      <w:r w:rsidRPr="005B4862">
        <w:rPr>
          <w:rFonts w:asciiTheme="majorHAnsi" w:hAnsiTheme="majorHAnsi"/>
          <w:i/>
          <w:sz w:val="18"/>
          <w:szCs w:val="18"/>
          <w:lang w:val="en-US"/>
        </w:rPr>
        <w:t xml:space="preserve"> </w:t>
      </w:r>
    </w:p>
  </w:footnote>
  <w:footnote w:id="3">
    <w:p w14:paraId="44F87553" w14:textId="77777777" w:rsidR="000102C4" w:rsidRPr="00A80645" w:rsidRDefault="000102C4" w:rsidP="000102C4">
      <w:pPr>
        <w:pStyle w:val="Textonotapie"/>
        <w:rPr>
          <w:rFonts w:ascii="Calibri" w:hAnsi="Calibri" w:cs="Calibri"/>
          <w:sz w:val="18"/>
          <w:szCs w:val="18"/>
          <w:lang w:val="en-US"/>
        </w:rPr>
      </w:pPr>
      <w:r w:rsidRPr="00A80645">
        <w:rPr>
          <w:rStyle w:val="Refdenotaalpie"/>
          <w:rFonts w:ascii="Calibri" w:hAnsi="Calibri" w:cs="Calibri"/>
          <w:sz w:val="18"/>
          <w:szCs w:val="18"/>
        </w:rPr>
        <w:footnoteRef/>
      </w:r>
      <w:r w:rsidRPr="00A80645">
        <w:rPr>
          <w:rFonts w:ascii="Calibri" w:hAnsi="Calibri" w:cs="Calibri"/>
          <w:sz w:val="18"/>
          <w:szCs w:val="18"/>
          <w:lang w:val="en-US"/>
        </w:rPr>
        <w:t xml:space="preserve"> </w:t>
      </w:r>
      <w:r w:rsidRPr="00A80645">
        <w:rPr>
          <w:rFonts w:ascii="Calibri" w:eastAsia="Calibri" w:hAnsi="Calibri" w:cs="Calibri"/>
          <w:sz w:val="18"/>
          <w:szCs w:val="18"/>
          <w:lang w:val="en-US"/>
        </w:rPr>
        <w:t xml:space="preserve">UNDSS, </w:t>
      </w:r>
      <w:r w:rsidRPr="00A80645">
        <w:rPr>
          <w:rFonts w:ascii="Calibri" w:eastAsia="Calibri" w:hAnsi="Calibri" w:cs="Calibri"/>
          <w:i/>
          <w:iCs/>
          <w:sz w:val="18"/>
          <w:szCs w:val="18"/>
          <w:lang w:val="en-US"/>
        </w:rPr>
        <w:t>National and international staff member and eligible dependent staff list. Promedio anual de 2020</w:t>
      </w:r>
    </w:p>
  </w:footnote>
  <w:footnote w:id="4">
    <w:p w14:paraId="0750DC72" w14:textId="77777777" w:rsidR="00FC7AD9" w:rsidRPr="009A1E62" w:rsidRDefault="00FC7AD9" w:rsidP="00FC7AD9">
      <w:pPr>
        <w:pStyle w:val="Textonotapie"/>
        <w:rPr>
          <w:rFonts w:ascii="Calibri" w:hAnsi="Calibri" w:cs="Calibri"/>
          <w:sz w:val="16"/>
          <w:szCs w:val="16"/>
          <w:lang w:val="en-US"/>
        </w:rPr>
      </w:pPr>
      <w:r w:rsidRPr="00127F2F">
        <w:rPr>
          <w:rStyle w:val="Refdenotaalpie"/>
          <w:rFonts w:ascii="Calibri" w:hAnsi="Calibri" w:cs="Calibri"/>
          <w:sz w:val="16"/>
          <w:szCs w:val="16"/>
        </w:rPr>
        <w:footnoteRef/>
      </w:r>
      <w:r w:rsidRPr="007600BD">
        <w:rPr>
          <w:rFonts w:ascii="Calibri" w:hAnsi="Calibri" w:cs="Calibri"/>
          <w:sz w:val="16"/>
          <w:szCs w:val="16"/>
          <w:lang w:val="en-US"/>
        </w:rPr>
        <w:t xml:space="preserve"> UNSDG, </w:t>
      </w:r>
      <w:r w:rsidRPr="007600BD">
        <w:rPr>
          <w:rFonts w:ascii="Calibri" w:hAnsi="Calibri" w:cs="Calibri"/>
          <w:i/>
          <w:iCs/>
          <w:sz w:val="16"/>
          <w:szCs w:val="16"/>
          <w:lang w:val="en-US"/>
        </w:rPr>
        <w:t xml:space="preserve">Guidance-Note. </w:t>
      </w:r>
      <w:r w:rsidRPr="009A1E62">
        <w:rPr>
          <w:rFonts w:ascii="Calibri" w:hAnsi="Calibri" w:cs="Calibri"/>
          <w:i/>
          <w:iCs/>
          <w:sz w:val="16"/>
          <w:szCs w:val="16"/>
          <w:lang w:val="en-US"/>
        </w:rPr>
        <w:t>Gender Equality Marker, 2013, P. 3</w:t>
      </w:r>
    </w:p>
  </w:footnote>
  <w:footnote w:id="5">
    <w:p w14:paraId="4425A3CE" w14:textId="77777777" w:rsidR="00FC7AD9" w:rsidRPr="00EE1B4F" w:rsidRDefault="00FC7AD9" w:rsidP="00FC7AD9">
      <w:pPr>
        <w:pStyle w:val="Textonotapie"/>
        <w:rPr>
          <w:lang w:val="en-US"/>
        </w:rPr>
      </w:pPr>
      <w:r w:rsidRPr="00A80645">
        <w:rPr>
          <w:rStyle w:val="Refdenotaalpie"/>
          <w:sz w:val="20"/>
          <w:szCs w:val="20"/>
        </w:rPr>
        <w:footnoteRef/>
      </w:r>
      <w:r w:rsidRPr="00A80645">
        <w:rPr>
          <w:sz w:val="20"/>
          <w:szCs w:val="20"/>
          <w:lang w:val="en-US"/>
        </w:rPr>
        <w:t xml:space="preserve"> </w:t>
      </w:r>
      <w:r w:rsidRPr="00A80645">
        <w:rPr>
          <w:rFonts w:ascii="Calibri" w:hAnsi="Calibri" w:cs="Calibri"/>
          <w:sz w:val="18"/>
          <w:szCs w:val="18"/>
          <w:lang w:val="en-US"/>
        </w:rPr>
        <w:t>ONU Mujeres, OIT, UNESCO, OPS/OMS, UNFPA, PNUD, UNODC, OIM, ACNUR, OCR, ONU-HABITAT, UNICEF, FAO, ONU DH, CINU, CEPAL, PNUMA, ONUDI, UNOPS, OACI.</w:t>
      </w:r>
    </w:p>
  </w:footnote>
  <w:footnote w:id="6">
    <w:p w14:paraId="0F63CB6C" w14:textId="2A7B1E37" w:rsidR="00A94EB7" w:rsidRPr="00A94EB7" w:rsidRDefault="00A94EB7">
      <w:pPr>
        <w:pStyle w:val="Textonotapie"/>
        <w:rPr>
          <w:rFonts w:ascii="Calibri" w:hAnsi="Calibri" w:cs="Calibri"/>
          <w:sz w:val="16"/>
          <w:szCs w:val="16"/>
        </w:rPr>
      </w:pPr>
      <w:r w:rsidRPr="00A94EB7">
        <w:rPr>
          <w:rStyle w:val="Refdenotaalpie"/>
          <w:rFonts w:ascii="Calibri" w:hAnsi="Calibri" w:cs="Calibri"/>
          <w:sz w:val="16"/>
          <w:szCs w:val="16"/>
        </w:rPr>
        <w:footnoteRef/>
      </w:r>
      <w:r w:rsidRPr="00A94EB7">
        <w:rPr>
          <w:rFonts w:ascii="Calibri" w:hAnsi="Calibri" w:cs="Calibri"/>
          <w:sz w:val="16"/>
          <w:szCs w:val="16"/>
        </w:rPr>
        <w:t xml:space="preserve"> El Anexo II. Revisión del Plan de Acción por parte del GIM contiene</w:t>
      </w:r>
      <w:r>
        <w:rPr>
          <w:rFonts w:ascii="Calibri" w:hAnsi="Calibri" w:cs="Calibri"/>
          <w:sz w:val="16"/>
          <w:szCs w:val="16"/>
        </w:rPr>
        <w:t xml:space="preserve"> la explicación de los ajustes planteados.</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54208"/>
    <w:multiLevelType w:val="hybridMultilevel"/>
    <w:tmpl w:val="B11C2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0234801"/>
    <w:multiLevelType w:val="hybridMultilevel"/>
    <w:tmpl w:val="3CA039D6"/>
    <w:lvl w:ilvl="0" w:tplc="57B88E62">
      <w:start w:val="1"/>
      <w:numFmt w:val="bullet"/>
      <w:lvlText w:val=""/>
      <w:lvlJc w:val="left"/>
      <w:pPr>
        <w:ind w:left="768" w:hanging="360"/>
      </w:pPr>
      <w:rPr>
        <w:rFonts w:ascii="Wingdings" w:hAnsi="Wingdings" w:hint="default"/>
        <w:color w:val="00B0F0"/>
      </w:rPr>
    </w:lvl>
    <w:lvl w:ilvl="1" w:tplc="080A0003" w:tentative="1">
      <w:start w:val="1"/>
      <w:numFmt w:val="bullet"/>
      <w:lvlText w:val="o"/>
      <w:lvlJc w:val="left"/>
      <w:pPr>
        <w:ind w:left="1488" w:hanging="360"/>
      </w:pPr>
      <w:rPr>
        <w:rFonts w:ascii="Courier New" w:hAnsi="Courier New" w:cs="Courier New" w:hint="default"/>
      </w:rPr>
    </w:lvl>
    <w:lvl w:ilvl="2" w:tplc="080A0005" w:tentative="1">
      <w:start w:val="1"/>
      <w:numFmt w:val="bullet"/>
      <w:lvlText w:val=""/>
      <w:lvlJc w:val="left"/>
      <w:pPr>
        <w:ind w:left="2208" w:hanging="360"/>
      </w:pPr>
      <w:rPr>
        <w:rFonts w:ascii="Wingdings" w:hAnsi="Wingdings" w:hint="default"/>
      </w:rPr>
    </w:lvl>
    <w:lvl w:ilvl="3" w:tplc="080A0001" w:tentative="1">
      <w:start w:val="1"/>
      <w:numFmt w:val="bullet"/>
      <w:lvlText w:val=""/>
      <w:lvlJc w:val="left"/>
      <w:pPr>
        <w:ind w:left="2928" w:hanging="360"/>
      </w:pPr>
      <w:rPr>
        <w:rFonts w:ascii="Symbol" w:hAnsi="Symbol" w:hint="default"/>
      </w:rPr>
    </w:lvl>
    <w:lvl w:ilvl="4" w:tplc="080A0003" w:tentative="1">
      <w:start w:val="1"/>
      <w:numFmt w:val="bullet"/>
      <w:lvlText w:val="o"/>
      <w:lvlJc w:val="left"/>
      <w:pPr>
        <w:ind w:left="3648" w:hanging="360"/>
      </w:pPr>
      <w:rPr>
        <w:rFonts w:ascii="Courier New" w:hAnsi="Courier New" w:cs="Courier New" w:hint="default"/>
      </w:rPr>
    </w:lvl>
    <w:lvl w:ilvl="5" w:tplc="080A0005" w:tentative="1">
      <w:start w:val="1"/>
      <w:numFmt w:val="bullet"/>
      <w:lvlText w:val=""/>
      <w:lvlJc w:val="left"/>
      <w:pPr>
        <w:ind w:left="4368" w:hanging="360"/>
      </w:pPr>
      <w:rPr>
        <w:rFonts w:ascii="Wingdings" w:hAnsi="Wingdings" w:hint="default"/>
      </w:rPr>
    </w:lvl>
    <w:lvl w:ilvl="6" w:tplc="080A0001" w:tentative="1">
      <w:start w:val="1"/>
      <w:numFmt w:val="bullet"/>
      <w:lvlText w:val=""/>
      <w:lvlJc w:val="left"/>
      <w:pPr>
        <w:ind w:left="5088" w:hanging="360"/>
      </w:pPr>
      <w:rPr>
        <w:rFonts w:ascii="Symbol" w:hAnsi="Symbol" w:hint="default"/>
      </w:rPr>
    </w:lvl>
    <w:lvl w:ilvl="7" w:tplc="080A0003" w:tentative="1">
      <w:start w:val="1"/>
      <w:numFmt w:val="bullet"/>
      <w:lvlText w:val="o"/>
      <w:lvlJc w:val="left"/>
      <w:pPr>
        <w:ind w:left="5808" w:hanging="360"/>
      </w:pPr>
      <w:rPr>
        <w:rFonts w:ascii="Courier New" w:hAnsi="Courier New" w:cs="Courier New" w:hint="default"/>
      </w:rPr>
    </w:lvl>
    <w:lvl w:ilvl="8" w:tplc="080A0005" w:tentative="1">
      <w:start w:val="1"/>
      <w:numFmt w:val="bullet"/>
      <w:lvlText w:val=""/>
      <w:lvlJc w:val="left"/>
      <w:pPr>
        <w:ind w:left="6528" w:hanging="360"/>
      </w:pPr>
      <w:rPr>
        <w:rFonts w:ascii="Wingdings" w:hAnsi="Wingdings" w:hint="default"/>
      </w:rPr>
    </w:lvl>
  </w:abstractNum>
  <w:abstractNum w:abstractNumId="2" w15:restartNumberingAfterBreak="0">
    <w:nsid w:val="105D0605"/>
    <w:multiLevelType w:val="hybridMultilevel"/>
    <w:tmpl w:val="DF0EB6F0"/>
    <w:lvl w:ilvl="0" w:tplc="FFFFFFFF">
      <w:start w:val="1"/>
      <w:numFmt w:val="bullet"/>
      <w:lvlText w:val="§"/>
      <w:lvlJc w:val="left"/>
      <w:pPr>
        <w:tabs>
          <w:tab w:val="num" w:pos="720"/>
        </w:tabs>
        <w:ind w:left="720" w:hanging="360"/>
      </w:pPr>
      <w:rPr>
        <w:rFonts w:ascii="Wingdings" w:hAnsi="Wingdings" w:hint="default"/>
      </w:rPr>
    </w:lvl>
    <w:lvl w:ilvl="1" w:tplc="ABA8D932">
      <w:start w:val="1"/>
      <w:numFmt w:val="bullet"/>
      <w:lvlText w:val=""/>
      <w:lvlJc w:val="left"/>
      <w:pPr>
        <w:ind w:left="720" w:hanging="360"/>
      </w:pPr>
      <w:rPr>
        <w:rFonts w:ascii="Wingdings" w:hAnsi="Wingdings" w:hint="default"/>
        <w:color w:val="00B0F0"/>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D77026"/>
    <w:multiLevelType w:val="hybridMultilevel"/>
    <w:tmpl w:val="43E636E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16394143"/>
    <w:multiLevelType w:val="hybridMultilevel"/>
    <w:tmpl w:val="D576CAB2"/>
    <w:lvl w:ilvl="0" w:tplc="57B88E62">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96844BF"/>
    <w:multiLevelType w:val="hybridMultilevel"/>
    <w:tmpl w:val="3CF85962"/>
    <w:lvl w:ilvl="0" w:tplc="57B88E62">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DEE2DDE"/>
    <w:multiLevelType w:val="hybridMultilevel"/>
    <w:tmpl w:val="C1406276"/>
    <w:lvl w:ilvl="0" w:tplc="080A0005">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EE9619E"/>
    <w:multiLevelType w:val="hybridMultilevel"/>
    <w:tmpl w:val="7520BD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1A53F0C"/>
    <w:multiLevelType w:val="hybridMultilevel"/>
    <w:tmpl w:val="62E08BF8"/>
    <w:lvl w:ilvl="0" w:tplc="2E560A56">
      <w:start w:val="1"/>
      <w:numFmt w:val="bullet"/>
      <w:lvlText w:val="§"/>
      <w:lvlJc w:val="left"/>
      <w:pPr>
        <w:tabs>
          <w:tab w:val="num" w:pos="720"/>
        </w:tabs>
        <w:ind w:left="720" w:hanging="360"/>
      </w:pPr>
      <w:rPr>
        <w:rFonts w:ascii="Wingdings" w:hAnsi="Wingdings" w:hint="default"/>
        <w:color w:val="00B0F0"/>
      </w:rPr>
    </w:lvl>
    <w:lvl w:ilvl="1" w:tplc="080A0005">
      <w:start w:val="1"/>
      <w:numFmt w:val="bullet"/>
      <w:lvlText w:val=""/>
      <w:lvlJc w:val="left"/>
      <w:pPr>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A3B23E1"/>
    <w:multiLevelType w:val="hybridMultilevel"/>
    <w:tmpl w:val="BD60B7E6"/>
    <w:lvl w:ilvl="0" w:tplc="9C643B54">
      <w:start w:val="1"/>
      <w:numFmt w:val="bullet"/>
      <w:lvlText w:val=""/>
      <w:lvlJc w:val="left"/>
      <w:pPr>
        <w:ind w:left="720" w:hanging="360"/>
      </w:pPr>
      <w:rPr>
        <w:rFonts w:ascii="Wingdings" w:hAnsi="Wingdings" w:hint="default"/>
        <w:color w:val="00B0F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31C5438"/>
    <w:multiLevelType w:val="hybridMultilevel"/>
    <w:tmpl w:val="60D0A766"/>
    <w:lvl w:ilvl="0" w:tplc="6D8AD58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60158E7"/>
    <w:multiLevelType w:val="hybridMultilevel"/>
    <w:tmpl w:val="50683CCC"/>
    <w:lvl w:ilvl="0" w:tplc="5F942AC6">
      <w:start w:val="1"/>
      <w:numFmt w:val="upperLetter"/>
      <w:lvlText w:val="%1)"/>
      <w:lvlJc w:val="left"/>
      <w:pPr>
        <w:ind w:left="360" w:hanging="360"/>
      </w:pPr>
      <w:rPr>
        <w:rFonts w:hint="default"/>
        <w:sz w:val="21"/>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46673130"/>
    <w:multiLevelType w:val="hybridMultilevel"/>
    <w:tmpl w:val="51C0A9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ECE70A2"/>
    <w:multiLevelType w:val="hybridMultilevel"/>
    <w:tmpl w:val="1CF40C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8D23976"/>
    <w:multiLevelType w:val="hybridMultilevel"/>
    <w:tmpl w:val="554E22F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15:restartNumberingAfterBreak="0">
    <w:nsid w:val="5CA27CA2"/>
    <w:multiLevelType w:val="hybridMultilevel"/>
    <w:tmpl w:val="3976CD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D6B255C"/>
    <w:multiLevelType w:val="hybridMultilevel"/>
    <w:tmpl w:val="DCC4D2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41D75A5"/>
    <w:multiLevelType w:val="hybridMultilevel"/>
    <w:tmpl w:val="E2C68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4DE66F6"/>
    <w:multiLevelType w:val="hybridMultilevel"/>
    <w:tmpl w:val="25DE36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62B45F0"/>
    <w:multiLevelType w:val="hybridMultilevel"/>
    <w:tmpl w:val="D5FA7F5E"/>
    <w:lvl w:ilvl="0" w:tplc="B192D730">
      <w:start w:val="1"/>
      <w:numFmt w:val="upperLetter"/>
      <w:lvlText w:val="%1)"/>
      <w:lvlJc w:val="left"/>
      <w:pPr>
        <w:ind w:left="360" w:hanging="360"/>
      </w:pPr>
      <w:rPr>
        <w:rFonts w:cs="Times New Roman" w:hint="default"/>
        <w:b/>
        <w:i/>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7F9D0F56"/>
    <w:multiLevelType w:val="hybridMultilevel"/>
    <w:tmpl w:val="36104D1A"/>
    <w:lvl w:ilvl="0" w:tplc="70306D08">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16"/>
  </w:num>
  <w:num w:numId="2">
    <w:abstractNumId w:val="17"/>
  </w:num>
  <w:num w:numId="3">
    <w:abstractNumId w:val="12"/>
  </w:num>
  <w:num w:numId="4">
    <w:abstractNumId w:val="6"/>
  </w:num>
  <w:num w:numId="5">
    <w:abstractNumId w:val="8"/>
  </w:num>
  <w:num w:numId="6">
    <w:abstractNumId w:val="9"/>
  </w:num>
  <w:num w:numId="7">
    <w:abstractNumId w:val="2"/>
  </w:num>
  <w:num w:numId="8">
    <w:abstractNumId w:val="13"/>
  </w:num>
  <w:num w:numId="9">
    <w:abstractNumId w:val="14"/>
  </w:num>
  <w:num w:numId="10">
    <w:abstractNumId w:val="3"/>
  </w:num>
  <w:num w:numId="11">
    <w:abstractNumId w:val="7"/>
  </w:num>
  <w:num w:numId="12">
    <w:abstractNumId w:val="20"/>
  </w:num>
  <w:num w:numId="13">
    <w:abstractNumId w:val="15"/>
  </w:num>
  <w:num w:numId="14">
    <w:abstractNumId w:val="10"/>
  </w:num>
  <w:num w:numId="15">
    <w:abstractNumId w:val="11"/>
  </w:num>
  <w:num w:numId="16">
    <w:abstractNumId w:val="18"/>
  </w:num>
  <w:num w:numId="17">
    <w:abstractNumId w:val="0"/>
  </w:num>
  <w:num w:numId="18">
    <w:abstractNumId w:val="19"/>
  </w:num>
  <w:num w:numId="19">
    <w:abstractNumId w:val="5"/>
  </w:num>
  <w:num w:numId="20">
    <w:abstractNumId w:val="1"/>
  </w:num>
  <w:num w:numId="21">
    <w:abstractNumId w:val="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B85"/>
    <w:rsid w:val="000005C7"/>
    <w:rsid w:val="000015F4"/>
    <w:rsid w:val="0000219B"/>
    <w:rsid w:val="000021AD"/>
    <w:rsid w:val="00003B34"/>
    <w:rsid w:val="00004096"/>
    <w:rsid w:val="000042EF"/>
    <w:rsid w:val="000059F1"/>
    <w:rsid w:val="00005C35"/>
    <w:rsid w:val="0000701A"/>
    <w:rsid w:val="000073C9"/>
    <w:rsid w:val="000102C4"/>
    <w:rsid w:val="00010BE4"/>
    <w:rsid w:val="00013A68"/>
    <w:rsid w:val="000146EC"/>
    <w:rsid w:val="00014781"/>
    <w:rsid w:val="00015FA6"/>
    <w:rsid w:val="00017BA1"/>
    <w:rsid w:val="00017D4C"/>
    <w:rsid w:val="00017ECD"/>
    <w:rsid w:val="000207A3"/>
    <w:rsid w:val="00020B2F"/>
    <w:rsid w:val="00020FBB"/>
    <w:rsid w:val="00020FEC"/>
    <w:rsid w:val="0002297D"/>
    <w:rsid w:val="00022E6D"/>
    <w:rsid w:val="0002341B"/>
    <w:rsid w:val="00023500"/>
    <w:rsid w:val="00023F10"/>
    <w:rsid w:val="00026210"/>
    <w:rsid w:val="000276D2"/>
    <w:rsid w:val="0003116D"/>
    <w:rsid w:val="000311F7"/>
    <w:rsid w:val="000348DC"/>
    <w:rsid w:val="000355B8"/>
    <w:rsid w:val="00035876"/>
    <w:rsid w:val="00035DFF"/>
    <w:rsid w:val="000364AE"/>
    <w:rsid w:val="000364C6"/>
    <w:rsid w:val="00037983"/>
    <w:rsid w:val="00040458"/>
    <w:rsid w:val="000419F2"/>
    <w:rsid w:val="000427F3"/>
    <w:rsid w:val="00042A0E"/>
    <w:rsid w:val="00042CD5"/>
    <w:rsid w:val="00044094"/>
    <w:rsid w:val="000442D7"/>
    <w:rsid w:val="000442F5"/>
    <w:rsid w:val="0004432E"/>
    <w:rsid w:val="00044880"/>
    <w:rsid w:val="00047BF7"/>
    <w:rsid w:val="000500F9"/>
    <w:rsid w:val="000511FF"/>
    <w:rsid w:val="00052284"/>
    <w:rsid w:val="00056262"/>
    <w:rsid w:val="00060918"/>
    <w:rsid w:val="00061B8A"/>
    <w:rsid w:val="00061E2D"/>
    <w:rsid w:val="00062CC9"/>
    <w:rsid w:val="00066EF1"/>
    <w:rsid w:val="00066FCD"/>
    <w:rsid w:val="0007016D"/>
    <w:rsid w:val="000707A0"/>
    <w:rsid w:val="00070C8E"/>
    <w:rsid w:val="0007251C"/>
    <w:rsid w:val="0007433D"/>
    <w:rsid w:val="00075ED5"/>
    <w:rsid w:val="00076105"/>
    <w:rsid w:val="00076570"/>
    <w:rsid w:val="000766F8"/>
    <w:rsid w:val="000800D5"/>
    <w:rsid w:val="00080BF2"/>
    <w:rsid w:val="000816E1"/>
    <w:rsid w:val="00083034"/>
    <w:rsid w:val="000836D7"/>
    <w:rsid w:val="00083D82"/>
    <w:rsid w:val="00084F90"/>
    <w:rsid w:val="000860F6"/>
    <w:rsid w:val="00093178"/>
    <w:rsid w:val="00093B1A"/>
    <w:rsid w:val="00093E1F"/>
    <w:rsid w:val="000951CE"/>
    <w:rsid w:val="000967AF"/>
    <w:rsid w:val="00097467"/>
    <w:rsid w:val="0009772A"/>
    <w:rsid w:val="000A16AA"/>
    <w:rsid w:val="000A2378"/>
    <w:rsid w:val="000A4349"/>
    <w:rsid w:val="000A4D91"/>
    <w:rsid w:val="000A5359"/>
    <w:rsid w:val="000A594B"/>
    <w:rsid w:val="000A5D2B"/>
    <w:rsid w:val="000A7775"/>
    <w:rsid w:val="000B05E0"/>
    <w:rsid w:val="000B22A5"/>
    <w:rsid w:val="000B2426"/>
    <w:rsid w:val="000B2E42"/>
    <w:rsid w:val="000B39B7"/>
    <w:rsid w:val="000B3D73"/>
    <w:rsid w:val="000B78DA"/>
    <w:rsid w:val="000B7B5B"/>
    <w:rsid w:val="000B7BEC"/>
    <w:rsid w:val="000B7DC7"/>
    <w:rsid w:val="000C0814"/>
    <w:rsid w:val="000C2041"/>
    <w:rsid w:val="000C20F0"/>
    <w:rsid w:val="000C289C"/>
    <w:rsid w:val="000C35FF"/>
    <w:rsid w:val="000C423E"/>
    <w:rsid w:val="000C683E"/>
    <w:rsid w:val="000D08BF"/>
    <w:rsid w:val="000D0A78"/>
    <w:rsid w:val="000D17DE"/>
    <w:rsid w:val="000D1D8D"/>
    <w:rsid w:val="000D2361"/>
    <w:rsid w:val="000D31EA"/>
    <w:rsid w:val="000D426E"/>
    <w:rsid w:val="000D47A1"/>
    <w:rsid w:val="000D5D6B"/>
    <w:rsid w:val="000E1C38"/>
    <w:rsid w:val="000E29D5"/>
    <w:rsid w:val="000E533E"/>
    <w:rsid w:val="000E5F12"/>
    <w:rsid w:val="000E6E45"/>
    <w:rsid w:val="000E6E4F"/>
    <w:rsid w:val="000E7B59"/>
    <w:rsid w:val="000F19A4"/>
    <w:rsid w:val="000F25BF"/>
    <w:rsid w:val="000F608F"/>
    <w:rsid w:val="00100834"/>
    <w:rsid w:val="001008AE"/>
    <w:rsid w:val="00101C47"/>
    <w:rsid w:val="00101F43"/>
    <w:rsid w:val="001021CA"/>
    <w:rsid w:val="001024A3"/>
    <w:rsid w:val="001035F5"/>
    <w:rsid w:val="0010595E"/>
    <w:rsid w:val="00106013"/>
    <w:rsid w:val="00106031"/>
    <w:rsid w:val="00106F83"/>
    <w:rsid w:val="001070EA"/>
    <w:rsid w:val="0011009D"/>
    <w:rsid w:val="001102F2"/>
    <w:rsid w:val="001123C8"/>
    <w:rsid w:val="00112A54"/>
    <w:rsid w:val="00113C09"/>
    <w:rsid w:val="00113C6F"/>
    <w:rsid w:val="001147C2"/>
    <w:rsid w:val="00115DE9"/>
    <w:rsid w:val="00115F7D"/>
    <w:rsid w:val="001178DB"/>
    <w:rsid w:val="00120646"/>
    <w:rsid w:val="00120C70"/>
    <w:rsid w:val="001211E9"/>
    <w:rsid w:val="0012142F"/>
    <w:rsid w:val="00122F5E"/>
    <w:rsid w:val="00123606"/>
    <w:rsid w:val="00123840"/>
    <w:rsid w:val="00123F07"/>
    <w:rsid w:val="0012656F"/>
    <w:rsid w:val="00127396"/>
    <w:rsid w:val="00127494"/>
    <w:rsid w:val="001316A4"/>
    <w:rsid w:val="00133572"/>
    <w:rsid w:val="00133B8E"/>
    <w:rsid w:val="001340F6"/>
    <w:rsid w:val="00135273"/>
    <w:rsid w:val="001358DF"/>
    <w:rsid w:val="00135F2B"/>
    <w:rsid w:val="00136A0B"/>
    <w:rsid w:val="001371C2"/>
    <w:rsid w:val="00137DA4"/>
    <w:rsid w:val="001412E3"/>
    <w:rsid w:val="0014143B"/>
    <w:rsid w:val="00141C71"/>
    <w:rsid w:val="0014288F"/>
    <w:rsid w:val="00142BA4"/>
    <w:rsid w:val="00143A5C"/>
    <w:rsid w:val="00144088"/>
    <w:rsid w:val="00144D54"/>
    <w:rsid w:val="0014575C"/>
    <w:rsid w:val="00146F98"/>
    <w:rsid w:val="0014794F"/>
    <w:rsid w:val="00150D43"/>
    <w:rsid w:val="00150DDA"/>
    <w:rsid w:val="00151CE0"/>
    <w:rsid w:val="00151FAE"/>
    <w:rsid w:val="0015211C"/>
    <w:rsid w:val="001529B7"/>
    <w:rsid w:val="00152A16"/>
    <w:rsid w:val="00163C34"/>
    <w:rsid w:val="00164ED9"/>
    <w:rsid w:val="00165BC3"/>
    <w:rsid w:val="0016765C"/>
    <w:rsid w:val="0017003C"/>
    <w:rsid w:val="00170565"/>
    <w:rsid w:val="00175D45"/>
    <w:rsid w:val="00176EB8"/>
    <w:rsid w:val="00182678"/>
    <w:rsid w:val="00183F2B"/>
    <w:rsid w:val="00184A59"/>
    <w:rsid w:val="001860AE"/>
    <w:rsid w:val="00186D50"/>
    <w:rsid w:val="00190CBC"/>
    <w:rsid w:val="0019294B"/>
    <w:rsid w:val="0019617C"/>
    <w:rsid w:val="001A2228"/>
    <w:rsid w:val="001A241F"/>
    <w:rsid w:val="001A2EF9"/>
    <w:rsid w:val="001A2F27"/>
    <w:rsid w:val="001A6854"/>
    <w:rsid w:val="001B0A37"/>
    <w:rsid w:val="001B1334"/>
    <w:rsid w:val="001B13FC"/>
    <w:rsid w:val="001B1AD8"/>
    <w:rsid w:val="001B1B64"/>
    <w:rsid w:val="001B2309"/>
    <w:rsid w:val="001B2704"/>
    <w:rsid w:val="001B4508"/>
    <w:rsid w:val="001B4965"/>
    <w:rsid w:val="001B53E8"/>
    <w:rsid w:val="001B6057"/>
    <w:rsid w:val="001B6263"/>
    <w:rsid w:val="001B6E09"/>
    <w:rsid w:val="001B73F4"/>
    <w:rsid w:val="001B7588"/>
    <w:rsid w:val="001B797D"/>
    <w:rsid w:val="001C03A7"/>
    <w:rsid w:val="001C0F0E"/>
    <w:rsid w:val="001C1E21"/>
    <w:rsid w:val="001C3033"/>
    <w:rsid w:val="001C4181"/>
    <w:rsid w:val="001C445B"/>
    <w:rsid w:val="001C4A10"/>
    <w:rsid w:val="001C4A44"/>
    <w:rsid w:val="001C4A54"/>
    <w:rsid w:val="001D039E"/>
    <w:rsid w:val="001D16D2"/>
    <w:rsid w:val="001D30D0"/>
    <w:rsid w:val="001D3E52"/>
    <w:rsid w:val="001D4312"/>
    <w:rsid w:val="001D4867"/>
    <w:rsid w:val="001D586D"/>
    <w:rsid w:val="001E1F47"/>
    <w:rsid w:val="001E27F7"/>
    <w:rsid w:val="001E5A15"/>
    <w:rsid w:val="001E7B7E"/>
    <w:rsid w:val="001F1DF9"/>
    <w:rsid w:val="001F3531"/>
    <w:rsid w:val="001F4897"/>
    <w:rsid w:val="001F5F15"/>
    <w:rsid w:val="001F7244"/>
    <w:rsid w:val="001F77C6"/>
    <w:rsid w:val="002022EA"/>
    <w:rsid w:val="00203F57"/>
    <w:rsid w:val="002059A7"/>
    <w:rsid w:val="00205D30"/>
    <w:rsid w:val="002064E0"/>
    <w:rsid w:val="00207500"/>
    <w:rsid w:val="0020787B"/>
    <w:rsid w:val="00212194"/>
    <w:rsid w:val="00212513"/>
    <w:rsid w:val="00213011"/>
    <w:rsid w:val="00215628"/>
    <w:rsid w:val="00215F69"/>
    <w:rsid w:val="00220B69"/>
    <w:rsid w:val="00222119"/>
    <w:rsid w:val="00222146"/>
    <w:rsid w:val="00224398"/>
    <w:rsid w:val="002259B5"/>
    <w:rsid w:val="002266E2"/>
    <w:rsid w:val="002320D8"/>
    <w:rsid w:val="00232117"/>
    <w:rsid w:val="00233611"/>
    <w:rsid w:val="002343EE"/>
    <w:rsid w:val="002364A9"/>
    <w:rsid w:val="00236CE8"/>
    <w:rsid w:val="0023708C"/>
    <w:rsid w:val="00237A56"/>
    <w:rsid w:val="00240A37"/>
    <w:rsid w:val="002433AD"/>
    <w:rsid w:val="00245359"/>
    <w:rsid w:val="002467CF"/>
    <w:rsid w:val="00247741"/>
    <w:rsid w:val="00247ADE"/>
    <w:rsid w:val="00250269"/>
    <w:rsid w:val="00251CD5"/>
    <w:rsid w:val="00252CC5"/>
    <w:rsid w:val="00253B46"/>
    <w:rsid w:val="00255DB8"/>
    <w:rsid w:val="002564FD"/>
    <w:rsid w:val="0025789D"/>
    <w:rsid w:val="002601D5"/>
    <w:rsid w:val="002628E4"/>
    <w:rsid w:val="00263BA2"/>
    <w:rsid w:val="00264957"/>
    <w:rsid w:val="00264D49"/>
    <w:rsid w:val="002657C1"/>
    <w:rsid w:val="00266E08"/>
    <w:rsid w:val="0026753A"/>
    <w:rsid w:val="00267B32"/>
    <w:rsid w:val="00272B0F"/>
    <w:rsid w:val="002743F3"/>
    <w:rsid w:val="00274500"/>
    <w:rsid w:val="002745E7"/>
    <w:rsid w:val="00274BF4"/>
    <w:rsid w:val="00275FB3"/>
    <w:rsid w:val="0027661D"/>
    <w:rsid w:val="00281454"/>
    <w:rsid w:val="00281F11"/>
    <w:rsid w:val="00283098"/>
    <w:rsid w:val="002847E5"/>
    <w:rsid w:val="00285915"/>
    <w:rsid w:val="002928A7"/>
    <w:rsid w:val="002932BD"/>
    <w:rsid w:val="00294250"/>
    <w:rsid w:val="00294DC7"/>
    <w:rsid w:val="00295470"/>
    <w:rsid w:val="002957B7"/>
    <w:rsid w:val="0029633A"/>
    <w:rsid w:val="002A0979"/>
    <w:rsid w:val="002A1263"/>
    <w:rsid w:val="002A1962"/>
    <w:rsid w:val="002A1CA9"/>
    <w:rsid w:val="002A3A8F"/>
    <w:rsid w:val="002A5983"/>
    <w:rsid w:val="002A6A35"/>
    <w:rsid w:val="002A7A28"/>
    <w:rsid w:val="002B0A46"/>
    <w:rsid w:val="002B2F58"/>
    <w:rsid w:val="002B5043"/>
    <w:rsid w:val="002B5189"/>
    <w:rsid w:val="002B5788"/>
    <w:rsid w:val="002C0579"/>
    <w:rsid w:val="002C156D"/>
    <w:rsid w:val="002C30E0"/>
    <w:rsid w:val="002C3305"/>
    <w:rsid w:val="002C349D"/>
    <w:rsid w:val="002C3E73"/>
    <w:rsid w:val="002C3EF6"/>
    <w:rsid w:val="002C4350"/>
    <w:rsid w:val="002C4A04"/>
    <w:rsid w:val="002C4A71"/>
    <w:rsid w:val="002C71B8"/>
    <w:rsid w:val="002D1BDA"/>
    <w:rsid w:val="002D1DB0"/>
    <w:rsid w:val="002D4A6D"/>
    <w:rsid w:val="002D58EF"/>
    <w:rsid w:val="002D612A"/>
    <w:rsid w:val="002D6222"/>
    <w:rsid w:val="002D6634"/>
    <w:rsid w:val="002D7500"/>
    <w:rsid w:val="002E1F25"/>
    <w:rsid w:val="002E68AA"/>
    <w:rsid w:val="002E6B01"/>
    <w:rsid w:val="002E6D05"/>
    <w:rsid w:val="002F123C"/>
    <w:rsid w:val="002F14B9"/>
    <w:rsid w:val="002F2EB6"/>
    <w:rsid w:val="002F3B98"/>
    <w:rsid w:val="002F6220"/>
    <w:rsid w:val="00301E08"/>
    <w:rsid w:val="00303923"/>
    <w:rsid w:val="003042CA"/>
    <w:rsid w:val="00304448"/>
    <w:rsid w:val="003050AC"/>
    <w:rsid w:val="00305B2F"/>
    <w:rsid w:val="00307449"/>
    <w:rsid w:val="003104D1"/>
    <w:rsid w:val="00312522"/>
    <w:rsid w:val="0031360D"/>
    <w:rsid w:val="00316C6F"/>
    <w:rsid w:val="0032079E"/>
    <w:rsid w:val="0032081A"/>
    <w:rsid w:val="00320F3A"/>
    <w:rsid w:val="00322709"/>
    <w:rsid w:val="00323198"/>
    <w:rsid w:val="003243AF"/>
    <w:rsid w:val="003255E0"/>
    <w:rsid w:val="00326BE3"/>
    <w:rsid w:val="0032786E"/>
    <w:rsid w:val="00330053"/>
    <w:rsid w:val="003315A6"/>
    <w:rsid w:val="00332228"/>
    <w:rsid w:val="00332892"/>
    <w:rsid w:val="0033410A"/>
    <w:rsid w:val="003344FC"/>
    <w:rsid w:val="00336472"/>
    <w:rsid w:val="00336BD3"/>
    <w:rsid w:val="00336F85"/>
    <w:rsid w:val="00341E83"/>
    <w:rsid w:val="00344818"/>
    <w:rsid w:val="00346DCF"/>
    <w:rsid w:val="00346E76"/>
    <w:rsid w:val="00347B70"/>
    <w:rsid w:val="0035027D"/>
    <w:rsid w:val="003502C8"/>
    <w:rsid w:val="003512FF"/>
    <w:rsid w:val="00351C43"/>
    <w:rsid w:val="00353437"/>
    <w:rsid w:val="003558E8"/>
    <w:rsid w:val="00355C76"/>
    <w:rsid w:val="00355F17"/>
    <w:rsid w:val="00356EA3"/>
    <w:rsid w:val="0035741A"/>
    <w:rsid w:val="00357E6E"/>
    <w:rsid w:val="0036528C"/>
    <w:rsid w:val="0036554D"/>
    <w:rsid w:val="0037080F"/>
    <w:rsid w:val="00370B85"/>
    <w:rsid w:val="00370ED3"/>
    <w:rsid w:val="00371F45"/>
    <w:rsid w:val="003729B3"/>
    <w:rsid w:val="00372D25"/>
    <w:rsid w:val="00372D56"/>
    <w:rsid w:val="00372F45"/>
    <w:rsid w:val="00374677"/>
    <w:rsid w:val="00375725"/>
    <w:rsid w:val="00377746"/>
    <w:rsid w:val="00377C3D"/>
    <w:rsid w:val="0038042A"/>
    <w:rsid w:val="00381D0D"/>
    <w:rsid w:val="00382548"/>
    <w:rsid w:val="00383115"/>
    <w:rsid w:val="00383830"/>
    <w:rsid w:val="00383FFE"/>
    <w:rsid w:val="00386931"/>
    <w:rsid w:val="00387516"/>
    <w:rsid w:val="00387B90"/>
    <w:rsid w:val="0039470D"/>
    <w:rsid w:val="00395687"/>
    <w:rsid w:val="00395691"/>
    <w:rsid w:val="0039607F"/>
    <w:rsid w:val="0039751B"/>
    <w:rsid w:val="003975A1"/>
    <w:rsid w:val="003A1AC0"/>
    <w:rsid w:val="003A3288"/>
    <w:rsid w:val="003A33FC"/>
    <w:rsid w:val="003A3AE1"/>
    <w:rsid w:val="003A52B6"/>
    <w:rsid w:val="003A554E"/>
    <w:rsid w:val="003B56AC"/>
    <w:rsid w:val="003B5A3C"/>
    <w:rsid w:val="003C033B"/>
    <w:rsid w:val="003C03DC"/>
    <w:rsid w:val="003C0570"/>
    <w:rsid w:val="003C121E"/>
    <w:rsid w:val="003C128A"/>
    <w:rsid w:val="003C4642"/>
    <w:rsid w:val="003C4897"/>
    <w:rsid w:val="003C5935"/>
    <w:rsid w:val="003D0943"/>
    <w:rsid w:val="003D1542"/>
    <w:rsid w:val="003D1B2B"/>
    <w:rsid w:val="003D261E"/>
    <w:rsid w:val="003D31F0"/>
    <w:rsid w:val="003D324F"/>
    <w:rsid w:val="003D4FCD"/>
    <w:rsid w:val="003D5BD0"/>
    <w:rsid w:val="003D6867"/>
    <w:rsid w:val="003D72BC"/>
    <w:rsid w:val="003E057F"/>
    <w:rsid w:val="003E1C43"/>
    <w:rsid w:val="003E3272"/>
    <w:rsid w:val="003E332A"/>
    <w:rsid w:val="003E745D"/>
    <w:rsid w:val="003F0C18"/>
    <w:rsid w:val="003F2BED"/>
    <w:rsid w:val="003F3EB0"/>
    <w:rsid w:val="003F5090"/>
    <w:rsid w:val="00400E7E"/>
    <w:rsid w:val="0040342F"/>
    <w:rsid w:val="00407BBA"/>
    <w:rsid w:val="00407D28"/>
    <w:rsid w:val="0041318B"/>
    <w:rsid w:val="0041398A"/>
    <w:rsid w:val="004158F7"/>
    <w:rsid w:val="00416DE8"/>
    <w:rsid w:val="00417409"/>
    <w:rsid w:val="00417676"/>
    <w:rsid w:val="00417F19"/>
    <w:rsid w:val="00420AB5"/>
    <w:rsid w:val="00421175"/>
    <w:rsid w:val="00423016"/>
    <w:rsid w:val="0042316E"/>
    <w:rsid w:val="004247BF"/>
    <w:rsid w:val="00425057"/>
    <w:rsid w:val="00425646"/>
    <w:rsid w:val="0042673A"/>
    <w:rsid w:val="00430C57"/>
    <w:rsid w:val="00431130"/>
    <w:rsid w:val="00431E4E"/>
    <w:rsid w:val="004324AA"/>
    <w:rsid w:val="00433253"/>
    <w:rsid w:val="004335E3"/>
    <w:rsid w:val="00433929"/>
    <w:rsid w:val="004346A1"/>
    <w:rsid w:val="00435BB8"/>
    <w:rsid w:val="00435BBF"/>
    <w:rsid w:val="00437E14"/>
    <w:rsid w:val="0044108D"/>
    <w:rsid w:val="00444942"/>
    <w:rsid w:val="004452BE"/>
    <w:rsid w:val="0044544B"/>
    <w:rsid w:val="004454DE"/>
    <w:rsid w:val="004465D0"/>
    <w:rsid w:val="00446955"/>
    <w:rsid w:val="0045091E"/>
    <w:rsid w:val="004541FC"/>
    <w:rsid w:val="0045598B"/>
    <w:rsid w:val="00457A49"/>
    <w:rsid w:val="00460B03"/>
    <w:rsid w:val="00465A3F"/>
    <w:rsid w:val="00466593"/>
    <w:rsid w:val="004672A1"/>
    <w:rsid w:val="00467B6A"/>
    <w:rsid w:val="00470B3C"/>
    <w:rsid w:val="00471B56"/>
    <w:rsid w:val="00472284"/>
    <w:rsid w:val="00472B8B"/>
    <w:rsid w:val="00474B47"/>
    <w:rsid w:val="00475E59"/>
    <w:rsid w:val="00476360"/>
    <w:rsid w:val="004806AF"/>
    <w:rsid w:val="00481561"/>
    <w:rsid w:val="00483040"/>
    <w:rsid w:val="00485784"/>
    <w:rsid w:val="00485A93"/>
    <w:rsid w:val="004867D1"/>
    <w:rsid w:val="00487D54"/>
    <w:rsid w:val="00490192"/>
    <w:rsid w:val="00490289"/>
    <w:rsid w:val="0049033A"/>
    <w:rsid w:val="00491316"/>
    <w:rsid w:val="00491876"/>
    <w:rsid w:val="004937CA"/>
    <w:rsid w:val="00493C60"/>
    <w:rsid w:val="004958DC"/>
    <w:rsid w:val="0049662F"/>
    <w:rsid w:val="00497B85"/>
    <w:rsid w:val="004A037C"/>
    <w:rsid w:val="004A040F"/>
    <w:rsid w:val="004A07FD"/>
    <w:rsid w:val="004A0D81"/>
    <w:rsid w:val="004A1105"/>
    <w:rsid w:val="004A32B6"/>
    <w:rsid w:val="004A436D"/>
    <w:rsid w:val="004A7274"/>
    <w:rsid w:val="004B064E"/>
    <w:rsid w:val="004B125F"/>
    <w:rsid w:val="004B1FE2"/>
    <w:rsid w:val="004B2997"/>
    <w:rsid w:val="004B36B8"/>
    <w:rsid w:val="004B41E2"/>
    <w:rsid w:val="004B4B9C"/>
    <w:rsid w:val="004B5007"/>
    <w:rsid w:val="004B541A"/>
    <w:rsid w:val="004B5490"/>
    <w:rsid w:val="004B67C7"/>
    <w:rsid w:val="004B6825"/>
    <w:rsid w:val="004B6935"/>
    <w:rsid w:val="004C07E0"/>
    <w:rsid w:val="004C0CF7"/>
    <w:rsid w:val="004C1953"/>
    <w:rsid w:val="004C478B"/>
    <w:rsid w:val="004C6432"/>
    <w:rsid w:val="004D0724"/>
    <w:rsid w:val="004D24E4"/>
    <w:rsid w:val="004D32BF"/>
    <w:rsid w:val="004D7DCE"/>
    <w:rsid w:val="004E016B"/>
    <w:rsid w:val="004E271C"/>
    <w:rsid w:val="004E30BF"/>
    <w:rsid w:val="004E37BA"/>
    <w:rsid w:val="004E486D"/>
    <w:rsid w:val="004E4978"/>
    <w:rsid w:val="004E4F27"/>
    <w:rsid w:val="004E4F4C"/>
    <w:rsid w:val="004E7E73"/>
    <w:rsid w:val="004F251D"/>
    <w:rsid w:val="004F2D9B"/>
    <w:rsid w:val="004F3E8D"/>
    <w:rsid w:val="004F485F"/>
    <w:rsid w:val="004F61E1"/>
    <w:rsid w:val="004F62EE"/>
    <w:rsid w:val="00500295"/>
    <w:rsid w:val="005008F3"/>
    <w:rsid w:val="0050389F"/>
    <w:rsid w:val="00504113"/>
    <w:rsid w:val="00505707"/>
    <w:rsid w:val="00506052"/>
    <w:rsid w:val="00510D1A"/>
    <w:rsid w:val="00511E4B"/>
    <w:rsid w:val="005135AD"/>
    <w:rsid w:val="005139E5"/>
    <w:rsid w:val="0051509F"/>
    <w:rsid w:val="00515D26"/>
    <w:rsid w:val="0052020F"/>
    <w:rsid w:val="005206A9"/>
    <w:rsid w:val="0052097B"/>
    <w:rsid w:val="0052211F"/>
    <w:rsid w:val="00523D32"/>
    <w:rsid w:val="005267B2"/>
    <w:rsid w:val="00527F21"/>
    <w:rsid w:val="005311F0"/>
    <w:rsid w:val="00531542"/>
    <w:rsid w:val="005318A0"/>
    <w:rsid w:val="00532D0B"/>
    <w:rsid w:val="005331FA"/>
    <w:rsid w:val="0053446B"/>
    <w:rsid w:val="00534726"/>
    <w:rsid w:val="00534F9A"/>
    <w:rsid w:val="005357A9"/>
    <w:rsid w:val="00536526"/>
    <w:rsid w:val="00537556"/>
    <w:rsid w:val="00537C49"/>
    <w:rsid w:val="00541E3C"/>
    <w:rsid w:val="00543157"/>
    <w:rsid w:val="005437BC"/>
    <w:rsid w:val="005438B3"/>
    <w:rsid w:val="00544E17"/>
    <w:rsid w:val="00547235"/>
    <w:rsid w:val="005527FF"/>
    <w:rsid w:val="00552DCE"/>
    <w:rsid w:val="0055437B"/>
    <w:rsid w:val="00555004"/>
    <w:rsid w:val="0055502D"/>
    <w:rsid w:val="005566F8"/>
    <w:rsid w:val="0055783F"/>
    <w:rsid w:val="00561760"/>
    <w:rsid w:val="00561B26"/>
    <w:rsid w:val="00561E8E"/>
    <w:rsid w:val="00564871"/>
    <w:rsid w:val="00564BC5"/>
    <w:rsid w:val="00564C1E"/>
    <w:rsid w:val="00564FED"/>
    <w:rsid w:val="00565A28"/>
    <w:rsid w:val="0056673D"/>
    <w:rsid w:val="00567B03"/>
    <w:rsid w:val="005706D8"/>
    <w:rsid w:val="005726A4"/>
    <w:rsid w:val="00572943"/>
    <w:rsid w:val="00572E2D"/>
    <w:rsid w:val="00573AF9"/>
    <w:rsid w:val="00573F2C"/>
    <w:rsid w:val="00573F7F"/>
    <w:rsid w:val="005763DF"/>
    <w:rsid w:val="005766CA"/>
    <w:rsid w:val="00580259"/>
    <w:rsid w:val="0058055E"/>
    <w:rsid w:val="00581351"/>
    <w:rsid w:val="00581EA7"/>
    <w:rsid w:val="0058270F"/>
    <w:rsid w:val="00585378"/>
    <w:rsid w:val="00590B29"/>
    <w:rsid w:val="0059225C"/>
    <w:rsid w:val="00592FAA"/>
    <w:rsid w:val="005941CB"/>
    <w:rsid w:val="005961E8"/>
    <w:rsid w:val="005A095F"/>
    <w:rsid w:val="005A2671"/>
    <w:rsid w:val="005A315B"/>
    <w:rsid w:val="005A3512"/>
    <w:rsid w:val="005A46F2"/>
    <w:rsid w:val="005A49BB"/>
    <w:rsid w:val="005A4A8F"/>
    <w:rsid w:val="005A5128"/>
    <w:rsid w:val="005A54BC"/>
    <w:rsid w:val="005A6377"/>
    <w:rsid w:val="005A673C"/>
    <w:rsid w:val="005A7929"/>
    <w:rsid w:val="005B0511"/>
    <w:rsid w:val="005B107E"/>
    <w:rsid w:val="005B15A1"/>
    <w:rsid w:val="005B3C1E"/>
    <w:rsid w:val="005B4862"/>
    <w:rsid w:val="005B6268"/>
    <w:rsid w:val="005C2114"/>
    <w:rsid w:val="005C264F"/>
    <w:rsid w:val="005C2E2A"/>
    <w:rsid w:val="005C2FAB"/>
    <w:rsid w:val="005C470A"/>
    <w:rsid w:val="005C6082"/>
    <w:rsid w:val="005C6AB5"/>
    <w:rsid w:val="005C7F88"/>
    <w:rsid w:val="005D0039"/>
    <w:rsid w:val="005D02A8"/>
    <w:rsid w:val="005D04CD"/>
    <w:rsid w:val="005D067B"/>
    <w:rsid w:val="005D1EF1"/>
    <w:rsid w:val="005D2B46"/>
    <w:rsid w:val="005D3783"/>
    <w:rsid w:val="005D3D70"/>
    <w:rsid w:val="005D452E"/>
    <w:rsid w:val="005D4629"/>
    <w:rsid w:val="005D5758"/>
    <w:rsid w:val="005D57C6"/>
    <w:rsid w:val="005D6172"/>
    <w:rsid w:val="005D7595"/>
    <w:rsid w:val="005E0199"/>
    <w:rsid w:val="005E0E6A"/>
    <w:rsid w:val="005E185D"/>
    <w:rsid w:val="005E3367"/>
    <w:rsid w:val="005E3C29"/>
    <w:rsid w:val="005F1DFD"/>
    <w:rsid w:val="005F24B3"/>
    <w:rsid w:val="005F37FF"/>
    <w:rsid w:val="005F3B6E"/>
    <w:rsid w:val="005F4957"/>
    <w:rsid w:val="005F70B9"/>
    <w:rsid w:val="00601406"/>
    <w:rsid w:val="00601C41"/>
    <w:rsid w:val="00601FD5"/>
    <w:rsid w:val="006029CC"/>
    <w:rsid w:val="00602A18"/>
    <w:rsid w:val="00605581"/>
    <w:rsid w:val="006056D3"/>
    <w:rsid w:val="00605B85"/>
    <w:rsid w:val="00606597"/>
    <w:rsid w:val="00610FB5"/>
    <w:rsid w:val="006116CB"/>
    <w:rsid w:val="00611F2F"/>
    <w:rsid w:val="00612CC5"/>
    <w:rsid w:val="00615A66"/>
    <w:rsid w:val="0061636A"/>
    <w:rsid w:val="00616759"/>
    <w:rsid w:val="006213FA"/>
    <w:rsid w:val="006217DF"/>
    <w:rsid w:val="00622DBA"/>
    <w:rsid w:val="006230B7"/>
    <w:rsid w:val="00623A5C"/>
    <w:rsid w:val="0062432F"/>
    <w:rsid w:val="00626679"/>
    <w:rsid w:val="00626B7F"/>
    <w:rsid w:val="00630808"/>
    <w:rsid w:val="006322F1"/>
    <w:rsid w:val="006324CF"/>
    <w:rsid w:val="006329A7"/>
    <w:rsid w:val="006330CE"/>
    <w:rsid w:val="00633C99"/>
    <w:rsid w:val="0063496C"/>
    <w:rsid w:val="00635391"/>
    <w:rsid w:val="00636048"/>
    <w:rsid w:val="00636199"/>
    <w:rsid w:val="00645306"/>
    <w:rsid w:val="006475B0"/>
    <w:rsid w:val="00647662"/>
    <w:rsid w:val="00647B52"/>
    <w:rsid w:val="006510A9"/>
    <w:rsid w:val="00651108"/>
    <w:rsid w:val="00652291"/>
    <w:rsid w:val="006525C6"/>
    <w:rsid w:val="00653F23"/>
    <w:rsid w:val="00656F7A"/>
    <w:rsid w:val="00660393"/>
    <w:rsid w:val="0066171F"/>
    <w:rsid w:val="00662EF1"/>
    <w:rsid w:val="006637AD"/>
    <w:rsid w:val="006637C9"/>
    <w:rsid w:val="006644C4"/>
    <w:rsid w:val="00665AB1"/>
    <w:rsid w:val="00670152"/>
    <w:rsid w:val="00670158"/>
    <w:rsid w:val="006708B7"/>
    <w:rsid w:val="006721BF"/>
    <w:rsid w:val="00672279"/>
    <w:rsid w:val="00673E9C"/>
    <w:rsid w:val="00675B9D"/>
    <w:rsid w:val="00675EAA"/>
    <w:rsid w:val="00675F0B"/>
    <w:rsid w:val="00677EBD"/>
    <w:rsid w:val="00681412"/>
    <w:rsid w:val="00681653"/>
    <w:rsid w:val="00681DA7"/>
    <w:rsid w:val="00681DD8"/>
    <w:rsid w:val="006821EF"/>
    <w:rsid w:val="006823ED"/>
    <w:rsid w:val="00682F85"/>
    <w:rsid w:val="006847DA"/>
    <w:rsid w:val="0068749A"/>
    <w:rsid w:val="00691804"/>
    <w:rsid w:val="00692461"/>
    <w:rsid w:val="006934A4"/>
    <w:rsid w:val="006959F1"/>
    <w:rsid w:val="00695BA5"/>
    <w:rsid w:val="00697482"/>
    <w:rsid w:val="006A3526"/>
    <w:rsid w:val="006A353C"/>
    <w:rsid w:val="006A4EE0"/>
    <w:rsid w:val="006A5386"/>
    <w:rsid w:val="006A6200"/>
    <w:rsid w:val="006A6B4A"/>
    <w:rsid w:val="006A6D97"/>
    <w:rsid w:val="006B0004"/>
    <w:rsid w:val="006B1077"/>
    <w:rsid w:val="006B16CF"/>
    <w:rsid w:val="006B21E5"/>
    <w:rsid w:val="006B32D1"/>
    <w:rsid w:val="006B343D"/>
    <w:rsid w:val="006B3884"/>
    <w:rsid w:val="006B3C87"/>
    <w:rsid w:val="006B4D23"/>
    <w:rsid w:val="006B6382"/>
    <w:rsid w:val="006B6850"/>
    <w:rsid w:val="006B73B1"/>
    <w:rsid w:val="006C3A61"/>
    <w:rsid w:val="006C5B34"/>
    <w:rsid w:val="006C7A12"/>
    <w:rsid w:val="006D1276"/>
    <w:rsid w:val="006D1C1F"/>
    <w:rsid w:val="006D2904"/>
    <w:rsid w:val="006D401A"/>
    <w:rsid w:val="006D6CF7"/>
    <w:rsid w:val="006D6EB2"/>
    <w:rsid w:val="006D76C1"/>
    <w:rsid w:val="006D7C16"/>
    <w:rsid w:val="006E0F1B"/>
    <w:rsid w:val="006E1F90"/>
    <w:rsid w:val="006E43C9"/>
    <w:rsid w:val="006E4667"/>
    <w:rsid w:val="006E47D0"/>
    <w:rsid w:val="006E4CB5"/>
    <w:rsid w:val="006E6D8A"/>
    <w:rsid w:val="006E79D7"/>
    <w:rsid w:val="006E7F1A"/>
    <w:rsid w:val="006F4536"/>
    <w:rsid w:val="006F6767"/>
    <w:rsid w:val="006F6D09"/>
    <w:rsid w:val="006F7A12"/>
    <w:rsid w:val="0070028E"/>
    <w:rsid w:val="00704DAF"/>
    <w:rsid w:val="0070628B"/>
    <w:rsid w:val="00706898"/>
    <w:rsid w:val="00706CCD"/>
    <w:rsid w:val="0071180A"/>
    <w:rsid w:val="00711923"/>
    <w:rsid w:val="00721221"/>
    <w:rsid w:val="007221C1"/>
    <w:rsid w:val="007224AF"/>
    <w:rsid w:val="00723283"/>
    <w:rsid w:val="0072560E"/>
    <w:rsid w:val="00725935"/>
    <w:rsid w:val="00726850"/>
    <w:rsid w:val="007270FF"/>
    <w:rsid w:val="00730370"/>
    <w:rsid w:val="0073165A"/>
    <w:rsid w:val="00732501"/>
    <w:rsid w:val="00732AF3"/>
    <w:rsid w:val="00732EC5"/>
    <w:rsid w:val="007330C3"/>
    <w:rsid w:val="00735890"/>
    <w:rsid w:val="00735EF9"/>
    <w:rsid w:val="007363FD"/>
    <w:rsid w:val="007364FE"/>
    <w:rsid w:val="00737972"/>
    <w:rsid w:val="007402FF"/>
    <w:rsid w:val="00741D9B"/>
    <w:rsid w:val="007438DF"/>
    <w:rsid w:val="0074463E"/>
    <w:rsid w:val="00745375"/>
    <w:rsid w:val="00746657"/>
    <w:rsid w:val="00746E3C"/>
    <w:rsid w:val="00746F4A"/>
    <w:rsid w:val="00746FFD"/>
    <w:rsid w:val="00747808"/>
    <w:rsid w:val="00750332"/>
    <w:rsid w:val="007504E5"/>
    <w:rsid w:val="00752520"/>
    <w:rsid w:val="0075292D"/>
    <w:rsid w:val="00753540"/>
    <w:rsid w:val="0075771C"/>
    <w:rsid w:val="00760070"/>
    <w:rsid w:val="007612EA"/>
    <w:rsid w:val="00761419"/>
    <w:rsid w:val="007630C6"/>
    <w:rsid w:val="00763CCB"/>
    <w:rsid w:val="0076446A"/>
    <w:rsid w:val="0076786C"/>
    <w:rsid w:val="007703C0"/>
    <w:rsid w:val="007716EC"/>
    <w:rsid w:val="00772037"/>
    <w:rsid w:val="0077214E"/>
    <w:rsid w:val="007722CA"/>
    <w:rsid w:val="0077566C"/>
    <w:rsid w:val="007772E6"/>
    <w:rsid w:val="007815E3"/>
    <w:rsid w:val="00783C79"/>
    <w:rsid w:val="007845FE"/>
    <w:rsid w:val="00786E06"/>
    <w:rsid w:val="007933C7"/>
    <w:rsid w:val="00795077"/>
    <w:rsid w:val="00795A4D"/>
    <w:rsid w:val="007A013E"/>
    <w:rsid w:val="007A0E86"/>
    <w:rsid w:val="007A2F4E"/>
    <w:rsid w:val="007A3DE3"/>
    <w:rsid w:val="007A41E1"/>
    <w:rsid w:val="007A4C8C"/>
    <w:rsid w:val="007A6BCE"/>
    <w:rsid w:val="007B00F3"/>
    <w:rsid w:val="007B070F"/>
    <w:rsid w:val="007B1D1E"/>
    <w:rsid w:val="007B23CF"/>
    <w:rsid w:val="007B3D96"/>
    <w:rsid w:val="007B4464"/>
    <w:rsid w:val="007B4DC4"/>
    <w:rsid w:val="007B569E"/>
    <w:rsid w:val="007B75A7"/>
    <w:rsid w:val="007B7930"/>
    <w:rsid w:val="007C180A"/>
    <w:rsid w:val="007C1D9C"/>
    <w:rsid w:val="007C2D37"/>
    <w:rsid w:val="007C32C6"/>
    <w:rsid w:val="007C3542"/>
    <w:rsid w:val="007C3740"/>
    <w:rsid w:val="007C53A9"/>
    <w:rsid w:val="007C6418"/>
    <w:rsid w:val="007C66A3"/>
    <w:rsid w:val="007C717D"/>
    <w:rsid w:val="007C7186"/>
    <w:rsid w:val="007D0E16"/>
    <w:rsid w:val="007D1015"/>
    <w:rsid w:val="007D1842"/>
    <w:rsid w:val="007D52AB"/>
    <w:rsid w:val="007D72BE"/>
    <w:rsid w:val="007D738F"/>
    <w:rsid w:val="007D7EA9"/>
    <w:rsid w:val="007E23B3"/>
    <w:rsid w:val="007E23F3"/>
    <w:rsid w:val="007E291B"/>
    <w:rsid w:val="007E62E1"/>
    <w:rsid w:val="007F1189"/>
    <w:rsid w:val="007F21D5"/>
    <w:rsid w:val="007F3201"/>
    <w:rsid w:val="007F3FF9"/>
    <w:rsid w:val="007F4286"/>
    <w:rsid w:val="007F476C"/>
    <w:rsid w:val="007F68ED"/>
    <w:rsid w:val="007F776D"/>
    <w:rsid w:val="00801C71"/>
    <w:rsid w:val="00802844"/>
    <w:rsid w:val="00802B45"/>
    <w:rsid w:val="00803AA1"/>
    <w:rsid w:val="00804F71"/>
    <w:rsid w:val="00806115"/>
    <w:rsid w:val="00811DE5"/>
    <w:rsid w:val="008159CA"/>
    <w:rsid w:val="0081642E"/>
    <w:rsid w:val="00820631"/>
    <w:rsid w:val="00821342"/>
    <w:rsid w:val="00821A25"/>
    <w:rsid w:val="00822A4D"/>
    <w:rsid w:val="00823FA0"/>
    <w:rsid w:val="008244CC"/>
    <w:rsid w:val="00824EBD"/>
    <w:rsid w:val="00824FC7"/>
    <w:rsid w:val="008265D0"/>
    <w:rsid w:val="00830D0E"/>
    <w:rsid w:val="008318E5"/>
    <w:rsid w:val="00834512"/>
    <w:rsid w:val="00836E05"/>
    <w:rsid w:val="008418FC"/>
    <w:rsid w:val="00842A96"/>
    <w:rsid w:val="008440FB"/>
    <w:rsid w:val="00844651"/>
    <w:rsid w:val="00847128"/>
    <w:rsid w:val="00851A49"/>
    <w:rsid w:val="00851BEE"/>
    <w:rsid w:val="008522A2"/>
    <w:rsid w:val="00855D11"/>
    <w:rsid w:val="00857301"/>
    <w:rsid w:val="00860426"/>
    <w:rsid w:val="00860A89"/>
    <w:rsid w:val="008615FC"/>
    <w:rsid w:val="0086168C"/>
    <w:rsid w:val="00862551"/>
    <w:rsid w:val="008648D0"/>
    <w:rsid w:val="00864D03"/>
    <w:rsid w:val="00864D40"/>
    <w:rsid w:val="00866F04"/>
    <w:rsid w:val="008679FC"/>
    <w:rsid w:val="00870089"/>
    <w:rsid w:val="00870C45"/>
    <w:rsid w:val="00872F48"/>
    <w:rsid w:val="008737AC"/>
    <w:rsid w:val="0087397B"/>
    <w:rsid w:val="00874B74"/>
    <w:rsid w:val="00876271"/>
    <w:rsid w:val="00876971"/>
    <w:rsid w:val="00876982"/>
    <w:rsid w:val="00876DD7"/>
    <w:rsid w:val="008773F6"/>
    <w:rsid w:val="00880D22"/>
    <w:rsid w:val="00884AFA"/>
    <w:rsid w:val="0088695C"/>
    <w:rsid w:val="00887771"/>
    <w:rsid w:val="0088794E"/>
    <w:rsid w:val="0089220A"/>
    <w:rsid w:val="008952AF"/>
    <w:rsid w:val="00896A89"/>
    <w:rsid w:val="008A14E2"/>
    <w:rsid w:val="008A1E2F"/>
    <w:rsid w:val="008A2985"/>
    <w:rsid w:val="008A2CE5"/>
    <w:rsid w:val="008A2E34"/>
    <w:rsid w:val="008A4AAF"/>
    <w:rsid w:val="008A4D36"/>
    <w:rsid w:val="008A527F"/>
    <w:rsid w:val="008B083A"/>
    <w:rsid w:val="008B0A0E"/>
    <w:rsid w:val="008B0E69"/>
    <w:rsid w:val="008B2593"/>
    <w:rsid w:val="008B33AC"/>
    <w:rsid w:val="008B4412"/>
    <w:rsid w:val="008B5217"/>
    <w:rsid w:val="008B7B68"/>
    <w:rsid w:val="008C2091"/>
    <w:rsid w:val="008C32CA"/>
    <w:rsid w:val="008C41E6"/>
    <w:rsid w:val="008C5876"/>
    <w:rsid w:val="008C59ED"/>
    <w:rsid w:val="008C7F4E"/>
    <w:rsid w:val="008D10C5"/>
    <w:rsid w:val="008D4388"/>
    <w:rsid w:val="008D596B"/>
    <w:rsid w:val="008D699C"/>
    <w:rsid w:val="008D7318"/>
    <w:rsid w:val="008E1055"/>
    <w:rsid w:val="008E24F3"/>
    <w:rsid w:val="008E3BF0"/>
    <w:rsid w:val="008E4FED"/>
    <w:rsid w:val="008E5F53"/>
    <w:rsid w:val="008E63A3"/>
    <w:rsid w:val="008E6945"/>
    <w:rsid w:val="008E7374"/>
    <w:rsid w:val="008E7C63"/>
    <w:rsid w:val="008F2853"/>
    <w:rsid w:val="008F3465"/>
    <w:rsid w:val="008F66BA"/>
    <w:rsid w:val="008F7D8F"/>
    <w:rsid w:val="00900FBF"/>
    <w:rsid w:val="009023CD"/>
    <w:rsid w:val="00902CF0"/>
    <w:rsid w:val="00902D69"/>
    <w:rsid w:val="0090317A"/>
    <w:rsid w:val="00903690"/>
    <w:rsid w:val="009064DD"/>
    <w:rsid w:val="0090705D"/>
    <w:rsid w:val="009077B9"/>
    <w:rsid w:val="009109B3"/>
    <w:rsid w:val="00911C8F"/>
    <w:rsid w:val="00911DAF"/>
    <w:rsid w:val="00911EA0"/>
    <w:rsid w:val="009137F5"/>
    <w:rsid w:val="0091542E"/>
    <w:rsid w:val="00915CED"/>
    <w:rsid w:val="0091652E"/>
    <w:rsid w:val="00920C2C"/>
    <w:rsid w:val="00921C36"/>
    <w:rsid w:val="0092230F"/>
    <w:rsid w:val="00924523"/>
    <w:rsid w:val="009248C6"/>
    <w:rsid w:val="00924ECA"/>
    <w:rsid w:val="00931C25"/>
    <w:rsid w:val="00931C71"/>
    <w:rsid w:val="0093297B"/>
    <w:rsid w:val="00932CC4"/>
    <w:rsid w:val="00934582"/>
    <w:rsid w:val="00935610"/>
    <w:rsid w:val="00942595"/>
    <w:rsid w:val="00944408"/>
    <w:rsid w:val="00945476"/>
    <w:rsid w:val="00947B75"/>
    <w:rsid w:val="00947EDA"/>
    <w:rsid w:val="00950269"/>
    <w:rsid w:val="00951CB3"/>
    <w:rsid w:val="00952E00"/>
    <w:rsid w:val="00954A00"/>
    <w:rsid w:val="00954A34"/>
    <w:rsid w:val="00954D74"/>
    <w:rsid w:val="0095789B"/>
    <w:rsid w:val="009605B2"/>
    <w:rsid w:val="0096113E"/>
    <w:rsid w:val="009623DC"/>
    <w:rsid w:val="009628FB"/>
    <w:rsid w:val="00963128"/>
    <w:rsid w:val="00965121"/>
    <w:rsid w:val="00965F74"/>
    <w:rsid w:val="0096729D"/>
    <w:rsid w:val="009706C0"/>
    <w:rsid w:val="009714F7"/>
    <w:rsid w:val="00971EE7"/>
    <w:rsid w:val="0097236A"/>
    <w:rsid w:val="00976F1E"/>
    <w:rsid w:val="009771A8"/>
    <w:rsid w:val="00977507"/>
    <w:rsid w:val="0098001C"/>
    <w:rsid w:val="00980AD3"/>
    <w:rsid w:val="0098218C"/>
    <w:rsid w:val="0098246B"/>
    <w:rsid w:val="00982744"/>
    <w:rsid w:val="00983028"/>
    <w:rsid w:val="00984D28"/>
    <w:rsid w:val="009853C3"/>
    <w:rsid w:val="009860BB"/>
    <w:rsid w:val="009869A0"/>
    <w:rsid w:val="009871D2"/>
    <w:rsid w:val="009872E9"/>
    <w:rsid w:val="009874FD"/>
    <w:rsid w:val="0098767E"/>
    <w:rsid w:val="00990857"/>
    <w:rsid w:val="00990CD0"/>
    <w:rsid w:val="00994CAE"/>
    <w:rsid w:val="009972EC"/>
    <w:rsid w:val="009A0899"/>
    <w:rsid w:val="009A38D2"/>
    <w:rsid w:val="009A39B6"/>
    <w:rsid w:val="009A6CEE"/>
    <w:rsid w:val="009A6D89"/>
    <w:rsid w:val="009A707E"/>
    <w:rsid w:val="009B125D"/>
    <w:rsid w:val="009B191E"/>
    <w:rsid w:val="009B2BA9"/>
    <w:rsid w:val="009B5823"/>
    <w:rsid w:val="009B7B1F"/>
    <w:rsid w:val="009C2037"/>
    <w:rsid w:val="009C29CA"/>
    <w:rsid w:val="009C3385"/>
    <w:rsid w:val="009C503C"/>
    <w:rsid w:val="009C6592"/>
    <w:rsid w:val="009C77D0"/>
    <w:rsid w:val="009D04A3"/>
    <w:rsid w:val="009D58F5"/>
    <w:rsid w:val="009D73DD"/>
    <w:rsid w:val="009D7F84"/>
    <w:rsid w:val="009E092C"/>
    <w:rsid w:val="009E1471"/>
    <w:rsid w:val="009E1B67"/>
    <w:rsid w:val="009E3288"/>
    <w:rsid w:val="009E430E"/>
    <w:rsid w:val="009E711C"/>
    <w:rsid w:val="009E7C06"/>
    <w:rsid w:val="009F18B0"/>
    <w:rsid w:val="009F45D2"/>
    <w:rsid w:val="009F5003"/>
    <w:rsid w:val="009F5A99"/>
    <w:rsid w:val="009F5C3C"/>
    <w:rsid w:val="009F63CD"/>
    <w:rsid w:val="00A02711"/>
    <w:rsid w:val="00A0378A"/>
    <w:rsid w:val="00A048C3"/>
    <w:rsid w:val="00A04C88"/>
    <w:rsid w:val="00A05004"/>
    <w:rsid w:val="00A05B1A"/>
    <w:rsid w:val="00A07643"/>
    <w:rsid w:val="00A07EA5"/>
    <w:rsid w:val="00A1201F"/>
    <w:rsid w:val="00A1394D"/>
    <w:rsid w:val="00A16DE2"/>
    <w:rsid w:val="00A17FF3"/>
    <w:rsid w:val="00A21E13"/>
    <w:rsid w:val="00A220A5"/>
    <w:rsid w:val="00A24012"/>
    <w:rsid w:val="00A257C7"/>
    <w:rsid w:val="00A25BCD"/>
    <w:rsid w:val="00A2621D"/>
    <w:rsid w:val="00A27CEF"/>
    <w:rsid w:val="00A3228E"/>
    <w:rsid w:val="00A32C4C"/>
    <w:rsid w:val="00A32FD1"/>
    <w:rsid w:val="00A3320D"/>
    <w:rsid w:val="00A33565"/>
    <w:rsid w:val="00A33C5E"/>
    <w:rsid w:val="00A4069E"/>
    <w:rsid w:val="00A42F20"/>
    <w:rsid w:val="00A4322D"/>
    <w:rsid w:val="00A44019"/>
    <w:rsid w:val="00A44561"/>
    <w:rsid w:val="00A44E88"/>
    <w:rsid w:val="00A45403"/>
    <w:rsid w:val="00A45E12"/>
    <w:rsid w:val="00A5015A"/>
    <w:rsid w:val="00A509ED"/>
    <w:rsid w:val="00A514BE"/>
    <w:rsid w:val="00A51715"/>
    <w:rsid w:val="00A51D93"/>
    <w:rsid w:val="00A54717"/>
    <w:rsid w:val="00A549E8"/>
    <w:rsid w:val="00A57113"/>
    <w:rsid w:val="00A57C2B"/>
    <w:rsid w:val="00A57C75"/>
    <w:rsid w:val="00A61352"/>
    <w:rsid w:val="00A629D2"/>
    <w:rsid w:val="00A62B7F"/>
    <w:rsid w:val="00A6415E"/>
    <w:rsid w:val="00A649AE"/>
    <w:rsid w:val="00A66595"/>
    <w:rsid w:val="00A6670A"/>
    <w:rsid w:val="00A6763D"/>
    <w:rsid w:val="00A71DB2"/>
    <w:rsid w:val="00A75B23"/>
    <w:rsid w:val="00A76AF2"/>
    <w:rsid w:val="00A77223"/>
    <w:rsid w:val="00A77454"/>
    <w:rsid w:val="00A779F0"/>
    <w:rsid w:val="00A80116"/>
    <w:rsid w:val="00A803D7"/>
    <w:rsid w:val="00A80645"/>
    <w:rsid w:val="00A81711"/>
    <w:rsid w:val="00A8221F"/>
    <w:rsid w:val="00A8311F"/>
    <w:rsid w:val="00A83237"/>
    <w:rsid w:val="00A86519"/>
    <w:rsid w:val="00A866A1"/>
    <w:rsid w:val="00A86D4F"/>
    <w:rsid w:val="00A86F90"/>
    <w:rsid w:val="00A905A9"/>
    <w:rsid w:val="00A90CCD"/>
    <w:rsid w:val="00A92424"/>
    <w:rsid w:val="00A92CB7"/>
    <w:rsid w:val="00A94EB7"/>
    <w:rsid w:val="00A95955"/>
    <w:rsid w:val="00A9607A"/>
    <w:rsid w:val="00A96532"/>
    <w:rsid w:val="00A97AA6"/>
    <w:rsid w:val="00AA20CC"/>
    <w:rsid w:val="00AA293F"/>
    <w:rsid w:val="00AA2F26"/>
    <w:rsid w:val="00AA3063"/>
    <w:rsid w:val="00AA4B5F"/>
    <w:rsid w:val="00AA6C4F"/>
    <w:rsid w:val="00AA6FEF"/>
    <w:rsid w:val="00AB1264"/>
    <w:rsid w:val="00AB2DD2"/>
    <w:rsid w:val="00AB3970"/>
    <w:rsid w:val="00AB4B6A"/>
    <w:rsid w:val="00AB5C11"/>
    <w:rsid w:val="00AB6CFB"/>
    <w:rsid w:val="00AB6D1F"/>
    <w:rsid w:val="00AB7209"/>
    <w:rsid w:val="00AB77E1"/>
    <w:rsid w:val="00AB7A1D"/>
    <w:rsid w:val="00AC0B13"/>
    <w:rsid w:val="00AC11EE"/>
    <w:rsid w:val="00AC45EA"/>
    <w:rsid w:val="00AC53EA"/>
    <w:rsid w:val="00AC53F3"/>
    <w:rsid w:val="00AC5B22"/>
    <w:rsid w:val="00AC6F40"/>
    <w:rsid w:val="00AC72DB"/>
    <w:rsid w:val="00AC7D9D"/>
    <w:rsid w:val="00AD2D00"/>
    <w:rsid w:val="00AD5C04"/>
    <w:rsid w:val="00AD5F32"/>
    <w:rsid w:val="00AD6031"/>
    <w:rsid w:val="00AD6DB6"/>
    <w:rsid w:val="00AD7F61"/>
    <w:rsid w:val="00AE04C3"/>
    <w:rsid w:val="00AE18DB"/>
    <w:rsid w:val="00AE1BF7"/>
    <w:rsid w:val="00AF03EB"/>
    <w:rsid w:val="00AF119E"/>
    <w:rsid w:val="00AF5A97"/>
    <w:rsid w:val="00AF6C45"/>
    <w:rsid w:val="00AF6FD6"/>
    <w:rsid w:val="00B03A4C"/>
    <w:rsid w:val="00B060DC"/>
    <w:rsid w:val="00B108F2"/>
    <w:rsid w:val="00B10A0D"/>
    <w:rsid w:val="00B11633"/>
    <w:rsid w:val="00B120E6"/>
    <w:rsid w:val="00B15E2D"/>
    <w:rsid w:val="00B160E8"/>
    <w:rsid w:val="00B16FDF"/>
    <w:rsid w:val="00B17178"/>
    <w:rsid w:val="00B20D03"/>
    <w:rsid w:val="00B23C5D"/>
    <w:rsid w:val="00B25DE1"/>
    <w:rsid w:val="00B262ED"/>
    <w:rsid w:val="00B26AC4"/>
    <w:rsid w:val="00B31444"/>
    <w:rsid w:val="00B31CD1"/>
    <w:rsid w:val="00B321A6"/>
    <w:rsid w:val="00B32633"/>
    <w:rsid w:val="00B3408B"/>
    <w:rsid w:val="00B35156"/>
    <w:rsid w:val="00B353D6"/>
    <w:rsid w:val="00B35D60"/>
    <w:rsid w:val="00B3619A"/>
    <w:rsid w:val="00B3623F"/>
    <w:rsid w:val="00B3675E"/>
    <w:rsid w:val="00B37087"/>
    <w:rsid w:val="00B42C16"/>
    <w:rsid w:val="00B44265"/>
    <w:rsid w:val="00B44E77"/>
    <w:rsid w:val="00B45BE9"/>
    <w:rsid w:val="00B46CC0"/>
    <w:rsid w:val="00B47D6D"/>
    <w:rsid w:val="00B513CA"/>
    <w:rsid w:val="00B51479"/>
    <w:rsid w:val="00B5321A"/>
    <w:rsid w:val="00B55DF4"/>
    <w:rsid w:val="00B56A61"/>
    <w:rsid w:val="00B56CA7"/>
    <w:rsid w:val="00B6047F"/>
    <w:rsid w:val="00B60715"/>
    <w:rsid w:val="00B61294"/>
    <w:rsid w:val="00B61578"/>
    <w:rsid w:val="00B6215C"/>
    <w:rsid w:val="00B62701"/>
    <w:rsid w:val="00B62D30"/>
    <w:rsid w:val="00B64B79"/>
    <w:rsid w:val="00B665BB"/>
    <w:rsid w:val="00B6662D"/>
    <w:rsid w:val="00B677D4"/>
    <w:rsid w:val="00B67999"/>
    <w:rsid w:val="00B704F6"/>
    <w:rsid w:val="00B70594"/>
    <w:rsid w:val="00B70DEB"/>
    <w:rsid w:val="00B70E89"/>
    <w:rsid w:val="00B738F7"/>
    <w:rsid w:val="00B739EE"/>
    <w:rsid w:val="00B7473B"/>
    <w:rsid w:val="00B7598D"/>
    <w:rsid w:val="00B761A2"/>
    <w:rsid w:val="00B765F3"/>
    <w:rsid w:val="00B77E6B"/>
    <w:rsid w:val="00B77EAE"/>
    <w:rsid w:val="00B80FC7"/>
    <w:rsid w:val="00B8108F"/>
    <w:rsid w:val="00B82285"/>
    <w:rsid w:val="00B82D41"/>
    <w:rsid w:val="00B83CB3"/>
    <w:rsid w:val="00B848D4"/>
    <w:rsid w:val="00B873DB"/>
    <w:rsid w:val="00B93814"/>
    <w:rsid w:val="00B93BB2"/>
    <w:rsid w:val="00B949F3"/>
    <w:rsid w:val="00B94ABB"/>
    <w:rsid w:val="00B954DA"/>
    <w:rsid w:val="00B96303"/>
    <w:rsid w:val="00B97EB6"/>
    <w:rsid w:val="00BA076D"/>
    <w:rsid w:val="00BA3007"/>
    <w:rsid w:val="00BA4D81"/>
    <w:rsid w:val="00BA6D06"/>
    <w:rsid w:val="00BB0F03"/>
    <w:rsid w:val="00BB1DD2"/>
    <w:rsid w:val="00BB20FE"/>
    <w:rsid w:val="00BB3AAB"/>
    <w:rsid w:val="00BB3C2E"/>
    <w:rsid w:val="00BB4923"/>
    <w:rsid w:val="00BB4E1E"/>
    <w:rsid w:val="00BB5707"/>
    <w:rsid w:val="00BB5E8A"/>
    <w:rsid w:val="00BB6E79"/>
    <w:rsid w:val="00BB713C"/>
    <w:rsid w:val="00BC0D41"/>
    <w:rsid w:val="00BC3E67"/>
    <w:rsid w:val="00BC5B7B"/>
    <w:rsid w:val="00BC6F10"/>
    <w:rsid w:val="00BC77DB"/>
    <w:rsid w:val="00BC7E30"/>
    <w:rsid w:val="00BD061D"/>
    <w:rsid w:val="00BD18FB"/>
    <w:rsid w:val="00BD20F3"/>
    <w:rsid w:val="00BD55B7"/>
    <w:rsid w:val="00BE0A97"/>
    <w:rsid w:val="00BE22FF"/>
    <w:rsid w:val="00BE25D3"/>
    <w:rsid w:val="00BE2982"/>
    <w:rsid w:val="00BE37A6"/>
    <w:rsid w:val="00BE5B4A"/>
    <w:rsid w:val="00BE6A81"/>
    <w:rsid w:val="00BE75AB"/>
    <w:rsid w:val="00BF0173"/>
    <w:rsid w:val="00BF0414"/>
    <w:rsid w:val="00BF1C97"/>
    <w:rsid w:val="00BF2EF8"/>
    <w:rsid w:val="00BF40A9"/>
    <w:rsid w:val="00BF4D9C"/>
    <w:rsid w:val="00BF4E27"/>
    <w:rsid w:val="00BF5231"/>
    <w:rsid w:val="00BF549F"/>
    <w:rsid w:val="00BF59B4"/>
    <w:rsid w:val="00BF5A21"/>
    <w:rsid w:val="00BF5AD1"/>
    <w:rsid w:val="00BF71A8"/>
    <w:rsid w:val="00C0172B"/>
    <w:rsid w:val="00C02765"/>
    <w:rsid w:val="00C03755"/>
    <w:rsid w:val="00C03C14"/>
    <w:rsid w:val="00C03D61"/>
    <w:rsid w:val="00C05A00"/>
    <w:rsid w:val="00C0689D"/>
    <w:rsid w:val="00C06A02"/>
    <w:rsid w:val="00C078F3"/>
    <w:rsid w:val="00C07BA8"/>
    <w:rsid w:val="00C113DC"/>
    <w:rsid w:val="00C12218"/>
    <w:rsid w:val="00C12631"/>
    <w:rsid w:val="00C12742"/>
    <w:rsid w:val="00C15125"/>
    <w:rsid w:val="00C17D6D"/>
    <w:rsid w:val="00C20A44"/>
    <w:rsid w:val="00C20D71"/>
    <w:rsid w:val="00C219ED"/>
    <w:rsid w:val="00C22024"/>
    <w:rsid w:val="00C228BA"/>
    <w:rsid w:val="00C2309B"/>
    <w:rsid w:val="00C24FAB"/>
    <w:rsid w:val="00C25C50"/>
    <w:rsid w:val="00C26337"/>
    <w:rsid w:val="00C2663C"/>
    <w:rsid w:val="00C270CE"/>
    <w:rsid w:val="00C27187"/>
    <w:rsid w:val="00C32BAF"/>
    <w:rsid w:val="00C3364F"/>
    <w:rsid w:val="00C3457F"/>
    <w:rsid w:val="00C3465F"/>
    <w:rsid w:val="00C348EC"/>
    <w:rsid w:val="00C34CAC"/>
    <w:rsid w:val="00C362EB"/>
    <w:rsid w:val="00C40DE8"/>
    <w:rsid w:val="00C41405"/>
    <w:rsid w:val="00C41B3D"/>
    <w:rsid w:val="00C41BBD"/>
    <w:rsid w:val="00C43926"/>
    <w:rsid w:val="00C44D88"/>
    <w:rsid w:val="00C4548E"/>
    <w:rsid w:val="00C45A92"/>
    <w:rsid w:val="00C460A8"/>
    <w:rsid w:val="00C50E1F"/>
    <w:rsid w:val="00C5158D"/>
    <w:rsid w:val="00C5339A"/>
    <w:rsid w:val="00C534E3"/>
    <w:rsid w:val="00C54465"/>
    <w:rsid w:val="00C54AA1"/>
    <w:rsid w:val="00C5528D"/>
    <w:rsid w:val="00C56808"/>
    <w:rsid w:val="00C61F8D"/>
    <w:rsid w:val="00C62E8E"/>
    <w:rsid w:val="00C64283"/>
    <w:rsid w:val="00C6485E"/>
    <w:rsid w:val="00C658A3"/>
    <w:rsid w:val="00C65AE0"/>
    <w:rsid w:val="00C67A01"/>
    <w:rsid w:val="00C7093B"/>
    <w:rsid w:val="00C70B20"/>
    <w:rsid w:val="00C70DAE"/>
    <w:rsid w:val="00C72775"/>
    <w:rsid w:val="00C72B4F"/>
    <w:rsid w:val="00C741D7"/>
    <w:rsid w:val="00C742A4"/>
    <w:rsid w:val="00C75E5D"/>
    <w:rsid w:val="00C76E87"/>
    <w:rsid w:val="00C77F93"/>
    <w:rsid w:val="00C8127A"/>
    <w:rsid w:val="00C827DF"/>
    <w:rsid w:val="00C83F30"/>
    <w:rsid w:val="00C84E92"/>
    <w:rsid w:val="00C93080"/>
    <w:rsid w:val="00C93177"/>
    <w:rsid w:val="00C96AFE"/>
    <w:rsid w:val="00CA0397"/>
    <w:rsid w:val="00CA1823"/>
    <w:rsid w:val="00CA33CE"/>
    <w:rsid w:val="00CA3D3C"/>
    <w:rsid w:val="00CA457A"/>
    <w:rsid w:val="00CA4602"/>
    <w:rsid w:val="00CA5016"/>
    <w:rsid w:val="00CA6329"/>
    <w:rsid w:val="00CA668D"/>
    <w:rsid w:val="00CA6CCB"/>
    <w:rsid w:val="00CB2BD1"/>
    <w:rsid w:val="00CB73AF"/>
    <w:rsid w:val="00CC0420"/>
    <w:rsid w:val="00CC07B1"/>
    <w:rsid w:val="00CC2E40"/>
    <w:rsid w:val="00CC3C98"/>
    <w:rsid w:val="00CC566B"/>
    <w:rsid w:val="00CC5AE6"/>
    <w:rsid w:val="00CC5B1A"/>
    <w:rsid w:val="00CC60E9"/>
    <w:rsid w:val="00CC61E2"/>
    <w:rsid w:val="00CC6E83"/>
    <w:rsid w:val="00CD0B43"/>
    <w:rsid w:val="00CD3EA4"/>
    <w:rsid w:val="00CD7AAC"/>
    <w:rsid w:val="00CD7D1A"/>
    <w:rsid w:val="00CE0620"/>
    <w:rsid w:val="00CE1E28"/>
    <w:rsid w:val="00CE2314"/>
    <w:rsid w:val="00CE2E91"/>
    <w:rsid w:val="00CE6B6D"/>
    <w:rsid w:val="00CE76B8"/>
    <w:rsid w:val="00CF006B"/>
    <w:rsid w:val="00CF158E"/>
    <w:rsid w:val="00CF3ADB"/>
    <w:rsid w:val="00CF73AF"/>
    <w:rsid w:val="00CF73E8"/>
    <w:rsid w:val="00D028E3"/>
    <w:rsid w:val="00D02F72"/>
    <w:rsid w:val="00D06C7F"/>
    <w:rsid w:val="00D079BD"/>
    <w:rsid w:val="00D101DD"/>
    <w:rsid w:val="00D1077B"/>
    <w:rsid w:val="00D10B4F"/>
    <w:rsid w:val="00D13943"/>
    <w:rsid w:val="00D15DFF"/>
    <w:rsid w:val="00D1644A"/>
    <w:rsid w:val="00D219A3"/>
    <w:rsid w:val="00D227A4"/>
    <w:rsid w:val="00D23A13"/>
    <w:rsid w:val="00D23B62"/>
    <w:rsid w:val="00D241BF"/>
    <w:rsid w:val="00D24E5B"/>
    <w:rsid w:val="00D24F55"/>
    <w:rsid w:val="00D250F2"/>
    <w:rsid w:val="00D25E07"/>
    <w:rsid w:val="00D266A8"/>
    <w:rsid w:val="00D26970"/>
    <w:rsid w:val="00D31DF6"/>
    <w:rsid w:val="00D33BF5"/>
    <w:rsid w:val="00D35E63"/>
    <w:rsid w:val="00D37485"/>
    <w:rsid w:val="00D40073"/>
    <w:rsid w:val="00D40497"/>
    <w:rsid w:val="00D41046"/>
    <w:rsid w:val="00D460FF"/>
    <w:rsid w:val="00D46D24"/>
    <w:rsid w:val="00D470A9"/>
    <w:rsid w:val="00D51899"/>
    <w:rsid w:val="00D52DF8"/>
    <w:rsid w:val="00D532F2"/>
    <w:rsid w:val="00D55505"/>
    <w:rsid w:val="00D5620B"/>
    <w:rsid w:val="00D57629"/>
    <w:rsid w:val="00D57CD0"/>
    <w:rsid w:val="00D60C28"/>
    <w:rsid w:val="00D60E92"/>
    <w:rsid w:val="00D60F61"/>
    <w:rsid w:val="00D61CD0"/>
    <w:rsid w:val="00D620D4"/>
    <w:rsid w:val="00D62DFA"/>
    <w:rsid w:val="00D63EED"/>
    <w:rsid w:val="00D66713"/>
    <w:rsid w:val="00D73D61"/>
    <w:rsid w:val="00D740B0"/>
    <w:rsid w:val="00D74AB5"/>
    <w:rsid w:val="00D74DEA"/>
    <w:rsid w:val="00D75FE0"/>
    <w:rsid w:val="00D769CF"/>
    <w:rsid w:val="00D7775F"/>
    <w:rsid w:val="00D81CD3"/>
    <w:rsid w:val="00D82498"/>
    <w:rsid w:val="00D860ED"/>
    <w:rsid w:val="00D868C6"/>
    <w:rsid w:val="00D870F5"/>
    <w:rsid w:val="00D90A66"/>
    <w:rsid w:val="00D90A6C"/>
    <w:rsid w:val="00D90AB8"/>
    <w:rsid w:val="00D92A67"/>
    <w:rsid w:val="00D95D8F"/>
    <w:rsid w:val="00D96DDB"/>
    <w:rsid w:val="00D96F59"/>
    <w:rsid w:val="00D97598"/>
    <w:rsid w:val="00D97BE6"/>
    <w:rsid w:val="00DA10B1"/>
    <w:rsid w:val="00DA5D46"/>
    <w:rsid w:val="00DA6E89"/>
    <w:rsid w:val="00DA712B"/>
    <w:rsid w:val="00DB036F"/>
    <w:rsid w:val="00DB0707"/>
    <w:rsid w:val="00DB1364"/>
    <w:rsid w:val="00DB1F92"/>
    <w:rsid w:val="00DB4A04"/>
    <w:rsid w:val="00DB6772"/>
    <w:rsid w:val="00DB7DA0"/>
    <w:rsid w:val="00DB7F83"/>
    <w:rsid w:val="00DC0336"/>
    <w:rsid w:val="00DC0483"/>
    <w:rsid w:val="00DC27B1"/>
    <w:rsid w:val="00DC46BD"/>
    <w:rsid w:val="00DC5925"/>
    <w:rsid w:val="00DC7840"/>
    <w:rsid w:val="00DC7A42"/>
    <w:rsid w:val="00DC7EC6"/>
    <w:rsid w:val="00DD0B63"/>
    <w:rsid w:val="00DD215D"/>
    <w:rsid w:val="00DD2416"/>
    <w:rsid w:val="00DE19D4"/>
    <w:rsid w:val="00DE4EDE"/>
    <w:rsid w:val="00DF0864"/>
    <w:rsid w:val="00DF14E9"/>
    <w:rsid w:val="00DF396E"/>
    <w:rsid w:val="00DF3ABE"/>
    <w:rsid w:val="00DF4A6B"/>
    <w:rsid w:val="00DF6523"/>
    <w:rsid w:val="00E01E51"/>
    <w:rsid w:val="00E02060"/>
    <w:rsid w:val="00E033A6"/>
    <w:rsid w:val="00E054AA"/>
    <w:rsid w:val="00E0585D"/>
    <w:rsid w:val="00E06FE8"/>
    <w:rsid w:val="00E07078"/>
    <w:rsid w:val="00E072DA"/>
    <w:rsid w:val="00E076C5"/>
    <w:rsid w:val="00E07B2C"/>
    <w:rsid w:val="00E07E97"/>
    <w:rsid w:val="00E112B2"/>
    <w:rsid w:val="00E11FDF"/>
    <w:rsid w:val="00E132A4"/>
    <w:rsid w:val="00E138CD"/>
    <w:rsid w:val="00E173B6"/>
    <w:rsid w:val="00E20000"/>
    <w:rsid w:val="00E222B7"/>
    <w:rsid w:val="00E22822"/>
    <w:rsid w:val="00E229A7"/>
    <w:rsid w:val="00E23ADD"/>
    <w:rsid w:val="00E24338"/>
    <w:rsid w:val="00E243A6"/>
    <w:rsid w:val="00E248F2"/>
    <w:rsid w:val="00E251F6"/>
    <w:rsid w:val="00E25613"/>
    <w:rsid w:val="00E26ECF"/>
    <w:rsid w:val="00E26EDF"/>
    <w:rsid w:val="00E26F2D"/>
    <w:rsid w:val="00E27B11"/>
    <w:rsid w:val="00E323D8"/>
    <w:rsid w:val="00E324B2"/>
    <w:rsid w:val="00E32F91"/>
    <w:rsid w:val="00E341FC"/>
    <w:rsid w:val="00E34AD1"/>
    <w:rsid w:val="00E40355"/>
    <w:rsid w:val="00E42DED"/>
    <w:rsid w:val="00E43984"/>
    <w:rsid w:val="00E44410"/>
    <w:rsid w:val="00E44C02"/>
    <w:rsid w:val="00E450B3"/>
    <w:rsid w:val="00E45935"/>
    <w:rsid w:val="00E46509"/>
    <w:rsid w:val="00E46DBC"/>
    <w:rsid w:val="00E476BD"/>
    <w:rsid w:val="00E50409"/>
    <w:rsid w:val="00E506AE"/>
    <w:rsid w:val="00E5200B"/>
    <w:rsid w:val="00E554A0"/>
    <w:rsid w:val="00E56E9A"/>
    <w:rsid w:val="00E604B5"/>
    <w:rsid w:val="00E632B4"/>
    <w:rsid w:val="00E64042"/>
    <w:rsid w:val="00E671A7"/>
    <w:rsid w:val="00E67CF7"/>
    <w:rsid w:val="00E67DB4"/>
    <w:rsid w:val="00E7036F"/>
    <w:rsid w:val="00E71F2E"/>
    <w:rsid w:val="00E745B1"/>
    <w:rsid w:val="00E74818"/>
    <w:rsid w:val="00E74E6E"/>
    <w:rsid w:val="00E75575"/>
    <w:rsid w:val="00E7558A"/>
    <w:rsid w:val="00E76DBA"/>
    <w:rsid w:val="00E77018"/>
    <w:rsid w:val="00E77B19"/>
    <w:rsid w:val="00E8058E"/>
    <w:rsid w:val="00E807E3"/>
    <w:rsid w:val="00E8223A"/>
    <w:rsid w:val="00E83F68"/>
    <w:rsid w:val="00E863F6"/>
    <w:rsid w:val="00E92091"/>
    <w:rsid w:val="00E9581E"/>
    <w:rsid w:val="00E95BD4"/>
    <w:rsid w:val="00E95FC8"/>
    <w:rsid w:val="00EA30C9"/>
    <w:rsid w:val="00EA3B38"/>
    <w:rsid w:val="00EA477C"/>
    <w:rsid w:val="00EA4D40"/>
    <w:rsid w:val="00EA54A5"/>
    <w:rsid w:val="00EA55FC"/>
    <w:rsid w:val="00EA6587"/>
    <w:rsid w:val="00EA728F"/>
    <w:rsid w:val="00EA7AB1"/>
    <w:rsid w:val="00EB0F3D"/>
    <w:rsid w:val="00EB15FA"/>
    <w:rsid w:val="00EB1D39"/>
    <w:rsid w:val="00EB639B"/>
    <w:rsid w:val="00EB66CB"/>
    <w:rsid w:val="00EB6BCB"/>
    <w:rsid w:val="00EB7F4E"/>
    <w:rsid w:val="00EC02E7"/>
    <w:rsid w:val="00EC0399"/>
    <w:rsid w:val="00EC0CE2"/>
    <w:rsid w:val="00EC2FC3"/>
    <w:rsid w:val="00EC4D23"/>
    <w:rsid w:val="00EC5451"/>
    <w:rsid w:val="00EC7215"/>
    <w:rsid w:val="00EC7257"/>
    <w:rsid w:val="00ED012F"/>
    <w:rsid w:val="00ED0457"/>
    <w:rsid w:val="00ED05A8"/>
    <w:rsid w:val="00ED3E76"/>
    <w:rsid w:val="00ED4369"/>
    <w:rsid w:val="00ED5352"/>
    <w:rsid w:val="00ED7FB9"/>
    <w:rsid w:val="00EE04F0"/>
    <w:rsid w:val="00EE1874"/>
    <w:rsid w:val="00EE256B"/>
    <w:rsid w:val="00EE2B2A"/>
    <w:rsid w:val="00EE6680"/>
    <w:rsid w:val="00EE6D4D"/>
    <w:rsid w:val="00EE760D"/>
    <w:rsid w:val="00EE7A84"/>
    <w:rsid w:val="00EF1480"/>
    <w:rsid w:val="00EF18DE"/>
    <w:rsid w:val="00EF2873"/>
    <w:rsid w:val="00EF3470"/>
    <w:rsid w:val="00EF3E55"/>
    <w:rsid w:val="00EF3ED3"/>
    <w:rsid w:val="00EF74FC"/>
    <w:rsid w:val="00EF79F3"/>
    <w:rsid w:val="00F00ABF"/>
    <w:rsid w:val="00F01CE8"/>
    <w:rsid w:val="00F02B57"/>
    <w:rsid w:val="00F02BF5"/>
    <w:rsid w:val="00F03345"/>
    <w:rsid w:val="00F05721"/>
    <w:rsid w:val="00F06780"/>
    <w:rsid w:val="00F07010"/>
    <w:rsid w:val="00F07084"/>
    <w:rsid w:val="00F075B5"/>
    <w:rsid w:val="00F07627"/>
    <w:rsid w:val="00F0781E"/>
    <w:rsid w:val="00F124DF"/>
    <w:rsid w:val="00F15B10"/>
    <w:rsid w:val="00F175D4"/>
    <w:rsid w:val="00F17D9B"/>
    <w:rsid w:val="00F2218C"/>
    <w:rsid w:val="00F22928"/>
    <w:rsid w:val="00F242D8"/>
    <w:rsid w:val="00F24F79"/>
    <w:rsid w:val="00F2509B"/>
    <w:rsid w:val="00F276FB"/>
    <w:rsid w:val="00F27AE6"/>
    <w:rsid w:val="00F27E5D"/>
    <w:rsid w:val="00F30497"/>
    <w:rsid w:val="00F308D6"/>
    <w:rsid w:val="00F31346"/>
    <w:rsid w:val="00F316EE"/>
    <w:rsid w:val="00F336EF"/>
    <w:rsid w:val="00F33886"/>
    <w:rsid w:val="00F34A77"/>
    <w:rsid w:val="00F34E04"/>
    <w:rsid w:val="00F352AA"/>
    <w:rsid w:val="00F35A5F"/>
    <w:rsid w:val="00F36A2A"/>
    <w:rsid w:val="00F36BC2"/>
    <w:rsid w:val="00F40343"/>
    <w:rsid w:val="00F421D7"/>
    <w:rsid w:val="00F42517"/>
    <w:rsid w:val="00F4267B"/>
    <w:rsid w:val="00F43330"/>
    <w:rsid w:val="00F43D3E"/>
    <w:rsid w:val="00F4596B"/>
    <w:rsid w:val="00F51078"/>
    <w:rsid w:val="00F52888"/>
    <w:rsid w:val="00F52C55"/>
    <w:rsid w:val="00F5378E"/>
    <w:rsid w:val="00F54437"/>
    <w:rsid w:val="00F55049"/>
    <w:rsid w:val="00F55B56"/>
    <w:rsid w:val="00F562A6"/>
    <w:rsid w:val="00F60F6C"/>
    <w:rsid w:val="00F63087"/>
    <w:rsid w:val="00F64361"/>
    <w:rsid w:val="00F658EA"/>
    <w:rsid w:val="00F66097"/>
    <w:rsid w:val="00F705F7"/>
    <w:rsid w:val="00F759E7"/>
    <w:rsid w:val="00F76669"/>
    <w:rsid w:val="00F76DD0"/>
    <w:rsid w:val="00F82233"/>
    <w:rsid w:val="00F84EB6"/>
    <w:rsid w:val="00F90C09"/>
    <w:rsid w:val="00F90D37"/>
    <w:rsid w:val="00F91150"/>
    <w:rsid w:val="00F91162"/>
    <w:rsid w:val="00F913FF"/>
    <w:rsid w:val="00F916A6"/>
    <w:rsid w:val="00F924A6"/>
    <w:rsid w:val="00F948D8"/>
    <w:rsid w:val="00F955B8"/>
    <w:rsid w:val="00F97176"/>
    <w:rsid w:val="00FA065C"/>
    <w:rsid w:val="00FA25CD"/>
    <w:rsid w:val="00FA32DE"/>
    <w:rsid w:val="00FA4623"/>
    <w:rsid w:val="00FA4CAA"/>
    <w:rsid w:val="00FA4D46"/>
    <w:rsid w:val="00FA7BBB"/>
    <w:rsid w:val="00FB0309"/>
    <w:rsid w:val="00FB05F4"/>
    <w:rsid w:val="00FB0DF6"/>
    <w:rsid w:val="00FB15EF"/>
    <w:rsid w:val="00FB1A00"/>
    <w:rsid w:val="00FB2698"/>
    <w:rsid w:val="00FB28DF"/>
    <w:rsid w:val="00FB2A73"/>
    <w:rsid w:val="00FB2B02"/>
    <w:rsid w:val="00FB3A8D"/>
    <w:rsid w:val="00FB4428"/>
    <w:rsid w:val="00FB5DF6"/>
    <w:rsid w:val="00FB638B"/>
    <w:rsid w:val="00FB7AA7"/>
    <w:rsid w:val="00FC2A36"/>
    <w:rsid w:val="00FC4E01"/>
    <w:rsid w:val="00FC4FDA"/>
    <w:rsid w:val="00FC60EB"/>
    <w:rsid w:val="00FC6B53"/>
    <w:rsid w:val="00FC7AD9"/>
    <w:rsid w:val="00FD01DB"/>
    <w:rsid w:val="00FD1768"/>
    <w:rsid w:val="00FD2355"/>
    <w:rsid w:val="00FD280C"/>
    <w:rsid w:val="00FD3607"/>
    <w:rsid w:val="00FD3DA2"/>
    <w:rsid w:val="00FD5892"/>
    <w:rsid w:val="00FD7235"/>
    <w:rsid w:val="00FD729E"/>
    <w:rsid w:val="00FD77E6"/>
    <w:rsid w:val="00FE0290"/>
    <w:rsid w:val="00FE089E"/>
    <w:rsid w:val="00FE13BA"/>
    <w:rsid w:val="00FE1844"/>
    <w:rsid w:val="00FE1931"/>
    <w:rsid w:val="00FE1AE9"/>
    <w:rsid w:val="00FE21E2"/>
    <w:rsid w:val="00FE655D"/>
    <w:rsid w:val="00FE7B42"/>
    <w:rsid w:val="00FF11AE"/>
    <w:rsid w:val="00FF13B9"/>
    <w:rsid w:val="00FF144D"/>
    <w:rsid w:val="00FF2698"/>
    <w:rsid w:val="00FF356E"/>
    <w:rsid w:val="00FF3CC2"/>
    <w:rsid w:val="00FF4157"/>
    <w:rsid w:val="00FF52C3"/>
    <w:rsid w:val="00FF5E8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9C4FBA"/>
  <w14:defaultImageDpi w14:val="300"/>
  <w15:docId w15:val="{BC83FA72-A040-954F-93AE-BB476FAB3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7C3D"/>
    <w:rPr>
      <w:rFonts w:eastAsiaTheme="minorHAnsi"/>
      <w:sz w:val="22"/>
      <w:szCs w:val="22"/>
      <w:lang w:val="es-MX" w:eastAsia="en-US"/>
    </w:rPr>
  </w:style>
  <w:style w:type="paragraph" w:styleId="Ttulo1">
    <w:name w:val="heading 1"/>
    <w:basedOn w:val="Normal"/>
    <w:next w:val="Normal"/>
    <w:link w:val="Ttulo1Car"/>
    <w:uiPriority w:val="9"/>
    <w:qFormat/>
    <w:rsid w:val="00BB492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BB4923"/>
    <w:pPr>
      <w:keepNext/>
      <w:keepLines/>
      <w:spacing w:before="200"/>
      <w:outlineLvl w:val="1"/>
    </w:pPr>
    <w:rPr>
      <w:rFonts w:asciiTheme="majorHAnsi" w:eastAsiaTheme="majorEastAsia" w:hAnsiTheme="majorHAnsi" w:cstheme="majorBidi"/>
      <w:b/>
      <w:bCs/>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497B8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97B85"/>
    <w:rPr>
      <w:rFonts w:asciiTheme="majorHAnsi" w:eastAsiaTheme="majorEastAsia" w:hAnsiTheme="majorHAnsi" w:cstheme="majorBidi"/>
      <w:color w:val="17365D" w:themeColor="text2" w:themeShade="BF"/>
      <w:spacing w:val="5"/>
      <w:kern w:val="28"/>
      <w:sz w:val="52"/>
      <w:szCs w:val="52"/>
      <w:lang w:val="es-MX" w:eastAsia="en-US"/>
    </w:rPr>
  </w:style>
  <w:style w:type="paragraph" w:styleId="Textodeglobo">
    <w:name w:val="Balloon Text"/>
    <w:basedOn w:val="Normal"/>
    <w:link w:val="TextodegloboCar"/>
    <w:uiPriority w:val="99"/>
    <w:semiHidden/>
    <w:unhideWhenUsed/>
    <w:rsid w:val="00497B85"/>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97B85"/>
    <w:rPr>
      <w:rFonts w:ascii="Lucida Grande" w:hAnsi="Lucida Grande" w:cs="Lucida Grande"/>
      <w:sz w:val="18"/>
      <w:szCs w:val="18"/>
    </w:rPr>
  </w:style>
  <w:style w:type="character" w:customStyle="1" w:styleId="Ttulo1Car">
    <w:name w:val="Título 1 Car"/>
    <w:basedOn w:val="Fuentedeprrafopredeter"/>
    <w:link w:val="Ttulo1"/>
    <w:uiPriority w:val="9"/>
    <w:rsid w:val="00BB4923"/>
    <w:rPr>
      <w:rFonts w:asciiTheme="majorHAnsi" w:eastAsiaTheme="majorEastAsia" w:hAnsiTheme="majorHAnsi" w:cstheme="majorBidi"/>
      <w:b/>
      <w:bCs/>
      <w:color w:val="345A8A" w:themeColor="accent1" w:themeShade="B5"/>
      <w:sz w:val="32"/>
      <w:szCs w:val="32"/>
    </w:rPr>
  </w:style>
  <w:style w:type="character" w:customStyle="1" w:styleId="Ttulo2Car">
    <w:name w:val="Título 2 Car"/>
    <w:basedOn w:val="Fuentedeprrafopredeter"/>
    <w:link w:val="Ttulo2"/>
    <w:uiPriority w:val="9"/>
    <w:rsid w:val="00BB4923"/>
    <w:rPr>
      <w:rFonts w:asciiTheme="majorHAnsi" w:eastAsiaTheme="majorEastAsia" w:hAnsiTheme="majorHAnsi" w:cstheme="majorBidi"/>
      <w:b/>
      <w:bCs/>
      <w:color w:val="365F91" w:themeColor="accent1" w:themeShade="BF"/>
      <w:sz w:val="26"/>
      <w:szCs w:val="26"/>
    </w:rPr>
  </w:style>
  <w:style w:type="paragraph" w:styleId="Textonotapie">
    <w:name w:val="footnote text"/>
    <w:aliases w:val="Texto nota pie Car Car Car Car Car Car,Texto nota pie Car Car Car Car Car,Texto,nota,Texto nota pie Car Car Car Car,Texto nota pie Car Car Car Car Car Car Car Car,Texto nota pie Car Car Car Car Car Ca,pie,Footnote Text Char Char Char Char"/>
    <w:basedOn w:val="Normal"/>
    <w:link w:val="TextonotapieCar"/>
    <w:uiPriority w:val="99"/>
    <w:unhideWhenUsed/>
    <w:qFormat/>
    <w:rsid w:val="0017003C"/>
    <w:rPr>
      <w:rFonts w:ascii="Arial" w:hAnsi="Arial" w:cs="Arial"/>
    </w:rPr>
  </w:style>
  <w:style w:type="character" w:customStyle="1" w:styleId="TextonotapieCar">
    <w:name w:val="Texto nota pie Car"/>
    <w:aliases w:val="Texto nota pie Car Car Car Car Car Car Car,Texto nota pie Car Car Car Car Car Car1,Texto Car,nota Car,Texto nota pie Car Car Car Car Car1,Texto nota pie Car Car Car Car Car Car Car Car Car,Texto nota pie Car Car Car Car Car Ca Car"/>
    <w:basedOn w:val="Fuentedeprrafopredeter"/>
    <w:link w:val="Textonotapie"/>
    <w:uiPriority w:val="99"/>
    <w:rsid w:val="0017003C"/>
    <w:rPr>
      <w:rFonts w:ascii="Arial" w:eastAsiaTheme="minorHAnsi" w:hAnsi="Arial" w:cs="Arial"/>
      <w:lang w:val="es-MX" w:eastAsia="en-US"/>
    </w:rPr>
  </w:style>
  <w:style w:type="character" w:styleId="Refdenotaalpie">
    <w:name w:val="footnote reference"/>
    <w:aliases w:val="Texto nota al pie,Texto de nota al pie,Footnotes refss,Ref. de nota al pie 2,Appel note de bas de page,referencia nota al pie,BVI fnr,Footnote number,f,4_G,16 Point,Superscript 6 Point,Footnote Reference Char3,ftref,Ref,number,SUPERS"/>
    <w:basedOn w:val="Fuentedeprrafopredeter"/>
    <w:link w:val="Char2"/>
    <w:uiPriority w:val="99"/>
    <w:unhideWhenUsed/>
    <w:qFormat/>
    <w:rsid w:val="0017003C"/>
    <w:rPr>
      <w:vertAlign w:val="superscript"/>
    </w:rPr>
  </w:style>
  <w:style w:type="character" w:styleId="Hipervnculo">
    <w:name w:val="Hyperlink"/>
    <w:basedOn w:val="Fuentedeprrafopredeter"/>
    <w:uiPriority w:val="99"/>
    <w:unhideWhenUsed/>
    <w:rsid w:val="0017003C"/>
    <w:rPr>
      <w:color w:val="0000FF" w:themeColor="hyperlink"/>
      <w:u w:val="single"/>
    </w:rPr>
  </w:style>
  <w:style w:type="paragraph" w:styleId="Prrafodelista">
    <w:name w:val="List Paragraph"/>
    <w:aliases w:val="List Paragraph1,Bullet 1,Bullet Points,Bullets,Dot pt,F5 List Paragraph,Indicator Text,L,Lapis Bulleted List,List Paragraph (numbered (a)),List Paragraph Char Char Char,List Paragraph12,MAIN CONTENT,No Spacing1,Numbered Para 1,WB Para"/>
    <w:basedOn w:val="Normal"/>
    <w:link w:val="PrrafodelistaCar"/>
    <w:uiPriority w:val="34"/>
    <w:qFormat/>
    <w:rsid w:val="00F0781E"/>
    <w:pPr>
      <w:ind w:left="720"/>
      <w:contextualSpacing/>
    </w:pPr>
  </w:style>
  <w:style w:type="paragraph" w:styleId="NormalWeb">
    <w:name w:val="Normal (Web)"/>
    <w:basedOn w:val="Normal"/>
    <w:uiPriority w:val="99"/>
    <w:unhideWhenUsed/>
    <w:rsid w:val="000C423E"/>
    <w:pPr>
      <w:spacing w:before="100" w:beforeAutospacing="1" w:after="100" w:afterAutospacing="1"/>
    </w:pPr>
    <w:rPr>
      <w:rFonts w:ascii="Times New Roman" w:hAnsi="Times New Roman" w:cs="Times New Roman"/>
      <w:sz w:val="20"/>
      <w:szCs w:val="20"/>
    </w:rPr>
  </w:style>
  <w:style w:type="paragraph" w:styleId="HTMLconformatoprevio">
    <w:name w:val="HTML Preformatted"/>
    <w:basedOn w:val="Normal"/>
    <w:link w:val="HTMLconformatoprevioCar"/>
    <w:uiPriority w:val="99"/>
    <w:semiHidden/>
    <w:unhideWhenUsed/>
    <w:rsid w:val="001214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conformatoprevioCar">
    <w:name w:val="HTML con formato previo Car"/>
    <w:basedOn w:val="Fuentedeprrafopredeter"/>
    <w:link w:val="HTMLconformatoprevio"/>
    <w:uiPriority w:val="99"/>
    <w:semiHidden/>
    <w:rsid w:val="0012142F"/>
    <w:rPr>
      <w:rFonts w:ascii="Courier" w:hAnsi="Courier" w:cs="Courier"/>
      <w:sz w:val="20"/>
      <w:szCs w:val="20"/>
      <w:lang w:val="es-MX"/>
    </w:rPr>
  </w:style>
  <w:style w:type="paragraph" w:styleId="Piedepgina">
    <w:name w:val="footer"/>
    <w:basedOn w:val="Normal"/>
    <w:link w:val="PiedepginaCar"/>
    <w:uiPriority w:val="99"/>
    <w:unhideWhenUsed/>
    <w:rsid w:val="002B0A46"/>
    <w:pPr>
      <w:tabs>
        <w:tab w:val="center" w:pos="4252"/>
        <w:tab w:val="right" w:pos="8504"/>
      </w:tabs>
    </w:pPr>
  </w:style>
  <w:style w:type="character" w:customStyle="1" w:styleId="PiedepginaCar">
    <w:name w:val="Pie de página Car"/>
    <w:basedOn w:val="Fuentedeprrafopredeter"/>
    <w:link w:val="Piedepgina"/>
    <w:uiPriority w:val="99"/>
    <w:rsid w:val="002B0A46"/>
  </w:style>
  <w:style w:type="character" w:styleId="Nmerodepgina">
    <w:name w:val="page number"/>
    <w:basedOn w:val="Fuentedeprrafopredeter"/>
    <w:uiPriority w:val="99"/>
    <w:semiHidden/>
    <w:unhideWhenUsed/>
    <w:rsid w:val="002B0A46"/>
  </w:style>
  <w:style w:type="character" w:customStyle="1" w:styleId="s2">
    <w:name w:val="s2"/>
    <w:basedOn w:val="Fuentedeprrafopredeter"/>
    <w:rsid w:val="00B55DF4"/>
  </w:style>
  <w:style w:type="character" w:customStyle="1" w:styleId="s1">
    <w:name w:val="s1"/>
    <w:basedOn w:val="Fuentedeprrafopredeter"/>
    <w:rsid w:val="00B55DF4"/>
  </w:style>
  <w:style w:type="table" w:styleId="Tablaconcuadrcula">
    <w:name w:val="Table Grid"/>
    <w:basedOn w:val="Tablanormal"/>
    <w:uiPriority w:val="59"/>
    <w:rsid w:val="002075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6E43C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1">
    <w:name w:val="Light List Accent 1"/>
    <w:basedOn w:val="Tablanormal"/>
    <w:uiPriority w:val="61"/>
    <w:rsid w:val="006E43C9"/>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Cuadrculaclara-nfasis1">
    <w:name w:val="Light Grid Accent 1"/>
    <w:basedOn w:val="Tablanormal"/>
    <w:uiPriority w:val="62"/>
    <w:rsid w:val="00275FB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Refdecomentario">
    <w:name w:val="annotation reference"/>
    <w:basedOn w:val="Fuentedeprrafopredeter"/>
    <w:uiPriority w:val="99"/>
    <w:semiHidden/>
    <w:unhideWhenUsed/>
    <w:rsid w:val="008C2091"/>
    <w:rPr>
      <w:sz w:val="18"/>
      <w:szCs w:val="18"/>
    </w:rPr>
  </w:style>
  <w:style w:type="paragraph" w:styleId="Textocomentario">
    <w:name w:val="annotation text"/>
    <w:basedOn w:val="Normal"/>
    <w:link w:val="TextocomentarioCar"/>
    <w:uiPriority w:val="99"/>
    <w:semiHidden/>
    <w:unhideWhenUsed/>
    <w:rsid w:val="008C2091"/>
  </w:style>
  <w:style w:type="character" w:customStyle="1" w:styleId="TextocomentarioCar">
    <w:name w:val="Texto comentario Car"/>
    <w:basedOn w:val="Fuentedeprrafopredeter"/>
    <w:link w:val="Textocomentario"/>
    <w:uiPriority w:val="99"/>
    <w:semiHidden/>
    <w:rsid w:val="008C2091"/>
  </w:style>
  <w:style w:type="paragraph" w:styleId="Asuntodelcomentario">
    <w:name w:val="annotation subject"/>
    <w:basedOn w:val="Textocomentario"/>
    <w:next w:val="Textocomentario"/>
    <w:link w:val="AsuntodelcomentarioCar"/>
    <w:uiPriority w:val="99"/>
    <w:semiHidden/>
    <w:unhideWhenUsed/>
    <w:rsid w:val="008C2091"/>
    <w:rPr>
      <w:b/>
      <w:bCs/>
      <w:sz w:val="20"/>
      <w:szCs w:val="20"/>
    </w:rPr>
  </w:style>
  <w:style w:type="character" w:customStyle="1" w:styleId="AsuntodelcomentarioCar">
    <w:name w:val="Asunto del comentario Car"/>
    <w:basedOn w:val="TextocomentarioCar"/>
    <w:link w:val="Asuntodelcomentario"/>
    <w:uiPriority w:val="99"/>
    <w:semiHidden/>
    <w:rsid w:val="008C2091"/>
    <w:rPr>
      <w:b/>
      <w:bCs/>
      <w:sz w:val="20"/>
      <w:szCs w:val="20"/>
    </w:rPr>
  </w:style>
  <w:style w:type="paragraph" w:styleId="TDC1">
    <w:name w:val="toc 1"/>
    <w:basedOn w:val="Normal"/>
    <w:next w:val="Normal"/>
    <w:autoRedefine/>
    <w:uiPriority w:val="39"/>
    <w:unhideWhenUsed/>
    <w:rsid w:val="00E604B5"/>
    <w:pPr>
      <w:tabs>
        <w:tab w:val="right" w:leader="dot" w:pos="8828"/>
      </w:tabs>
      <w:spacing w:after="120"/>
    </w:pPr>
    <w:rPr>
      <w:rFonts w:asciiTheme="majorHAnsi" w:hAnsiTheme="majorHAnsi" w:cstheme="majorHAnsi"/>
      <w:b/>
      <w:bCs/>
      <w:color w:val="00B0F0"/>
    </w:rPr>
  </w:style>
  <w:style w:type="paragraph" w:styleId="TDC2">
    <w:name w:val="toc 2"/>
    <w:basedOn w:val="Normal"/>
    <w:next w:val="Normal"/>
    <w:autoRedefine/>
    <w:uiPriority w:val="39"/>
    <w:unhideWhenUsed/>
    <w:rsid w:val="00BD55B7"/>
    <w:pPr>
      <w:ind w:left="240"/>
    </w:pPr>
  </w:style>
  <w:style w:type="paragraph" w:styleId="TDC3">
    <w:name w:val="toc 3"/>
    <w:basedOn w:val="Normal"/>
    <w:next w:val="Normal"/>
    <w:autoRedefine/>
    <w:uiPriority w:val="39"/>
    <w:unhideWhenUsed/>
    <w:rsid w:val="00BD55B7"/>
    <w:pPr>
      <w:ind w:left="480"/>
    </w:pPr>
  </w:style>
  <w:style w:type="paragraph" w:styleId="TDC4">
    <w:name w:val="toc 4"/>
    <w:basedOn w:val="Normal"/>
    <w:next w:val="Normal"/>
    <w:autoRedefine/>
    <w:uiPriority w:val="39"/>
    <w:unhideWhenUsed/>
    <w:rsid w:val="00BD55B7"/>
    <w:pPr>
      <w:ind w:left="720"/>
    </w:pPr>
  </w:style>
  <w:style w:type="paragraph" w:styleId="TDC5">
    <w:name w:val="toc 5"/>
    <w:basedOn w:val="Normal"/>
    <w:next w:val="Normal"/>
    <w:autoRedefine/>
    <w:uiPriority w:val="39"/>
    <w:unhideWhenUsed/>
    <w:rsid w:val="00BD55B7"/>
    <w:pPr>
      <w:ind w:left="960"/>
    </w:pPr>
  </w:style>
  <w:style w:type="paragraph" w:styleId="TDC6">
    <w:name w:val="toc 6"/>
    <w:basedOn w:val="Normal"/>
    <w:next w:val="Normal"/>
    <w:autoRedefine/>
    <w:uiPriority w:val="39"/>
    <w:unhideWhenUsed/>
    <w:rsid w:val="00BD55B7"/>
    <w:pPr>
      <w:ind w:left="1200"/>
    </w:pPr>
  </w:style>
  <w:style w:type="paragraph" w:styleId="TDC7">
    <w:name w:val="toc 7"/>
    <w:basedOn w:val="Normal"/>
    <w:next w:val="Normal"/>
    <w:autoRedefine/>
    <w:uiPriority w:val="39"/>
    <w:unhideWhenUsed/>
    <w:rsid w:val="00BD55B7"/>
    <w:pPr>
      <w:ind w:left="1440"/>
    </w:pPr>
  </w:style>
  <w:style w:type="paragraph" w:styleId="TDC8">
    <w:name w:val="toc 8"/>
    <w:basedOn w:val="Normal"/>
    <w:next w:val="Normal"/>
    <w:autoRedefine/>
    <w:uiPriority w:val="39"/>
    <w:unhideWhenUsed/>
    <w:rsid w:val="00BD55B7"/>
    <w:pPr>
      <w:ind w:left="1680"/>
    </w:pPr>
  </w:style>
  <w:style w:type="paragraph" w:styleId="TDC9">
    <w:name w:val="toc 9"/>
    <w:basedOn w:val="Normal"/>
    <w:next w:val="Normal"/>
    <w:autoRedefine/>
    <w:uiPriority w:val="39"/>
    <w:unhideWhenUsed/>
    <w:rsid w:val="00BD55B7"/>
    <w:pPr>
      <w:ind w:left="1920"/>
    </w:pPr>
  </w:style>
  <w:style w:type="paragraph" w:styleId="Encabezado">
    <w:name w:val="header"/>
    <w:basedOn w:val="Normal"/>
    <w:link w:val="EncabezadoCar"/>
    <w:uiPriority w:val="99"/>
    <w:unhideWhenUsed/>
    <w:rsid w:val="00C2663C"/>
    <w:pPr>
      <w:tabs>
        <w:tab w:val="center" w:pos="4252"/>
        <w:tab w:val="right" w:pos="8504"/>
      </w:tabs>
    </w:pPr>
  </w:style>
  <w:style w:type="character" w:customStyle="1" w:styleId="EncabezadoCar">
    <w:name w:val="Encabezado Car"/>
    <w:basedOn w:val="Fuentedeprrafopredeter"/>
    <w:link w:val="Encabezado"/>
    <w:uiPriority w:val="99"/>
    <w:rsid w:val="00C2663C"/>
  </w:style>
  <w:style w:type="character" w:customStyle="1" w:styleId="PrrafodelistaCar">
    <w:name w:val="Párrafo de lista Car"/>
    <w:aliases w:val="List Paragraph1 Car,Bullet 1 Car,Bullet Points Car,Bullets Car,Dot pt Car,F5 List Paragraph Car,Indicator Text Car,L Car,Lapis Bulleted List Car,List Paragraph (numbered (a)) Car,List Paragraph Char Char Char Car,MAIN CONTENT Car"/>
    <w:basedOn w:val="Fuentedeprrafopredeter"/>
    <w:link w:val="Prrafodelista"/>
    <w:uiPriority w:val="34"/>
    <w:rsid w:val="009D73DD"/>
  </w:style>
  <w:style w:type="paragraph" w:customStyle="1" w:styleId="Default">
    <w:name w:val="Default"/>
    <w:rsid w:val="00377C3D"/>
    <w:pPr>
      <w:autoSpaceDE w:val="0"/>
      <w:autoSpaceDN w:val="0"/>
      <w:adjustRightInd w:val="0"/>
    </w:pPr>
    <w:rPr>
      <w:rFonts w:ascii="Calibri" w:hAnsi="Calibri" w:cs="Calibri"/>
      <w:color w:val="000000"/>
      <w:lang w:val="en-US" w:eastAsia="en-US"/>
    </w:rPr>
  </w:style>
  <w:style w:type="paragraph" w:customStyle="1" w:styleId="Char2">
    <w:name w:val="Char2"/>
    <w:basedOn w:val="Normal"/>
    <w:link w:val="Refdenotaalpie"/>
    <w:uiPriority w:val="99"/>
    <w:rsid w:val="000102C4"/>
    <w:pPr>
      <w:spacing w:after="160" w:line="240" w:lineRule="exact"/>
    </w:pPr>
    <w:rPr>
      <w:rFonts w:eastAsiaTheme="minorEastAsia"/>
      <w:sz w:val="24"/>
      <w:szCs w:val="24"/>
      <w:vertAlign w:val="superscript"/>
      <w:lang w:val="es-ES_tradnl" w:eastAsia="es-ES"/>
    </w:rPr>
  </w:style>
  <w:style w:type="character" w:styleId="nfasis">
    <w:name w:val="Emphasis"/>
    <w:basedOn w:val="Fuentedeprrafopredeter"/>
    <w:uiPriority w:val="20"/>
    <w:qFormat/>
    <w:rsid w:val="00FC7AD9"/>
    <w:rPr>
      <w:i/>
      <w:iCs/>
    </w:rPr>
  </w:style>
  <w:style w:type="character" w:customStyle="1" w:styleId="UnresolvedMention">
    <w:name w:val="Unresolved Mention"/>
    <w:basedOn w:val="Fuentedeprrafopredeter"/>
    <w:uiPriority w:val="99"/>
    <w:semiHidden/>
    <w:unhideWhenUsed/>
    <w:rsid w:val="00FC7AD9"/>
    <w:rPr>
      <w:color w:val="605E5C"/>
      <w:shd w:val="clear" w:color="auto" w:fill="E1DFDD"/>
    </w:rPr>
  </w:style>
  <w:style w:type="character" w:styleId="Hipervnculovisitado">
    <w:name w:val="FollowedHyperlink"/>
    <w:basedOn w:val="Fuentedeprrafopredeter"/>
    <w:uiPriority w:val="99"/>
    <w:semiHidden/>
    <w:unhideWhenUsed/>
    <w:rsid w:val="00FC7AD9"/>
    <w:rPr>
      <w:color w:val="800080" w:themeColor="followedHyperlink"/>
      <w:u w:val="single"/>
    </w:rPr>
  </w:style>
  <w:style w:type="paragraph" w:styleId="Descripcin">
    <w:name w:val="caption"/>
    <w:basedOn w:val="Normal"/>
    <w:next w:val="Normal"/>
    <w:uiPriority w:val="35"/>
    <w:unhideWhenUsed/>
    <w:qFormat/>
    <w:rsid w:val="00A94EB7"/>
    <w:pPr>
      <w:spacing w:after="200"/>
    </w:pPr>
    <w:rPr>
      <w:rFonts w:asciiTheme="majorHAnsi" w:hAnsiTheme="majorHAnsi"/>
      <w:b/>
      <w:iCs/>
      <w:color w:val="000000" w:themeColor="text1"/>
      <w:szCs w:val="18"/>
    </w:rPr>
  </w:style>
  <w:style w:type="paragraph" w:styleId="Tabladeilustraciones">
    <w:name w:val="table of figures"/>
    <w:basedOn w:val="Normal"/>
    <w:next w:val="Normal"/>
    <w:uiPriority w:val="99"/>
    <w:unhideWhenUsed/>
    <w:rsid w:val="00E604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566567">
      <w:bodyDiv w:val="1"/>
      <w:marLeft w:val="0"/>
      <w:marRight w:val="0"/>
      <w:marTop w:val="0"/>
      <w:marBottom w:val="0"/>
      <w:divBdr>
        <w:top w:val="none" w:sz="0" w:space="0" w:color="auto"/>
        <w:left w:val="none" w:sz="0" w:space="0" w:color="auto"/>
        <w:bottom w:val="none" w:sz="0" w:space="0" w:color="auto"/>
        <w:right w:val="none" w:sz="0" w:space="0" w:color="auto"/>
      </w:divBdr>
    </w:div>
    <w:div w:id="113181587">
      <w:bodyDiv w:val="1"/>
      <w:marLeft w:val="0"/>
      <w:marRight w:val="0"/>
      <w:marTop w:val="0"/>
      <w:marBottom w:val="0"/>
      <w:divBdr>
        <w:top w:val="none" w:sz="0" w:space="0" w:color="auto"/>
        <w:left w:val="none" w:sz="0" w:space="0" w:color="auto"/>
        <w:bottom w:val="none" w:sz="0" w:space="0" w:color="auto"/>
        <w:right w:val="none" w:sz="0" w:space="0" w:color="auto"/>
      </w:divBdr>
      <w:divsChild>
        <w:div w:id="777919003">
          <w:marLeft w:val="1440"/>
          <w:marRight w:val="0"/>
          <w:marTop w:val="0"/>
          <w:marBottom w:val="0"/>
          <w:divBdr>
            <w:top w:val="none" w:sz="0" w:space="0" w:color="auto"/>
            <w:left w:val="none" w:sz="0" w:space="0" w:color="auto"/>
            <w:bottom w:val="none" w:sz="0" w:space="0" w:color="auto"/>
            <w:right w:val="none" w:sz="0" w:space="0" w:color="auto"/>
          </w:divBdr>
        </w:div>
        <w:div w:id="2089574231">
          <w:marLeft w:val="1440"/>
          <w:marRight w:val="0"/>
          <w:marTop w:val="0"/>
          <w:marBottom w:val="0"/>
          <w:divBdr>
            <w:top w:val="none" w:sz="0" w:space="0" w:color="auto"/>
            <w:left w:val="none" w:sz="0" w:space="0" w:color="auto"/>
            <w:bottom w:val="none" w:sz="0" w:space="0" w:color="auto"/>
            <w:right w:val="none" w:sz="0" w:space="0" w:color="auto"/>
          </w:divBdr>
        </w:div>
        <w:div w:id="486746717">
          <w:marLeft w:val="1440"/>
          <w:marRight w:val="0"/>
          <w:marTop w:val="0"/>
          <w:marBottom w:val="0"/>
          <w:divBdr>
            <w:top w:val="none" w:sz="0" w:space="0" w:color="auto"/>
            <w:left w:val="none" w:sz="0" w:space="0" w:color="auto"/>
            <w:bottom w:val="none" w:sz="0" w:space="0" w:color="auto"/>
            <w:right w:val="none" w:sz="0" w:space="0" w:color="auto"/>
          </w:divBdr>
        </w:div>
        <w:div w:id="940644507">
          <w:marLeft w:val="1440"/>
          <w:marRight w:val="0"/>
          <w:marTop w:val="0"/>
          <w:marBottom w:val="0"/>
          <w:divBdr>
            <w:top w:val="none" w:sz="0" w:space="0" w:color="auto"/>
            <w:left w:val="none" w:sz="0" w:space="0" w:color="auto"/>
            <w:bottom w:val="none" w:sz="0" w:space="0" w:color="auto"/>
            <w:right w:val="none" w:sz="0" w:space="0" w:color="auto"/>
          </w:divBdr>
        </w:div>
        <w:div w:id="57292870">
          <w:marLeft w:val="1440"/>
          <w:marRight w:val="0"/>
          <w:marTop w:val="0"/>
          <w:marBottom w:val="0"/>
          <w:divBdr>
            <w:top w:val="none" w:sz="0" w:space="0" w:color="auto"/>
            <w:left w:val="none" w:sz="0" w:space="0" w:color="auto"/>
            <w:bottom w:val="none" w:sz="0" w:space="0" w:color="auto"/>
            <w:right w:val="none" w:sz="0" w:space="0" w:color="auto"/>
          </w:divBdr>
        </w:div>
        <w:div w:id="617958073">
          <w:marLeft w:val="1440"/>
          <w:marRight w:val="0"/>
          <w:marTop w:val="0"/>
          <w:marBottom w:val="0"/>
          <w:divBdr>
            <w:top w:val="none" w:sz="0" w:space="0" w:color="auto"/>
            <w:left w:val="none" w:sz="0" w:space="0" w:color="auto"/>
            <w:bottom w:val="none" w:sz="0" w:space="0" w:color="auto"/>
            <w:right w:val="none" w:sz="0" w:space="0" w:color="auto"/>
          </w:divBdr>
        </w:div>
        <w:div w:id="161968949">
          <w:marLeft w:val="1440"/>
          <w:marRight w:val="0"/>
          <w:marTop w:val="0"/>
          <w:marBottom w:val="0"/>
          <w:divBdr>
            <w:top w:val="none" w:sz="0" w:space="0" w:color="auto"/>
            <w:left w:val="none" w:sz="0" w:space="0" w:color="auto"/>
            <w:bottom w:val="none" w:sz="0" w:space="0" w:color="auto"/>
            <w:right w:val="none" w:sz="0" w:space="0" w:color="auto"/>
          </w:divBdr>
        </w:div>
        <w:div w:id="1832259318">
          <w:marLeft w:val="1440"/>
          <w:marRight w:val="0"/>
          <w:marTop w:val="0"/>
          <w:marBottom w:val="0"/>
          <w:divBdr>
            <w:top w:val="none" w:sz="0" w:space="0" w:color="auto"/>
            <w:left w:val="none" w:sz="0" w:space="0" w:color="auto"/>
            <w:bottom w:val="none" w:sz="0" w:space="0" w:color="auto"/>
            <w:right w:val="none" w:sz="0" w:space="0" w:color="auto"/>
          </w:divBdr>
        </w:div>
        <w:div w:id="874543361">
          <w:marLeft w:val="1440"/>
          <w:marRight w:val="0"/>
          <w:marTop w:val="0"/>
          <w:marBottom w:val="0"/>
          <w:divBdr>
            <w:top w:val="none" w:sz="0" w:space="0" w:color="auto"/>
            <w:left w:val="none" w:sz="0" w:space="0" w:color="auto"/>
            <w:bottom w:val="none" w:sz="0" w:space="0" w:color="auto"/>
            <w:right w:val="none" w:sz="0" w:space="0" w:color="auto"/>
          </w:divBdr>
        </w:div>
        <w:div w:id="278537139">
          <w:marLeft w:val="1267"/>
          <w:marRight w:val="0"/>
          <w:marTop w:val="0"/>
          <w:marBottom w:val="0"/>
          <w:divBdr>
            <w:top w:val="none" w:sz="0" w:space="0" w:color="auto"/>
            <w:left w:val="none" w:sz="0" w:space="0" w:color="auto"/>
            <w:bottom w:val="none" w:sz="0" w:space="0" w:color="auto"/>
            <w:right w:val="none" w:sz="0" w:space="0" w:color="auto"/>
          </w:divBdr>
        </w:div>
        <w:div w:id="945504539">
          <w:marLeft w:val="1267"/>
          <w:marRight w:val="0"/>
          <w:marTop w:val="0"/>
          <w:marBottom w:val="0"/>
          <w:divBdr>
            <w:top w:val="none" w:sz="0" w:space="0" w:color="auto"/>
            <w:left w:val="none" w:sz="0" w:space="0" w:color="auto"/>
            <w:bottom w:val="none" w:sz="0" w:space="0" w:color="auto"/>
            <w:right w:val="none" w:sz="0" w:space="0" w:color="auto"/>
          </w:divBdr>
        </w:div>
        <w:div w:id="460153316">
          <w:marLeft w:val="1267"/>
          <w:marRight w:val="0"/>
          <w:marTop w:val="0"/>
          <w:marBottom w:val="0"/>
          <w:divBdr>
            <w:top w:val="none" w:sz="0" w:space="0" w:color="auto"/>
            <w:left w:val="none" w:sz="0" w:space="0" w:color="auto"/>
            <w:bottom w:val="none" w:sz="0" w:space="0" w:color="auto"/>
            <w:right w:val="none" w:sz="0" w:space="0" w:color="auto"/>
          </w:divBdr>
        </w:div>
        <w:div w:id="797453422">
          <w:marLeft w:val="1267"/>
          <w:marRight w:val="0"/>
          <w:marTop w:val="0"/>
          <w:marBottom w:val="0"/>
          <w:divBdr>
            <w:top w:val="none" w:sz="0" w:space="0" w:color="auto"/>
            <w:left w:val="none" w:sz="0" w:space="0" w:color="auto"/>
            <w:bottom w:val="none" w:sz="0" w:space="0" w:color="auto"/>
            <w:right w:val="none" w:sz="0" w:space="0" w:color="auto"/>
          </w:divBdr>
        </w:div>
      </w:divsChild>
    </w:div>
    <w:div w:id="174930847">
      <w:bodyDiv w:val="1"/>
      <w:marLeft w:val="0"/>
      <w:marRight w:val="0"/>
      <w:marTop w:val="0"/>
      <w:marBottom w:val="0"/>
      <w:divBdr>
        <w:top w:val="none" w:sz="0" w:space="0" w:color="auto"/>
        <w:left w:val="none" w:sz="0" w:space="0" w:color="auto"/>
        <w:bottom w:val="none" w:sz="0" w:space="0" w:color="auto"/>
        <w:right w:val="none" w:sz="0" w:space="0" w:color="auto"/>
      </w:divBdr>
    </w:div>
    <w:div w:id="239751894">
      <w:bodyDiv w:val="1"/>
      <w:marLeft w:val="0"/>
      <w:marRight w:val="0"/>
      <w:marTop w:val="0"/>
      <w:marBottom w:val="0"/>
      <w:divBdr>
        <w:top w:val="none" w:sz="0" w:space="0" w:color="auto"/>
        <w:left w:val="none" w:sz="0" w:space="0" w:color="auto"/>
        <w:bottom w:val="none" w:sz="0" w:space="0" w:color="auto"/>
        <w:right w:val="none" w:sz="0" w:space="0" w:color="auto"/>
      </w:divBdr>
      <w:divsChild>
        <w:div w:id="919290984">
          <w:marLeft w:val="1440"/>
          <w:marRight w:val="0"/>
          <w:marTop w:val="0"/>
          <w:marBottom w:val="0"/>
          <w:divBdr>
            <w:top w:val="none" w:sz="0" w:space="0" w:color="auto"/>
            <w:left w:val="none" w:sz="0" w:space="0" w:color="auto"/>
            <w:bottom w:val="none" w:sz="0" w:space="0" w:color="auto"/>
            <w:right w:val="none" w:sz="0" w:space="0" w:color="auto"/>
          </w:divBdr>
        </w:div>
        <w:div w:id="1637761623">
          <w:marLeft w:val="1440"/>
          <w:marRight w:val="0"/>
          <w:marTop w:val="0"/>
          <w:marBottom w:val="0"/>
          <w:divBdr>
            <w:top w:val="none" w:sz="0" w:space="0" w:color="auto"/>
            <w:left w:val="none" w:sz="0" w:space="0" w:color="auto"/>
            <w:bottom w:val="none" w:sz="0" w:space="0" w:color="auto"/>
            <w:right w:val="none" w:sz="0" w:space="0" w:color="auto"/>
          </w:divBdr>
        </w:div>
      </w:divsChild>
    </w:div>
    <w:div w:id="353574845">
      <w:bodyDiv w:val="1"/>
      <w:marLeft w:val="0"/>
      <w:marRight w:val="0"/>
      <w:marTop w:val="0"/>
      <w:marBottom w:val="0"/>
      <w:divBdr>
        <w:top w:val="none" w:sz="0" w:space="0" w:color="auto"/>
        <w:left w:val="none" w:sz="0" w:space="0" w:color="auto"/>
        <w:bottom w:val="none" w:sz="0" w:space="0" w:color="auto"/>
        <w:right w:val="none" w:sz="0" w:space="0" w:color="auto"/>
      </w:divBdr>
    </w:div>
    <w:div w:id="390421731">
      <w:bodyDiv w:val="1"/>
      <w:marLeft w:val="0"/>
      <w:marRight w:val="0"/>
      <w:marTop w:val="0"/>
      <w:marBottom w:val="0"/>
      <w:divBdr>
        <w:top w:val="none" w:sz="0" w:space="0" w:color="auto"/>
        <w:left w:val="none" w:sz="0" w:space="0" w:color="auto"/>
        <w:bottom w:val="none" w:sz="0" w:space="0" w:color="auto"/>
        <w:right w:val="none" w:sz="0" w:space="0" w:color="auto"/>
      </w:divBdr>
    </w:div>
    <w:div w:id="391271639">
      <w:bodyDiv w:val="1"/>
      <w:marLeft w:val="0"/>
      <w:marRight w:val="0"/>
      <w:marTop w:val="0"/>
      <w:marBottom w:val="0"/>
      <w:divBdr>
        <w:top w:val="none" w:sz="0" w:space="0" w:color="auto"/>
        <w:left w:val="none" w:sz="0" w:space="0" w:color="auto"/>
        <w:bottom w:val="none" w:sz="0" w:space="0" w:color="auto"/>
        <w:right w:val="none" w:sz="0" w:space="0" w:color="auto"/>
      </w:divBdr>
      <w:divsChild>
        <w:div w:id="1430349405">
          <w:marLeft w:val="1987"/>
          <w:marRight w:val="0"/>
          <w:marTop w:val="0"/>
          <w:marBottom w:val="0"/>
          <w:divBdr>
            <w:top w:val="none" w:sz="0" w:space="0" w:color="auto"/>
            <w:left w:val="none" w:sz="0" w:space="0" w:color="auto"/>
            <w:bottom w:val="none" w:sz="0" w:space="0" w:color="auto"/>
            <w:right w:val="none" w:sz="0" w:space="0" w:color="auto"/>
          </w:divBdr>
        </w:div>
        <w:div w:id="1586917281">
          <w:marLeft w:val="1987"/>
          <w:marRight w:val="0"/>
          <w:marTop w:val="0"/>
          <w:marBottom w:val="0"/>
          <w:divBdr>
            <w:top w:val="none" w:sz="0" w:space="0" w:color="auto"/>
            <w:left w:val="none" w:sz="0" w:space="0" w:color="auto"/>
            <w:bottom w:val="none" w:sz="0" w:space="0" w:color="auto"/>
            <w:right w:val="none" w:sz="0" w:space="0" w:color="auto"/>
          </w:divBdr>
        </w:div>
        <w:div w:id="2034726777">
          <w:marLeft w:val="1987"/>
          <w:marRight w:val="0"/>
          <w:marTop w:val="0"/>
          <w:marBottom w:val="0"/>
          <w:divBdr>
            <w:top w:val="none" w:sz="0" w:space="0" w:color="auto"/>
            <w:left w:val="none" w:sz="0" w:space="0" w:color="auto"/>
            <w:bottom w:val="none" w:sz="0" w:space="0" w:color="auto"/>
            <w:right w:val="none" w:sz="0" w:space="0" w:color="auto"/>
          </w:divBdr>
        </w:div>
      </w:divsChild>
    </w:div>
    <w:div w:id="433207569">
      <w:bodyDiv w:val="1"/>
      <w:marLeft w:val="0"/>
      <w:marRight w:val="0"/>
      <w:marTop w:val="0"/>
      <w:marBottom w:val="0"/>
      <w:divBdr>
        <w:top w:val="none" w:sz="0" w:space="0" w:color="auto"/>
        <w:left w:val="none" w:sz="0" w:space="0" w:color="auto"/>
        <w:bottom w:val="none" w:sz="0" w:space="0" w:color="auto"/>
        <w:right w:val="none" w:sz="0" w:space="0" w:color="auto"/>
      </w:divBdr>
      <w:divsChild>
        <w:div w:id="1321301873">
          <w:marLeft w:val="0"/>
          <w:marRight w:val="0"/>
          <w:marTop w:val="0"/>
          <w:marBottom w:val="0"/>
          <w:divBdr>
            <w:top w:val="none" w:sz="0" w:space="0" w:color="auto"/>
            <w:left w:val="none" w:sz="0" w:space="0" w:color="auto"/>
            <w:bottom w:val="none" w:sz="0" w:space="0" w:color="auto"/>
            <w:right w:val="none" w:sz="0" w:space="0" w:color="auto"/>
          </w:divBdr>
        </w:div>
        <w:div w:id="1681277645">
          <w:marLeft w:val="0"/>
          <w:marRight w:val="0"/>
          <w:marTop w:val="0"/>
          <w:marBottom w:val="0"/>
          <w:divBdr>
            <w:top w:val="none" w:sz="0" w:space="0" w:color="auto"/>
            <w:left w:val="none" w:sz="0" w:space="0" w:color="auto"/>
            <w:bottom w:val="none" w:sz="0" w:space="0" w:color="auto"/>
            <w:right w:val="none" w:sz="0" w:space="0" w:color="auto"/>
          </w:divBdr>
        </w:div>
        <w:div w:id="1513640151">
          <w:marLeft w:val="0"/>
          <w:marRight w:val="0"/>
          <w:marTop w:val="0"/>
          <w:marBottom w:val="0"/>
          <w:divBdr>
            <w:top w:val="none" w:sz="0" w:space="0" w:color="auto"/>
            <w:left w:val="none" w:sz="0" w:space="0" w:color="auto"/>
            <w:bottom w:val="none" w:sz="0" w:space="0" w:color="auto"/>
            <w:right w:val="none" w:sz="0" w:space="0" w:color="auto"/>
          </w:divBdr>
        </w:div>
        <w:div w:id="810907984">
          <w:marLeft w:val="0"/>
          <w:marRight w:val="0"/>
          <w:marTop w:val="0"/>
          <w:marBottom w:val="0"/>
          <w:divBdr>
            <w:top w:val="none" w:sz="0" w:space="0" w:color="auto"/>
            <w:left w:val="none" w:sz="0" w:space="0" w:color="auto"/>
            <w:bottom w:val="none" w:sz="0" w:space="0" w:color="auto"/>
            <w:right w:val="none" w:sz="0" w:space="0" w:color="auto"/>
          </w:divBdr>
        </w:div>
        <w:div w:id="618607223">
          <w:marLeft w:val="0"/>
          <w:marRight w:val="0"/>
          <w:marTop w:val="0"/>
          <w:marBottom w:val="0"/>
          <w:divBdr>
            <w:top w:val="none" w:sz="0" w:space="0" w:color="auto"/>
            <w:left w:val="none" w:sz="0" w:space="0" w:color="auto"/>
            <w:bottom w:val="none" w:sz="0" w:space="0" w:color="auto"/>
            <w:right w:val="none" w:sz="0" w:space="0" w:color="auto"/>
          </w:divBdr>
        </w:div>
        <w:div w:id="1415394438">
          <w:marLeft w:val="0"/>
          <w:marRight w:val="0"/>
          <w:marTop w:val="0"/>
          <w:marBottom w:val="0"/>
          <w:divBdr>
            <w:top w:val="none" w:sz="0" w:space="0" w:color="auto"/>
            <w:left w:val="none" w:sz="0" w:space="0" w:color="auto"/>
            <w:bottom w:val="none" w:sz="0" w:space="0" w:color="auto"/>
            <w:right w:val="none" w:sz="0" w:space="0" w:color="auto"/>
          </w:divBdr>
          <w:divsChild>
            <w:div w:id="1533104655">
              <w:marLeft w:val="0"/>
              <w:marRight w:val="0"/>
              <w:marTop w:val="0"/>
              <w:marBottom w:val="0"/>
              <w:divBdr>
                <w:top w:val="none" w:sz="0" w:space="0" w:color="auto"/>
                <w:left w:val="none" w:sz="0" w:space="0" w:color="auto"/>
                <w:bottom w:val="none" w:sz="0" w:space="0" w:color="auto"/>
                <w:right w:val="none" w:sz="0" w:space="0" w:color="auto"/>
              </w:divBdr>
            </w:div>
            <w:div w:id="547843254">
              <w:marLeft w:val="0"/>
              <w:marRight w:val="0"/>
              <w:marTop w:val="0"/>
              <w:marBottom w:val="0"/>
              <w:divBdr>
                <w:top w:val="none" w:sz="0" w:space="0" w:color="auto"/>
                <w:left w:val="none" w:sz="0" w:space="0" w:color="auto"/>
                <w:bottom w:val="none" w:sz="0" w:space="0" w:color="auto"/>
                <w:right w:val="none" w:sz="0" w:space="0" w:color="auto"/>
              </w:divBdr>
            </w:div>
            <w:div w:id="89327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26756">
      <w:bodyDiv w:val="1"/>
      <w:marLeft w:val="0"/>
      <w:marRight w:val="0"/>
      <w:marTop w:val="0"/>
      <w:marBottom w:val="0"/>
      <w:divBdr>
        <w:top w:val="none" w:sz="0" w:space="0" w:color="auto"/>
        <w:left w:val="none" w:sz="0" w:space="0" w:color="auto"/>
        <w:bottom w:val="none" w:sz="0" w:space="0" w:color="auto"/>
        <w:right w:val="none" w:sz="0" w:space="0" w:color="auto"/>
      </w:divBdr>
    </w:div>
    <w:div w:id="599679819">
      <w:bodyDiv w:val="1"/>
      <w:marLeft w:val="0"/>
      <w:marRight w:val="0"/>
      <w:marTop w:val="0"/>
      <w:marBottom w:val="0"/>
      <w:divBdr>
        <w:top w:val="none" w:sz="0" w:space="0" w:color="auto"/>
        <w:left w:val="none" w:sz="0" w:space="0" w:color="auto"/>
        <w:bottom w:val="none" w:sz="0" w:space="0" w:color="auto"/>
        <w:right w:val="none" w:sz="0" w:space="0" w:color="auto"/>
      </w:divBdr>
    </w:div>
    <w:div w:id="609357277">
      <w:bodyDiv w:val="1"/>
      <w:marLeft w:val="0"/>
      <w:marRight w:val="0"/>
      <w:marTop w:val="0"/>
      <w:marBottom w:val="0"/>
      <w:divBdr>
        <w:top w:val="none" w:sz="0" w:space="0" w:color="auto"/>
        <w:left w:val="none" w:sz="0" w:space="0" w:color="auto"/>
        <w:bottom w:val="none" w:sz="0" w:space="0" w:color="auto"/>
        <w:right w:val="none" w:sz="0" w:space="0" w:color="auto"/>
      </w:divBdr>
    </w:div>
    <w:div w:id="654141159">
      <w:bodyDiv w:val="1"/>
      <w:marLeft w:val="0"/>
      <w:marRight w:val="0"/>
      <w:marTop w:val="0"/>
      <w:marBottom w:val="0"/>
      <w:divBdr>
        <w:top w:val="none" w:sz="0" w:space="0" w:color="auto"/>
        <w:left w:val="none" w:sz="0" w:space="0" w:color="auto"/>
        <w:bottom w:val="none" w:sz="0" w:space="0" w:color="auto"/>
        <w:right w:val="none" w:sz="0" w:space="0" w:color="auto"/>
      </w:divBdr>
    </w:div>
    <w:div w:id="664361411">
      <w:bodyDiv w:val="1"/>
      <w:marLeft w:val="0"/>
      <w:marRight w:val="0"/>
      <w:marTop w:val="0"/>
      <w:marBottom w:val="0"/>
      <w:divBdr>
        <w:top w:val="none" w:sz="0" w:space="0" w:color="auto"/>
        <w:left w:val="none" w:sz="0" w:space="0" w:color="auto"/>
        <w:bottom w:val="none" w:sz="0" w:space="0" w:color="auto"/>
        <w:right w:val="none" w:sz="0" w:space="0" w:color="auto"/>
      </w:divBdr>
    </w:div>
    <w:div w:id="670793478">
      <w:bodyDiv w:val="1"/>
      <w:marLeft w:val="0"/>
      <w:marRight w:val="0"/>
      <w:marTop w:val="0"/>
      <w:marBottom w:val="0"/>
      <w:divBdr>
        <w:top w:val="none" w:sz="0" w:space="0" w:color="auto"/>
        <w:left w:val="none" w:sz="0" w:space="0" w:color="auto"/>
        <w:bottom w:val="none" w:sz="0" w:space="0" w:color="auto"/>
        <w:right w:val="none" w:sz="0" w:space="0" w:color="auto"/>
      </w:divBdr>
    </w:div>
    <w:div w:id="703560382">
      <w:bodyDiv w:val="1"/>
      <w:marLeft w:val="0"/>
      <w:marRight w:val="0"/>
      <w:marTop w:val="0"/>
      <w:marBottom w:val="0"/>
      <w:divBdr>
        <w:top w:val="none" w:sz="0" w:space="0" w:color="auto"/>
        <w:left w:val="none" w:sz="0" w:space="0" w:color="auto"/>
        <w:bottom w:val="none" w:sz="0" w:space="0" w:color="auto"/>
        <w:right w:val="none" w:sz="0" w:space="0" w:color="auto"/>
      </w:divBdr>
      <w:divsChild>
        <w:div w:id="1592813786">
          <w:marLeft w:val="1267"/>
          <w:marRight w:val="0"/>
          <w:marTop w:val="0"/>
          <w:marBottom w:val="0"/>
          <w:divBdr>
            <w:top w:val="none" w:sz="0" w:space="0" w:color="auto"/>
            <w:left w:val="none" w:sz="0" w:space="0" w:color="auto"/>
            <w:bottom w:val="none" w:sz="0" w:space="0" w:color="auto"/>
            <w:right w:val="none" w:sz="0" w:space="0" w:color="auto"/>
          </w:divBdr>
        </w:div>
        <w:div w:id="1855345028">
          <w:marLeft w:val="1987"/>
          <w:marRight w:val="0"/>
          <w:marTop w:val="0"/>
          <w:marBottom w:val="0"/>
          <w:divBdr>
            <w:top w:val="none" w:sz="0" w:space="0" w:color="auto"/>
            <w:left w:val="none" w:sz="0" w:space="0" w:color="auto"/>
            <w:bottom w:val="none" w:sz="0" w:space="0" w:color="auto"/>
            <w:right w:val="none" w:sz="0" w:space="0" w:color="auto"/>
          </w:divBdr>
        </w:div>
        <w:div w:id="317929954">
          <w:marLeft w:val="1987"/>
          <w:marRight w:val="0"/>
          <w:marTop w:val="0"/>
          <w:marBottom w:val="0"/>
          <w:divBdr>
            <w:top w:val="none" w:sz="0" w:space="0" w:color="auto"/>
            <w:left w:val="none" w:sz="0" w:space="0" w:color="auto"/>
            <w:bottom w:val="none" w:sz="0" w:space="0" w:color="auto"/>
            <w:right w:val="none" w:sz="0" w:space="0" w:color="auto"/>
          </w:divBdr>
        </w:div>
        <w:div w:id="295337834">
          <w:marLeft w:val="1267"/>
          <w:marRight w:val="0"/>
          <w:marTop w:val="0"/>
          <w:marBottom w:val="0"/>
          <w:divBdr>
            <w:top w:val="none" w:sz="0" w:space="0" w:color="auto"/>
            <w:left w:val="none" w:sz="0" w:space="0" w:color="auto"/>
            <w:bottom w:val="none" w:sz="0" w:space="0" w:color="auto"/>
            <w:right w:val="none" w:sz="0" w:space="0" w:color="auto"/>
          </w:divBdr>
        </w:div>
      </w:divsChild>
    </w:div>
    <w:div w:id="713625556">
      <w:bodyDiv w:val="1"/>
      <w:marLeft w:val="0"/>
      <w:marRight w:val="0"/>
      <w:marTop w:val="0"/>
      <w:marBottom w:val="0"/>
      <w:divBdr>
        <w:top w:val="none" w:sz="0" w:space="0" w:color="auto"/>
        <w:left w:val="none" w:sz="0" w:space="0" w:color="auto"/>
        <w:bottom w:val="none" w:sz="0" w:space="0" w:color="auto"/>
        <w:right w:val="none" w:sz="0" w:space="0" w:color="auto"/>
      </w:divBdr>
    </w:div>
    <w:div w:id="730153056">
      <w:bodyDiv w:val="1"/>
      <w:marLeft w:val="0"/>
      <w:marRight w:val="0"/>
      <w:marTop w:val="0"/>
      <w:marBottom w:val="0"/>
      <w:divBdr>
        <w:top w:val="none" w:sz="0" w:space="0" w:color="auto"/>
        <w:left w:val="none" w:sz="0" w:space="0" w:color="auto"/>
        <w:bottom w:val="none" w:sz="0" w:space="0" w:color="auto"/>
        <w:right w:val="none" w:sz="0" w:space="0" w:color="auto"/>
      </w:divBdr>
    </w:div>
    <w:div w:id="783890254">
      <w:bodyDiv w:val="1"/>
      <w:marLeft w:val="0"/>
      <w:marRight w:val="0"/>
      <w:marTop w:val="0"/>
      <w:marBottom w:val="0"/>
      <w:divBdr>
        <w:top w:val="none" w:sz="0" w:space="0" w:color="auto"/>
        <w:left w:val="none" w:sz="0" w:space="0" w:color="auto"/>
        <w:bottom w:val="none" w:sz="0" w:space="0" w:color="auto"/>
        <w:right w:val="none" w:sz="0" w:space="0" w:color="auto"/>
      </w:divBdr>
    </w:div>
    <w:div w:id="784932562">
      <w:bodyDiv w:val="1"/>
      <w:marLeft w:val="0"/>
      <w:marRight w:val="0"/>
      <w:marTop w:val="0"/>
      <w:marBottom w:val="0"/>
      <w:divBdr>
        <w:top w:val="none" w:sz="0" w:space="0" w:color="auto"/>
        <w:left w:val="none" w:sz="0" w:space="0" w:color="auto"/>
        <w:bottom w:val="none" w:sz="0" w:space="0" w:color="auto"/>
        <w:right w:val="none" w:sz="0" w:space="0" w:color="auto"/>
      </w:divBdr>
      <w:divsChild>
        <w:div w:id="2043826509">
          <w:marLeft w:val="547"/>
          <w:marRight w:val="0"/>
          <w:marTop w:val="0"/>
          <w:marBottom w:val="0"/>
          <w:divBdr>
            <w:top w:val="none" w:sz="0" w:space="0" w:color="auto"/>
            <w:left w:val="none" w:sz="0" w:space="0" w:color="auto"/>
            <w:bottom w:val="none" w:sz="0" w:space="0" w:color="auto"/>
            <w:right w:val="none" w:sz="0" w:space="0" w:color="auto"/>
          </w:divBdr>
        </w:div>
        <w:div w:id="110516673">
          <w:marLeft w:val="547"/>
          <w:marRight w:val="0"/>
          <w:marTop w:val="0"/>
          <w:marBottom w:val="0"/>
          <w:divBdr>
            <w:top w:val="none" w:sz="0" w:space="0" w:color="auto"/>
            <w:left w:val="none" w:sz="0" w:space="0" w:color="auto"/>
            <w:bottom w:val="none" w:sz="0" w:space="0" w:color="auto"/>
            <w:right w:val="none" w:sz="0" w:space="0" w:color="auto"/>
          </w:divBdr>
        </w:div>
        <w:div w:id="941693624">
          <w:marLeft w:val="547"/>
          <w:marRight w:val="0"/>
          <w:marTop w:val="0"/>
          <w:marBottom w:val="0"/>
          <w:divBdr>
            <w:top w:val="none" w:sz="0" w:space="0" w:color="auto"/>
            <w:left w:val="none" w:sz="0" w:space="0" w:color="auto"/>
            <w:bottom w:val="none" w:sz="0" w:space="0" w:color="auto"/>
            <w:right w:val="none" w:sz="0" w:space="0" w:color="auto"/>
          </w:divBdr>
        </w:div>
        <w:div w:id="1010184977">
          <w:marLeft w:val="547"/>
          <w:marRight w:val="0"/>
          <w:marTop w:val="0"/>
          <w:marBottom w:val="0"/>
          <w:divBdr>
            <w:top w:val="none" w:sz="0" w:space="0" w:color="auto"/>
            <w:left w:val="none" w:sz="0" w:space="0" w:color="auto"/>
            <w:bottom w:val="none" w:sz="0" w:space="0" w:color="auto"/>
            <w:right w:val="none" w:sz="0" w:space="0" w:color="auto"/>
          </w:divBdr>
        </w:div>
        <w:div w:id="43598750">
          <w:marLeft w:val="547"/>
          <w:marRight w:val="0"/>
          <w:marTop w:val="0"/>
          <w:marBottom w:val="0"/>
          <w:divBdr>
            <w:top w:val="none" w:sz="0" w:space="0" w:color="auto"/>
            <w:left w:val="none" w:sz="0" w:space="0" w:color="auto"/>
            <w:bottom w:val="none" w:sz="0" w:space="0" w:color="auto"/>
            <w:right w:val="none" w:sz="0" w:space="0" w:color="auto"/>
          </w:divBdr>
        </w:div>
        <w:div w:id="710351174">
          <w:marLeft w:val="547"/>
          <w:marRight w:val="0"/>
          <w:marTop w:val="0"/>
          <w:marBottom w:val="0"/>
          <w:divBdr>
            <w:top w:val="none" w:sz="0" w:space="0" w:color="auto"/>
            <w:left w:val="none" w:sz="0" w:space="0" w:color="auto"/>
            <w:bottom w:val="none" w:sz="0" w:space="0" w:color="auto"/>
            <w:right w:val="none" w:sz="0" w:space="0" w:color="auto"/>
          </w:divBdr>
        </w:div>
        <w:div w:id="168715679">
          <w:marLeft w:val="547"/>
          <w:marRight w:val="0"/>
          <w:marTop w:val="0"/>
          <w:marBottom w:val="0"/>
          <w:divBdr>
            <w:top w:val="none" w:sz="0" w:space="0" w:color="auto"/>
            <w:left w:val="none" w:sz="0" w:space="0" w:color="auto"/>
            <w:bottom w:val="none" w:sz="0" w:space="0" w:color="auto"/>
            <w:right w:val="none" w:sz="0" w:space="0" w:color="auto"/>
          </w:divBdr>
        </w:div>
      </w:divsChild>
    </w:div>
    <w:div w:id="805583704">
      <w:bodyDiv w:val="1"/>
      <w:marLeft w:val="0"/>
      <w:marRight w:val="0"/>
      <w:marTop w:val="0"/>
      <w:marBottom w:val="0"/>
      <w:divBdr>
        <w:top w:val="none" w:sz="0" w:space="0" w:color="auto"/>
        <w:left w:val="none" w:sz="0" w:space="0" w:color="auto"/>
        <w:bottom w:val="none" w:sz="0" w:space="0" w:color="auto"/>
        <w:right w:val="none" w:sz="0" w:space="0" w:color="auto"/>
      </w:divBdr>
      <w:divsChild>
        <w:div w:id="934240963">
          <w:marLeft w:val="720"/>
          <w:marRight w:val="0"/>
          <w:marTop w:val="0"/>
          <w:marBottom w:val="0"/>
          <w:divBdr>
            <w:top w:val="none" w:sz="0" w:space="0" w:color="auto"/>
            <w:left w:val="none" w:sz="0" w:space="0" w:color="auto"/>
            <w:bottom w:val="none" w:sz="0" w:space="0" w:color="auto"/>
            <w:right w:val="none" w:sz="0" w:space="0" w:color="auto"/>
          </w:divBdr>
        </w:div>
        <w:div w:id="2116485727">
          <w:marLeft w:val="1440"/>
          <w:marRight w:val="0"/>
          <w:marTop w:val="0"/>
          <w:marBottom w:val="0"/>
          <w:divBdr>
            <w:top w:val="none" w:sz="0" w:space="0" w:color="auto"/>
            <w:left w:val="none" w:sz="0" w:space="0" w:color="auto"/>
            <w:bottom w:val="none" w:sz="0" w:space="0" w:color="auto"/>
            <w:right w:val="none" w:sz="0" w:space="0" w:color="auto"/>
          </w:divBdr>
        </w:div>
        <w:div w:id="747338557">
          <w:marLeft w:val="2160"/>
          <w:marRight w:val="0"/>
          <w:marTop w:val="0"/>
          <w:marBottom w:val="0"/>
          <w:divBdr>
            <w:top w:val="none" w:sz="0" w:space="0" w:color="auto"/>
            <w:left w:val="none" w:sz="0" w:space="0" w:color="auto"/>
            <w:bottom w:val="none" w:sz="0" w:space="0" w:color="auto"/>
            <w:right w:val="none" w:sz="0" w:space="0" w:color="auto"/>
          </w:divBdr>
        </w:div>
        <w:div w:id="1517452973">
          <w:marLeft w:val="2160"/>
          <w:marRight w:val="0"/>
          <w:marTop w:val="0"/>
          <w:marBottom w:val="0"/>
          <w:divBdr>
            <w:top w:val="none" w:sz="0" w:space="0" w:color="auto"/>
            <w:left w:val="none" w:sz="0" w:space="0" w:color="auto"/>
            <w:bottom w:val="none" w:sz="0" w:space="0" w:color="auto"/>
            <w:right w:val="none" w:sz="0" w:space="0" w:color="auto"/>
          </w:divBdr>
        </w:div>
        <w:div w:id="659387369">
          <w:marLeft w:val="720"/>
          <w:marRight w:val="0"/>
          <w:marTop w:val="0"/>
          <w:marBottom w:val="0"/>
          <w:divBdr>
            <w:top w:val="none" w:sz="0" w:space="0" w:color="auto"/>
            <w:left w:val="none" w:sz="0" w:space="0" w:color="auto"/>
            <w:bottom w:val="none" w:sz="0" w:space="0" w:color="auto"/>
            <w:right w:val="none" w:sz="0" w:space="0" w:color="auto"/>
          </w:divBdr>
        </w:div>
        <w:div w:id="227881193">
          <w:marLeft w:val="1440"/>
          <w:marRight w:val="0"/>
          <w:marTop w:val="0"/>
          <w:marBottom w:val="0"/>
          <w:divBdr>
            <w:top w:val="none" w:sz="0" w:space="0" w:color="auto"/>
            <w:left w:val="none" w:sz="0" w:space="0" w:color="auto"/>
            <w:bottom w:val="none" w:sz="0" w:space="0" w:color="auto"/>
            <w:right w:val="none" w:sz="0" w:space="0" w:color="auto"/>
          </w:divBdr>
        </w:div>
        <w:div w:id="348602452">
          <w:marLeft w:val="2160"/>
          <w:marRight w:val="0"/>
          <w:marTop w:val="0"/>
          <w:marBottom w:val="0"/>
          <w:divBdr>
            <w:top w:val="none" w:sz="0" w:space="0" w:color="auto"/>
            <w:left w:val="none" w:sz="0" w:space="0" w:color="auto"/>
            <w:bottom w:val="none" w:sz="0" w:space="0" w:color="auto"/>
            <w:right w:val="none" w:sz="0" w:space="0" w:color="auto"/>
          </w:divBdr>
        </w:div>
        <w:div w:id="1027679811">
          <w:marLeft w:val="2160"/>
          <w:marRight w:val="0"/>
          <w:marTop w:val="0"/>
          <w:marBottom w:val="0"/>
          <w:divBdr>
            <w:top w:val="none" w:sz="0" w:space="0" w:color="auto"/>
            <w:left w:val="none" w:sz="0" w:space="0" w:color="auto"/>
            <w:bottom w:val="none" w:sz="0" w:space="0" w:color="auto"/>
            <w:right w:val="none" w:sz="0" w:space="0" w:color="auto"/>
          </w:divBdr>
        </w:div>
        <w:div w:id="1663267457">
          <w:marLeft w:val="2160"/>
          <w:marRight w:val="0"/>
          <w:marTop w:val="0"/>
          <w:marBottom w:val="0"/>
          <w:divBdr>
            <w:top w:val="none" w:sz="0" w:space="0" w:color="auto"/>
            <w:left w:val="none" w:sz="0" w:space="0" w:color="auto"/>
            <w:bottom w:val="none" w:sz="0" w:space="0" w:color="auto"/>
            <w:right w:val="none" w:sz="0" w:space="0" w:color="auto"/>
          </w:divBdr>
        </w:div>
        <w:div w:id="1785660297">
          <w:marLeft w:val="720"/>
          <w:marRight w:val="0"/>
          <w:marTop w:val="0"/>
          <w:marBottom w:val="0"/>
          <w:divBdr>
            <w:top w:val="none" w:sz="0" w:space="0" w:color="auto"/>
            <w:left w:val="none" w:sz="0" w:space="0" w:color="auto"/>
            <w:bottom w:val="none" w:sz="0" w:space="0" w:color="auto"/>
            <w:right w:val="none" w:sz="0" w:space="0" w:color="auto"/>
          </w:divBdr>
        </w:div>
        <w:div w:id="1704164407">
          <w:marLeft w:val="1440"/>
          <w:marRight w:val="0"/>
          <w:marTop w:val="0"/>
          <w:marBottom w:val="0"/>
          <w:divBdr>
            <w:top w:val="none" w:sz="0" w:space="0" w:color="auto"/>
            <w:left w:val="none" w:sz="0" w:space="0" w:color="auto"/>
            <w:bottom w:val="none" w:sz="0" w:space="0" w:color="auto"/>
            <w:right w:val="none" w:sz="0" w:space="0" w:color="auto"/>
          </w:divBdr>
        </w:div>
        <w:div w:id="1200125207">
          <w:marLeft w:val="2160"/>
          <w:marRight w:val="0"/>
          <w:marTop w:val="0"/>
          <w:marBottom w:val="0"/>
          <w:divBdr>
            <w:top w:val="none" w:sz="0" w:space="0" w:color="auto"/>
            <w:left w:val="none" w:sz="0" w:space="0" w:color="auto"/>
            <w:bottom w:val="none" w:sz="0" w:space="0" w:color="auto"/>
            <w:right w:val="none" w:sz="0" w:space="0" w:color="auto"/>
          </w:divBdr>
        </w:div>
        <w:div w:id="1826047186">
          <w:marLeft w:val="2160"/>
          <w:marRight w:val="0"/>
          <w:marTop w:val="0"/>
          <w:marBottom w:val="0"/>
          <w:divBdr>
            <w:top w:val="none" w:sz="0" w:space="0" w:color="auto"/>
            <w:left w:val="none" w:sz="0" w:space="0" w:color="auto"/>
            <w:bottom w:val="none" w:sz="0" w:space="0" w:color="auto"/>
            <w:right w:val="none" w:sz="0" w:space="0" w:color="auto"/>
          </w:divBdr>
        </w:div>
        <w:div w:id="1226329942">
          <w:marLeft w:val="2160"/>
          <w:marRight w:val="0"/>
          <w:marTop w:val="0"/>
          <w:marBottom w:val="0"/>
          <w:divBdr>
            <w:top w:val="none" w:sz="0" w:space="0" w:color="auto"/>
            <w:left w:val="none" w:sz="0" w:space="0" w:color="auto"/>
            <w:bottom w:val="none" w:sz="0" w:space="0" w:color="auto"/>
            <w:right w:val="none" w:sz="0" w:space="0" w:color="auto"/>
          </w:divBdr>
        </w:div>
      </w:divsChild>
    </w:div>
    <w:div w:id="807479457">
      <w:bodyDiv w:val="1"/>
      <w:marLeft w:val="0"/>
      <w:marRight w:val="0"/>
      <w:marTop w:val="0"/>
      <w:marBottom w:val="0"/>
      <w:divBdr>
        <w:top w:val="none" w:sz="0" w:space="0" w:color="auto"/>
        <w:left w:val="none" w:sz="0" w:space="0" w:color="auto"/>
        <w:bottom w:val="none" w:sz="0" w:space="0" w:color="auto"/>
        <w:right w:val="none" w:sz="0" w:space="0" w:color="auto"/>
      </w:divBdr>
    </w:div>
    <w:div w:id="814681708">
      <w:bodyDiv w:val="1"/>
      <w:marLeft w:val="0"/>
      <w:marRight w:val="0"/>
      <w:marTop w:val="0"/>
      <w:marBottom w:val="0"/>
      <w:divBdr>
        <w:top w:val="none" w:sz="0" w:space="0" w:color="auto"/>
        <w:left w:val="none" w:sz="0" w:space="0" w:color="auto"/>
        <w:bottom w:val="none" w:sz="0" w:space="0" w:color="auto"/>
        <w:right w:val="none" w:sz="0" w:space="0" w:color="auto"/>
      </w:divBdr>
    </w:div>
    <w:div w:id="854463336">
      <w:bodyDiv w:val="1"/>
      <w:marLeft w:val="0"/>
      <w:marRight w:val="0"/>
      <w:marTop w:val="0"/>
      <w:marBottom w:val="0"/>
      <w:divBdr>
        <w:top w:val="none" w:sz="0" w:space="0" w:color="auto"/>
        <w:left w:val="none" w:sz="0" w:space="0" w:color="auto"/>
        <w:bottom w:val="none" w:sz="0" w:space="0" w:color="auto"/>
        <w:right w:val="none" w:sz="0" w:space="0" w:color="auto"/>
      </w:divBdr>
    </w:div>
    <w:div w:id="854535866">
      <w:bodyDiv w:val="1"/>
      <w:marLeft w:val="0"/>
      <w:marRight w:val="0"/>
      <w:marTop w:val="0"/>
      <w:marBottom w:val="0"/>
      <w:divBdr>
        <w:top w:val="none" w:sz="0" w:space="0" w:color="auto"/>
        <w:left w:val="none" w:sz="0" w:space="0" w:color="auto"/>
        <w:bottom w:val="none" w:sz="0" w:space="0" w:color="auto"/>
        <w:right w:val="none" w:sz="0" w:space="0" w:color="auto"/>
      </w:divBdr>
      <w:divsChild>
        <w:div w:id="1786077842">
          <w:marLeft w:val="288"/>
          <w:marRight w:val="0"/>
          <w:marTop w:val="240"/>
          <w:marBottom w:val="0"/>
          <w:divBdr>
            <w:top w:val="none" w:sz="0" w:space="0" w:color="auto"/>
            <w:left w:val="none" w:sz="0" w:space="0" w:color="auto"/>
            <w:bottom w:val="none" w:sz="0" w:space="0" w:color="auto"/>
            <w:right w:val="none" w:sz="0" w:space="0" w:color="auto"/>
          </w:divBdr>
        </w:div>
        <w:div w:id="1111169287">
          <w:marLeft w:val="288"/>
          <w:marRight w:val="0"/>
          <w:marTop w:val="240"/>
          <w:marBottom w:val="0"/>
          <w:divBdr>
            <w:top w:val="none" w:sz="0" w:space="0" w:color="auto"/>
            <w:left w:val="none" w:sz="0" w:space="0" w:color="auto"/>
            <w:bottom w:val="none" w:sz="0" w:space="0" w:color="auto"/>
            <w:right w:val="none" w:sz="0" w:space="0" w:color="auto"/>
          </w:divBdr>
        </w:div>
      </w:divsChild>
    </w:div>
    <w:div w:id="873157232">
      <w:bodyDiv w:val="1"/>
      <w:marLeft w:val="0"/>
      <w:marRight w:val="0"/>
      <w:marTop w:val="0"/>
      <w:marBottom w:val="0"/>
      <w:divBdr>
        <w:top w:val="none" w:sz="0" w:space="0" w:color="auto"/>
        <w:left w:val="none" w:sz="0" w:space="0" w:color="auto"/>
        <w:bottom w:val="none" w:sz="0" w:space="0" w:color="auto"/>
        <w:right w:val="none" w:sz="0" w:space="0" w:color="auto"/>
      </w:divBdr>
      <w:divsChild>
        <w:div w:id="1555703251">
          <w:marLeft w:val="547"/>
          <w:marRight w:val="0"/>
          <w:marTop w:val="0"/>
          <w:marBottom w:val="0"/>
          <w:divBdr>
            <w:top w:val="none" w:sz="0" w:space="0" w:color="auto"/>
            <w:left w:val="none" w:sz="0" w:space="0" w:color="auto"/>
            <w:bottom w:val="none" w:sz="0" w:space="0" w:color="auto"/>
            <w:right w:val="none" w:sz="0" w:space="0" w:color="auto"/>
          </w:divBdr>
        </w:div>
        <w:div w:id="1161778255">
          <w:marLeft w:val="547"/>
          <w:marRight w:val="0"/>
          <w:marTop w:val="0"/>
          <w:marBottom w:val="0"/>
          <w:divBdr>
            <w:top w:val="none" w:sz="0" w:space="0" w:color="auto"/>
            <w:left w:val="none" w:sz="0" w:space="0" w:color="auto"/>
            <w:bottom w:val="none" w:sz="0" w:space="0" w:color="auto"/>
            <w:right w:val="none" w:sz="0" w:space="0" w:color="auto"/>
          </w:divBdr>
        </w:div>
        <w:div w:id="1177500203">
          <w:marLeft w:val="547"/>
          <w:marRight w:val="0"/>
          <w:marTop w:val="0"/>
          <w:marBottom w:val="0"/>
          <w:divBdr>
            <w:top w:val="none" w:sz="0" w:space="0" w:color="auto"/>
            <w:left w:val="none" w:sz="0" w:space="0" w:color="auto"/>
            <w:bottom w:val="none" w:sz="0" w:space="0" w:color="auto"/>
            <w:right w:val="none" w:sz="0" w:space="0" w:color="auto"/>
          </w:divBdr>
        </w:div>
        <w:div w:id="994265607">
          <w:marLeft w:val="547"/>
          <w:marRight w:val="0"/>
          <w:marTop w:val="0"/>
          <w:marBottom w:val="0"/>
          <w:divBdr>
            <w:top w:val="none" w:sz="0" w:space="0" w:color="auto"/>
            <w:left w:val="none" w:sz="0" w:space="0" w:color="auto"/>
            <w:bottom w:val="none" w:sz="0" w:space="0" w:color="auto"/>
            <w:right w:val="none" w:sz="0" w:space="0" w:color="auto"/>
          </w:divBdr>
        </w:div>
        <w:div w:id="681128681">
          <w:marLeft w:val="547"/>
          <w:marRight w:val="0"/>
          <w:marTop w:val="0"/>
          <w:marBottom w:val="0"/>
          <w:divBdr>
            <w:top w:val="none" w:sz="0" w:space="0" w:color="auto"/>
            <w:left w:val="none" w:sz="0" w:space="0" w:color="auto"/>
            <w:bottom w:val="none" w:sz="0" w:space="0" w:color="auto"/>
            <w:right w:val="none" w:sz="0" w:space="0" w:color="auto"/>
          </w:divBdr>
        </w:div>
      </w:divsChild>
    </w:div>
    <w:div w:id="958730655">
      <w:bodyDiv w:val="1"/>
      <w:marLeft w:val="0"/>
      <w:marRight w:val="0"/>
      <w:marTop w:val="0"/>
      <w:marBottom w:val="0"/>
      <w:divBdr>
        <w:top w:val="none" w:sz="0" w:space="0" w:color="auto"/>
        <w:left w:val="none" w:sz="0" w:space="0" w:color="auto"/>
        <w:bottom w:val="none" w:sz="0" w:space="0" w:color="auto"/>
        <w:right w:val="none" w:sz="0" w:space="0" w:color="auto"/>
      </w:divBdr>
      <w:divsChild>
        <w:div w:id="1378891788">
          <w:marLeft w:val="0"/>
          <w:marRight w:val="0"/>
          <w:marTop w:val="0"/>
          <w:marBottom w:val="0"/>
          <w:divBdr>
            <w:top w:val="none" w:sz="0" w:space="0" w:color="auto"/>
            <w:left w:val="none" w:sz="0" w:space="0" w:color="auto"/>
            <w:bottom w:val="none" w:sz="0" w:space="0" w:color="auto"/>
            <w:right w:val="none" w:sz="0" w:space="0" w:color="auto"/>
          </w:divBdr>
        </w:div>
        <w:div w:id="975645084">
          <w:marLeft w:val="0"/>
          <w:marRight w:val="0"/>
          <w:marTop w:val="0"/>
          <w:marBottom w:val="0"/>
          <w:divBdr>
            <w:top w:val="none" w:sz="0" w:space="0" w:color="auto"/>
            <w:left w:val="none" w:sz="0" w:space="0" w:color="auto"/>
            <w:bottom w:val="none" w:sz="0" w:space="0" w:color="auto"/>
            <w:right w:val="none" w:sz="0" w:space="0" w:color="auto"/>
          </w:divBdr>
        </w:div>
        <w:div w:id="1246455151">
          <w:marLeft w:val="0"/>
          <w:marRight w:val="0"/>
          <w:marTop w:val="0"/>
          <w:marBottom w:val="0"/>
          <w:divBdr>
            <w:top w:val="none" w:sz="0" w:space="0" w:color="auto"/>
            <w:left w:val="none" w:sz="0" w:space="0" w:color="auto"/>
            <w:bottom w:val="none" w:sz="0" w:space="0" w:color="auto"/>
            <w:right w:val="none" w:sz="0" w:space="0" w:color="auto"/>
          </w:divBdr>
        </w:div>
        <w:div w:id="2068722569">
          <w:marLeft w:val="0"/>
          <w:marRight w:val="0"/>
          <w:marTop w:val="0"/>
          <w:marBottom w:val="0"/>
          <w:divBdr>
            <w:top w:val="none" w:sz="0" w:space="0" w:color="auto"/>
            <w:left w:val="none" w:sz="0" w:space="0" w:color="auto"/>
            <w:bottom w:val="none" w:sz="0" w:space="0" w:color="auto"/>
            <w:right w:val="none" w:sz="0" w:space="0" w:color="auto"/>
          </w:divBdr>
        </w:div>
        <w:div w:id="538905343">
          <w:marLeft w:val="0"/>
          <w:marRight w:val="0"/>
          <w:marTop w:val="0"/>
          <w:marBottom w:val="0"/>
          <w:divBdr>
            <w:top w:val="none" w:sz="0" w:space="0" w:color="auto"/>
            <w:left w:val="none" w:sz="0" w:space="0" w:color="auto"/>
            <w:bottom w:val="none" w:sz="0" w:space="0" w:color="auto"/>
            <w:right w:val="none" w:sz="0" w:space="0" w:color="auto"/>
          </w:divBdr>
        </w:div>
        <w:div w:id="1837183430">
          <w:marLeft w:val="0"/>
          <w:marRight w:val="0"/>
          <w:marTop w:val="0"/>
          <w:marBottom w:val="0"/>
          <w:divBdr>
            <w:top w:val="none" w:sz="0" w:space="0" w:color="auto"/>
            <w:left w:val="none" w:sz="0" w:space="0" w:color="auto"/>
            <w:bottom w:val="none" w:sz="0" w:space="0" w:color="auto"/>
            <w:right w:val="none" w:sz="0" w:space="0" w:color="auto"/>
          </w:divBdr>
        </w:div>
        <w:div w:id="512232636">
          <w:marLeft w:val="0"/>
          <w:marRight w:val="0"/>
          <w:marTop w:val="0"/>
          <w:marBottom w:val="0"/>
          <w:divBdr>
            <w:top w:val="none" w:sz="0" w:space="0" w:color="auto"/>
            <w:left w:val="none" w:sz="0" w:space="0" w:color="auto"/>
            <w:bottom w:val="none" w:sz="0" w:space="0" w:color="auto"/>
            <w:right w:val="none" w:sz="0" w:space="0" w:color="auto"/>
          </w:divBdr>
        </w:div>
        <w:div w:id="462626097">
          <w:marLeft w:val="0"/>
          <w:marRight w:val="0"/>
          <w:marTop w:val="0"/>
          <w:marBottom w:val="0"/>
          <w:divBdr>
            <w:top w:val="none" w:sz="0" w:space="0" w:color="auto"/>
            <w:left w:val="none" w:sz="0" w:space="0" w:color="auto"/>
            <w:bottom w:val="none" w:sz="0" w:space="0" w:color="auto"/>
            <w:right w:val="none" w:sz="0" w:space="0" w:color="auto"/>
          </w:divBdr>
        </w:div>
        <w:div w:id="11272263">
          <w:marLeft w:val="0"/>
          <w:marRight w:val="0"/>
          <w:marTop w:val="0"/>
          <w:marBottom w:val="0"/>
          <w:divBdr>
            <w:top w:val="none" w:sz="0" w:space="0" w:color="auto"/>
            <w:left w:val="none" w:sz="0" w:space="0" w:color="auto"/>
            <w:bottom w:val="none" w:sz="0" w:space="0" w:color="auto"/>
            <w:right w:val="none" w:sz="0" w:space="0" w:color="auto"/>
          </w:divBdr>
        </w:div>
      </w:divsChild>
    </w:div>
    <w:div w:id="987637304">
      <w:bodyDiv w:val="1"/>
      <w:marLeft w:val="0"/>
      <w:marRight w:val="0"/>
      <w:marTop w:val="0"/>
      <w:marBottom w:val="0"/>
      <w:divBdr>
        <w:top w:val="none" w:sz="0" w:space="0" w:color="auto"/>
        <w:left w:val="none" w:sz="0" w:space="0" w:color="auto"/>
        <w:bottom w:val="none" w:sz="0" w:space="0" w:color="auto"/>
        <w:right w:val="none" w:sz="0" w:space="0" w:color="auto"/>
      </w:divBdr>
    </w:div>
    <w:div w:id="1020547597">
      <w:bodyDiv w:val="1"/>
      <w:marLeft w:val="0"/>
      <w:marRight w:val="0"/>
      <w:marTop w:val="0"/>
      <w:marBottom w:val="0"/>
      <w:divBdr>
        <w:top w:val="none" w:sz="0" w:space="0" w:color="auto"/>
        <w:left w:val="none" w:sz="0" w:space="0" w:color="auto"/>
        <w:bottom w:val="none" w:sz="0" w:space="0" w:color="auto"/>
        <w:right w:val="none" w:sz="0" w:space="0" w:color="auto"/>
      </w:divBdr>
      <w:divsChild>
        <w:div w:id="1812357678">
          <w:marLeft w:val="1267"/>
          <w:marRight w:val="0"/>
          <w:marTop w:val="0"/>
          <w:marBottom w:val="0"/>
          <w:divBdr>
            <w:top w:val="none" w:sz="0" w:space="0" w:color="auto"/>
            <w:left w:val="none" w:sz="0" w:space="0" w:color="auto"/>
            <w:bottom w:val="none" w:sz="0" w:space="0" w:color="auto"/>
            <w:right w:val="none" w:sz="0" w:space="0" w:color="auto"/>
          </w:divBdr>
        </w:div>
        <w:div w:id="906765768">
          <w:marLeft w:val="1987"/>
          <w:marRight w:val="0"/>
          <w:marTop w:val="0"/>
          <w:marBottom w:val="0"/>
          <w:divBdr>
            <w:top w:val="none" w:sz="0" w:space="0" w:color="auto"/>
            <w:left w:val="none" w:sz="0" w:space="0" w:color="auto"/>
            <w:bottom w:val="none" w:sz="0" w:space="0" w:color="auto"/>
            <w:right w:val="none" w:sz="0" w:space="0" w:color="auto"/>
          </w:divBdr>
        </w:div>
        <w:div w:id="1987125099">
          <w:marLeft w:val="1987"/>
          <w:marRight w:val="0"/>
          <w:marTop w:val="0"/>
          <w:marBottom w:val="0"/>
          <w:divBdr>
            <w:top w:val="none" w:sz="0" w:space="0" w:color="auto"/>
            <w:left w:val="none" w:sz="0" w:space="0" w:color="auto"/>
            <w:bottom w:val="none" w:sz="0" w:space="0" w:color="auto"/>
            <w:right w:val="none" w:sz="0" w:space="0" w:color="auto"/>
          </w:divBdr>
        </w:div>
        <w:div w:id="763650613">
          <w:marLeft w:val="1267"/>
          <w:marRight w:val="0"/>
          <w:marTop w:val="0"/>
          <w:marBottom w:val="0"/>
          <w:divBdr>
            <w:top w:val="none" w:sz="0" w:space="0" w:color="auto"/>
            <w:left w:val="none" w:sz="0" w:space="0" w:color="auto"/>
            <w:bottom w:val="none" w:sz="0" w:space="0" w:color="auto"/>
            <w:right w:val="none" w:sz="0" w:space="0" w:color="auto"/>
          </w:divBdr>
        </w:div>
      </w:divsChild>
    </w:div>
    <w:div w:id="1075279843">
      <w:bodyDiv w:val="1"/>
      <w:marLeft w:val="0"/>
      <w:marRight w:val="0"/>
      <w:marTop w:val="0"/>
      <w:marBottom w:val="0"/>
      <w:divBdr>
        <w:top w:val="none" w:sz="0" w:space="0" w:color="auto"/>
        <w:left w:val="none" w:sz="0" w:space="0" w:color="auto"/>
        <w:bottom w:val="none" w:sz="0" w:space="0" w:color="auto"/>
        <w:right w:val="none" w:sz="0" w:space="0" w:color="auto"/>
      </w:divBdr>
    </w:div>
    <w:div w:id="1121417756">
      <w:bodyDiv w:val="1"/>
      <w:marLeft w:val="0"/>
      <w:marRight w:val="0"/>
      <w:marTop w:val="0"/>
      <w:marBottom w:val="0"/>
      <w:divBdr>
        <w:top w:val="none" w:sz="0" w:space="0" w:color="auto"/>
        <w:left w:val="none" w:sz="0" w:space="0" w:color="auto"/>
        <w:bottom w:val="none" w:sz="0" w:space="0" w:color="auto"/>
        <w:right w:val="none" w:sz="0" w:space="0" w:color="auto"/>
      </w:divBdr>
    </w:div>
    <w:div w:id="1149134640">
      <w:bodyDiv w:val="1"/>
      <w:marLeft w:val="0"/>
      <w:marRight w:val="0"/>
      <w:marTop w:val="0"/>
      <w:marBottom w:val="0"/>
      <w:divBdr>
        <w:top w:val="none" w:sz="0" w:space="0" w:color="auto"/>
        <w:left w:val="none" w:sz="0" w:space="0" w:color="auto"/>
        <w:bottom w:val="none" w:sz="0" w:space="0" w:color="auto"/>
        <w:right w:val="none" w:sz="0" w:space="0" w:color="auto"/>
      </w:divBdr>
      <w:divsChild>
        <w:div w:id="1821851084">
          <w:marLeft w:val="720"/>
          <w:marRight w:val="0"/>
          <w:marTop w:val="0"/>
          <w:marBottom w:val="0"/>
          <w:divBdr>
            <w:top w:val="none" w:sz="0" w:space="0" w:color="auto"/>
            <w:left w:val="none" w:sz="0" w:space="0" w:color="auto"/>
            <w:bottom w:val="none" w:sz="0" w:space="0" w:color="auto"/>
            <w:right w:val="none" w:sz="0" w:space="0" w:color="auto"/>
          </w:divBdr>
        </w:div>
        <w:div w:id="1573269137">
          <w:marLeft w:val="1440"/>
          <w:marRight w:val="0"/>
          <w:marTop w:val="0"/>
          <w:marBottom w:val="0"/>
          <w:divBdr>
            <w:top w:val="none" w:sz="0" w:space="0" w:color="auto"/>
            <w:left w:val="none" w:sz="0" w:space="0" w:color="auto"/>
            <w:bottom w:val="none" w:sz="0" w:space="0" w:color="auto"/>
            <w:right w:val="none" w:sz="0" w:space="0" w:color="auto"/>
          </w:divBdr>
        </w:div>
        <w:div w:id="132716924">
          <w:marLeft w:val="2160"/>
          <w:marRight w:val="0"/>
          <w:marTop w:val="0"/>
          <w:marBottom w:val="0"/>
          <w:divBdr>
            <w:top w:val="none" w:sz="0" w:space="0" w:color="auto"/>
            <w:left w:val="none" w:sz="0" w:space="0" w:color="auto"/>
            <w:bottom w:val="none" w:sz="0" w:space="0" w:color="auto"/>
            <w:right w:val="none" w:sz="0" w:space="0" w:color="auto"/>
          </w:divBdr>
        </w:div>
        <w:div w:id="1446657077">
          <w:marLeft w:val="2160"/>
          <w:marRight w:val="0"/>
          <w:marTop w:val="0"/>
          <w:marBottom w:val="0"/>
          <w:divBdr>
            <w:top w:val="none" w:sz="0" w:space="0" w:color="auto"/>
            <w:left w:val="none" w:sz="0" w:space="0" w:color="auto"/>
            <w:bottom w:val="none" w:sz="0" w:space="0" w:color="auto"/>
            <w:right w:val="none" w:sz="0" w:space="0" w:color="auto"/>
          </w:divBdr>
        </w:div>
      </w:divsChild>
    </w:div>
    <w:div w:id="1179661102">
      <w:bodyDiv w:val="1"/>
      <w:marLeft w:val="0"/>
      <w:marRight w:val="0"/>
      <w:marTop w:val="0"/>
      <w:marBottom w:val="0"/>
      <w:divBdr>
        <w:top w:val="none" w:sz="0" w:space="0" w:color="auto"/>
        <w:left w:val="none" w:sz="0" w:space="0" w:color="auto"/>
        <w:bottom w:val="none" w:sz="0" w:space="0" w:color="auto"/>
        <w:right w:val="none" w:sz="0" w:space="0" w:color="auto"/>
      </w:divBdr>
      <w:divsChild>
        <w:div w:id="1896159439">
          <w:marLeft w:val="547"/>
          <w:marRight w:val="0"/>
          <w:marTop w:val="0"/>
          <w:marBottom w:val="0"/>
          <w:divBdr>
            <w:top w:val="none" w:sz="0" w:space="0" w:color="auto"/>
            <w:left w:val="none" w:sz="0" w:space="0" w:color="auto"/>
            <w:bottom w:val="none" w:sz="0" w:space="0" w:color="auto"/>
            <w:right w:val="none" w:sz="0" w:space="0" w:color="auto"/>
          </w:divBdr>
        </w:div>
      </w:divsChild>
    </w:div>
    <w:div w:id="1199514820">
      <w:bodyDiv w:val="1"/>
      <w:marLeft w:val="0"/>
      <w:marRight w:val="0"/>
      <w:marTop w:val="0"/>
      <w:marBottom w:val="0"/>
      <w:divBdr>
        <w:top w:val="none" w:sz="0" w:space="0" w:color="auto"/>
        <w:left w:val="none" w:sz="0" w:space="0" w:color="auto"/>
        <w:bottom w:val="none" w:sz="0" w:space="0" w:color="auto"/>
        <w:right w:val="none" w:sz="0" w:space="0" w:color="auto"/>
      </w:divBdr>
    </w:div>
    <w:div w:id="1210143144">
      <w:bodyDiv w:val="1"/>
      <w:marLeft w:val="0"/>
      <w:marRight w:val="0"/>
      <w:marTop w:val="0"/>
      <w:marBottom w:val="0"/>
      <w:divBdr>
        <w:top w:val="none" w:sz="0" w:space="0" w:color="auto"/>
        <w:left w:val="none" w:sz="0" w:space="0" w:color="auto"/>
        <w:bottom w:val="none" w:sz="0" w:space="0" w:color="auto"/>
        <w:right w:val="none" w:sz="0" w:space="0" w:color="auto"/>
      </w:divBdr>
      <w:divsChild>
        <w:div w:id="328560822">
          <w:marLeft w:val="720"/>
          <w:marRight w:val="0"/>
          <w:marTop w:val="0"/>
          <w:marBottom w:val="0"/>
          <w:divBdr>
            <w:top w:val="none" w:sz="0" w:space="0" w:color="auto"/>
            <w:left w:val="none" w:sz="0" w:space="0" w:color="auto"/>
            <w:bottom w:val="none" w:sz="0" w:space="0" w:color="auto"/>
            <w:right w:val="none" w:sz="0" w:space="0" w:color="auto"/>
          </w:divBdr>
        </w:div>
        <w:div w:id="591161428">
          <w:marLeft w:val="1440"/>
          <w:marRight w:val="0"/>
          <w:marTop w:val="0"/>
          <w:marBottom w:val="0"/>
          <w:divBdr>
            <w:top w:val="none" w:sz="0" w:space="0" w:color="auto"/>
            <w:left w:val="none" w:sz="0" w:space="0" w:color="auto"/>
            <w:bottom w:val="none" w:sz="0" w:space="0" w:color="auto"/>
            <w:right w:val="none" w:sz="0" w:space="0" w:color="auto"/>
          </w:divBdr>
        </w:div>
        <w:div w:id="433325619">
          <w:marLeft w:val="1440"/>
          <w:marRight w:val="0"/>
          <w:marTop w:val="0"/>
          <w:marBottom w:val="0"/>
          <w:divBdr>
            <w:top w:val="none" w:sz="0" w:space="0" w:color="auto"/>
            <w:left w:val="none" w:sz="0" w:space="0" w:color="auto"/>
            <w:bottom w:val="none" w:sz="0" w:space="0" w:color="auto"/>
            <w:right w:val="none" w:sz="0" w:space="0" w:color="auto"/>
          </w:divBdr>
        </w:div>
        <w:div w:id="148904493">
          <w:marLeft w:val="1440"/>
          <w:marRight w:val="0"/>
          <w:marTop w:val="0"/>
          <w:marBottom w:val="0"/>
          <w:divBdr>
            <w:top w:val="none" w:sz="0" w:space="0" w:color="auto"/>
            <w:left w:val="none" w:sz="0" w:space="0" w:color="auto"/>
            <w:bottom w:val="none" w:sz="0" w:space="0" w:color="auto"/>
            <w:right w:val="none" w:sz="0" w:space="0" w:color="auto"/>
          </w:divBdr>
        </w:div>
        <w:div w:id="657728506">
          <w:marLeft w:val="1440"/>
          <w:marRight w:val="0"/>
          <w:marTop w:val="0"/>
          <w:marBottom w:val="0"/>
          <w:divBdr>
            <w:top w:val="none" w:sz="0" w:space="0" w:color="auto"/>
            <w:left w:val="none" w:sz="0" w:space="0" w:color="auto"/>
            <w:bottom w:val="none" w:sz="0" w:space="0" w:color="auto"/>
            <w:right w:val="none" w:sz="0" w:space="0" w:color="auto"/>
          </w:divBdr>
        </w:div>
      </w:divsChild>
    </w:div>
    <w:div w:id="1249272694">
      <w:bodyDiv w:val="1"/>
      <w:marLeft w:val="0"/>
      <w:marRight w:val="0"/>
      <w:marTop w:val="0"/>
      <w:marBottom w:val="0"/>
      <w:divBdr>
        <w:top w:val="none" w:sz="0" w:space="0" w:color="auto"/>
        <w:left w:val="none" w:sz="0" w:space="0" w:color="auto"/>
        <w:bottom w:val="none" w:sz="0" w:space="0" w:color="auto"/>
        <w:right w:val="none" w:sz="0" w:space="0" w:color="auto"/>
      </w:divBdr>
    </w:div>
    <w:div w:id="1268193239">
      <w:bodyDiv w:val="1"/>
      <w:marLeft w:val="0"/>
      <w:marRight w:val="0"/>
      <w:marTop w:val="0"/>
      <w:marBottom w:val="0"/>
      <w:divBdr>
        <w:top w:val="none" w:sz="0" w:space="0" w:color="auto"/>
        <w:left w:val="none" w:sz="0" w:space="0" w:color="auto"/>
        <w:bottom w:val="none" w:sz="0" w:space="0" w:color="auto"/>
        <w:right w:val="none" w:sz="0" w:space="0" w:color="auto"/>
      </w:divBdr>
    </w:div>
    <w:div w:id="1282498790">
      <w:bodyDiv w:val="1"/>
      <w:marLeft w:val="0"/>
      <w:marRight w:val="0"/>
      <w:marTop w:val="0"/>
      <w:marBottom w:val="0"/>
      <w:divBdr>
        <w:top w:val="none" w:sz="0" w:space="0" w:color="auto"/>
        <w:left w:val="none" w:sz="0" w:space="0" w:color="auto"/>
        <w:bottom w:val="none" w:sz="0" w:space="0" w:color="auto"/>
        <w:right w:val="none" w:sz="0" w:space="0" w:color="auto"/>
      </w:divBdr>
    </w:div>
    <w:div w:id="1303660853">
      <w:bodyDiv w:val="1"/>
      <w:marLeft w:val="0"/>
      <w:marRight w:val="0"/>
      <w:marTop w:val="0"/>
      <w:marBottom w:val="0"/>
      <w:divBdr>
        <w:top w:val="none" w:sz="0" w:space="0" w:color="auto"/>
        <w:left w:val="none" w:sz="0" w:space="0" w:color="auto"/>
        <w:bottom w:val="none" w:sz="0" w:space="0" w:color="auto"/>
        <w:right w:val="none" w:sz="0" w:space="0" w:color="auto"/>
      </w:divBdr>
    </w:div>
    <w:div w:id="1306473655">
      <w:bodyDiv w:val="1"/>
      <w:marLeft w:val="0"/>
      <w:marRight w:val="0"/>
      <w:marTop w:val="0"/>
      <w:marBottom w:val="0"/>
      <w:divBdr>
        <w:top w:val="none" w:sz="0" w:space="0" w:color="auto"/>
        <w:left w:val="none" w:sz="0" w:space="0" w:color="auto"/>
        <w:bottom w:val="none" w:sz="0" w:space="0" w:color="auto"/>
        <w:right w:val="none" w:sz="0" w:space="0" w:color="auto"/>
      </w:divBdr>
      <w:divsChild>
        <w:div w:id="1765690603">
          <w:marLeft w:val="850"/>
          <w:marRight w:val="0"/>
          <w:marTop w:val="120"/>
          <w:marBottom w:val="480"/>
          <w:divBdr>
            <w:top w:val="none" w:sz="0" w:space="0" w:color="auto"/>
            <w:left w:val="none" w:sz="0" w:space="0" w:color="auto"/>
            <w:bottom w:val="none" w:sz="0" w:space="0" w:color="auto"/>
            <w:right w:val="none" w:sz="0" w:space="0" w:color="auto"/>
          </w:divBdr>
        </w:div>
        <w:div w:id="761070458">
          <w:marLeft w:val="850"/>
          <w:marRight w:val="0"/>
          <w:marTop w:val="120"/>
          <w:marBottom w:val="480"/>
          <w:divBdr>
            <w:top w:val="none" w:sz="0" w:space="0" w:color="auto"/>
            <w:left w:val="none" w:sz="0" w:space="0" w:color="auto"/>
            <w:bottom w:val="none" w:sz="0" w:space="0" w:color="auto"/>
            <w:right w:val="none" w:sz="0" w:space="0" w:color="auto"/>
          </w:divBdr>
        </w:div>
        <w:div w:id="1445734848">
          <w:marLeft w:val="850"/>
          <w:marRight w:val="0"/>
          <w:marTop w:val="120"/>
          <w:marBottom w:val="480"/>
          <w:divBdr>
            <w:top w:val="none" w:sz="0" w:space="0" w:color="auto"/>
            <w:left w:val="none" w:sz="0" w:space="0" w:color="auto"/>
            <w:bottom w:val="none" w:sz="0" w:space="0" w:color="auto"/>
            <w:right w:val="none" w:sz="0" w:space="0" w:color="auto"/>
          </w:divBdr>
        </w:div>
      </w:divsChild>
    </w:div>
    <w:div w:id="1336569472">
      <w:bodyDiv w:val="1"/>
      <w:marLeft w:val="0"/>
      <w:marRight w:val="0"/>
      <w:marTop w:val="0"/>
      <w:marBottom w:val="0"/>
      <w:divBdr>
        <w:top w:val="none" w:sz="0" w:space="0" w:color="auto"/>
        <w:left w:val="none" w:sz="0" w:space="0" w:color="auto"/>
        <w:bottom w:val="none" w:sz="0" w:space="0" w:color="auto"/>
        <w:right w:val="none" w:sz="0" w:space="0" w:color="auto"/>
      </w:divBdr>
    </w:div>
    <w:div w:id="1352145587">
      <w:bodyDiv w:val="1"/>
      <w:marLeft w:val="0"/>
      <w:marRight w:val="0"/>
      <w:marTop w:val="0"/>
      <w:marBottom w:val="0"/>
      <w:divBdr>
        <w:top w:val="none" w:sz="0" w:space="0" w:color="auto"/>
        <w:left w:val="none" w:sz="0" w:space="0" w:color="auto"/>
        <w:bottom w:val="none" w:sz="0" w:space="0" w:color="auto"/>
        <w:right w:val="none" w:sz="0" w:space="0" w:color="auto"/>
      </w:divBdr>
    </w:div>
    <w:div w:id="1361475722">
      <w:bodyDiv w:val="1"/>
      <w:marLeft w:val="0"/>
      <w:marRight w:val="0"/>
      <w:marTop w:val="0"/>
      <w:marBottom w:val="0"/>
      <w:divBdr>
        <w:top w:val="none" w:sz="0" w:space="0" w:color="auto"/>
        <w:left w:val="none" w:sz="0" w:space="0" w:color="auto"/>
        <w:bottom w:val="none" w:sz="0" w:space="0" w:color="auto"/>
        <w:right w:val="none" w:sz="0" w:space="0" w:color="auto"/>
      </w:divBdr>
    </w:div>
    <w:div w:id="1403983706">
      <w:bodyDiv w:val="1"/>
      <w:marLeft w:val="0"/>
      <w:marRight w:val="0"/>
      <w:marTop w:val="0"/>
      <w:marBottom w:val="0"/>
      <w:divBdr>
        <w:top w:val="none" w:sz="0" w:space="0" w:color="auto"/>
        <w:left w:val="none" w:sz="0" w:space="0" w:color="auto"/>
        <w:bottom w:val="none" w:sz="0" w:space="0" w:color="auto"/>
        <w:right w:val="none" w:sz="0" w:space="0" w:color="auto"/>
      </w:divBdr>
    </w:div>
    <w:div w:id="1440880626">
      <w:bodyDiv w:val="1"/>
      <w:marLeft w:val="0"/>
      <w:marRight w:val="0"/>
      <w:marTop w:val="0"/>
      <w:marBottom w:val="0"/>
      <w:divBdr>
        <w:top w:val="none" w:sz="0" w:space="0" w:color="auto"/>
        <w:left w:val="none" w:sz="0" w:space="0" w:color="auto"/>
        <w:bottom w:val="none" w:sz="0" w:space="0" w:color="auto"/>
        <w:right w:val="none" w:sz="0" w:space="0" w:color="auto"/>
      </w:divBdr>
    </w:div>
    <w:div w:id="1557820341">
      <w:bodyDiv w:val="1"/>
      <w:marLeft w:val="0"/>
      <w:marRight w:val="0"/>
      <w:marTop w:val="0"/>
      <w:marBottom w:val="0"/>
      <w:divBdr>
        <w:top w:val="none" w:sz="0" w:space="0" w:color="auto"/>
        <w:left w:val="none" w:sz="0" w:space="0" w:color="auto"/>
        <w:bottom w:val="none" w:sz="0" w:space="0" w:color="auto"/>
        <w:right w:val="none" w:sz="0" w:space="0" w:color="auto"/>
      </w:divBdr>
    </w:div>
    <w:div w:id="1596015494">
      <w:bodyDiv w:val="1"/>
      <w:marLeft w:val="0"/>
      <w:marRight w:val="0"/>
      <w:marTop w:val="0"/>
      <w:marBottom w:val="0"/>
      <w:divBdr>
        <w:top w:val="none" w:sz="0" w:space="0" w:color="auto"/>
        <w:left w:val="none" w:sz="0" w:space="0" w:color="auto"/>
        <w:bottom w:val="none" w:sz="0" w:space="0" w:color="auto"/>
        <w:right w:val="none" w:sz="0" w:space="0" w:color="auto"/>
      </w:divBdr>
      <w:divsChild>
        <w:div w:id="898635229">
          <w:marLeft w:val="1987"/>
          <w:marRight w:val="0"/>
          <w:marTop w:val="0"/>
          <w:marBottom w:val="0"/>
          <w:divBdr>
            <w:top w:val="none" w:sz="0" w:space="0" w:color="auto"/>
            <w:left w:val="none" w:sz="0" w:space="0" w:color="auto"/>
            <w:bottom w:val="none" w:sz="0" w:space="0" w:color="auto"/>
            <w:right w:val="none" w:sz="0" w:space="0" w:color="auto"/>
          </w:divBdr>
        </w:div>
      </w:divsChild>
    </w:div>
    <w:div w:id="1601572035">
      <w:bodyDiv w:val="1"/>
      <w:marLeft w:val="0"/>
      <w:marRight w:val="0"/>
      <w:marTop w:val="0"/>
      <w:marBottom w:val="0"/>
      <w:divBdr>
        <w:top w:val="none" w:sz="0" w:space="0" w:color="auto"/>
        <w:left w:val="none" w:sz="0" w:space="0" w:color="auto"/>
        <w:bottom w:val="none" w:sz="0" w:space="0" w:color="auto"/>
        <w:right w:val="none" w:sz="0" w:space="0" w:color="auto"/>
      </w:divBdr>
      <w:divsChild>
        <w:div w:id="666784095">
          <w:marLeft w:val="1987"/>
          <w:marRight w:val="0"/>
          <w:marTop w:val="0"/>
          <w:marBottom w:val="0"/>
          <w:divBdr>
            <w:top w:val="none" w:sz="0" w:space="0" w:color="auto"/>
            <w:left w:val="none" w:sz="0" w:space="0" w:color="auto"/>
            <w:bottom w:val="none" w:sz="0" w:space="0" w:color="auto"/>
            <w:right w:val="none" w:sz="0" w:space="0" w:color="auto"/>
          </w:divBdr>
        </w:div>
        <w:div w:id="1588999554">
          <w:marLeft w:val="1987"/>
          <w:marRight w:val="0"/>
          <w:marTop w:val="0"/>
          <w:marBottom w:val="0"/>
          <w:divBdr>
            <w:top w:val="none" w:sz="0" w:space="0" w:color="auto"/>
            <w:left w:val="none" w:sz="0" w:space="0" w:color="auto"/>
            <w:bottom w:val="none" w:sz="0" w:space="0" w:color="auto"/>
            <w:right w:val="none" w:sz="0" w:space="0" w:color="auto"/>
          </w:divBdr>
        </w:div>
        <w:div w:id="1471819922">
          <w:marLeft w:val="1987"/>
          <w:marRight w:val="0"/>
          <w:marTop w:val="0"/>
          <w:marBottom w:val="0"/>
          <w:divBdr>
            <w:top w:val="none" w:sz="0" w:space="0" w:color="auto"/>
            <w:left w:val="none" w:sz="0" w:space="0" w:color="auto"/>
            <w:bottom w:val="none" w:sz="0" w:space="0" w:color="auto"/>
            <w:right w:val="none" w:sz="0" w:space="0" w:color="auto"/>
          </w:divBdr>
        </w:div>
      </w:divsChild>
    </w:div>
    <w:div w:id="1603953969">
      <w:bodyDiv w:val="1"/>
      <w:marLeft w:val="0"/>
      <w:marRight w:val="0"/>
      <w:marTop w:val="0"/>
      <w:marBottom w:val="0"/>
      <w:divBdr>
        <w:top w:val="none" w:sz="0" w:space="0" w:color="auto"/>
        <w:left w:val="none" w:sz="0" w:space="0" w:color="auto"/>
        <w:bottom w:val="none" w:sz="0" w:space="0" w:color="auto"/>
        <w:right w:val="none" w:sz="0" w:space="0" w:color="auto"/>
      </w:divBdr>
    </w:div>
    <w:div w:id="1611811875">
      <w:bodyDiv w:val="1"/>
      <w:marLeft w:val="0"/>
      <w:marRight w:val="0"/>
      <w:marTop w:val="0"/>
      <w:marBottom w:val="0"/>
      <w:divBdr>
        <w:top w:val="none" w:sz="0" w:space="0" w:color="auto"/>
        <w:left w:val="none" w:sz="0" w:space="0" w:color="auto"/>
        <w:bottom w:val="none" w:sz="0" w:space="0" w:color="auto"/>
        <w:right w:val="none" w:sz="0" w:space="0" w:color="auto"/>
      </w:divBdr>
    </w:div>
    <w:div w:id="1624072158">
      <w:bodyDiv w:val="1"/>
      <w:marLeft w:val="0"/>
      <w:marRight w:val="0"/>
      <w:marTop w:val="0"/>
      <w:marBottom w:val="0"/>
      <w:divBdr>
        <w:top w:val="none" w:sz="0" w:space="0" w:color="auto"/>
        <w:left w:val="none" w:sz="0" w:space="0" w:color="auto"/>
        <w:bottom w:val="none" w:sz="0" w:space="0" w:color="auto"/>
        <w:right w:val="none" w:sz="0" w:space="0" w:color="auto"/>
      </w:divBdr>
    </w:div>
    <w:div w:id="1643340642">
      <w:bodyDiv w:val="1"/>
      <w:marLeft w:val="0"/>
      <w:marRight w:val="0"/>
      <w:marTop w:val="0"/>
      <w:marBottom w:val="0"/>
      <w:divBdr>
        <w:top w:val="none" w:sz="0" w:space="0" w:color="auto"/>
        <w:left w:val="none" w:sz="0" w:space="0" w:color="auto"/>
        <w:bottom w:val="none" w:sz="0" w:space="0" w:color="auto"/>
        <w:right w:val="none" w:sz="0" w:space="0" w:color="auto"/>
      </w:divBdr>
    </w:div>
    <w:div w:id="1705984278">
      <w:bodyDiv w:val="1"/>
      <w:marLeft w:val="0"/>
      <w:marRight w:val="0"/>
      <w:marTop w:val="0"/>
      <w:marBottom w:val="0"/>
      <w:divBdr>
        <w:top w:val="none" w:sz="0" w:space="0" w:color="auto"/>
        <w:left w:val="none" w:sz="0" w:space="0" w:color="auto"/>
        <w:bottom w:val="none" w:sz="0" w:space="0" w:color="auto"/>
        <w:right w:val="none" w:sz="0" w:space="0" w:color="auto"/>
      </w:divBdr>
      <w:divsChild>
        <w:div w:id="151025056">
          <w:marLeft w:val="547"/>
          <w:marRight w:val="0"/>
          <w:marTop w:val="0"/>
          <w:marBottom w:val="0"/>
          <w:divBdr>
            <w:top w:val="none" w:sz="0" w:space="0" w:color="auto"/>
            <w:left w:val="none" w:sz="0" w:space="0" w:color="auto"/>
            <w:bottom w:val="none" w:sz="0" w:space="0" w:color="auto"/>
            <w:right w:val="none" w:sz="0" w:space="0" w:color="auto"/>
          </w:divBdr>
        </w:div>
        <w:div w:id="1452745748">
          <w:marLeft w:val="547"/>
          <w:marRight w:val="0"/>
          <w:marTop w:val="0"/>
          <w:marBottom w:val="0"/>
          <w:divBdr>
            <w:top w:val="none" w:sz="0" w:space="0" w:color="auto"/>
            <w:left w:val="none" w:sz="0" w:space="0" w:color="auto"/>
            <w:bottom w:val="none" w:sz="0" w:space="0" w:color="auto"/>
            <w:right w:val="none" w:sz="0" w:space="0" w:color="auto"/>
          </w:divBdr>
        </w:div>
        <w:div w:id="1116414277">
          <w:marLeft w:val="547"/>
          <w:marRight w:val="0"/>
          <w:marTop w:val="0"/>
          <w:marBottom w:val="0"/>
          <w:divBdr>
            <w:top w:val="none" w:sz="0" w:space="0" w:color="auto"/>
            <w:left w:val="none" w:sz="0" w:space="0" w:color="auto"/>
            <w:bottom w:val="none" w:sz="0" w:space="0" w:color="auto"/>
            <w:right w:val="none" w:sz="0" w:space="0" w:color="auto"/>
          </w:divBdr>
        </w:div>
        <w:div w:id="632910495">
          <w:marLeft w:val="547"/>
          <w:marRight w:val="0"/>
          <w:marTop w:val="0"/>
          <w:marBottom w:val="0"/>
          <w:divBdr>
            <w:top w:val="none" w:sz="0" w:space="0" w:color="auto"/>
            <w:left w:val="none" w:sz="0" w:space="0" w:color="auto"/>
            <w:bottom w:val="none" w:sz="0" w:space="0" w:color="auto"/>
            <w:right w:val="none" w:sz="0" w:space="0" w:color="auto"/>
          </w:divBdr>
        </w:div>
      </w:divsChild>
    </w:div>
    <w:div w:id="1776706660">
      <w:bodyDiv w:val="1"/>
      <w:marLeft w:val="0"/>
      <w:marRight w:val="0"/>
      <w:marTop w:val="0"/>
      <w:marBottom w:val="0"/>
      <w:divBdr>
        <w:top w:val="none" w:sz="0" w:space="0" w:color="auto"/>
        <w:left w:val="none" w:sz="0" w:space="0" w:color="auto"/>
        <w:bottom w:val="none" w:sz="0" w:space="0" w:color="auto"/>
        <w:right w:val="none" w:sz="0" w:space="0" w:color="auto"/>
      </w:divBdr>
      <w:divsChild>
        <w:div w:id="1405109409">
          <w:marLeft w:val="547"/>
          <w:marRight w:val="0"/>
          <w:marTop w:val="0"/>
          <w:marBottom w:val="0"/>
          <w:divBdr>
            <w:top w:val="none" w:sz="0" w:space="0" w:color="auto"/>
            <w:left w:val="none" w:sz="0" w:space="0" w:color="auto"/>
            <w:bottom w:val="none" w:sz="0" w:space="0" w:color="auto"/>
            <w:right w:val="none" w:sz="0" w:space="0" w:color="auto"/>
          </w:divBdr>
        </w:div>
      </w:divsChild>
    </w:div>
    <w:div w:id="1885478165">
      <w:bodyDiv w:val="1"/>
      <w:marLeft w:val="0"/>
      <w:marRight w:val="0"/>
      <w:marTop w:val="0"/>
      <w:marBottom w:val="0"/>
      <w:divBdr>
        <w:top w:val="none" w:sz="0" w:space="0" w:color="auto"/>
        <w:left w:val="none" w:sz="0" w:space="0" w:color="auto"/>
        <w:bottom w:val="none" w:sz="0" w:space="0" w:color="auto"/>
        <w:right w:val="none" w:sz="0" w:space="0" w:color="auto"/>
      </w:divBdr>
    </w:div>
    <w:div w:id="1964580639">
      <w:bodyDiv w:val="1"/>
      <w:marLeft w:val="0"/>
      <w:marRight w:val="0"/>
      <w:marTop w:val="0"/>
      <w:marBottom w:val="0"/>
      <w:divBdr>
        <w:top w:val="none" w:sz="0" w:space="0" w:color="auto"/>
        <w:left w:val="none" w:sz="0" w:space="0" w:color="auto"/>
        <w:bottom w:val="none" w:sz="0" w:space="0" w:color="auto"/>
        <w:right w:val="none" w:sz="0" w:space="0" w:color="auto"/>
      </w:divBdr>
    </w:div>
    <w:div w:id="1991326915">
      <w:bodyDiv w:val="1"/>
      <w:marLeft w:val="0"/>
      <w:marRight w:val="0"/>
      <w:marTop w:val="0"/>
      <w:marBottom w:val="0"/>
      <w:divBdr>
        <w:top w:val="none" w:sz="0" w:space="0" w:color="auto"/>
        <w:left w:val="none" w:sz="0" w:space="0" w:color="auto"/>
        <w:bottom w:val="none" w:sz="0" w:space="0" w:color="auto"/>
        <w:right w:val="none" w:sz="0" w:space="0" w:color="auto"/>
      </w:divBdr>
    </w:div>
    <w:div w:id="2008750890">
      <w:bodyDiv w:val="1"/>
      <w:marLeft w:val="0"/>
      <w:marRight w:val="0"/>
      <w:marTop w:val="0"/>
      <w:marBottom w:val="0"/>
      <w:divBdr>
        <w:top w:val="none" w:sz="0" w:space="0" w:color="auto"/>
        <w:left w:val="none" w:sz="0" w:space="0" w:color="auto"/>
        <w:bottom w:val="none" w:sz="0" w:space="0" w:color="auto"/>
        <w:right w:val="none" w:sz="0" w:space="0" w:color="auto"/>
      </w:divBdr>
    </w:div>
    <w:div w:id="2062360922">
      <w:bodyDiv w:val="1"/>
      <w:marLeft w:val="0"/>
      <w:marRight w:val="0"/>
      <w:marTop w:val="0"/>
      <w:marBottom w:val="0"/>
      <w:divBdr>
        <w:top w:val="none" w:sz="0" w:space="0" w:color="auto"/>
        <w:left w:val="none" w:sz="0" w:space="0" w:color="auto"/>
        <w:bottom w:val="none" w:sz="0" w:space="0" w:color="auto"/>
        <w:right w:val="none" w:sz="0" w:space="0" w:color="auto"/>
      </w:divBdr>
      <w:divsChild>
        <w:div w:id="1731616053">
          <w:marLeft w:val="720"/>
          <w:marRight w:val="0"/>
          <w:marTop w:val="0"/>
          <w:marBottom w:val="0"/>
          <w:divBdr>
            <w:top w:val="none" w:sz="0" w:space="0" w:color="auto"/>
            <w:left w:val="none" w:sz="0" w:space="0" w:color="auto"/>
            <w:bottom w:val="none" w:sz="0" w:space="0" w:color="auto"/>
            <w:right w:val="none" w:sz="0" w:space="0" w:color="auto"/>
          </w:divBdr>
        </w:div>
        <w:div w:id="962464668">
          <w:marLeft w:val="1440"/>
          <w:marRight w:val="0"/>
          <w:marTop w:val="0"/>
          <w:marBottom w:val="0"/>
          <w:divBdr>
            <w:top w:val="none" w:sz="0" w:space="0" w:color="auto"/>
            <w:left w:val="none" w:sz="0" w:space="0" w:color="auto"/>
            <w:bottom w:val="none" w:sz="0" w:space="0" w:color="auto"/>
            <w:right w:val="none" w:sz="0" w:space="0" w:color="auto"/>
          </w:divBdr>
        </w:div>
        <w:div w:id="1973054423">
          <w:marLeft w:val="1440"/>
          <w:marRight w:val="0"/>
          <w:marTop w:val="0"/>
          <w:marBottom w:val="0"/>
          <w:divBdr>
            <w:top w:val="none" w:sz="0" w:space="0" w:color="auto"/>
            <w:left w:val="none" w:sz="0" w:space="0" w:color="auto"/>
            <w:bottom w:val="none" w:sz="0" w:space="0" w:color="auto"/>
            <w:right w:val="none" w:sz="0" w:space="0" w:color="auto"/>
          </w:divBdr>
        </w:div>
        <w:div w:id="302082993">
          <w:marLeft w:val="1440"/>
          <w:marRight w:val="0"/>
          <w:marTop w:val="0"/>
          <w:marBottom w:val="0"/>
          <w:divBdr>
            <w:top w:val="none" w:sz="0" w:space="0" w:color="auto"/>
            <w:left w:val="none" w:sz="0" w:space="0" w:color="auto"/>
            <w:bottom w:val="none" w:sz="0" w:space="0" w:color="auto"/>
            <w:right w:val="none" w:sz="0" w:space="0" w:color="auto"/>
          </w:divBdr>
        </w:div>
        <w:div w:id="1720937120">
          <w:marLeft w:val="2160"/>
          <w:marRight w:val="0"/>
          <w:marTop w:val="0"/>
          <w:marBottom w:val="0"/>
          <w:divBdr>
            <w:top w:val="none" w:sz="0" w:space="0" w:color="auto"/>
            <w:left w:val="none" w:sz="0" w:space="0" w:color="auto"/>
            <w:bottom w:val="none" w:sz="0" w:space="0" w:color="auto"/>
            <w:right w:val="none" w:sz="0" w:space="0" w:color="auto"/>
          </w:divBdr>
        </w:div>
        <w:div w:id="198474710">
          <w:marLeft w:val="1440"/>
          <w:marRight w:val="0"/>
          <w:marTop w:val="0"/>
          <w:marBottom w:val="0"/>
          <w:divBdr>
            <w:top w:val="none" w:sz="0" w:space="0" w:color="auto"/>
            <w:left w:val="none" w:sz="0" w:space="0" w:color="auto"/>
            <w:bottom w:val="none" w:sz="0" w:space="0" w:color="auto"/>
            <w:right w:val="none" w:sz="0" w:space="0" w:color="auto"/>
          </w:divBdr>
        </w:div>
      </w:divsChild>
    </w:div>
    <w:div w:id="2111046011">
      <w:bodyDiv w:val="1"/>
      <w:marLeft w:val="0"/>
      <w:marRight w:val="0"/>
      <w:marTop w:val="0"/>
      <w:marBottom w:val="0"/>
      <w:divBdr>
        <w:top w:val="none" w:sz="0" w:space="0" w:color="auto"/>
        <w:left w:val="none" w:sz="0" w:space="0" w:color="auto"/>
        <w:bottom w:val="none" w:sz="0" w:space="0" w:color="auto"/>
        <w:right w:val="none" w:sz="0" w:space="0" w:color="auto"/>
      </w:divBdr>
    </w:div>
    <w:div w:id="2142382342">
      <w:bodyDiv w:val="1"/>
      <w:marLeft w:val="0"/>
      <w:marRight w:val="0"/>
      <w:marTop w:val="0"/>
      <w:marBottom w:val="0"/>
      <w:divBdr>
        <w:top w:val="none" w:sz="0" w:space="0" w:color="auto"/>
        <w:left w:val="none" w:sz="0" w:space="0" w:color="auto"/>
        <w:bottom w:val="none" w:sz="0" w:space="0" w:color="auto"/>
        <w:right w:val="none" w:sz="0" w:space="0" w:color="auto"/>
      </w:divBdr>
    </w:div>
    <w:div w:id="21458075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image" Target="media/image3.svg"/><Relationship Id="rId26" Type="http://schemas.openxmlformats.org/officeDocument/2006/relationships/hyperlink" Target="https://www.onu.org.mx/publicaciones/reporte-de-resultados-2020-sistema-de-las-naciones-unidas-en-mexico/" TargetMode="External"/><Relationship Id="rId39" Type="http://schemas.openxmlformats.org/officeDocument/2006/relationships/hyperlink" Target="https://www.gob.mx/cms/uploads/attachment/file/654376/Insumos_INV_-_Contribuci_n_del_SNU_a_los_ODS_en_M_xico_consolidado__SNU__UNV__UNICEF_.pdf" TargetMode="External"/><Relationship Id="rId21" Type="http://schemas.openxmlformats.org/officeDocument/2006/relationships/image" Target="media/image6.svg"/><Relationship Id="rId34" Type="http://schemas.openxmlformats.org/officeDocument/2006/relationships/hyperlink" Target="https://mptf.undp.org/factsheet/project/00111639" TargetMode="External"/><Relationship Id="rId42" Type="http://schemas.openxmlformats.org/officeDocument/2006/relationships/hyperlink" Target="https://www.onu.org.mx/publicaciones/reporte-de-resultados-2020-sistema-de-las-naciones-unidas-en-mexico/" TargetMode="External"/><Relationship Id="rId47" Type="http://schemas.openxmlformats.org/officeDocument/2006/relationships/chart" Target="charts/chart2.xml"/><Relationship Id="rId50" Type="http://schemas.openxmlformats.org/officeDocument/2006/relationships/footer" Target="footer1.xml"/><Relationship Id="rId7" Type="http://schemas.openxmlformats.org/officeDocument/2006/relationships/webSettings" Target="webSettings.xml"/><Relationship Id="rId2" Type="http://schemas.openxmlformats.org/officeDocument/2006/relationships/customXml" Target="../customXml/item2.xml"/><Relationship Id="rId16" Type="http://schemas.microsoft.com/office/2007/relationships/diagramDrawing" Target="diagrams/drawing1.xml"/><Relationship Id="rId29" Type="http://schemas.openxmlformats.org/officeDocument/2006/relationships/hyperlink" Target="https://jointsdgfund.org/programme/improving-allocation-risks-and-resources-mexico-sustainable-development" TargetMode="External"/><Relationship Id="rId11" Type="http://schemas.openxmlformats.org/officeDocument/2006/relationships/chart" Target="charts/chart1.xml"/><Relationship Id="rId24" Type="http://schemas.openxmlformats.org/officeDocument/2006/relationships/image" Target="media/image5.png"/><Relationship Id="rId32" Type="http://schemas.openxmlformats.org/officeDocument/2006/relationships/hyperlink" Target="https://www.onu.org.mx/wp-content/uploads/2021/06/Informe-ONU-Mx_2020.pdf" TargetMode="External"/><Relationship Id="rId37" Type="http://schemas.openxmlformats.org/officeDocument/2006/relationships/hyperlink" Target="https://www.onu.org.mx/liberia-mexico-niger-senegal-y-sierra-leona-revisaran-los-obstaculos-que-impiden-el-despliegue-de-mujeres-en-operaciones-de-paz-con-el-apoyo-del-fondo-de-la-iniciativa-elsie-de-la-onu/" TargetMode="External"/><Relationship Id="rId40" Type="http://schemas.openxmlformats.org/officeDocument/2006/relationships/hyperlink" Target="https://www.gob.mx/agenda2030/documentos/informe-nacional-voluntario-2021-agenda-2030-en-mexico" TargetMode="External"/><Relationship Id="rId45" Type="http://schemas.openxmlformats.org/officeDocument/2006/relationships/hyperlink" Target="https://mptf.undp.org/factsheet/project/00126207" TargetMode="External"/><Relationship Id="rId53" Type="http://schemas.openxmlformats.org/officeDocument/2006/relationships/theme" Target="theme/theme1.xm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image" Target="media/image3.png"/><Relationship Id="rId31" Type="http://schemas.openxmlformats.org/officeDocument/2006/relationships/hyperlink" Target="https://mptf.undp.org/factsheet/project/00124740" TargetMode="External"/><Relationship Id="rId44" Type="http://schemas.openxmlformats.org/officeDocument/2006/relationships/hyperlink" Target="https://jointsdgfund.org/programme/closing-gaps-making-social-protection-work-women-mexico" TargetMode="External"/><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diagramQuickStyle" Target="diagrams/quickStyle1.xml"/><Relationship Id="rId22" Type="http://schemas.openxmlformats.org/officeDocument/2006/relationships/hyperlink" Target="https://www.onu.org.mx/wp-content/uploads/2021/06/Informe-ONU-Mx_2020.pdf" TargetMode="External"/><Relationship Id="rId27" Type="http://schemas.openxmlformats.org/officeDocument/2006/relationships/hyperlink" Target="https://mptf.undp.org/factsheet/project/00111639" TargetMode="External"/><Relationship Id="rId30" Type="http://schemas.openxmlformats.org/officeDocument/2006/relationships/hyperlink" Target="https://mptf.undp.org/factsheet/project/00126207" TargetMode="External"/><Relationship Id="rId35" Type="http://schemas.openxmlformats.org/officeDocument/2006/relationships/hyperlink" Target="https://jointsdgfund.org/programme/closing-gaps-making-social-protection-work-women-mexico" TargetMode="External"/><Relationship Id="rId43" Type="http://schemas.openxmlformats.org/officeDocument/2006/relationships/hyperlink" Target="https://mptf.undp.org/factsheet/project/00111639" TargetMode="External"/><Relationship Id="rId48" Type="http://schemas.openxmlformats.org/officeDocument/2006/relationships/image" Target="media/image6.png"/><Relationship Id="rId8" Type="http://schemas.openxmlformats.org/officeDocument/2006/relationships/footnotes" Target="footnotes.xml"/><Relationship Id="rId51"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diagramData" Target="diagrams/data1.xml"/><Relationship Id="rId17" Type="http://schemas.openxmlformats.org/officeDocument/2006/relationships/image" Target="media/image2.png"/><Relationship Id="rId25" Type="http://schemas.openxmlformats.org/officeDocument/2006/relationships/image" Target="media/image8.svg"/><Relationship Id="rId33" Type="http://schemas.openxmlformats.org/officeDocument/2006/relationships/hyperlink" Target="https://www.onu.org.mx/publicaciones/reporte-de-resultados-2020-sistema-de-las-naciones-unidas-en-mexico/" TargetMode="External"/><Relationship Id="rId38" Type="http://schemas.openxmlformats.org/officeDocument/2006/relationships/hyperlink" Target="https://www.fao.org/mexico/noticias/detail-events/es/c/1445896/" TargetMode="External"/><Relationship Id="rId46" Type="http://schemas.openxmlformats.org/officeDocument/2006/relationships/hyperlink" Target="https://www.gob.mx/cms/uploads/attachment/file/654376/Insumos_INV_-_Contribuci_n_del_SNU_a_los_ODS_en_M_xico_consolidado__SNU__UNV__UNICEF_.pdf" TargetMode="External"/><Relationship Id="rId20" Type="http://schemas.openxmlformats.org/officeDocument/2006/relationships/image" Target="media/image4.png"/><Relationship Id="rId41" Type="http://schemas.openxmlformats.org/officeDocument/2006/relationships/hyperlink" Target="https://www.onu.org.mx/wp-content/uploads/2021/06/Informe-ONU-Mx_2020.pdf"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diagramColors" Target="diagrams/colors1.xml"/><Relationship Id="rId23" Type="http://schemas.openxmlformats.org/officeDocument/2006/relationships/hyperlink" Target="https://www.onu.org.mx/wp-content/uploads/2021/06/Informe-ONU-Mx_2020.pdf" TargetMode="External"/><Relationship Id="rId28" Type="http://schemas.openxmlformats.org/officeDocument/2006/relationships/hyperlink" Target="https://jointsdgfund.org/programme/closing-gaps-making-social-protection-work-women-mexico" TargetMode="External"/><Relationship Id="rId36" Type="http://schemas.openxmlformats.org/officeDocument/2006/relationships/hyperlink" Target="https://mptf.undp.org/factsheet/project/00126207" TargetMode="External"/><Relationship Id="rId49" Type="http://schemas.microsoft.com/office/2007/relationships/hdphoto" Target="media/hdphoto1.wdp"/></Relationships>
</file>

<file path=word/charts/_rels/chart1.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2.xml.rels><?xml version="1.0" encoding="UTF-8" standalone="yes"?>
<Relationships xmlns="http://schemas.openxmlformats.org/package/2006/relationships"><Relationship Id="rId3" Type="http://schemas.openxmlformats.org/officeDocument/2006/relationships/package" Target="../embeddings/Hoja_de_c_lculo_de_Microsoft_Excel.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doughnutChart>
        <c:varyColors val="1"/>
        <c:ser>
          <c:idx val="0"/>
          <c:order val="0"/>
          <c:spPr>
            <a:solidFill>
              <a:srgbClr val="00B050"/>
            </a:solidFill>
          </c:spPr>
          <c:dPt>
            <c:idx val="0"/>
            <c:bubble3D val="0"/>
            <c:spPr>
              <a:solidFill>
                <a:srgbClr val="0070C0"/>
              </a:solidFill>
            </c:spPr>
            <c:extLst>
              <c:ext xmlns:c16="http://schemas.microsoft.com/office/drawing/2014/chart" uri="{C3380CC4-5D6E-409C-BE32-E72D297353CC}">
                <c16:uniqueId val="{00000001-80F1-2F40-86A4-68106F322164}"/>
              </c:ext>
            </c:extLst>
          </c:dPt>
          <c:dPt>
            <c:idx val="2"/>
            <c:bubble3D val="0"/>
            <c:spPr>
              <a:solidFill>
                <a:srgbClr val="FFC000"/>
              </a:solidFill>
            </c:spPr>
            <c:extLst>
              <c:ext xmlns:c16="http://schemas.microsoft.com/office/drawing/2014/chart" uri="{C3380CC4-5D6E-409C-BE32-E72D297353CC}">
                <c16:uniqueId val="{00000003-80F1-2F40-86A4-68106F322164}"/>
              </c:ext>
            </c:extLst>
          </c:dPt>
          <c:dPt>
            <c:idx val="3"/>
            <c:bubble3D val="0"/>
            <c:spPr>
              <a:solidFill>
                <a:srgbClr val="FF0000"/>
              </a:solidFill>
            </c:spPr>
            <c:extLst>
              <c:ext xmlns:c16="http://schemas.microsoft.com/office/drawing/2014/chart" uri="{C3380CC4-5D6E-409C-BE32-E72D297353CC}">
                <c16:uniqueId val="{00000005-80F1-2F40-86A4-68106F322164}"/>
              </c:ext>
            </c:extLst>
          </c:dPt>
          <c:dLbls>
            <c:spPr>
              <a:noFill/>
              <a:ln>
                <a:noFill/>
              </a:ln>
              <a:effectLst/>
            </c:spPr>
            <c:txPr>
              <a:bodyPr/>
              <a:lstStyle/>
              <a:p>
                <a:pPr>
                  <a:defRPr sz="1100" b="1">
                    <a:latin typeface="+mj-lt"/>
                  </a:defRPr>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Hoja1!$F$10:$I$10</c:f>
              <c:strCache>
                <c:ptCount val="4"/>
                <c:pt idx="0">
                  <c:v>Supera el estándar mínimo</c:v>
                </c:pt>
                <c:pt idx="1">
                  <c:v>Cumple el estándar mínimo</c:v>
                </c:pt>
                <c:pt idx="2">
                  <c:v>Se aproxima al estándar mínimo</c:v>
                </c:pt>
                <c:pt idx="3">
                  <c:v>No cumple el estándar mínimo</c:v>
                </c:pt>
              </c:strCache>
            </c:strRef>
          </c:cat>
          <c:val>
            <c:numRef>
              <c:f>Hoja1!$F$11:$I$11</c:f>
              <c:numCache>
                <c:formatCode>General</c:formatCode>
                <c:ptCount val="4"/>
                <c:pt idx="0">
                  <c:v>1</c:v>
                </c:pt>
                <c:pt idx="1">
                  <c:v>3</c:v>
                </c:pt>
                <c:pt idx="2">
                  <c:v>7</c:v>
                </c:pt>
                <c:pt idx="3">
                  <c:v>4</c:v>
                </c:pt>
              </c:numCache>
            </c:numRef>
          </c:val>
          <c:extLst>
            <c:ext xmlns:c16="http://schemas.microsoft.com/office/drawing/2014/chart" uri="{C3380CC4-5D6E-409C-BE32-E72D297353CC}">
              <c16:uniqueId val="{00000006-80F1-2F40-86A4-68106F322164}"/>
            </c:ext>
          </c:extLst>
        </c:ser>
        <c:dLbls>
          <c:showLegendKey val="0"/>
          <c:showVal val="0"/>
          <c:showCatName val="0"/>
          <c:showSerName val="0"/>
          <c:showPercent val="1"/>
          <c:showBubbleSize val="0"/>
          <c:showLeaderLines val="1"/>
        </c:dLbls>
        <c:firstSliceAng val="0"/>
        <c:holeSize val="50"/>
      </c:doughnutChart>
    </c:plotArea>
    <c:legend>
      <c:legendPos val="r"/>
      <c:overlay val="0"/>
      <c:txPr>
        <a:bodyPr/>
        <a:lstStyle/>
        <a:p>
          <a:pPr>
            <a:defRPr sz="1100">
              <a:latin typeface="+mj-lt"/>
            </a:defRPr>
          </a:pPr>
          <a:endParaRPr lang="en-US"/>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349073078572361"/>
          <c:y val="9.0358203645724749E-2"/>
          <c:w val="0.39978807525587107"/>
          <c:h val="0.79790993506289798"/>
        </c:manualLayout>
      </c:layout>
      <c:doughnutChart>
        <c:varyColors val="1"/>
        <c:ser>
          <c:idx val="0"/>
          <c:order val="0"/>
          <c:tx>
            <c:strRef>
              <c:f>Hoja1!$B$1</c:f>
              <c:strCache>
                <c:ptCount val="1"/>
                <c:pt idx="0">
                  <c:v>Resumen global</c:v>
                </c:pt>
              </c:strCache>
            </c:strRef>
          </c:tx>
          <c:explosion val="7"/>
          <c:dPt>
            <c:idx val="0"/>
            <c:bubble3D val="0"/>
            <c:spPr>
              <a:solidFill>
                <a:srgbClr val="00B050"/>
              </a:solidFill>
              <a:ln w="19050">
                <a:solidFill>
                  <a:schemeClr val="lt1"/>
                </a:solidFill>
              </a:ln>
              <a:effectLst/>
            </c:spPr>
            <c:extLst>
              <c:ext xmlns:c16="http://schemas.microsoft.com/office/drawing/2014/chart" uri="{C3380CC4-5D6E-409C-BE32-E72D297353CC}">
                <c16:uniqueId val="{00000001-A537-FD41-A0D0-9934DC174307}"/>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A537-FD41-A0D0-9934DC174307}"/>
              </c:ext>
            </c:extLst>
          </c:dPt>
          <c:dPt>
            <c:idx val="2"/>
            <c:bubble3D val="0"/>
            <c:spPr>
              <a:solidFill>
                <a:srgbClr val="FF0000"/>
              </a:solidFill>
              <a:ln w="19050">
                <a:solidFill>
                  <a:schemeClr val="lt1"/>
                </a:solidFill>
              </a:ln>
              <a:effectLst/>
            </c:spPr>
            <c:extLst>
              <c:ext xmlns:c16="http://schemas.microsoft.com/office/drawing/2014/chart" uri="{C3380CC4-5D6E-409C-BE32-E72D297353CC}">
                <c16:uniqueId val="{00000005-A537-FD41-A0D0-9934DC174307}"/>
              </c:ext>
            </c:extLst>
          </c:dPt>
          <c:dLbls>
            <c:dLbl>
              <c:idx val="0"/>
              <c:layout>
                <c:manualLayout>
                  <c:x val="5.4401582591493483E-2"/>
                  <c:y val="-9.4034675286511896E-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Calibri" panose="020F0502020204030204" pitchFamily="34" charset="0"/>
                      <a:ea typeface="+mn-ea"/>
                      <a:cs typeface="Calibri" panose="020F0502020204030204" pitchFamily="34" charset="0"/>
                    </a:defRPr>
                  </a:pPr>
                  <a:endParaRPr lang="en-US"/>
                </a:p>
              </c:txPr>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A537-FD41-A0D0-9934DC174307}"/>
                </c:ext>
              </c:extLst>
            </c:dLbl>
            <c:dLbl>
              <c:idx val="1"/>
              <c:layout>
                <c:manualLayout>
                  <c:x val="0.16567754698318496"/>
                  <c:y val="0"/>
                </c:manualLayout>
              </c:layout>
              <c:tx>
                <c:rich>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Calibri" panose="020F0502020204030204" pitchFamily="34" charset="0"/>
                        <a:ea typeface="+mn-ea"/>
                        <a:cs typeface="Calibri" panose="020F0502020204030204" pitchFamily="34" charset="0"/>
                      </a:defRPr>
                    </a:pPr>
                    <a:fld id="{19E0B73A-E458-3347-9773-E38E5613FD1A}" type="PERCENTAGE">
                      <a:rPr lang="en-US" sz="1100" b="1">
                        <a:solidFill>
                          <a:schemeClr val="tx1"/>
                        </a:solidFill>
                      </a:rPr>
                      <a:pPr>
                        <a:defRPr sz="1100" b="1">
                          <a:solidFill>
                            <a:schemeClr val="tx1"/>
                          </a:solidFill>
                          <a:latin typeface="Calibri" panose="020F0502020204030204" pitchFamily="34" charset="0"/>
                          <a:cs typeface="Calibri" panose="020F0502020204030204" pitchFamily="34" charset="0"/>
                        </a:defRPr>
                      </a:pPr>
                      <a:t>[PORCENTAJE]</a:t>
                    </a:fld>
                    <a:endParaRPr lang="en-US"/>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Calibri" panose="020F0502020204030204" pitchFamily="34" charset="0"/>
                      <a:ea typeface="+mn-ea"/>
                      <a:cs typeface="Calibri" panose="020F0502020204030204" pitchFamily="34" charset="0"/>
                    </a:defRPr>
                  </a:pPr>
                  <a:endParaRPr lang="en-US"/>
                </a:p>
              </c:txPr>
              <c:showLegendKey val="0"/>
              <c:showVal val="0"/>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A537-FD41-A0D0-9934DC174307}"/>
                </c:ext>
              </c:extLst>
            </c:dLbl>
            <c:dLbl>
              <c:idx val="2"/>
              <c:layout>
                <c:manualLayout>
                  <c:x val="-6.9238377843719084E-2"/>
                  <c:y val="-4.7017337643256003E-2"/>
                </c:manualLayout>
              </c:layout>
              <c:spPr>
                <a:noFill/>
                <a:ln>
                  <a:noFill/>
                </a:ln>
                <a:effectLst/>
              </c:spPr>
              <c:txPr>
                <a:bodyPr rot="0" spcFirstLastPara="1" vertOverflow="ellipsis" vert="horz" wrap="square" lIns="38100" tIns="19050" rIns="38100" bIns="19050" anchor="ctr" anchorCtr="1">
                  <a:spAutoFit/>
                </a:bodyPr>
                <a:lstStyle/>
                <a:p>
                  <a:pPr>
                    <a:defRPr sz="1197" b="1" i="0" u="none" strike="noStrike" kern="1200" baseline="0">
                      <a:solidFill>
                        <a:schemeClr val="tx1"/>
                      </a:solidFill>
                      <a:latin typeface="Calibri" panose="020F0502020204030204" pitchFamily="34" charset="0"/>
                      <a:ea typeface="+mn-ea"/>
                      <a:cs typeface="Calibri" panose="020F0502020204030204" pitchFamily="34" charset="0"/>
                    </a:defRPr>
                  </a:pPr>
                  <a:endParaRPr lang="en-US"/>
                </a:p>
              </c:txPr>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A537-FD41-A0D0-9934DC174307}"/>
                </c:ext>
              </c:extLst>
            </c:dLbl>
            <c:spPr>
              <a:noFill/>
              <a:ln>
                <a:noFill/>
              </a:ln>
              <a:effectLst/>
            </c:spPr>
            <c:txPr>
              <a:bodyPr rot="0" spcFirstLastPara="1" vertOverflow="ellipsis" vert="horz" wrap="square" lIns="38100" tIns="19050" rIns="38100" bIns="19050" anchor="ctr" anchorCtr="1">
                <a:spAutoFit/>
              </a:bodyPr>
              <a:lstStyle/>
              <a:p>
                <a:pPr>
                  <a:defRPr sz="1197" b="1" i="0" u="none" strike="noStrike" kern="1200" baseline="0">
                    <a:solidFill>
                      <a:schemeClr val="bg1"/>
                    </a:solidFill>
                    <a:latin typeface="Calibri" panose="020F0502020204030204" pitchFamily="34" charset="0"/>
                    <a:ea typeface="+mn-ea"/>
                    <a:cs typeface="Calibri" panose="020F0502020204030204" pitchFamily="34" charset="0"/>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Hoja1!$A$2:$A$4</c:f>
              <c:strCache>
                <c:ptCount val="3"/>
                <c:pt idx="0">
                  <c:v>Completada</c:v>
                </c:pt>
                <c:pt idx="1">
                  <c:v>Iniciada</c:v>
                </c:pt>
                <c:pt idx="2">
                  <c:v>Por iniciar</c:v>
                </c:pt>
              </c:strCache>
            </c:strRef>
          </c:cat>
          <c:val>
            <c:numRef>
              <c:f>Hoja1!$B$2:$B$4</c:f>
              <c:numCache>
                <c:formatCode>General</c:formatCode>
                <c:ptCount val="3"/>
                <c:pt idx="0">
                  <c:v>10</c:v>
                </c:pt>
                <c:pt idx="1">
                  <c:v>18</c:v>
                </c:pt>
                <c:pt idx="2">
                  <c:v>10</c:v>
                </c:pt>
              </c:numCache>
            </c:numRef>
          </c:val>
          <c:extLst>
            <c:ext xmlns:c16="http://schemas.microsoft.com/office/drawing/2014/chart" uri="{C3380CC4-5D6E-409C-BE32-E72D297353CC}">
              <c16:uniqueId val="{00000006-A537-FD41-A0D0-9934DC174307}"/>
            </c:ext>
          </c:extLst>
        </c:ser>
        <c:dLbls>
          <c:showLegendKey val="0"/>
          <c:showVal val="1"/>
          <c:showCatName val="0"/>
          <c:showSerName val="0"/>
          <c:showPercent val="0"/>
          <c:showBubbleSize val="0"/>
          <c:showLeaderLines val="1"/>
        </c:dLbls>
        <c:firstSliceAng val="0"/>
        <c:holeSize val="75"/>
      </c:doughnutChart>
      <c:spPr>
        <a:noFill/>
        <a:ln>
          <a:noFill/>
        </a:ln>
        <a:effectLst/>
      </c:spPr>
    </c:plotArea>
    <c:legend>
      <c:legendPos val="r"/>
      <c:overlay val="0"/>
      <c:spPr>
        <a:noFill/>
        <a:ln>
          <a:noFill/>
        </a:ln>
        <a:effectLst/>
      </c:spPr>
      <c:txPr>
        <a:bodyPr rot="0" spcFirstLastPara="1" vertOverflow="ellipsis" vert="horz" wrap="square" anchor="ctr" anchorCtr="1"/>
        <a:lstStyle/>
        <a:p>
          <a:pPr>
            <a:defRPr sz="1197" b="0" i="0" u="none" strike="noStrike" kern="1200" baseline="0">
              <a:solidFill>
                <a:sysClr val="windowText" lastClr="000000"/>
              </a:solidFill>
              <a:latin typeface="+mj-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solidFill>
        <a:schemeClr val="bg1">
          <a:lumMod val="50000"/>
        </a:schemeClr>
      </a:solidFill>
      <a:round/>
    </a:ln>
    <a:effectLst/>
  </c:spPr>
  <c:txPr>
    <a:bodyPr/>
    <a:lstStyle/>
    <a:p>
      <a:pPr>
        <a:defRPr>
          <a:solidFill>
            <a:sysClr val="windowText" lastClr="000000"/>
          </a:solidFill>
          <a:latin typeface="Arial Nova Cond" panose="020B0506020202020204" pitchFamily="34" charset="0"/>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197"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5_1">
  <dgm:title val=""/>
  <dgm:desc val=""/>
  <dgm:catLst>
    <dgm:cat type="accent5" pri="11100"/>
  </dgm:catLst>
  <dgm:styleLbl name="node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5">
        <a:shade val="80000"/>
      </a:schemeClr>
    </dgm:linClrLst>
    <dgm:effectClrLst/>
    <dgm:txLinClrLst/>
    <dgm:txFillClrLst/>
    <dgm:txEffectClrLst/>
  </dgm:styleLbl>
  <dgm:styleLbl name="node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f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align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b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dgm:txEffectClrLst/>
  </dgm:styleLbl>
  <dgm:styleLbl name="parChTrans2D2">
    <dgm:fillClrLst meth="repeat">
      <a:schemeClr val="accent5"/>
    </dgm:fillClrLst>
    <dgm:linClrLst meth="repeat">
      <a:schemeClr val="accent5"/>
    </dgm:linClrLst>
    <dgm:effectClrLst/>
    <dgm:txLinClrLst/>
    <dgm:txFillClrLst/>
    <dgm:txEffectClrLst/>
  </dgm:styleLbl>
  <dgm:styleLbl name="parChTrans2D3">
    <dgm:fillClrLst meth="repeat">
      <a:schemeClr val="accent5"/>
    </dgm:fillClrLst>
    <dgm:linClrLst meth="repeat">
      <a:schemeClr val="accent5"/>
    </dgm:linClrLst>
    <dgm:effectClrLst/>
    <dgm:txLinClrLst/>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con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align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trAlignAcc1">
    <dgm:fillClrLst meth="repeat">
      <a:schemeClr val="accent5">
        <a:alpha val="40000"/>
        <a:tint val="40000"/>
      </a:schemeClr>
    </dgm:fillClrLst>
    <dgm:linClrLst meth="repeat">
      <a:schemeClr val="accent5"/>
    </dgm:linClrLst>
    <dgm:effectClrLst/>
    <dgm:txLinClrLst/>
    <dgm:txFillClrLst meth="repeat">
      <a:schemeClr val="dk1"/>
    </dgm:txFillClrLst>
    <dgm:txEffectClrLst/>
  </dgm:styleLbl>
  <dgm:styleLbl name="b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fgAcc0">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2">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3">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4">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21913EF-6C7F-0040-A884-22A4A2CBAF8D}" type="doc">
      <dgm:prSet loTypeId="urn:microsoft.com/office/officeart/2008/layout/LinedList" loCatId="" qsTypeId="urn:microsoft.com/office/officeart/2005/8/quickstyle/simple1" qsCatId="simple" csTypeId="urn:microsoft.com/office/officeart/2005/8/colors/accent5_1" csCatId="accent5" phldr="1"/>
      <dgm:spPr/>
      <dgm:t>
        <a:bodyPr/>
        <a:lstStyle/>
        <a:p>
          <a:endParaRPr lang="es-MX"/>
        </a:p>
      </dgm:t>
    </dgm:pt>
    <dgm:pt modelId="{083D685A-CF4C-AC43-8498-D5C4C70E4359}">
      <dgm:prSet phldrT="[Texto]" custT="1"/>
      <dgm:spPr/>
      <dgm:t>
        <a:bodyPr/>
        <a:lstStyle/>
        <a:p>
          <a:endParaRPr lang="es-MX" sz="1100"/>
        </a:p>
        <a:p>
          <a:endParaRPr lang="es-MX" sz="1100"/>
        </a:p>
        <a:p>
          <a:endParaRPr lang="es-MX" sz="1100"/>
        </a:p>
        <a:p>
          <a:endParaRPr lang="es-MX" sz="1100"/>
        </a:p>
        <a:p>
          <a:endParaRPr lang="es-MX" sz="1100"/>
        </a:p>
      </dgm:t>
    </dgm:pt>
    <dgm:pt modelId="{468BF775-AA85-E740-91F2-EB00791093AC}" type="parTrans" cxnId="{606FE8AD-1C3C-0A44-9E5F-810027AFF844}">
      <dgm:prSet/>
      <dgm:spPr/>
      <dgm:t>
        <a:bodyPr/>
        <a:lstStyle/>
        <a:p>
          <a:endParaRPr lang="es-MX"/>
        </a:p>
      </dgm:t>
    </dgm:pt>
    <dgm:pt modelId="{6DF99FB1-D826-F649-BB89-940AC5E79B5A}" type="sibTrans" cxnId="{606FE8AD-1C3C-0A44-9E5F-810027AFF844}">
      <dgm:prSet/>
      <dgm:spPr/>
      <dgm:t>
        <a:bodyPr/>
        <a:lstStyle/>
        <a:p>
          <a:endParaRPr lang="es-MX"/>
        </a:p>
      </dgm:t>
    </dgm:pt>
    <dgm:pt modelId="{1451996F-56BA-F34F-85F3-DD7C3E98526B}">
      <dgm:prSet phldrT="[Texto]" custT="1"/>
      <dgm:spPr/>
      <dgm:t>
        <a:bodyPr/>
        <a:lstStyle/>
        <a:p>
          <a:r>
            <a:rPr lang="es-MX" sz="1100">
              <a:latin typeface="+mj-lt"/>
            </a:rPr>
            <a:t>Grupo de Resultados 1. Igualdad e Inclusión</a:t>
          </a:r>
        </a:p>
        <a:p>
          <a:r>
            <a:rPr lang="es-MX" sz="1100">
              <a:latin typeface="+mj-lt"/>
            </a:rPr>
            <a:t>Grupo de Resutlados 2. Prosperidad e Innovación</a:t>
          </a:r>
        </a:p>
        <a:p>
          <a:r>
            <a:rPr lang="es-MX" sz="1100">
              <a:latin typeface="+mj-lt"/>
            </a:rPr>
            <a:t>Grupo de Resultados 3. Economía Verde y Cambio Climático</a:t>
          </a:r>
        </a:p>
        <a:p>
          <a:r>
            <a:rPr lang="es-MX" sz="1100">
              <a:latin typeface="+mj-lt"/>
            </a:rPr>
            <a:t>Grupo de Resultados  4. Paz, Justicia y Estado de Derecho</a:t>
          </a:r>
        </a:p>
      </dgm:t>
    </dgm:pt>
    <dgm:pt modelId="{A4C7B5BE-C27E-6D4D-B019-1A20A6B6E72E}" type="parTrans" cxnId="{660FED69-814D-D34A-BFD9-EC6C7BD5B146}">
      <dgm:prSet/>
      <dgm:spPr/>
      <dgm:t>
        <a:bodyPr/>
        <a:lstStyle/>
        <a:p>
          <a:endParaRPr lang="es-MX"/>
        </a:p>
      </dgm:t>
    </dgm:pt>
    <dgm:pt modelId="{43331897-CE5F-2044-87AA-EFF744688518}" type="sibTrans" cxnId="{660FED69-814D-D34A-BFD9-EC6C7BD5B146}">
      <dgm:prSet/>
      <dgm:spPr/>
      <dgm:t>
        <a:bodyPr/>
        <a:lstStyle/>
        <a:p>
          <a:endParaRPr lang="es-MX"/>
        </a:p>
      </dgm:t>
    </dgm:pt>
    <dgm:pt modelId="{A8F94F47-31B2-9F48-9C9D-D086CC2C400B}">
      <dgm:prSet phldrT="[Texto]" custT="1"/>
      <dgm:spPr/>
      <dgm:t>
        <a:bodyPr/>
        <a:lstStyle/>
        <a:p>
          <a:r>
            <a:rPr lang="es-MX" sz="1100">
              <a:latin typeface="+mj-lt"/>
            </a:rPr>
            <a:t>Grupo Interagencial de Género (GIG)</a:t>
          </a:r>
        </a:p>
        <a:p>
          <a:r>
            <a:rPr lang="es-MX" sz="1100">
              <a:latin typeface="+mj-lt"/>
            </a:rPr>
            <a:t>Grupo Interagencial de Migración y Asilo</a:t>
          </a:r>
        </a:p>
        <a:p>
          <a:r>
            <a:rPr lang="es-MX" sz="1100">
              <a:latin typeface="+mj-lt"/>
            </a:rPr>
            <a:t>Grupo Interagencial  de Interculturalidad</a:t>
          </a:r>
        </a:p>
      </dgm:t>
    </dgm:pt>
    <dgm:pt modelId="{061D5C1F-A812-674D-B6DD-C3DEFF99862D}" type="parTrans" cxnId="{7A0D7BFB-95FB-A649-B016-69D8AA801C0A}">
      <dgm:prSet/>
      <dgm:spPr/>
      <dgm:t>
        <a:bodyPr/>
        <a:lstStyle/>
        <a:p>
          <a:endParaRPr lang="es-MX"/>
        </a:p>
      </dgm:t>
    </dgm:pt>
    <dgm:pt modelId="{BB6599EB-414B-4E4C-86A0-B8290AD14082}" type="sibTrans" cxnId="{7A0D7BFB-95FB-A649-B016-69D8AA801C0A}">
      <dgm:prSet/>
      <dgm:spPr/>
      <dgm:t>
        <a:bodyPr/>
        <a:lstStyle/>
        <a:p>
          <a:endParaRPr lang="es-MX"/>
        </a:p>
      </dgm:t>
    </dgm:pt>
    <dgm:pt modelId="{AD51FEFD-6981-FE42-9183-0B898BCE6875}">
      <dgm:prSet phldrT="[Texto]" custT="1"/>
      <dgm:spPr/>
      <dgm:t>
        <a:bodyPr/>
        <a:lstStyle/>
        <a:p>
          <a:r>
            <a:rPr lang="es-MX" sz="1100">
              <a:latin typeface="+mj-lt"/>
            </a:rPr>
            <a:t>Grupo Interagencial de Comunicaciones (UNCG)</a:t>
          </a:r>
        </a:p>
        <a:p>
          <a:r>
            <a:rPr lang="es-MX" sz="1100">
              <a:latin typeface="+mj-lt"/>
            </a:rPr>
            <a:t>Grupo Interagencial de Operacionese (OMT)</a:t>
          </a:r>
        </a:p>
        <a:p>
          <a:r>
            <a:rPr lang="es-MX" sz="1100">
              <a:latin typeface="+mj-lt"/>
            </a:rPr>
            <a:t>Equipo Técnico de Emergencias de las Naciones Unidas (UNETE)</a:t>
          </a:r>
        </a:p>
      </dgm:t>
    </dgm:pt>
    <dgm:pt modelId="{175E7D69-6DD7-2C4A-94E6-428DE4B52AA6}" type="parTrans" cxnId="{E64187C2-5961-9146-821A-517393ECEA62}">
      <dgm:prSet/>
      <dgm:spPr/>
      <dgm:t>
        <a:bodyPr/>
        <a:lstStyle/>
        <a:p>
          <a:endParaRPr lang="es-MX"/>
        </a:p>
      </dgm:t>
    </dgm:pt>
    <dgm:pt modelId="{8023DFC2-65BC-0F43-BA0D-8B888A2A25B6}" type="sibTrans" cxnId="{E64187C2-5961-9146-821A-517393ECEA62}">
      <dgm:prSet/>
      <dgm:spPr/>
      <dgm:t>
        <a:bodyPr/>
        <a:lstStyle/>
        <a:p>
          <a:endParaRPr lang="es-MX"/>
        </a:p>
      </dgm:t>
    </dgm:pt>
    <dgm:pt modelId="{63A5473F-AB07-3E47-ACE8-E0AB275D8661}">
      <dgm:prSet phldrT="[Texto]" custT="1"/>
      <dgm:spPr/>
      <dgm:t>
        <a:bodyPr/>
        <a:lstStyle/>
        <a:p>
          <a:r>
            <a:rPr lang="es-MX" sz="1100">
              <a:latin typeface="+mj-lt"/>
            </a:rPr>
            <a:t>Grupo de Trabajo de Monitoreo y Evaluación (M&amp;E)</a:t>
          </a:r>
        </a:p>
        <a:p>
          <a:r>
            <a:rPr lang="es-MX" sz="1100">
              <a:latin typeface="+mj-lt"/>
            </a:rPr>
            <a:t>Grupo de Trabajo sobre Juventudes</a:t>
          </a:r>
        </a:p>
        <a:p>
          <a:r>
            <a:rPr lang="es-MX" sz="1100">
              <a:latin typeface="+mj-lt"/>
            </a:rPr>
            <a:t>Grupo de Trabajo sobre Salud</a:t>
          </a:r>
        </a:p>
        <a:p>
          <a:r>
            <a:rPr lang="es-MX" sz="1100">
              <a:latin typeface="+mj-lt"/>
            </a:rPr>
            <a:t>Red de Puntos Focales para la Prevención del acoso, abuso y explotación sexual (Red PSEA)</a:t>
          </a:r>
        </a:p>
        <a:p>
          <a:r>
            <a:rPr lang="es-MX" sz="1100">
              <a:latin typeface="+mj-lt"/>
            </a:rPr>
            <a:t>Red Interagencial de Alianzas y Financiamiento para el DEsarrollo Sostenible (RIAFD)</a:t>
          </a:r>
        </a:p>
      </dgm:t>
    </dgm:pt>
    <dgm:pt modelId="{F005BF33-AB8B-2A4B-9F9F-B8E925B7BB7B}" type="parTrans" cxnId="{518F6BEF-091B-5D49-8D71-FA0C0D47D0B3}">
      <dgm:prSet/>
      <dgm:spPr/>
      <dgm:t>
        <a:bodyPr/>
        <a:lstStyle/>
        <a:p>
          <a:endParaRPr lang="es-MX"/>
        </a:p>
      </dgm:t>
    </dgm:pt>
    <dgm:pt modelId="{867F0BBB-9556-E44A-9F89-CAB24A3C7641}" type="sibTrans" cxnId="{518F6BEF-091B-5D49-8D71-FA0C0D47D0B3}">
      <dgm:prSet/>
      <dgm:spPr/>
      <dgm:t>
        <a:bodyPr/>
        <a:lstStyle/>
        <a:p>
          <a:endParaRPr lang="es-MX"/>
        </a:p>
      </dgm:t>
    </dgm:pt>
    <dgm:pt modelId="{97DE3827-97F3-924F-8C0A-3CBCD02FB795}" type="pres">
      <dgm:prSet presAssocID="{C21913EF-6C7F-0040-A884-22A4A2CBAF8D}" presName="vert0" presStyleCnt="0">
        <dgm:presLayoutVars>
          <dgm:dir/>
          <dgm:animOne val="branch"/>
          <dgm:animLvl val="lvl"/>
        </dgm:presLayoutVars>
      </dgm:prSet>
      <dgm:spPr/>
      <dgm:t>
        <a:bodyPr/>
        <a:lstStyle/>
        <a:p>
          <a:endParaRPr lang="es-ES"/>
        </a:p>
      </dgm:t>
    </dgm:pt>
    <dgm:pt modelId="{AE893FA1-D5DF-EC4A-A54B-5777B914591E}" type="pres">
      <dgm:prSet presAssocID="{083D685A-CF4C-AC43-8498-D5C4C70E4359}" presName="thickLine" presStyleLbl="alignNode1" presStyleIdx="0" presStyleCnt="1"/>
      <dgm:spPr>
        <a:ln>
          <a:solidFill>
            <a:srgbClr val="00B0F0"/>
          </a:solidFill>
        </a:ln>
      </dgm:spPr>
    </dgm:pt>
    <dgm:pt modelId="{1319E935-1670-4140-8AB0-E55FF13A973B}" type="pres">
      <dgm:prSet presAssocID="{083D685A-CF4C-AC43-8498-D5C4C70E4359}" presName="horz1" presStyleCnt="0"/>
      <dgm:spPr/>
    </dgm:pt>
    <dgm:pt modelId="{A0324C30-6765-8F42-BA3A-46EB9B47B8E9}" type="pres">
      <dgm:prSet presAssocID="{083D685A-CF4C-AC43-8498-D5C4C70E4359}" presName="tx1" presStyleLbl="revTx" presStyleIdx="0" presStyleCnt="5"/>
      <dgm:spPr/>
      <dgm:t>
        <a:bodyPr/>
        <a:lstStyle/>
        <a:p>
          <a:endParaRPr lang="es-ES"/>
        </a:p>
      </dgm:t>
    </dgm:pt>
    <dgm:pt modelId="{2D710A50-1FFB-FB40-BF35-EE9B4BC44224}" type="pres">
      <dgm:prSet presAssocID="{083D685A-CF4C-AC43-8498-D5C4C70E4359}" presName="vert1" presStyleCnt="0"/>
      <dgm:spPr/>
    </dgm:pt>
    <dgm:pt modelId="{9D4E99D3-7244-1D4F-84D3-3AF814916FD7}" type="pres">
      <dgm:prSet presAssocID="{1451996F-56BA-F34F-85F3-DD7C3E98526B}" presName="vertSpace2a" presStyleCnt="0"/>
      <dgm:spPr/>
    </dgm:pt>
    <dgm:pt modelId="{777A681D-83A2-E74F-9864-D14A913DDF46}" type="pres">
      <dgm:prSet presAssocID="{1451996F-56BA-F34F-85F3-DD7C3E98526B}" presName="horz2" presStyleCnt="0"/>
      <dgm:spPr/>
    </dgm:pt>
    <dgm:pt modelId="{3A3F70D7-6566-F64E-AC27-9937ABB1C46C}" type="pres">
      <dgm:prSet presAssocID="{1451996F-56BA-F34F-85F3-DD7C3E98526B}" presName="horzSpace2" presStyleCnt="0"/>
      <dgm:spPr/>
    </dgm:pt>
    <dgm:pt modelId="{5B260589-9D5C-B64C-AB83-7B3A8C43B3DB}" type="pres">
      <dgm:prSet presAssocID="{1451996F-56BA-F34F-85F3-DD7C3E98526B}" presName="tx2" presStyleLbl="revTx" presStyleIdx="1" presStyleCnt="5" custLinFactNeighborX="11179" custLinFactNeighborY="-2010"/>
      <dgm:spPr/>
      <dgm:t>
        <a:bodyPr/>
        <a:lstStyle/>
        <a:p>
          <a:endParaRPr lang="es-ES"/>
        </a:p>
      </dgm:t>
    </dgm:pt>
    <dgm:pt modelId="{33F2EC92-2FF0-4B46-B4B1-6111F4F327D3}" type="pres">
      <dgm:prSet presAssocID="{1451996F-56BA-F34F-85F3-DD7C3E98526B}" presName="vert2" presStyleCnt="0"/>
      <dgm:spPr/>
    </dgm:pt>
    <dgm:pt modelId="{04AACE9F-FFC8-AC43-B466-9A23B647EB88}" type="pres">
      <dgm:prSet presAssocID="{1451996F-56BA-F34F-85F3-DD7C3E98526B}" presName="thinLine2b" presStyleLbl="callout" presStyleIdx="0" presStyleCnt="4" custLinFactY="-200000" custLinFactNeighborX="13" custLinFactNeighborY="-220058"/>
      <dgm:spPr>
        <a:ln>
          <a:solidFill>
            <a:srgbClr val="00B0F0"/>
          </a:solidFill>
        </a:ln>
      </dgm:spPr>
    </dgm:pt>
    <dgm:pt modelId="{4271F805-7C86-7D4B-B20B-1AB5BC52939C}" type="pres">
      <dgm:prSet presAssocID="{1451996F-56BA-F34F-85F3-DD7C3E98526B}" presName="vertSpace2b" presStyleCnt="0"/>
      <dgm:spPr/>
    </dgm:pt>
    <dgm:pt modelId="{C8BDC3F0-D917-0444-B05A-49E7FC87A1DC}" type="pres">
      <dgm:prSet presAssocID="{A8F94F47-31B2-9F48-9C9D-D086CC2C400B}" presName="horz2" presStyleCnt="0"/>
      <dgm:spPr/>
    </dgm:pt>
    <dgm:pt modelId="{8CD1F835-D2B1-8445-BE45-4383E454081F}" type="pres">
      <dgm:prSet presAssocID="{A8F94F47-31B2-9F48-9C9D-D086CC2C400B}" presName="horzSpace2" presStyleCnt="0"/>
      <dgm:spPr/>
    </dgm:pt>
    <dgm:pt modelId="{10B4D143-60B1-A14C-BDC6-9EF731CA4A61}" type="pres">
      <dgm:prSet presAssocID="{A8F94F47-31B2-9F48-9C9D-D086CC2C400B}" presName="tx2" presStyleLbl="revTx" presStyleIdx="2" presStyleCnt="5" custScaleY="53123" custLinFactNeighborX="13" custLinFactNeighborY="-10346"/>
      <dgm:spPr/>
      <dgm:t>
        <a:bodyPr/>
        <a:lstStyle/>
        <a:p>
          <a:endParaRPr lang="es-ES"/>
        </a:p>
      </dgm:t>
    </dgm:pt>
    <dgm:pt modelId="{E91350B4-C38C-4941-B242-BC65F450FF64}" type="pres">
      <dgm:prSet presAssocID="{A8F94F47-31B2-9F48-9C9D-D086CC2C400B}" presName="vert2" presStyleCnt="0"/>
      <dgm:spPr/>
    </dgm:pt>
    <dgm:pt modelId="{79BB0A4C-5219-004B-B4C9-431AAD51BF6E}" type="pres">
      <dgm:prSet presAssocID="{A8F94F47-31B2-9F48-9C9D-D086CC2C400B}" presName="thinLine2b" presStyleLbl="callout" presStyleIdx="1" presStyleCnt="4"/>
      <dgm:spPr>
        <a:ln>
          <a:solidFill>
            <a:srgbClr val="00B0F0"/>
          </a:solidFill>
        </a:ln>
      </dgm:spPr>
    </dgm:pt>
    <dgm:pt modelId="{7F36167B-0BF5-C54C-B4E4-1E1131D05719}" type="pres">
      <dgm:prSet presAssocID="{A8F94F47-31B2-9F48-9C9D-D086CC2C400B}" presName="vertSpace2b" presStyleCnt="0"/>
      <dgm:spPr/>
    </dgm:pt>
    <dgm:pt modelId="{33EC8353-A7F7-5F4C-B889-E77C4A526C62}" type="pres">
      <dgm:prSet presAssocID="{AD51FEFD-6981-FE42-9183-0B898BCE6875}" presName="horz2" presStyleCnt="0"/>
      <dgm:spPr/>
    </dgm:pt>
    <dgm:pt modelId="{B7D56D32-5C3B-F442-BEE5-A8CFE06EC3BD}" type="pres">
      <dgm:prSet presAssocID="{AD51FEFD-6981-FE42-9183-0B898BCE6875}" presName="horzSpace2" presStyleCnt="0"/>
      <dgm:spPr/>
    </dgm:pt>
    <dgm:pt modelId="{726C5BBC-D9BE-6741-A233-7B00640945DE}" type="pres">
      <dgm:prSet presAssocID="{AD51FEFD-6981-FE42-9183-0B898BCE6875}" presName="tx2" presStyleLbl="revTx" presStyleIdx="3" presStyleCnt="5"/>
      <dgm:spPr/>
      <dgm:t>
        <a:bodyPr/>
        <a:lstStyle/>
        <a:p>
          <a:endParaRPr lang="es-ES"/>
        </a:p>
      </dgm:t>
    </dgm:pt>
    <dgm:pt modelId="{B6BD1290-FF99-9B42-8FD0-7FB891798BE9}" type="pres">
      <dgm:prSet presAssocID="{AD51FEFD-6981-FE42-9183-0B898BCE6875}" presName="vert2" presStyleCnt="0"/>
      <dgm:spPr/>
    </dgm:pt>
    <dgm:pt modelId="{620031C4-7125-CD4A-8534-C0658F4296FE}" type="pres">
      <dgm:prSet presAssocID="{AD51FEFD-6981-FE42-9183-0B898BCE6875}" presName="thinLine2b" presStyleLbl="callout" presStyleIdx="2" presStyleCnt="4" custLinFactY="-366790" custLinFactNeighborX="13" custLinFactNeighborY="-400000"/>
      <dgm:spPr>
        <a:ln>
          <a:solidFill>
            <a:srgbClr val="00B0F0"/>
          </a:solidFill>
        </a:ln>
      </dgm:spPr>
    </dgm:pt>
    <dgm:pt modelId="{59437A0E-ACFB-9949-85B0-B71144A666E2}" type="pres">
      <dgm:prSet presAssocID="{AD51FEFD-6981-FE42-9183-0B898BCE6875}" presName="vertSpace2b" presStyleCnt="0"/>
      <dgm:spPr/>
    </dgm:pt>
    <dgm:pt modelId="{219F408B-697C-A54A-9501-005E994B4954}" type="pres">
      <dgm:prSet presAssocID="{63A5473F-AB07-3E47-ACE8-E0AB275D8661}" presName="horz2" presStyleCnt="0"/>
      <dgm:spPr/>
    </dgm:pt>
    <dgm:pt modelId="{3196FE0A-243B-3840-B3ED-68CF40FE5B14}" type="pres">
      <dgm:prSet presAssocID="{63A5473F-AB07-3E47-ACE8-E0AB275D8661}" presName="horzSpace2" presStyleCnt="0"/>
      <dgm:spPr/>
    </dgm:pt>
    <dgm:pt modelId="{978CD142-A2A6-E244-B1E4-70B6BBC98E64}" type="pres">
      <dgm:prSet presAssocID="{63A5473F-AB07-3E47-ACE8-E0AB275D8661}" presName="tx2" presStyleLbl="revTx" presStyleIdx="4" presStyleCnt="5" custScaleY="88082" custLinFactNeighborX="13" custLinFactNeighborY="-25056"/>
      <dgm:spPr/>
      <dgm:t>
        <a:bodyPr/>
        <a:lstStyle/>
        <a:p>
          <a:endParaRPr lang="es-ES"/>
        </a:p>
      </dgm:t>
    </dgm:pt>
    <dgm:pt modelId="{CF41D143-8A68-5542-8095-4F23220CD87B}" type="pres">
      <dgm:prSet presAssocID="{63A5473F-AB07-3E47-ACE8-E0AB275D8661}" presName="vert2" presStyleCnt="0"/>
      <dgm:spPr/>
    </dgm:pt>
    <dgm:pt modelId="{9C939543-8138-E248-8A5E-FF1AC86E9352}" type="pres">
      <dgm:prSet presAssocID="{63A5473F-AB07-3E47-ACE8-E0AB275D8661}" presName="thinLine2b" presStyleLbl="callout" presStyleIdx="3" presStyleCnt="4" custLinFactY="-118435" custLinFactNeighborX="13" custLinFactNeighborY="-200000"/>
      <dgm:spPr>
        <a:ln>
          <a:solidFill>
            <a:srgbClr val="00B0F0"/>
          </a:solidFill>
        </a:ln>
      </dgm:spPr>
    </dgm:pt>
    <dgm:pt modelId="{055822DA-60BF-1F41-8076-AFB48215F045}" type="pres">
      <dgm:prSet presAssocID="{63A5473F-AB07-3E47-ACE8-E0AB275D8661}" presName="vertSpace2b" presStyleCnt="0"/>
      <dgm:spPr/>
    </dgm:pt>
  </dgm:ptLst>
  <dgm:cxnLst>
    <dgm:cxn modelId="{165D70F4-014D-8B47-9613-572F9FACA201}" type="presOf" srcId="{083D685A-CF4C-AC43-8498-D5C4C70E4359}" destId="{A0324C30-6765-8F42-BA3A-46EB9B47B8E9}" srcOrd="0" destOrd="0" presId="urn:microsoft.com/office/officeart/2008/layout/LinedList"/>
    <dgm:cxn modelId="{75CB22A0-1BB6-5245-9526-2C48000A1EB3}" type="presOf" srcId="{AD51FEFD-6981-FE42-9183-0B898BCE6875}" destId="{726C5BBC-D9BE-6741-A233-7B00640945DE}" srcOrd="0" destOrd="0" presId="urn:microsoft.com/office/officeart/2008/layout/LinedList"/>
    <dgm:cxn modelId="{E64187C2-5961-9146-821A-517393ECEA62}" srcId="{083D685A-CF4C-AC43-8498-D5C4C70E4359}" destId="{AD51FEFD-6981-FE42-9183-0B898BCE6875}" srcOrd="2" destOrd="0" parTransId="{175E7D69-6DD7-2C4A-94E6-428DE4B52AA6}" sibTransId="{8023DFC2-65BC-0F43-BA0D-8B888A2A25B6}"/>
    <dgm:cxn modelId="{AD268F7A-340E-E049-8EE8-E1906324B630}" type="presOf" srcId="{63A5473F-AB07-3E47-ACE8-E0AB275D8661}" destId="{978CD142-A2A6-E244-B1E4-70B6BBC98E64}" srcOrd="0" destOrd="0" presId="urn:microsoft.com/office/officeart/2008/layout/LinedList"/>
    <dgm:cxn modelId="{C9CA62A0-0732-BC4A-B308-CDB7AEE2D35A}" type="presOf" srcId="{A8F94F47-31B2-9F48-9C9D-D086CC2C400B}" destId="{10B4D143-60B1-A14C-BDC6-9EF731CA4A61}" srcOrd="0" destOrd="0" presId="urn:microsoft.com/office/officeart/2008/layout/LinedList"/>
    <dgm:cxn modelId="{7A0D7BFB-95FB-A649-B016-69D8AA801C0A}" srcId="{083D685A-CF4C-AC43-8498-D5C4C70E4359}" destId="{A8F94F47-31B2-9F48-9C9D-D086CC2C400B}" srcOrd="1" destOrd="0" parTransId="{061D5C1F-A812-674D-B6DD-C3DEFF99862D}" sibTransId="{BB6599EB-414B-4E4C-86A0-B8290AD14082}"/>
    <dgm:cxn modelId="{606FE8AD-1C3C-0A44-9E5F-810027AFF844}" srcId="{C21913EF-6C7F-0040-A884-22A4A2CBAF8D}" destId="{083D685A-CF4C-AC43-8498-D5C4C70E4359}" srcOrd="0" destOrd="0" parTransId="{468BF775-AA85-E740-91F2-EB00791093AC}" sibTransId="{6DF99FB1-D826-F649-BB89-940AC5E79B5A}"/>
    <dgm:cxn modelId="{3502A90E-85A5-A24E-9D40-C1EDED96D386}" type="presOf" srcId="{C21913EF-6C7F-0040-A884-22A4A2CBAF8D}" destId="{97DE3827-97F3-924F-8C0A-3CBCD02FB795}" srcOrd="0" destOrd="0" presId="urn:microsoft.com/office/officeart/2008/layout/LinedList"/>
    <dgm:cxn modelId="{518F6BEF-091B-5D49-8D71-FA0C0D47D0B3}" srcId="{083D685A-CF4C-AC43-8498-D5C4C70E4359}" destId="{63A5473F-AB07-3E47-ACE8-E0AB275D8661}" srcOrd="3" destOrd="0" parTransId="{F005BF33-AB8B-2A4B-9F9F-B8E925B7BB7B}" sibTransId="{867F0BBB-9556-E44A-9F89-CAB24A3C7641}"/>
    <dgm:cxn modelId="{660FED69-814D-D34A-BFD9-EC6C7BD5B146}" srcId="{083D685A-CF4C-AC43-8498-D5C4C70E4359}" destId="{1451996F-56BA-F34F-85F3-DD7C3E98526B}" srcOrd="0" destOrd="0" parTransId="{A4C7B5BE-C27E-6D4D-B019-1A20A6B6E72E}" sibTransId="{43331897-CE5F-2044-87AA-EFF744688518}"/>
    <dgm:cxn modelId="{700F08CA-7739-E545-A50D-A8C8FBD1D378}" type="presOf" srcId="{1451996F-56BA-F34F-85F3-DD7C3E98526B}" destId="{5B260589-9D5C-B64C-AB83-7B3A8C43B3DB}" srcOrd="0" destOrd="0" presId="urn:microsoft.com/office/officeart/2008/layout/LinedList"/>
    <dgm:cxn modelId="{23207D15-FA91-1941-8F46-50B0402E3562}" type="presParOf" srcId="{97DE3827-97F3-924F-8C0A-3CBCD02FB795}" destId="{AE893FA1-D5DF-EC4A-A54B-5777B914591E}" srcOrd="0" destOrd="0" presId="urn:microsoft.com/office/officeart/2008/layout/LinedList"/>
    <dgm:cxn modelId="{69578DB8-BFC4-5B4F-88E8-0F8EF51F0D37}" type="presParOf" srcId="{97DE3827-97F3-924F-8C0A-3CBCD02FB795}" destId="{1319E935-1670-4140-8AB0-E55FF13A973B}" srcOrd="1" destOrd="0" presId="urn:microsoft.com/office/officeart/2008/layout/LinedList"/>
    <dgm:cxn modelId="{98679147-DED7-E14C-8BD7-D57F7C1D078A}" type="presParOf" srcId="{1319E935-1670-4140-8AB0-E55FF13A973B}" destId="{A0324C30-6765-8F42-BA3A-46EB9B47B8E9}" srcOrd="0" destOrd="0" presId="urn:microsoft.com/office/officeart/2008/layout/LinedList"/>
    <dgm:cxn modelId="{EC21F657-3018-FF48-8B15-25C89C9686B7}" type="presParOf" srcId="{1319E935-1670-4140-8AB0-E55FF13A973B}" destId="{2D710A50-1FFB-FB40-BF35-EE9B4BC44224}" srcOrd="1" destOrd="0" presId="urn:microsoft.com/office/officeart/2008/layout/LinedList"/>
    <dgm:cxn modelId="{5C8362C2-2CF1-2547-AC37-0BF82CB32CC8}" type="presParOf" srcId="{2D710A50-1FFB-FB40-BF35-EE9B4BC44224}" destId="{9D4E99D3-7244-1D4F-84D3-3AF814916FD7}" srcOrd="0" destOrd="0" presId="urn:microsoft.com/office/officeart/2008/layout/LinedList"/>
    <dgm:cxn modelId="{7A32B4B1-1D0B-DD4D-9B37-63C23F12250B}" type="presParOf" srcId="{2D710A50-1FFB-FB40-BF35-EE9B4BC44224}" destId="{777A681D-83A2-E74F-9864-D14A913DDF46}" srcOrd="1" destOrd="0" presId="urn:microsoft.com/office/officeart/2008/layout/LinedList"/>
    <dgm:cxn modelId="{7E1F2E95-4DAC-7748-860E-5209AAEF9F82}" type="presParOf" srcId="{777A681D-83A2-E74F-9864-D14A913DDF46}" destId="{3A3F70D7-6566-F64E-AC27-9937ABB1C46C}" srcOrd="0" destOrd="0" presId="urn:microsoft.com/office/officeart/2008/layout/LinedList"/>
    <dgm:cxn modelId="{A4886311-7B7B-3F44-8442-C918304A3413}" type="presParOf" srcId="{777A681D-83A2-E74F-9864-D14A913DDF46}" destId="{5B260589-9D5C-B64C-AB83-7B3A8C43B3DB}" srcOrd="1" destOrd="0" presId="urn:microsoft.com/office/officeart/2008/layout/LinedList"/>
    <dgm:cxn modelId="{8564AB4F-BCA1-9A46-A9EA-DF44BF398BC9}" type="presParOf" srcId="{777A681D-83A2-E74F-9864-D14A913DDF46}" destId="{33F2EC92-2FF0-4B46-B4B1-6111F4F327D3}" srcOrd="2" destOrd="0" presId="urn:microsoft.com/office/officeart/2008/layout/LinedList"/>
    <dgm:cxn modelId="{000ECADF-5DA1-7949-8184-8C63FB247715}" type="presParOf" srcId="{2D710A50-1FFB-FB40-BF35-EE9B4BC44224}" destId="{04AACE9F-FFC8-AC43-B466-9A23B647EB88}" srcOrd="2" destOrd="0" presId="urn:microsoft.com/office/officeart/2008/layout/LinedList"/>
    <dgm:cxn modelId="{92354D20-9D86-B949-B18C-C700A06818FE}" type="presParOf" srcId="{2D710A50-1FFB-FB40-BF35-EE9B4BC44224}" destId="{4271F805-7C86-7D4B-B20B-1AB5BC52939C}" srcOrd="3" destOrd="0" presId="urn:microsoft.com/office/officeart/2008/layout/LinedList"/>
    <dgm:cxn modelId="{82339533-E158-294E-8E65-0629E8A9D9CD}" type="presParOf" srcId="{2D710A50-1FFB-FB40-BF35-EE9B4BC44224}" destId="{C8BDC3F0-D917-0444-B05A-49E7FC87A1DC}" srcOrd="4" destOrd="0" presId="urn:microsoft.com/office/officeart/2008/layout/LinedList"/>
    <dgm:cxn modelId="{EB72C042-CBBC-6E43-BA71-2229C6D30E67}" type="presParOf" srcId="{C8BDC3F0-D917-0444-B05A-49E7FC87A1DC}" destId="{8CD1F835-D2B1-8445-BE45-4383E454081F}" srcOrd="0" destOrd="0" presId="urn:microsoft.com/office/officeart/2008/layout/LinedList"/>
    <dgm:cxn modelId="{0E4802FC-3628-7947-B08D-9992F5461633}" type="presParOf" srcId="{C8BDC3F0-D917-0444-B05A-49E7FC87A1DC}" destId="{10B4D143-60B1-A14C-BDC6-9EF731CA4A61}" srcOrd="1" destOrd="0" presId="urn:microsoft.com/office/officeart/2008/layout/LinedList"/>
    <dgm:cxn modelId="{EEF9B5DB-640E-6147-B7CE-B46FB75928F7}" type="presParOf" srcId="{C8BDC3F0-D917-0444-B05A-49E7FC87A1DC}" destId="{E91350B4-C38C-4941-B242-BC65F450FF64}" srcOrd="2" destOrd="0" presId="urn:microsoft.com/office/officeart/2008/layout/LinedList"/>
    <dgm:cxn modelId="{FFB17DF8-793E-9743-9219-913E4A5B626A}" type="presParOf" srcId="{2D710A50-1FFB-FB40-BF35-EE9B4BC44224}" destId="{79BB0A4C-5219-004B-B4C9-431AAD51BF6E}" srcOrd="5" destOrd="0" presId="urn:microsoft.com/office/officeart/2008/layout/LinedList"/>
    <dgm:cxn modelId="{A0577184-59D2-014D-9732-FE73F3B51F32}" type="presParOf" srcId="{2D710A50-1FFB-FB40-BF35-EE9B4BC44224}" destId="{7F36167B-0BF5-C54C-B4E4-1E1131D05719}" srcOrd="6" destOrd="0" presId="urn:microsoft.com/office/officeart/2008/layout/LinedList"/>
    <dgm:cxn modelId="{53881F5B-219A-7F4F-929A-3A5A095983D4}" type="presParOf" srcId="{2D710A50-1FFB-FB40-BF35-EE9B4BC44224}" destId="{33EC8353-A7F7-5F4C-B889-E77C4A526C62}" srcOrd="7" destOrd="0" presId="urn:microsoft.com/office/officeart/2008/layout/LinedList"/>
    <dgm:cxn modelId="{C5521C70-CD00-8841-A05A-8E9EC2562588}" type="presParOf" srcId="{33EC8353-A7F7-5F4C-B889-E77C4A526C62}" destId="{B7D56D32-5C3B-F442-BEE5-A8CFE06EC3BD}" srcOrd="0" destOrd="0" presId="urn:microsoft.com/office/officeart/2008/layout/LinedList"/>
    <dgm:cxn modelId="{69BF6DC4-A7FC-2A42-B835-8B79636A5C0E}" type="presParOf" srcId="{33EC8353-A7F7-5F4C-B889-E77C4A526C62}" destId="{726C5BBC-D9BE-6741-A233-7B00640945DE}" srcOrd="1" destOrd="0" presId="urn:microsoft.com/office/officeart/2008/layout/LinedList"/>
    <dgm:cxn modelId="{EFFD2C5E-205D-FB40-B584-EF7D011A598F}" type="presParOf" srcId="{33EC8353-A7F7-5F4C-B889-E77C4A526C62}" destId="{B6BD1290-FF99-9B42-8FD0-7FB891798BE9}" srcOrd="2" destOrd="0" presId="urn:microsoft.com/office/officeart/2008/layout/LinedList"/>
    <dgm:cxn modelId="{5AC29102-AA75-8E4A-A7CE-C3FFA0B9022E}" type="presParOf" srcId="{2D710A50-1FFB-FB40-BF35-EE9B4BC44224}" destId="{620031C4-7125-CD4A-8534-C0658F4296FE}" srcOrd="8" destOrd="0" presId="urn:microsoft.com/office/officeart/2008/layout/LinedList"/>
    <dgm:cxn modelId="{1991250D-DF46-D549-9B81-68CD257A6A85}" type="presParOf" srcId="{2D710A50-1FFB-FB40-BF35-EE9B4BC44224}" destId="{59437A0E-ACFB-9949-85B0-B71144A666E2}" srcOrd="9" destOrd="0" presId="urn:microsoft.com/office/officeart/2008/layout/LinedList"/>
    <dgm:cxn modelId="{470E4DB8-F0B8-AE47-948C-A40819D37182}" type="presParOf" srcId="{2D710A50-1FFB-FB40-BF35-EE9B4BC44224}" destId="{219F408B-697C-A54A-9501-005E994B4954}" srcOrd="10" destOrd="0" presId="urn:microsoft.com/office/officeart/2008/layout/LinedList"/>
    <dgm:cxn modelId="{AE281219-6F40-1B45-B3BA-391380B8E9DD}" type="presParOf" srcId="{219F408B-697C-A54A-9501-005E994B4954}" destId="{3196FE0A-243B-3840-B3ED-68CF40FE5B14}" srcOrd="0" destOrd="0" presId="urn:microsoft.com/office/officeart/2008/layout/LinedList"/>
    <dgm:cxn modelId="{53A6DBCB-DB9C-2043-A2CF-A3447AC449ED}" type="presParOf" srcId="{219F408B-697C-A54A-9501-005E994B4954}" destId="{978CD142-A2A6-E244-B1E4-70B6BBC98E64}" srcOrd="1" destOrd="0" presId="urn:microsoft.com/office/officeart/2008/layout/LinedList"/>
    <dgm:cxn modelId="{45C6EF7A-2D02-6143-969C-721662C76974}" type="presParOf" srcId="{219F408B-697C-A54A-9501-005E994B4954}" destId="{CF41D143-8A68-5542-8095-4F23220CD87B}" srcOrd="2" destOrd="0" presId="urn:microsoft.com/office/officeart/2008/layout/LinedList"/>
    <dgm:cxn modelId="{E64C7769-B2BD-0E4A-8E99-0E51F8F57A58}" type="presParOf" srcId="{2D710A50-1FFB-FB40-BF35-EE9B4BC44224}" destId="{9C939543-8138-E248-8A5E-FF1AC86E9352}" srcOrd="11" destOrd="0" presId="urn:microsoft.com/office/officeart/2008/layout/LinedList"/>
    <dgm:cxn modelId="{1AC33A72-C586-B84C-A285-9D82FEBE08C9}" type="presParOf" srcId="{2D710A50-1FFB-FB40-BF35-EE9B4BC44224}" destId="{055822DA-60BF-1F41-8076-AFB48215F045}" srcOrd="12" destOrd="0" presId="urn:microsoft.com/office/officeart/2008/layout/LinedList"/>
  </dgm:cxnLst>
  <dgm:bg/>
  <dgm:whole/>
  <dgm:extLst>
    <a:ext uri="http://schemas.microsoft.com/office/drawing/2008/diagram">
      <dsp:dataModelExt xmlns:dsp="http://schemas.microsoft.com/office/drawing/2008/diagram" relId="rId16"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893FA1-D5DF-EC4A-A54B-5777B914591E}">
      <dsp:nvSpPr>
        <dsp:cNvPr id="0" name=""/>
        <dsp:cNvSpPr/>
      </dsp:nvSpPr>
      <dsp:spPr>
        <a:xfrm>
          <a:off x="0" y="2471"/>
          <a:ext cx="5531556" cy="0"/>
        </a:xfrm>
        <a:prstGeom prst="line">
          <a:avLst/>
        </a:prstGeom>
        <a:solidFill>
          <a:schemeClr val="lt1">
            <a:hueOff val="0"/>
            <a:satOff val="0"/>
            <a:lumOff val="0"/>
            <a:alphaOff val="0"/>
          </a:schemeClr>
        </a:solidFill>
        <a:ln w="25400" cap="flat" cmpd="sng" algn="ctr">
          <a:solidFill>
            <a:srgbClr val="00B0F0"/>
          </a:solidFill>
          <a:prstDash val="solid"/>
        </a:ln>
        <a:effectLst/>
      </dsp:spPr>
      <dsp:style>
        <a:lnRef idx="2">
          <a:scrgbClr r="0" g="0" b="0"/>
        </a:lnRef>
        <a:fillRef idx="1">
          <a:scrgbClr r="0" g="0" b="0"/>
        </a:fillRef>
        <a:effectRef idx="0">
          <a:scrgbClr r="0" g="0" b="0"/>
        </a:effectRef>
        <a:fontRef idx="minor">
          <a:schemeClr val="lt1"/>
        </a:fontRef>
      </dsp:style>
    </dsp:sp>
    <dsp:sp modelId="{A0324C30-6765-8F42-BA3A-46EB9B47B8E9}">
      <dsp:nvSpPr>
        <dsp:cNvPr id="0" name=""/>
        <dsp:cNvSpPr/>
      </dsp:nvSpPr>
      <dsp:spPr>
        <a:xfrm>
          <a:off x="0" y="2471"/>
          <a:ext cx="1106311" cy="505727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endParaRPr lang="es-MX" sz="1100" kern="1200"/>
        </a:p>
        <a:p>
          <a:pPr lvl="0" algn="l" defTabSz="488950">
            <a:lnSpc>
              <a:spcPct val="90000"/>
            </a:lnSpc>
            <a:spcBef>
              <a:spcPct val="0"/>
            </a:spcBef>
            <a:spcAft>
              <a:spcPct val="35000"/>
            </a:spcAft>
          </a:pPr>
          <a:endParaRPr lang="es-MX" sz="1100" kern="1200"/>
        </a:p>
        <a:p>
          <a:pPr lvl="0" algn="l" defTabSz="488950">
            <a:lnSpc>
              <a:spcPct val="90000"/>
            </a:lnSpc>
            <a:spcBef>
              <a:spcPct val="0"/>
            </a:spcBef>
            <a:spcAft>
              <a:spcPct val="35000"/>
            </a:spcAft>
          </a:pPr>
          <a:endParaRPr lang="es-MX" sz="1100" kern="1200"/>
        </a:p>
        <a:p>
          <a:pPr lvl="0" algn="l" defTabSz="488950">
            <a:lnSpc>
              <a:spcPct val="90000"/>
            </a:lnSpc>
            <a:spcBef>
              <a:spcPct val="0"/>
            </a:spcBef>
            <a:spcAft>
              <a:spcPct val="35000"/>
            </a:spcAft>
          </a:pPr>
          <a:endParaRPr lang="es-MX" sz="1100" kern="1200"/>
        </a:p>
        <a:p>
          <a:pPr lvl="0" algn="l" defTabSz="488950">
            <a:lnSpc>
              <a:spcPct val="90000"/>
            </a:lnSpc>
            <a:spcBef>
              <a:spcPct val="0"/>
            </a:spcBef>
            <a:spcAft>
              <a:spcPct val="35000"/>
            </a:spcAft>
          </a:pPr>
          <a:endParaRPr lang="es-MX" sz="1100" kern="1200"/>
        </a:p>
      </dsp:txBody>
      <dsp:txXfrm>
        <a:off x="0" y="2471"/>
        <a:ext cx="1106311" cy="5057276"/>
      </dsp:txXfrm>
    </dsp:sp>
    <dsp:sp modelId="{5B260589-9D5C-B64C-AB83-7B3A8C43B3DB}">
      <dsp:nvSpPr>
        <dsp:cNvPr id="0" name=""/>
        <dsp:cNvSpPr/>
      </dsp:nvSpPr>
      <dsp:spPr>
        <a:xfrm>
          <a:off x="1189284" y="43745"/>
          <a:ext cx="4342271" cy="13803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MX" sz="1100" kern="1200">
              <a:latin typeface="+mj-lt"/>
            </a:rPr>
            <a:t>Grupo de Resultados 1. Igualdad e Inclusión</a:t>
          </a:r>
        </a:p>
        <a:p>
          <a:pPr lvl="0" algn="l" defTabSz="488950">
            <a:lnSpc>
              <a:spcPct val="90000"/>
            </a:lnSpc>
            <a:spcBef>
              <a:spcPct val="0"/>
            </a:spcBef>
            <a:spcAft>
              <a:spcPct val="35000"/>
            </a:spcAft>
          </a:pPr>
          <a:r>
            <a:rPr lang="es-MX" sz="1100" kern="1200">
              <a:latin typeface="+mj-lt"/>
            </a:rPr>
            <a:t>Grupo de Resutlados 2. Prosperidad e Innovación</a:t>
          </a:r>
        </a:p>
        <a:p>
          <a:pPr lvl="0" algn="l" defTabSz="488950">
            <a:lnSpc>
              <a:spcPct val="90000"/>
            </a:lnSpc>
            <a:spcBef>
              <a:spcPct val="0"/>
            </a:spcBef>
            <a:spcAft>
              <a:spcPct val="35000"/>
            </a:spcAft>
          </a:pPr>
          <a:r>
            <a:rPr lang="es-MX" sz="1100" kern="1200">
              <a:latin typeface="+mj-lt"/>
            </a:rPr>
            <a:t>Grupo de Resultados 3. Economía Verde y Cambio Climático</a:t>
          </a:r>
        </a:p>
        <a:p>
          <a:pPr lvl="0" algn="l" defTabSz="488950">
            <a:lnSpc>
              <a:spcPct val="90000"/>
            </a:lnSpc>
            <a:spcBef>
              <a:spcPct val="0"/>
            </a:spcBef>
            <a:spcAft>
              <a:spcPct val="35000"/>
            </a:spcAft>
          </a:pPr>
          <a:r>
            <a:rPr lang="es-MX" sz="1100" kern="1200">
              <a:latin typeface="+mj-lt"/>
            </a:rPr>
            <a:t>Grupo de Resultados  4. Paz, Justicia y Estado de Derecho</a:t>
          </a:r>
        </a:p>
      </dsp:txBody>
      <dsp:txXfrm>
        <a:off x="1189284" y="43745"/>
        <a:ext cx="4342271" cy="1380379"/>
      </dsp:txXfrm>
    </dsp:sp>
    <dsp:sp modelId="{04AACE9F-FFC8-AC43-B466-9A23B647EB88}">
      <dsp:nvSpPr>
        <dsp:cNvPr id="0" name=""/>
        <dsp:cNvSpPr/>
      </dsp:nvSpPr>
      <dsp:spPr>
        <a:xfrm>
          <a:off x="1106311" y="1227988"/>
          <a:ext cx="4425244" cy="0"/>
        </a:xfrm>
        <a:prstGeom prst="line">
          <a:avLst/>
        </a:prstGeom>
        <a:solidFill>
          <a:schemeClr val="accent5">
            <a:hueOff val="0"/>
            <a:satOff val="0"/>
            <a:lumOff val="0"/>
            <a:alphaOff val="0"/>
          </a:schemeClr>
        </a:solidFill>
        <a:ln w="25400" cap="flat" cmpd="sng" algn="ctr">
          <a:solidFill>
            <a:srgbClr val="00B0F0"/>
          </a:solidFill>
          <a:prstDash val="solid"/>
        </a:ln>
        <a:effectLst/>
      </dsp:spPr>
      <dsp:style>
        <a:lnRef idx="2">
          <a:scrgbClr r="0" g="0" b="0"/>
        </a:lnRef>
        <a:fillRef idx="1">
          <a:scrgbClr r="0" g="0" b="0"/>
        </a:fillRef>
        <a:effectRef idx="0">
          <a:scrgbClr r="0" g="0" b="0"/>
        </a:effectRef>
        <a:fontRef idx="minor"/>
      </dsp:style>
    </dsp:sp>
    <dsp:sp modelId="{10B4D143-60B1-A14C-BDC6-9EF731CA4A61}">
      <dsp:nvSpPr>
        <dsp:cNvPr id="0" name=""/>
        <dsp:cNvSpPr/>
      </dsp:nvSpPr>
      <dsp:spPr>
        <a:xfrm>
          <a:off x="1189284" y="1378075"/>
          <a:ext cx="4342271" cy="7332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MX" sz="1100" kern="1200">
              <a:latin typeface="+mj-lt"/>
            </a:rPr>
            <a:t>Grupo Interagencial de Género (GIG)</a:t>
          </a:r>
        </a:p>
        <a:p>
          <a:pPr lvl="0" algn="l" defTabSz="488950">
            <a:lnSpc>
              <a:spcPct val="90000"/>
            </a:lnSpc>
            <a:spcBef>
              <a:spcPct val="0"/>
            </a:spcBef>
            <a:spcAft>
              <a:spcPct val="35000"/>
            </a:spcAft>
          </a:pPr>
          <a:r>
            <a:rPr lang="es-MX" sz="1100" kern="1200">
              <a:latin typeface="+mj-lt"/>
            </a:rPr>
            <a:t>Grupo Interagencial de Migración y Asilo</a:t>
          </a:r>
        </a:p>
        <a:p>
          <a:pPr lvl="0" algn="l" defTabSz="488950">
            <a:lnSpc>
              <a:spcPct val="90000"/>
            </a:lnSpc>
            <a:spcBef>
              <a:spcPct val="0"/>
            </a:spcBef>
            <a:spcAft>
              <a:spcPct val="35000"/>
            </a:spcAft>
          </a:pPr>
          <a:r>
            <a:rPr lang="es-MX" sz="1100" kern="1200">
              <a:latin typeface="+mj-lt"/>
            </a:rPr>
            <a:t>Grupo Interagencial  de Interculturalidad</a:t>
          </a:r>
        </a:p>
      </dsp:txBody>
      <dsp:txXfrm>
        <a:off x="1189284" y="1378075"/>
        <a:ext cx="4342271" cy="733299"/>
      </dsp:txXfrm>
    </dsp:sp>
    <dsp:sp modelId="{79BB0A4C-5219-004B-B4C9-431AAD51BF6E}">
      <dsp:nvSpPr>
        <dsp:cNvPr id="0" name=""/>
        <dsp:cNvSpPr/>
      </dsp:nvSpPr>
      <dsp:spPr>
        <a:xfrm>
          <a:off x="1106311" y="2254188"/>
          <a:ext cx="4425244" cy="0"/>
        </a:xfrm>
        <a:prstGeom prst="line">
          <a:avLst/>
        </a:prstGeom>
        <a:solidFill>
          <a:schemeClr val="accent5">
            <a:hueOff val="0"/>
            <a:satOff val="0"/>
            <a:lumOff val="0"/>
            <a:alphaOff val="0"/>
          </a:schemeClr>
        </a:solidFill>
        <a:ln w="25400" cap="flat" cmpd="sng" algn="ctr">
          <a:solidFill>
            <a:srgbClr val="00B0F0"/>
          </a:solidFill>
          <a:prstDash val="solid"/>
        </a:ln>
        <a:effectLst/>
      </dsp:spPr>
      <dsp:style>
        <a:lnRef idx="2">
          <a:scrgbClr r="0" g="0" b="0"/>
        </a:lnRef>
        <a:fillRef idx="1">
          <a:scrgbClr r="0" g="0" b="0"/>
        </a:fillRef>
        <a:effectRef idx="0">
          <a:scrgbClr r="0" g="0" b="0"/>
        </a:effectRef>
        <a:fontRef idx="minor"/>
      </dsp:style>
    </dsp:sp>
    <dsp:sp modelId="{726C5BBC-D9BE-6741-A233-7B00640945DE}">
      <dsp:nvSpPr>
        <dsp:cNvPr id="0" name=""/>
        <dsp:cNvSpPr/>
      </dsp:nvSpPr>
      <dsp:spPr>
        <a:xfrm>
          <a:off x="1189284" y="2323207"/>
          <a:ext cx="4342271" cy="13803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MX" sz="1100" kern="1200">
              <a:latin typeface="+mj-lt"/>
            </a:rPr>
            <a:t>Grupo Interagencial de Comunicaciones (UNCG)</a:t>
          </a:r>
        </a:p>
        <a:p>
          <a:pPr lvl="0" algn="l" defTabSz="488950">
            <a:lnSpc>
              <a:spcPct val="90000"/>
            </a:lnSpc>
            <a:spcBef>
              <a:spcPct val="0"/>
            </a:spcBef>
            <a:spcAft>
              <a:spcPct val="35000"/>
            </a:spcAft>
          </a:pPr>
          <a:r>
            <a:rPr lang="es-MX" sz="1100" kern="1200">
              <a:latin typeface="+mj-lt"/>
            </a:rPr>
            <a:t>Grupo Interagencial de Operacionese (OMT)</a:t>
          </a:r>
        </a:p>
        <a:p>
          <a:pPr lvl="0" algn="l" defTabSz="488950">
            <a:lnSpc>
              <a:spcPct val="90000"/>
            </a:lnSpc>
            <a:spcBef>
              <a:spcPct val="0"/>
            </a:spcBef>
            <a:spcAft>
              <a:spcPct val="35000"/>
            </a:spcAft>
          </a:pPr>
          <a:r>
            <a:rPr lang="es-MX" sz="1100" kern="1200">
              <a:latin typeface="+mj-lt"/>
            </a:rPr>
            <a:t>Equipo Técnico de Emergencias de las Naciones Unidas (UNETE)</a:t>
          </a:r>
        </a:p>
      </dsp:txBody>
      <dsp:txXfrm>
        <a:off x="1189284" y="2323207"/>
        <a:ext cx="4342271" cy="1380379"/>
      </dsp:txXfrm>
    </dsp:sp>
    <dsp:sp modelId="{620031C4-7125-CD4A-8534-C0658F4296FE}">
      <dsp:nvSpPr>
        <dsp:cNvPr id="0" name=""/>
        <dsp:cNvSpPr/>
      </dsp:nvSpPr>
      <dsp:spPr>
        <a:xfrm>
          <a:off x="1106311" y="3295466"/>
          <a:ext cx="4425244" cy="0"/>
        </a:xfrm>
        <a:prstGeom prst="line">
          <a:avLst/>
        </a:prstGeom>
        <a:solidFill>
          <a:schemeClr val="accent5">
            <a:hueOff val="0"/>
            <a:satOff val="0"/>
            <a:lumOff val="0"/>
            <a:alphaOff val="0"/>
          </a:schemeClr>
        </a:solidFill>
        <a:ln w="25400" cap="flat" cmpd="sng" algn="ctr">
          <a:solidFill>
            <a:srgbClr val="00B0F0"/>
          </a:solidFill>
          <a:prstDash val="solid"/>
        </a:ln>
        <a:effectLst/>
      </dsp:spPr>
      <dsp:style>
        <a:lnRef idx="2">
          <a:scrgbClr r="0" g="0" b="0"/>
        </a:lnRef>
        <a:fillRef idx="1">
          <a:scrgbClr r="0" g="0" b="0"/>
        </a:fillRef>
        <a:effectRef idx="0">
          <a:scrgbClr r="0" g="0" b="0"/>
        </a:effectRef>
        <a:fontRef idx="minor"/>
      </dsp:style>
    </dsp:sp>
    <dsp:sp modelId="{978CD142-A2A6-E244-B1E4-70B6BBC98E64}">
      <dsp:nvSpPr>
        <dsp:cNvPr id="0" name=""/>
        <dsp:cNvSpPr/>
      </dsp:nvSpPr>
      <dsp:spPr>
        <a:xfrm>
          <a:off x="1189284" y="3426738"/>
          <a:ext cx="4342271" cy="121586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MX" sz="1100" kern="1200">
              <a:latin typeface="+mj-lt"/>
            </a:rPr>
            <a:t>Grupo de Trabajo de Monitoreo y Evaluación (M&amp;E)</a:t>
          </a:r>
        </a:p>
        <a:p>
          <a:pPr lvl="0" algn="l" defTabSz="488950">
            <a:lnSpc>
              <a:spcPct val="90000"/>
            </a:lnSpc>
            <a:spcBef>
              <a:spcPct val="0"/>
            </a:spcBef>
            <a:spcAft>
              <a:spcPct val="35000"/>
            </a:spcAft>
          </a:pPr>
          <a:r>
            <a:rPr lang="es-MX" sz="1100" kern="1200">
              <a:latin typeface="+mj-lt"/>
            </a:rPr>
            <a:t>Grupo de Trabajo sobre Juventudes</a:t>
          </a:r>
        </a:p>
        <a:p>
          <a:pPr lvl="0" algn="l" defTabSz="488950">
            <a:lnSpc>
              <a:spcPct val="90000"/>
            </a:lnSpc>
            <a:spcBef>
              <a:spcPct val="0"/>
            </a:spcBef>
            <a:spcAft>
              <a:spcPct val="35000"/>
            </a:spcAft>
          </a:pPr>
          <a:r>
            <a:rPr lang="es-MX" sz="1100" kern="1200">
              <a:latin typeface="+mj-lt"/>
            </a:rPr>
            <a:t>Grupo de Trabajo sobre Salud</a:t>
          </a:r>
        </a:p>
        <a:p>
          <a:pPr lvl="0" algn="l" defTabSz="488950">
            <a:lnSpc>
              <a:spcPct val="90000"/>
            </a:lnSpc>
            <a:spcBef>
              <a:spcPct val="0"/>
            </a:spcBef>
            <a:spcAft>
              <a:spcPct val="35000"/>
            </a:spcAft>
          </a:pPr>
          <a:r>
            <a:rPr lang="es-MX" sz="1100" kern="1200">
              <a:latin typeface="+mj-lt"/>
            </a:rPr>
            <a:t>Red de Puntos Focales para la Prevención del acoso, abuso y explotación sexual (Red PSEA)</a:t>
          </a:r>
        </a:p>
        <a:p>
          <a:pPr lvl="0" algn="l" defTabSz="488950">
            <a:lnSpc>
              <a:spcPct val="90000"/>
            </a:lnSpc>
            <a:spcBef>
              <a:spcPct val="0"/>
            </a:spcBef>
            <a:spcAft>
              <a:spcPct val="35000"/>
            </a:spcAft>
          </a:pPr>
          <a:r>
            <a:rPr lang="es-MX" sz="1100" kern="1200">
              <a:latin typeface="+mj-lt"/>
            </a:rPr>
            <a:t>Red Interagencial de Alianzas y Financiamiento para el DEsarrollo Sostenible (RIAFD)</a:t>
          </a:r>
        </a:p>
      </dsp:txBody>
      <dsp:txXfrm>
        <a:off x="1189284" y="3426738"/>
        <a:ext cx="4342271" cy="1215866"/>
      </dsp:txXfrm>
    </dsp:sp>
    <dsp:sp modelId="{9C939543-8138-E248-8A5E-FF1AC86E9352}">
      <dsp:nvSpPr>
        <dsp:cNvPr id="0" name=""/>
        <dsp:cNvSpPr/>
      </dsp:nvSpPr>
      <dsp:spPr>
        <a:xfrm>
          <a:off x="1106311" y="4807797"/>
          <a:ext cx="4425244" cy="0"/>
        </a:xfrm>
        <a:prstGeom prst="line">
          <a:avLst/>
        </a:prstGeom>
        <a:solidFill>
          <a:schemeClr val="accent5">
            <a:hueOff val="0"/>
            <a:satOff val="0"/>
            <a:lumOff val="0"/>
            <a:alphaOff val="0"/>
          </a:schemeClr>
        </a:solidFill>
        <a:ln w="25400" cap="flat" cmpd="sng" algn="ctr">
          <a:solidFill>
            <a:srgbClr val="00B0F0"/>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0.42217</cdr:x>
      <cdr:y>0.40135</cdr:y>
    </cdr:from>
    <cdr:to>
      <cdr:x>0.62257</cdr:x>
      <cdr:y>0.62178</cdr:y>
    </cdr:to>
    <cdr:sp macro="" textlink="">
      <cdr:nvSpPr>
        <cdr:cNvPr id="2" name="CuadroTexto 8">
          <a:extLst xmlns:a="http://schemas.openxmlformats.org/drawingml/2006/main">
            <a:ext uri="{FF2B5EF4-FFF2-40B4-BE49-F238E27FC236}">
              <a16:creationId xmlns:a16="http://schemas.microsoft.com/office/drawing/2014/main" id="{A5D2BC9F-83C6-40B8-A364-5835083429B4}"/>
            </a:ext>
          </a:extLst>
        </cdr:cNvPr>
        <cdr:cNvSpPr txBox="1"/>
      </cdr:nvSpPr>
      <cdr:spPr>
        <a:xfrm xmlns:a="http://schemas.openxmlformats.org/drawingml/2006/main">
          <a:off x="2377605" y="1049248"/>
          <a:ext cx="1128605" cy="576274"/>
        </a:xfrm>
        <a:prstGeom xmlns:a="http://schemas.openxmlformats.org/drawingml/2006/main" prst="rect">
          <a:avLst/>
        </a:prstGeom>
        <a:noFill xmlns:a="http://schemas.openxmlformats.org/drawingml/2006/main"/>
      </cdr:spPr>
      <cdr:txBody>
        <a:bodyPr xmlns:a="http://schemas.openxmlformats.org/drawingml/2006/main" wrap="none" rtlCol="0">
          <a:spAutoFit/>
        </a:bodyPr>
        <a:lstStyle xmlns:a="http://schemas.openxmlformats.org/drawingml/2006/main"/>
        <a:p xmlns:a="http://schemas.openxmlformats.org/drawingml/2006/main">
          <a:pPr algn="ctr"/>
          <a:r>
            <a:rPr lang="es-ES" sz="1200" kern="1200">
              <a:effectLst/>
              <a:latin typeface="Arial Nova Cond" panose="020B0506020202020204" pitchFamily="34" charset="0"/>
              <a:ea typeface="MS Mincho" panose="02020609040205080304" pitchFamily="49" charset="-128"/>
              <a:cs typeface="Times New Roman" panose="02020603050405020304" pitchFamily="18" charset="0"/>
            </a:rPr>
            <a:t>Acciones:</a:t>
          </a:r>
          <a:endParaRPr lang="es-MX" sz="1200">
            <a:effectLst/>
            <a:latin typeface="Cambria" panose="02040503050406030204" pitchFamily="18" charset="0"/>
            <a:ea typeface="MS Mincho" panose="02020609040205080304" pitchFamily="49" charset="-128"/>
            <a:cs typeface="Times New Roman" panose="02020603050405020304" pitchFamily="18" charset="0"/>
          </a:endParaRPr>
        </a:p>
        <a:p xmlns:a="http://schemas.openxmlformats.org/drawingml/2006/main">
          <a:pPr algn="ctr"/>
          <a:r>
            <a:rPr lang="es-ES_tradnl" sz="1200" kern="1200">
              <a:effectLst/>
              <a:latin typeface="Arial Nova Cond" panose="020B0506020202020204" pitchFamily="34" charset="0"/>
              <a:ea typeface="MS Mincho" panose="02020609040205080304" pitchFamily="49" charset="-128"/>
              <a:cs typeface="Times New Roman" panose="02020603050405020304" pitchFamily="18" charset="0"/>
            </a:rPr>
            <a:t>38</a:t>
          </a:r>
          <a:endParaRPr lang="es-MX" sz="1200">
            <a:effectLst/>
            <a:latin typeface="Cambria" panose="02040503050406030204" pitchFamily="18" charset="0"/>
            <a:ea typeface="MS Mincho" panose="02020609040205080304" pitchFamily="49" charset="-128"/>
            <a:cs typeface="Times New Roman" panose="02020603050405020304" pitchFamily="18" charset="0"/>
          </a:endParaRP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15FC1E6E8F4B64C9E3F93E1723E81EA" ma:contentTypeVersion="16" ma:contentTypeDescription="Crear nuevo documento." ma:contentTypeScope="" ma:versionID="6ea575c5da432133f2d0e0630d257df9">
  <xsd:schema xmlns:xsd="http://www.w3.org/2001/XMLSchema" xmlns:xs="http://www.w3.org/2001/XMLSchema" xmlns:p="http://schemas.microsoft.com/office/2006/metadata/properties" xmlns:ns2="a3b8c2b7-e57b-4282-adb1-a3061edfd3f0" xmlns:ns3="38bae04c-9201-4d9d-9652-559a24a47c0a" targetNamespace="http://schemas.microsoft.com/office/2006/metadata/properties" ma:root="true" ma:fieldsID="737c329311dccf0f17a10c08b001c80f" ns2:_="" ns3:_="">
    <xsd:import namespace="a3b8c2b7-e57b-4282-adb1-a3061edfd3f0"/>
    <xsd:import namespace="38bae04c-9201-4d9d-9652-559a24a47c0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8c2b7-e57b-4282-adb1-a3061edfd3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3c250d15-9240-48a2-bed8-252fb13a1443"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bae04c-9201-4d9d-9652-559a24a47c0a"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element name="TaxCatchAll" ma:index="22" nillable="true" ma:displayName="Taxonomy Catch All Column" ma:hidden="true" ma:list="{6a75137c-eef0-44a9-851e-3c5882af4b4c}" ma:internalName="TaxCatchAll" ma:showField="CatchAllData" ma:web="38bae04c-9201-4d9d-9652-559a24a47c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A4457-B584-4ACE-8ECC-9CC795EECB96}">
  <ds:schemaRefs>
    <ds:schemaRef ds:uri="http://schemas.microsoft.com/sharepoint/v3/contenttype/forms"/>
  </ds:schemaRefs>
</ds:datastoreItem>
</file>

<file path=customXml/itemProps2.xml><?xml version="1.0" encoding="utf-8"?>
<ds:datastoreItem xmlns:ds="http://schemas.openxmlformats.org/officeDocument/2006/customXml" ds:itemID="{7F6920BF-5FF6-4438-80BE-86B08A9A82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8c2b7-e57b-4282-adb1-a3061edfd3f0"/>
    <ds:schemaRef ds:uri="38bae04c-9201-4d9d-9652-559a24a47c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51195B-5B0C-4A9E-A207-E7C47F7FC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8980</Words>
  <Characters>51189</Characters>
  <Application>Microsoft Office Word</Application>
  <DocSecurity>0</DocSecurity>
  <Lines>426</Lines>
  <Paragraphs>120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BEGOÑA ANTON GRACIA</dc:creator>
  <cp:keywords/>
  <dc:description/>
  <cp:lastModifiedBy>Dolores Jerkovic</cp:lastModifiedBy>
  <cp:revision>2</cp:revision>
  <dcterms:created xsi:type="dcterms:W3CDTF">2022-11-25T16:57:00Z</dcterms:created>
  <dcterms:modified xsi:type="dcterms:W3CDTF">2022-11-25T16:57:00Z</dcterms:modified>
</cp:coreProperties>
</file>