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55C12" w14:textId="2290D6E6" w:rsidR="008640BD" w:rsidRPr="009C793F" w:rsidRDefault="008640BD" w:rsidP="00DE19C9">
      <w:pPr>
        <w:jc w:val="both"/>
        <w:rPr>
          <w:rFonts w:asciiTheme="minorHAnsi" w:hAnsiTheme="minorHAnsi" w:cstheme="minorHAnsi"/>
          <w:b/>
          <w:bCs/>
        </w:rPr>
      </w:pPr>
      <w:bookmarkStart w:id="0" w:name="_Toc21680545"/>
      <w:r w:rsidRPr="009C793F">
        <w:rPr>
          <w:rFonts w:asciiTheme="minorHAnsi" w:hAnsiTheme="minorHAnsi" w:cstheme="minorHAnsi"/>
          <w:b/>
          <w:bCs/>
        </w:rPr>
        <w:t>TABLE OF CONTENTS</w:t>
      </w:r>
    </w:p>
    <w:p w14:paraId="065FF8FA" w14:textId="77777777" w:rsidR="00DE19C9" w:rsidRDefault="00DE19C9" w:rsidP="00DE19C9">
      <w:pPr>
        <w:jc w:val="both"/>
        <w:rPr>
          <w:rFonts w:asciiTheme="minorHAnsi" w:hAnsiTheme="minorHAnsi" w:cstheme="minorHAnsi"/>
          <w:b/>
          <w:bCs/>
        </w:rPr>
      </w:pPr>
    </w:p>
    <w:p w14:paraId="731B3829" w14:textId="5019BC77" w:rsidR="008640BD" w:rsidRPr="009C793F" w:rsidRDefault="008640BD" w:rsidP="00DE19C9">
      <w:pPr>
        <w:jc w:val="both"/>
        <w:rPr>
          <w:rFonts w:asciiTheme="minorHAnsi" w:hAnsiTheme="minorHAnsi" w:cstheme="minorHAnsi"/>
          <w:b/>
          <w:bCs/>
        </w:rPr>
      </w:pPr>
      <w:r w:rsidRPr="009C793F">
        <w:rPr>
          <w:rFonts w:asciiTheme="minorHAnsi" w:hAnsiTheme="minorHAnsi" w:cstheme="minorHAnsi"/>
          <w:b/>
          <w:bCs/>
        </w:rPr>
        <w:t>ACRONYMS AND ABBREVIATIONS</w:t>
      </w:r>
    </w:p>
    <w:p w14:paraId="50476311" w14:textId="77777777" w:rsidR="00DE19C9" w:rsidRDefault="00DE19C9" w:rsidP="00DE19C9">
      <w:pPr>
        <w:jc w:val="both"/>
        <w:rPr>
          <w:rFonts w:asciiTheme="minorHAnsi" w:hAnsiTheme="minorHAnsi" w:cstheme="minorHAnsi"/>
          <w:b/>
          <w:bCs/>
        </w:rPr>
      </w:pPr>
    </w:p>
    <w:p w14:paraId="42E379CD" w14:textId="2ADF36D5" w:rsidR="00044992" w:rsidRPr="009C793F" w:rsidRDefault="00044992" w:rsidP="00DE19C9">
      <w:pPr>
        <w:jc w:val="both"/>
        <w:rPr>
          <w:rFonts w:asciiTheme="minorHAnsi" w:hAnsiTheme="minorHAnsi" w:cstheme="minorHAnsi"/>
          <w:b/>
          <w:bCs/>
        </w:rPr>
      </w:pPr>
      <w:r w:rsidRPr="009C793F">
        <w:rPr>
          <w:rFonts w:asciiTheme="minorHAnsi" w:hAnsiTheme="minorHAnsi" w:cstheme="minorHAnsi"/>
          <w:b/>
          <w:bCs/>
        </w:rPr>
        <w:t>MAP OF TRINIDAD AND TOBAGO</w:t>
      </w:r>
    </w:p>
    <w:p w14:paraId="545CF80F" w14:textId="77777777" w:rsidR="00DE19C9" w:rsidRDefault="00DE19C9" w:rsidP="00DE19C9">
      <w:pPr>
        <w:jc w:val="both"/>
        <w:rPr>
          <w:rFonts w:asciiTheme="minorHAnsi" w:hAnsiTheme="minorHAnsi" w:cstheme="minorHAnsi"/>
          <w:b/>
          <w:bCs/>
        </w:rPr>
      </w:pPr>
    </w:p>
    <w:p w14:paraId="2069DCE2" w14:textId="5DB06D46" w:rsidR="008640BD" w:rsidRPr="009C793F" w:rsidRDefault="008640BD" w:rsidP="00DE19C9">
      <w:pPr>
        <w:jc w:val="both"/>
        <w:rPr>
          <w:rFonts w:asciiTheme="minorHAnsi" w:hAnsiTheme="minorHAnsi" w:cstheme="minorHAnsi"/>
          <w:b/>
          <w:bCs/>
        </w:rPr>
      </w:pPr>
      <w:r w:rsidRPr="009C793F">
        <w:rPr>
          <w:rFonts w:asciiTheme="minorHAnsi" w:hAnsiTheme="minorHAnsi" w:cstheme="minorHAnsi"/>
          <w:b/>
          <w:bCs/>
        </w:rPr>
        <w:t>EXECUTIVE SUMMARY</w:t>
      </w:r>
    </w:p>
    <w:p w14:paraId="194628AE" w14:textId="77777777" w:rsidR="00DE19C9" w:rsidRDefault="00DE19C9" w:rsidP="00DE19C9">
      <w:pPr>
        <w:jc w:val="both"/>
        <w:rPr>
          <w:rFonts w:asciiTheme="minorHAnsi" w:hAnsiTheme="minorHAnsi" w:cstheme="minorHAnsi"/>
        </w:rPr>
      </w:pPr>
    </w:p>
    <w:p w14:paraId="184B8260" w14:textId="0DA54B4B" w:rsidR="008640BD" w:rsidRPr="009C793F" w:rsidRDefault="008640BD" w:rsidP="00DE19C9">
      <w:pPr>
        <w:jc w:val="both"/>
        <w:rPr>
          <w:rFonts w:asciiTheme="minorHAnsi" w:hAnsiTheme="minorHAnsi" w:cstheme="minorHAnsi"/>
        </w:rPr>
      </w:pPr>
      <w:r w:rsidRPr="009C793F">
        <w:rPr>
          <w:rFonts w:asciiTheme="minorHAnsi" w:hAnsiTheme="minorHAnsi" w:cstheme="minorHAnsi"/>
        </w:rPr>
        <w:t xml:space="preserve">1: </w:t>
      </w:r>
      <w:r w:rsidRPr="009C793F">
        <w:rPr>
          <w:rFonts w:asciiTheme="minorHAnsi" w:hAnsiTheme="minorHAnsi" w:cstheme="minorHAnsi"/>
          <w:b/>
          <w:bCs/>
        </w:rPr>
        <w:t xml:space="preserve">INTRODUCTION </w:t>
      </w:r>
    </w:p>
    <w:p w14:paraId="23D5602A" w14:textId="77777777" w:rsidR="008640BD" w:rsidRPr="009C793F" w:rsidRDefault="008640BD" w:rsidP="00DE19C9">
      <w:pPr>
        <w:numPr>
          <w:ilvl w:val="1"/>
          <w:numId w:val="4"/>
        </w:numPr>
        <w:jc w:val="both"/>
        <w:rPr>
          <w:rFonts w:asciiTheme="minorHAnsi" w:hAnsiTheme="minorHAnsi" w:cstheme="minorHAnsi"/>
        </w:rPr>
      </w:pPr>
      <w:r w:rsidRPr="009C793F">
        <w:rPr>
          <w:rFonts w:asciiTheme="minorHAnsi" w:hAnsiTheme="minorHAnsi" w:cstheme="minorHAnsi"/>
        </w:rPr>
        <w:t>Background</w:t>
      </w:r>
    </w:p>
    <w:p w14:paraId="4BD6E314" w14:textId="77777777" w:rsidR="008640BD" w:rsidRPr="009C793F" w:rsidRDefault="008640BD" w:rsidP="00DE19C9">
      <w:pPr>
        <w:numPr>
          <w:ilvl w:val="1"/>
          <w:numId w:val="4"/>
        </w:numPr>
        <w:jc w:val="both"/>
        <w:rPr>
          <w:rFonts w:asciiTheme="minorHAnsi" w:hAnsiTheme="minorHAnsi" w:cstheme="minorHAnsi"/>
        </w:rPr>
      </w:pPr>
      <w:r w:rsidRPr="009C793F">
        <w:rPr>
          <w:rFonts w:asciiTheme="minorHAnsi" w:hAnsiTheme="minorHAnsi" w:cstheme="minorHAnsi"/>
        </w:rPr>
        <w:t xml:space="preserve">Methodology </w:t>
      </w:r>
    </w:p>
    <w:p w14:paraId="0DD25C79" w14:textId="77777777" w:rsidR="008640BD" w:rsidRPr="009C793F" w:rsidRDefault="008640BD" w:rsidP="00DE19C9">
      <w:pPr>
        <w:numPr>
          <w:ilvl w:val="1"/>
          <w:numId w:val="4"/>
        </w:numPr>
        <w:jc w:val="both"/>
        <w:rPr>
          <w:rFonts w:asciiTheme="minorHAnsi" w:hAnsiTheme="minorHAnsi" w:cstheme="minorHAnsi"/>
        </w:rPr>
      </w:pPr>
      <w:r w:rsidRPr="009C793F">
        <w:rPr>
          <w:rFonts w:asciiTheme="minorHAnsi" w:hAnsiTheme="minorHAnsi" w:cstheme="minorHAnsi"/>
        </w:rPr>
        <w:t>Consultations</w:t>
      </w:r>
    </w:p>
    <w:p w14:paraId="3957B868" w14:textId="77777777" w:rsidR="00DE19C9" w:rsidRDefault="00DE19C9" w:rsidP="00DE19C9">
      <w:pPr>
        <w:jc w:val="both"/>
        <w:rPr>
          <w:rFonts w:asciiTheme="minorHAnsi" w:hAnsiTheme="minorHAnsi" w:cstheme="minorHAnsi"/>
          <w:b/>
          <w:bCs/>
        </w:rPr>
      </w:pPr>
    </w:p>
    <w:p w14:paraId="5A323824" w14:textId="0A75AF92" w:rsidR="008640BD" w:rsidRPr="009C793F" w:rsidRDefault="008640BD" w:rsidP="00DE19C9">
      <w:pPr>
        <w:jc w:val="both"/>
        <w:rPr>
          <w:rFonts w:asciiTheme="minorHAnsi" w:hAnsiTheme="minorHAnsi" w:cstheme="minorHAnsi"/>
          <w:b/>
          <w:bCs/>
        </w:rPr>
      </w:pPr>
      <w:r w:rsidRPr="009C793F">
        <w:rPr>
          <w:rFonts w:asciiTheme="minorHAnsi" w:hAnsiTheme="minorHAnsi" w:cstheme="minorHAnsi"/>
          <w:b/>
          <w:bCs/>
        </w:rPr>
        <w:t>2: DEVELO</w:t>
      </w:r>
      <w:r w:rsidR="002F3B9D">
        <w:rPr>
          <w:rFonts w:asciiTheme="minorHAnsi" w:hAnsiTheme="minorHAnsi" w:cstheme="minorHAnsi"/>
          <w:b/>
          <w:bCs/>
        </w:rPr>
        <w:t>P</w:t>
      </w:r>
      <w:r w:rsidRPr="009C793F">
        <w:rPr>
          <w:rFonts w:asciiTheme="minorHAnsi" w:hAnsiTheme="minorHAnsi" w:cstheme="minorHAnsi"/>
          <w:b/>
          <w:bCs/>
        </w:rPr>
        <w:t>MENT CONTEXT</w:t>
      </w:r>
    </w:p>
    <w:p w14:paraId="53A0A108"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2.1</w:t>
      </w:r>
      <w:r w:rsidRPr="009C793F">
        <w:rPr>
          <w:rFonts w:asciiTheme="minorHAnsi" w:hAnsiTheme="minorHAnsi" w:cstheme="minorHAnsi"/>
        </w:rPr>
        <w:tab/>
        <w:t>International Development Context</w:t>
      </w:r>
    </w:p>
    <w:p w14:paraId="544E9595" w14:textId="77777777" w:rsidR="008640BD" w:rsidRPr="009C793F" w:rsidRDefault="008640BD" w:rsidP="00DE19C9">
      <w:pPr>
        <w:ind w:left="250" w:firstLine="450"/>
        <w:jc w:val="both"/>
        <w:rPr>
          <w:rFonts w:asciiTheme="minorHAnsi" w:hAnsiTheme="minorHAnsi" w:cstheme="minorHAnsi"/>
        </w:rPr>
      </w:pPr>
      <w:r w:rsidRPr="009C793F">
        <w:rPr>
          <w:rFonts w:asciiTheme="minorHAnsi" w:hAnsiTheme="minorHAnsi" w:cstheme="minorHAnsi"/>
        </w:rPr>
        <w:t>2.2</w:t>
      </w:r>
      <w:r w:rsidRPr="009C793F">
        <w:rPr>
          <w:rFonts w:asciiTheme="minorHAnsi" w:hAnsiTheme="minorHAnsi" w:cstheme="minorHAnsi"/>
        </w:rPr>
        <w:tab/>
        <w:t>Regional Development Context</w:t>
      </w:r>
    </w:p>
    <w:p w14:paraId="65CD61A0" w14:textId="77777777" w:rsidR="008640BD" w:rsidRPr="009C793F" w:rsidRDefault="008640BD" w:rsidP="00DE19C9">
      <w:pPr>
        <w:ind w:left="250" w:firstLine="450"/>
        <w:jc w:val="both"/>
        <w:rPr>
          <w:rFonts w:asciiTheme="minorHAnsi" w:hAnsiTheme="minorHAnsi" w:cstheme="minorHAnsi"/>
        </w:rPr>
      </w:pPr>
      <w:r w:rsidRPr="009C793F">
        <w:rPr>
          <w:rFonts w:asciiTheme="minorHAnsi" w:hAnsiTheme="minorHAnsi" w:cstheme="minorHAnsi"/>
        </w:rPr>
        <w:t>2.3</w:t>
      </w:r>
      <w:r w:rsidRPr="009C793F">
        <w:rPr>
          <w:rFonts w:asciiTheme="minorHAnsi" w:hAnsiTheme="minorHAnsi" w:cstheme="minorHAnsi"/>
        </w:rPr>
        <w:tab/>
        <w:t xml:space="preserve">National Development Context </w:t>
      </w:r>
    </w:p>
    <w:p w14:paraId="13271191" w14:textId="77777777" w:rsidR="008640BD" w:rsidRPr="009C793F" w:rsidRDefault="008640BD" w:rsidP="00DE19C9">
      <w:pPr>
        <w:ind w:left="1420" w:firstLine="20"/>
        <w:jc w:val="both"/>
        <w:rPr>
          <w:rFonts w:asciiTheme="minorHAnsi" w:hAnsiTheme="minorHAnsi" w:cstheme="minorHAnsi"/>
        </w:rPr>
      </w:pPr>
      <w:r w:rsidRPr="009C793F">
        <w:rPr>
          <w:rFonts w:asciiTheme="minorHAnsi" w:hAnsiTheme="minorHAnsi" w:cstheme="minorHAnsi"/>
        </w:rPr>
        <w:t>a.  National vision for Sustainable Development and Agenda 2030</w:t>
      </w:r>
    </w:p>
    <w:p w14:paraId="5CD9A45E" w14:textId="77777777" w:rsidR="008640BD" w:rsidRPr="009C793F" w:rsidRDefault="008640BD" w:rsidP="00DE19C9">
      <w:pPr>
        <w:ind w:left="1400" w:firstLine="20"/>
        <w:jc w:val="both"/>
        <w:rPr>
          <w:rFonts w:asciiTheme="minorHAnsi" w:hAnsiTheme="minorHAnsi" w:cstheme="minorHAnsi"/>
        </w:rPr>
      </w:pPr>
      <w:r w:rsidRPr="009C793F">
        <w:rPr>
          <w:rFonts w:asciiTheme="minorHAnsi" w:hAnsiTheme="minorHAnsi" w:cstheme="minorHAnsi"/>
        </w:rPr>
        <w:t xml:space="preserve">b.  SDG-Based Data Review and Assessment </w:t>
      </w:r>
    </w:p>
    <w:p w14:paraId="248388EF" w14:textId="77777777" w:rsidR="008640BD" w:rsidRPr="009C793F" w:rsidRDefault="008640BD" w:rsidP="00DE19C9">
      <w:pPr>
        <w:ind w:left="1380" w:firstLine="20"/>
        <w:jc w:val="both"/>
        <w:rPr>
          <w:rFonts w:asciiTheme="minorHAnsi" w:hAnsiTheme="minorHAnsi" w:cstheme="minorHAnsi"/>
        </w:rPr>
      </w:pPr>
      <w:r w:rsidRPr="009C793F">
        <w:rPr>
          <w:rFonts w:asciiTheme="minorHAnsi" w:hAnsiTheme="minorHAnsi" w:cstheme="minorHAnsi"/>
        </w:rPr>
        <w:t>c.  SDG Resource Allocation</w:t>
      </w:r>
    </w:p>
    <w:p w14:paraId="65290A0B" w14:textId="77777777" w:rsidR="008640BD" w:rsidRPr="009C793F" w:rsidRDefault="008640BD" w:rsidP="00DE19C9">
      <w:pPr>
        <w:ind w:left="1360" w:firstLine="20"/>
        <w:jc w:val="both"/>
        <w:rPr>
          <w:rFonts w:asciiTheme="minorHAnsi" w:hAnsiTheme="minorHAnsi" w:cstheme="minorHAnsi"/>
        </w:rPr>
      </w:pPr>
      <w:r w:rsidRPr="009C793F">
        <w:rPr>
          <w:rFonts w:asciiTheme="minorHAnsi" w:hAnsiTheme="minorHAnsi" w:cstheme="minorHAnsi"/>
        </w:rPr>
        <w:t>d.  Development Patterns, Gaps and Challenges towards SDG Achievement</w:t>
      </w:r>
    </w:p>
    <w:p w14:paraId="7273444D" w14:textId="77777777" w:rsidR="008640BD" w:rsidRPr="009C793F" w:rsidRDefault="008640BD" w:rsidP="00DE19C9">
      <w:pPr>
        <w:jc w:val="both"/>
        <w:rPr>
          <w:rFonts w:asciiTheme="minorHAnsi" w:hAnsiTheme="minorHAnsi" w:cstheme="minorHAnsi"/>
        </w:rPr>
      </w:pPr>
      <w:r w:rsidRPr="009C793F">
        <w:rPr>
          <w:rFonts w:asciiTheme="minorHAnsi" w:hAnsiTheme="minorHAnsi" w:cstheme="minorHAnsi"/>
        </w:rPr>
        <w:t xml:space="preserve">   </w:t>
      </w:r>
      <w:r w:rsidRPr="009C793F">
        <w:rPr>
          <w:rFonts w:asciiTheme="minorHAnsi" w:hAnsiTheme="minorHAnsi" w:cstheme="minorHAnsi"/>
        </w:rPr>
        <w:tab/>
        <w:t xml:space="preserve"> 2.4</w:t>
      </w:r>
      <w:r w:rsidRPr="009C793F">
        <w:rPr>
          <w:rFonts w:asciiTheme="minorHAnsi" w:hAnsiTheme="minorHAnsi" w:cstheme="minorHAnsi"/>
        </w:rPr>
        <w:tab/>
        <w:t>Socio-economic impact of COVID-19</w:t>
      </w:r>
    </w:p>
    <w:p w14:paraId="4B1024EC" w14:textId="63ACFBFD" w:rsidR="008640BD" w:rsidRPr="009C793F" w:rsidRDefault="008640BD" w:rsidP="00DE19C9">
      <w:pPr>
        <w:ind w:firstLine="720"/>
        <w:jc w:val="both"/>
        <w:rPr>
          <w:rFonts w:asciiTheme="minorHAnsi" w:hAnsiTheme="minorHAnsi" w:cstheme="minorHAnsi"/>
        </w:rPr>
      </w:pPr>
      <w:r w:rsidRPr="009C793F">
        <w:rPr>
          <w:rFonts w:asciiTheme="minorHAnsi" w:hAnsiTheme="minorHAnsi" w:cstheme="minorHAnsi"/>
        </w:rPr>
        <w:t xml:space="preserve"> 2</w:t>
      </w:r>
      <w:r w:rsidR="00AD2933" w:rsidRPr="009C793F">
        <w:rPr>
          <w:rFonts w:asciiTheme="minorHAnsi" w:hAnsiTheme="minorHAnsi" w:cstheme="minorHAnsi"/>
        </w:rPr>
        <w:t>.5</w:t>
      </w:r>
      <w:r w:rsidRPr="009C793F">
        <w:rPr>
          <w:rFonts w:asciiTheme="minorHAnsi" w:hAnsiTheme="minorHAnsi" w:cstheme="minorHAnsi"/>
        </w:rPr>
        <w:t xml:space="preserve">   </w:t>
      </w:r>
      <w:r w:rsidRPr="009C793F">
        <w:rPr>
          <w:rFonts w:asciiTheme="minorHAnsi" w:hAnsiTheme="minorHAnsi" w:cstheme="minorHAnsi"/>
        </w:rPr>
        <w:tab/>
        <w:t xml:space="preserve"> Financing Landscape and Opportunities</w:t>
      </w:r>
    </w:p>
    <w:p w14:paraId="3C659F0C" w14:textId="77777777" w:rsidR="00DE19C9" w:rsidRDefault="00DE19C9" w:rsidP="00DE19C9">
      <w:pPr>
        <w:jc w:val="both"/>
        <w:rPr>
          <w:rFonts w:asciiTheme="minorHAnsi" w:hAnsiTheme="minorHAnsi" w:cstheme="minorHAnsi"/>
          <w:b/>
          <w:bCs/>
        </w:rPr>
      </w:pPr>
    </w:p>
    <w:p w14:paraId="456561C1" w14:textId="754A3F27" w:rsidR="008640BD" w:rsidRPr="009C793F" w:rsidRDefault="008640BD" w:rsidP="00DE19C9">
      <w:pPr>
        <w:jc w:val="both"/>
        <w:rPr>
          <w:rFonts w:asciiTheme="minorHAnsi" w:hAnsiTheme="minorHAnsi" w:cstheme="minorHAnsi"/>
          <w:b/>
          <w:bCs/>
        </w:rPr>
      </w:pPr>
      <w:r w:rsidRPr="009C793F">
        <w:rPr>
          <w:rFonts w:asciiTheme="minorHAnsi" w:hAnsiTheme="minorHAnsi" w:cstheme="minorHAnsi"/>
          <w:b/>
          <w:bCs/>
        </w:rPr>
        <w:t>3: ECONOMIC DEVELOPMENT AND COUNTRY ASSESSMENT</w:t>
      </w:r>
    </w:p>
    <w:p w14:paraId="5D63F1CB" w14:textId="77777777" w:rsidR="008640BD" w:rsidRPr="009C793F" w:rsidRDefault="008640BD" w:rsidP="00DE19C9">
      <w:pPr>
        <w:tabs>
          <w:tab w:val="left" w:pos="700"/>
        </w:tabs>
        <w:ind w:left="250"/>
        <w:jc w:val="both"/>
        <w:rPr>
          <w:rFonts w:asciiTheme="minorHAnsi" w:hAnsiTheme="minorHAnsi" w:cstheme="minorHAnsi"/>
        </w:rPr>
      </w:pPr>
      <w:r w:rsidRPr="009C793F">
        <w:rPr>
          <w:rFonts w:asciiTheme="minorHAnsi" w:hAnsiTheme="minorHAnsi" w:cstheme="minorHAnsi"/>
        </w:rPr>
        <w:tab/>
        <w:t>3.1</w:t>
      </w:r>
      <w:r w:rsidRPr="009C793F">
        <w:rPr>
          <w:rFonts w:asciiTheme="minorHAnsi" w:hAnsiTheme="minorHAnsi" w:cstheme="minorHAnsi"/>
        </w:rPr>
        <w:tab/>
        <w:t xml:space="preserve">Economic Outlook </w:t>
      </w:r>
    </w:p>
    <w:p w14:paraId="5E3FD9ED"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3.2</w:t>
      </w:r>
      <w:r w:rsidRPr="009C793F">
        <w:rPr>
          <w:rFonts w:asciiTheme="minorHAnsi" w:hAnsiTheme="minorHAnsi" w:cstheme="minorHAnsi"/>
        </w:rPr>
        <w:tab/>
        <w:t>Monetary and Fiscal Policy</w:t>
      </w:r>
    </w:p>
    <w:p w14:paraId="5298497D"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3.3</w:t>
      </w:r>
      <w:r w:rsidRPr="009C793F">
        <w:rPr>
          <w:rFonts w:asciiTheme="minorHAnsi" w:hAnsiTheme="minorHAnsi" w:cstheme="minorHAnsi"/>
        </w:rPr>
        <w:tab/>
        <w:t>Sectoral Analyses</w:t>
      </w:r>
    </w:p>
    <w:p w14:paraId="37482BEF" w14:textId="023A3AB9" w:rsidR="008640BD" w:rsidRPr="009C793F" w:rsidRDefault="00660966" w:rsidP="00DE19C9">
      <w:pPr>
        <w:ind w:left="250" w:firstLine="470"/>
        <w:jc w:val="both"/>
        <w:rPr>
          <w:rFonts w:asciiTheme="minorHAnsi" w:hAnsiTheme="minorHAnsi" w:cstheme="minorHAnsi"/>
        </w:rPr>
      </w:pPr>
      <w:r w:rsidRPr="009C793F">
        <w:rPr>
          <w:rFonts w:asciiTheme="minorHAnsi" w:hAnsiTheme="minorHAnsi" w:cstheme="minorHAnsi"/>
        </w:rPr>
        <w:t xml:space="preserve">3.4 </w:t>
      </w:r>
      <w:r w:rsidRPr="009C793F">
        <w:rPr>
          <w:rFonts w:asciiTheme="minorHAnsi" w:hAnsiTheme="minorHAnsi" w:cstheme="minorHAnsi"/>
        </w:rPr>
        <w:tab/>
      </w:r>
      <w:r w:rsidR="008640BD" w:rsidRPr="009C793F">
        <w:rPr>
          <w:rFonts w:asciiTheme="minorHAnsi" w:hAnsiTheme="minorHAnsi" w:cstheme="minorHAnsi"/>
        </w:rPr>
        <w:t>Private Sector Development and Economic Competitiveness</w:t>
      </w:r>
    </w:p>
    <w:p w14:paraId="66CA3C66"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 xml:space="preserve">3.5 </w:t>
      </w:r>
      <w:r w:rsidRPr="009C793F">
        <w:rPr>
          <w:rFonts w:asciiTheme="minorHAnsi" w:hAnsiTheme="minorHAnsi" w:cstheme="minorHAnsi"/>
        </w:rPr>
        <w:tab/>
        <w:t xml:space="preserve">The Labour Environment </w:t>
      </w:r>
    </w:p>
    <w:p w14:paraId="777C0751"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 xml:space="preserve">3.6 </w:t>
      </w:r>
      <w:r w:rsidRPr="009C793F">
        <w:rPr>
          <w:rFonts w:asciiTheme="minorHAnsi" w:hAnsiTheme="minorHAnsi" w:cstheme="minorHAnsi"/>
        </w:rPr>
        <w:tab/>
        <w:t>Politics, Governance and Institutional Structures</w:t>
      </w:r>
    </w:p>
    <w:p w14:paraId="6C31AEB3"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3.7</w:t>
      </w:r>
      <w:r w:rsidRPr="009C793F">
        <w:rPr>
          <w:rFonts w:asciiTheme="minorHAnsi" w:hAnsiTheme="minorHAnsi" w:cstheme="minorHAnsi"/>
        </w:rPr>
        <w:tab/>
        <w:t xml:space="preserve">Data, Data Management and Results-based Management </w:t>
      </w:r>
    </w:p>
    <w:p w14:paraId="2FF552AA" w14:textId="77777777" w:rsidR="00DE19C9" w:rsidRDefault="00DE19C9" w:rsidP="00DE19C9">
      <w:pPr>
        <w:jc w:val="both"/>
        <w:rPr>
          <w:rFonts w:asciiTheme="minorHAnsi" w:hAnsiTheme="minorHAnsi" w:cstheme="minorHAnsi"/>
          <w:b/>
          <w:bCs/>
        </w:rPr>
      </w:pPr>
    </w:p>
    <w:p w14:paraId="49080808" w14:textId="21936E25" w:rsidR="008640BD" w:rsidRPr="009C793F" w:rsidRDefault="008640BD" w:rsidP="00DE19C9">
      <w:pPr>
        <w:jc w:val="both"/>
        <w:rPr>
          <w:rFonts w:asciiTheme="minorHAnsi" w:hAnsiTheme="minorHAnsi" w:cstheme="minorHAnsi"/>
          <w:b/>
          <w:bCs/>
        </w:rPr>
      </w:pPr>
      <w:r w:rsidRPr="009C793F">
        <w:rPr>
          <w:rFonts w:asciiTheme="minorHAnsi" w:hAnsiTheme="minorHAnsi" w:cstheme="minorHAnsi"/>
          <w:b/>
          <w:bCs/>
        </w:rPr>
        <w:t>4: SOCIAL DEVELOPMENT AND PROGRESS</w:t>
      </w:r>
    </w:p>
    <w:p w14:paraId="5428F040"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4.1</w:t>
      </w:r>
      <w:r w:rsidRPr="009C793F">
        <w:rPr>
          <w:rFonts w:asciiTheme="minorHAnsi" w:hAnsiTheme="minorHAnsi" w:cstheme="minorHAnsi"/>
        </w:rPr>
        <w:tab/>
        <w:t>Human Rights and Human Capital Development</w:t>
      </w:r>
    </w:p>
    <w:p w14:paraId="41959CD1"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4.2</w:t>
      </w:r>
      <w:r w:rsidRPr="009C793F">
        <w:rPr>
          <w:rFonts w:asciiTheme="minorHAnsi" w:hAnsiTheme="minorHAnsi" w:cstheme="minorHAnsi"/>
        </w:rPr>
        <w:tab/>
        <w:t>Poverty and Vulnerable Groups</w:t>
      </w:r>
    </w:p>
    <w:p w14:paraId="23ADE867"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4.3</w:t>
      </w:r>
      <w:r w:rsidRPr="009C793F">
        <w:rPr>
          <w:rFonts w:asciiTheme="minorHAnsi" w:hAnsiTheme="minorHAnsi" w:cstheme="minorHAnsi"/>
        </w:rPr>
        <w:tab/>
        <w:t>Social Welfare and Social Protection</w:t>
      </w:r>
    </w:p>
    <w:p w14:paraId="61B96F2A" w14:textId="77777777" w:rsidR="008640BD" w:rsidRPr="009C793F" w:rsidRDefault="008640BD" w:rsidP="00DE19C9">
      <w:pPr>
        <w:ind w:left="250" w:firstLine="470"/>
        <w:jc w:val="both"/>
        <w:rPr>
          <w:rFonts w:asciiTheme="minorHAnsi" w:hAnsiTheme="minorHAnsi" w:cstheme="minorHAnsi"/>
        </w:rPr>
      </w:pPr>
      <w:r w:rsidRPr="009C793F">
        <w:rPr>
          <w:rFonts w:asciiTheme="minorHAnsi" w:hAnsiTheme="minorHAnsi" w:cstheme="minorHAnsi"/>
        </w:rPr>
        <w:t>4.4</w:t>
      </w:r>
      <w:r w:rsidRPr="009C793F">
        <w:rPr>
          <w:rFonts w:asciiTheme="minorHAnsi" w:hAnsiTheme="minorHAnsi" w:cstheme="minorHAnsi"/>
        </w:rPr>
        <w:tab/>
        <w:t>Migration</w:t>
      </w:r>
    </w:p>
    <w:p w14:paraId="21EA7D7E" w14:textId="77777777" w:rsidR="008640BD" w:rsidRPr="009C793F" w:rsidRDefault="008640BD" w:rsidP="00DE19C9">
      <w:pPr>
        <w:jc w:val="both"/>
        <w:rPr>
          <w:rFonts w:asciiTheme="minorHAnsi" w:hAnsiTheme="minorHAnsi" w:cstheme="minorHAnsi"/>
        </w:rPr>
      </w:pPr>
      <w:r w:rsidRPr="009C793F">
        <w:rPr>
          <w:rFonts w:asciiTheme="minorHAnsi" w:hAnsiTheme="minorHAnsi" w:cstheme="minorHAnsi"/>
        </w:rPr>
        <w:t xml:space="preserve">       </w:t>
      </w:r>
      <w:r w:rsidRPr="009C793F">
        <w:rPr>
          <w:rFonts w:asciiTheme="minorHAnsi" w:hAnsiTheme="minorHAnsi" w:cstheme="minorHAnsi"/>
        </w:rPr>
        <w:tab/>
        <w:t>4.5</w:t>
      </w:r>
      <w:r w:rsidRPr="009C793F">
        <w:rPr>
          <w:rFonts w:asciiTheme="minorHAnsi" w:hAnsiTheme="minorHAnsi" w:cstheme="minorHAnsi"/>
        </w:rPr>
        <w:tab/>
        <w:t>Leaving No One Behind</w:t>
      </w:r>
    </w:p>
    <w:p w14:paraId="1AF3CEFB" w14:textId="77777777" w:rsidR="00DE19C9" w:rsidRDefault="00DE19C9" w:rsidP="00DE19C9">
      <w:pPr>
        <w:jc w:val="both"/>
        <w:rPr>
          <w:rFonts w:asciiTheme="minorHAnsi" w:hAnsiTheme="minorHAnsi" w:cstheme="minorHAnsi"/>
          <w:b/>
          <w:bCs/>
        </w:rPr>
      </w:pPr>
    </w:p>
    <w:p w14:paraId="3BDD1F71" w14:textId="717119B3" w:rsidR="008640BD" w:rsidRPr="009C793F" w:rsidRDefault="008640BD" w:rsidP="00DE19C9">
      <w:pPr>
        <w:jc w:val="both"/>
        <w:rPr>
          <w:rFonts w:asciiTheme="minorHAnsi" w:hAnsiTheme="minorHAnsi" w:cstheme="minorHAnsi"/>
          <w:b/>
          <w:bCs/>
        </w:rPr>
      </w:pPr>
      <w:r w:rsidRPr="009C793F">
        <w:rPr>
          <w:rFonts w:asciiTheme="minorHAnsi" w:hAnsiTheme="minorHAnsi" w:cstheme="minorHAnsi"/>
          <w:b/>
          <w:bCs/>
        </w:rPr>
        <w:t xml:space="preserve">5: ENVIRONMENT, CLIMATE ACTION AND RISK REDUCTION  </w:t>
      </w:r>
    </w:p>
    <w:p w14:paraId="2D0C15A2" w14:textId="77777777" w:rsidR="008640BD" w:rsidRPr="009C793F" w:rsidRDefault="008640BD" w:rsidP="00DE19C9">
      <w:pPr>
        <w:ind w:firstLine="720"/>
        <w:jc w:val="both"/>
        <w:rPr>
          <w:rFonts w:asciiTheme="minorHAnsi" w:hAnsiTheme="minorHAnsi" w:cstheme="minorHAnsi"/>
        </w:rPr>
      </w:pPr>
      <w:r w:rsidRPr="009C793F">
        <w:rPr>
          <w:rFonts w:asciiTheme="minorHAnsi" w:hAnsiTheme="minorHAnsi" w:cstheme="minorHAnsi"/>
        </w:rPr>
        <w:t xml:space="preserve">5.1 </w:t>
      </w:r>
      <w:r w:rsidRPr="009C793F">
        <w:rPr>
          <w:rFonts w:asciiTheme="minorHAnsi" w:hAnsiTheme="minorHAnsi" w:cstheme="minorHAnsi"/>
        </w:rPr>
        <w:tab/>
        <w:t>Background</w:t>
      </w:r>
    </w:p>
    <w:p w14:paraId="43A6AAB0" w14:textId="77777777" w:rsidR="008640BD" w:rsidRPr="009C793F" w:rsidRDefault="008640BD" w:rsidP="00DE19C9">
      <w:pPr>
        <w:ind w:firstLine="720"/>
        <w:jc w:val="both"/>
        <w:rPr>
          <w:rFonts w:asciiTheme="minorHAnsi" w:hAnsiTheme="minorHAnsi" w:cstheme="minorHAnsi"/>
        </w:rPr>
      </w:pPr>
      <w:r w:rsidRPr="009C793F">
        <w:rPr>
          <w:rFonts w:asciiTheme="minorHAnsi" w:hAnsiTheme="minorHAnsi" w:cstheme="minorHAnsi"/>
        </w:rPr>
        <w:t xml:space="preserve">5.2 </w:t>
      </w:r>
      <w:r w:rsidRPr="009C793F">
        <w:rPr>
          <w:rFonts w:asciiTheme="minorHAnsi" w:hAnsiTheme="minorHAnsi" w:cstheme="minorHAnsi"/>
        </w:rPr>
        <w:tab/>
        <w:t>Environment and Sustainable Natural Resource Management</w:t>
      </w:r>
    </w:p>
    <w:p w14:paraId="6BEEFCAC" w14:textId="77777777" w:rsidR="008640BD" w:rsidRPr="009C793F" w:rsidRDefault="008640BD" w:rsidP="00DE19C9">
      <w:pPr>
        <w:ind w:firstLine="720"/>
        <w:jc w:val="both"/>
        <w:rPr>
          <w:rFonts w:asciiTheme="minorHAnsi" w:hAnsiTheme="minorHAnsi" w:cstheme="minorHAnsi"/>
        </w:rPr>
      </w:pPr>
      <w:r w:rsidRPr="009C793F">
        <w:rPr>
          <w:rFonts w:asciiTheme="minorHAnsi" w:hAnsiTheme="minorHAnsi" w:cstheme="minorHAnsi"/>
        </w:rPr>
        <w:t>5.3</w:t>
      </w:r>
      <w:r w:rsidRPr="009C793F">
        <w:rPr>
          <w:rFonts w:asciiTheme="minorHAnsi" w:hAnsiTheme="minorHAnsi" w:cstheme="minorHAnsi"/>
        </w:rPr>
        <w:tab/>
        <w:t>Environmental Governance</w:t>
      </w:r>
    </w:p>
    <w:p w14:paraId="4A60516A" w14:textId="77777777" w:rsidR="008640BD" w:rsidRPr="009C793F" w:rsidRDefault="008640BD" w:rsidP="00DE19C9">
      <w:pPr>
        <w:ind w:firstLine="720"/>
        <w:jc w:val="both"/>
        <w:rPr>
          <w:rFonts w:asciiTheme="minorHAnsi" w:hAnsiTheme="minorHAnsi" w:cstheme="minorHAnsi"/>
        </w:rPr>
      </w:pPr>
      <w:r w:rsidRPr="009C793F">
        <w:rPr>
          <w:rFonts w:asciiTheme="minorHAnsi" w:hAnsiTheme="minorHAnsi" w:cstheme="minorHAnsi"/>
        </w:rPr>
        <w:t>5.4</w:t>
      </w:r>
      <w:r w:rsidRPr="009C793F">
        <w:rPr>
          <w:rFonts w:asciiTheme="minorHAnsi" w:hAnsiTheme="minorHAnsi" w:cstheme="minorHAnsi"/>
        </w:rPr>
        <w:tab/>
        <w:t xml:space="preserve">Climate Action  </w:t>
      </w:r>
    </w:p>
    <w:p w14:paraId="6C201DF5" w14:textId="45F0FBCA" w:rsidR="008640BD" w:rsidRPr="009C793F" w:rsidRDefault="008640BD" w:rsidP="00DE19C9">
      <w:pPr>
        <w:ind w:firstLine="720"/>
        <w:jc w:val="both"/>
        <w:rPr>
          <w:rFonts w:asciiTheme="minorHAnsi" w:hAnsiTheme="minorHAnsi" w:cstheme="minorHAnsi"/>
        </w:rPr>
      </w:pPr>
      <w:r w:rsidRPr="009C793F">
        <w:rPr>
          <w:rFonts w:asciiTheme="minorHAnsi" w:hAnsiTheme="minorHAnsi" w:cstheme="minorHAnsi"/>
        </w:rPr>
        <w:t>5.5</w:t>
      </w:r>
      <w:r w:rsidRPr="009C793F">
        <w:rPr>
          <w:rFonts w:asciiTheme="minorHAnsi" w:hAnsiTheme="minorHAnsi" w:cstheme="minorHAnsi"/>
        </w:rPr>
        <w:tab/>
        <w:t>Support to the Implementation of the Paris Agreement</w:t>
      </w:r>
    </w:p>
    <w:p w14:paraId="272A20AA" w14:textId="1DCE1BC8" w:rsidR="008640BD" w:rsidRDefault="008640BD" w:rsidP="00DE19C9">
      <w:pPr>
        <w:ind w:firstLine="720"/>
        <w:jc w:val="both"/>
        <w:rPr>
          <w:rFonts w:asciiTheme="minorHAnsi" w:hAnsiTheme="minorHAnsi" w:cstheme="minorHAnsi"/>
        </w:rPr>
      </w:pPr>
      <w:r w:rsidRPr="009C793F">
        <w:rPr>
          <w:rFonts w:asciiTheme="minorHAnsi" w:hAnsiTheme="minorHAnsi" w:cstheme="minorHAnsi"/>
        </w:rPr>
        <w:t xml:space="preserve">5.5 </w:t>
      </w:r>
      <w:r w:rsidR="00AD2933" w:rsidRPr="009C793F">
        <w:rPr>
          <w:rFonts w:asciiTheme="minorHAnsi" w:hAnsiTheme="minorHAnsi" w:cstheme="minorHAnsi"/>
        </w:rPr>
        <w:tab/>
      </w:r>
      <w:r w:rsidRPr="009C793F">
        <w:rPr>
          <w:rFonts w:asciiTheme="minorHAnsi" w:hAnsiTheme="minorHAnsi" w:cstheme="minorHAnsi"/>
        </w:rPr>
        <w:t>Natural Disasters and Resilience</w:t>
      </w:r>
    </w:p>
    <w:p w14:paraId="5222CCC9" w14:textId="77777777" w:rsidR="00DE19C9" w:rsidRDefault="00DE19C9" w:rsidP="00DE19C9">
      <w:pPr>
        <w:jc w:val="both"/>
        <w:rPr>
          <w:rFonts w:asciiTheme="minorHAnsi" w:hAnsiTheme="minorHAnsi" w:cstheme="minorHAnsi"/>
          <w:b/>
          <w:bCs/>
        </w:rPr>
      </w:pPr>
    </w:p>
    <w:p w14:paraId="30EC3D36" w14:textId="16583CD7" w:rsidR="006C28A6" w:rsidRDefault="006C28A6" w:rsidP="00DE19C9">
      <w:pPr>
        <w:jc w:val="both"/>
        <w:rPr>
          <w:rFonts w:asciiTheme="minorHAnsi" w:hAnsiTheme="minorHAnsi" w:cstheme="minorHAnsi"/>
          <w:b/>
          <w:bCs/>
        </w:rPr>
      </w:pPr>
      <w:r>
        <w:rPr>
          <w:rFonts w:asciiTheme="minorHAnsi" w:hAnsiTheme="minorHAnsi" w:cstheme="minorHAnsi"/>
          <w:b/>
          <w:bCs/>
        </w:rPr>
        <w:t>6: THE WAY FORWARD</w:t>
      </w:r>
    </w:p>
    <w:p w14:paraId="03E60EA3" w14:textId="73C0AD76" w:rsidR="006C28A6" w:rsidRDefault="006C28A6" w:rsidP="00DE19C9">
      <w:pPr>
        <w:jc w:val="both"/>
        <w:rPr>
          <w:rFonts w:asciiTheme="minorHAnsi" w:hAnsiTheme="minorHAnsi" w:cstheme="minorHAnsi"/>
        </w:rPr>
      </w:pPr>
      <w:r>
        <w:rPr>
          <w:rFonts w:asciiTheme="minorHAnsi" w:hAnsiTheme="minorHAnsi" w:cstheme="minorHAnsi"/>
          <w:b/>
          <w:bCs/>
        </w:rPr>
        <w:tab/>
      </w:r>
      <w:r>
        <w:rPr>
          <w:rFonts w:asciiTheme="minorHAnsi" w:hAnsiTheme="minorHAnsi" w:cstheme="minorHAnsi"/>
        </w:rPr>
        <w:t xml:space="preserve">6.1 </w:t>
      </w:r>
      <w:r>
        <w:rPr>
          <w:rFonts w:asciiTheme="minorHAnsi" w:hAnsiTheme="minorHAnsi" w:cstheme="minorHAnsi"/>
        </w:rPr>
        <w:tab/>
        <w:t>UN System in Trinidad and Tobago – Strengths, Weaknesses, Opportunities and Threats</w:t>
      </w:r>
    </w:p>
    <w:p w14:paraId="41CB6B39" w14:textId="13E8D0E1" w:rsidR="006C28A6" w:rsidRDefault="006C28A6" w:rsidP="00DE19C9">
      <w:pPr>
        <w:jc w:val="both"/>
        <w:rPr>
          <w:rFonts w:asciiTheme="minorHAnsi" w:hAnsiTheme="minorHAnsi" w:cstheme="minorHAnsi"/>
        </w:rPr>
      </w:pPr>
      <w:r>
        <w:rPr>
          <w:rFonts w:asciiTheme="minorHAnsi" w:hAnsiTheme="minorHAnsi" w:cstheme="minorHAnsi"/>
        </w:rPr>
        <w:lastRenderedPageBreak/>
        <w:tab/>
        <w:t xml:space="preserve">6.2 </w:t>
      </w:r>
      <w:r>
        <w:rPr>
          <w:rFonts w:asciiTheme="minorHAnsi" w:hAnsiTheme="minorHAnsi" w:cstheme="minorHAnsi"/>
        </w:rPr>
        <w:tab/>
        <w:t>Joint Cooperation Mechanism</w:t>
      </w:r>
    </w:p>
    <w:p w14:paraId="418DB2D5" w14:textId="55829A33" w:rsidR="006C28A6" w:rsidRPr="006C28A6" w:rsidRDefault="006C28A6" w:rsidP="00DE19C9">
      <w:pPr>
        <w:jc w:val="both"/>
        <w:rPr>
          <w:rFonts w:asciiTheme="minorHAnsi" w:hAnsiTheme="minorHAnsi" w:cstheme="minorHAnsi"/>
        </w:rPr>
      </w:pPr>
      <w:r>
        <w:rPr>
          <w:rFonts w:asciiTheme="minorHAnsi" w:hAnsiTheme="minorHAnsi" w:cstheme="minorHAnsi"/>
        </w:rPr>
        <w:tab/>
        <w:t>6.3</w:t>
      </w:r>
      <w:r>
        <w:rPr>
          <w:rFonts w:asciiTheme="minorHAnsi" w:hAnsiTheme="minorHAnsi" w:cstheme="minorHAnsi"/>
        </w:rPr>
        <w:tab/>
        <w:t>Conclusion</w:t>
      </w:r>
    </w:p>
    <w:p w14:paraId="3DA1C0EC" w14:textId="77777777" w:rsidR="00DE19C9" w:rsidRDefault="008640BD" w:rsidP="00DE19C9">
      <w:pPr>
        <w:tabs>
          <w:tab w:val="right" w:pos="9016"/>
        </w:tabs>
        <w:jc w:val="both"/>
        <w:rPr>
          <w:rFonts w:asciiTheme="minorHAnsi" w:hAnsiTheme="minorHAnsi" w:cstheme="minorHAnsi"/>
        </w:rPr>
      </w:pPr>
      <w:r w:rsidRPr="009C793F">
        <w:rPr>
          <w:rFonts w:asciiTheme="minorHAnsi" w:hAnsiTheme="minorHAnsi" w:cstheme="minorHAnsi"/>
        </w:rPr>
        <w:t xml:space="preserve">                    </w:t>
      </w:r>
    </w:p>
    <w:p w14:paraId="1633D986" w14:textId="1C171C34" w:rsidR="008640BD" w:rsidRPr="009C793F" w:rsidRDefault="008640BD" w:rsidP="00DE19C9">
      <w:pPr>
        <w:tabs>
          <w:tab w:val="right" w:pos="9016"/>
        </w:tabs>
        <w:jc w:val="both"/>
        <w:rPr>
          <w:rFonts w:asciiTheme="minorHAnsi" w:hAnsiTheme="minorHAnsi" w:cstheme="minorHAnsi"/>
        </w:rPr>
      </w:pPr>
      <w:r w:rsidRPr="009C793F">
        <w:rPr>
          <w:rFonts w:asciiTheme="minorHAnsi" w:hAnsiTheme="minorHAnsi" w:cstheme="minorHAnsi"/>
        </w:rPr>
        <w:t xml:space="preserve">      </w:t>
      </w:r>
      <w:hyperlink w:anchor="_heading=h.1fob9te">
        <w:r w:rsidRPr="009C793F">
          <w:rPr>
            <w:rFonts w:asciiTheme="minorHAnsi" w:hAnsiTheme="minorHAnsi" w:cstheme="minorHAnsi"/>
            <w:color w:val="0563C1"/>
            <w:u w:val="single"/>
          </w:rPr>
          <w:t>Appendices</w:t>
        </w:r>
      </w:hyperlink>
      <w:hyperlink w:anchor="_heading=h.1fob9te">
        <w:r w:rsidRPr="009C793F">
          <w:rPr>
            <w:rFonts w:asciiTheme="minorHAnsi" w:hAnsiTheme="minorHAnsi" w:cstheme="minorHAnsi"/>
          </w:rPr>
          <w:tab/>
        </w:r>
      </w:hyperlink>
    </w:p>
    <w:p w14:paraId="2F7737C5" w14:textId="77777777" w:rsidR="00DE19C9" w:rsidRDefault="00DE19C9" w:rsidP="00DE19C9">
      <w:pPr>
        <w:tabs>
          <w:tab w:val="left" w:pos="1320"/>
          <w:tab w:val="right" w:pos="9016"/>
        </w:tabs>
        <w:ind w:left="220"/>
        <w:jc w:val="both"/>
        <w:rPr>
          <w:rFonts w:asciiTheme="minorHAnsi" w:hAnsiTheme="minorHAnsi" w:cstheme="minorHAnsi"/>
        </w:rPr>
      </w:pPr>
    </w:p>
    <w:p w14:paraId="5E2CB342" w14:textId="0172E2E6" w:rsidR="008640BD" w:rsidRPr="009C793F" w:rsidRDefault="008640BD" w:rsidP="00DE19C9">
      <w:pPr>
        <w:tabs>
          <w:tab w:val="left" w:pos="1320"/>
          <w:tab w:val="right" w:pos="9016"/>
        </w:tabs>
        <w:ind w:left="220"/>
        <w:jc w:val="both"/>
        <w:rPr>
          <w:rFonts w:asciiTheme="minorHAnsi" w:hAnsiTheme="minorHAnsi" w:cstheme="minorHAnsi"/>
          <w:color w:val="4472C4"/>
        </w:rPr>
      </w:pPr>
      <w:r w:rsidRPr="009C793F">
        <w:rPr>
          <w:rFonts w:asciiTheme="minorHAnsi" w:hAnsiTheme="minorHAnsi" w:cstheme="minorHAnsi"/>
        </w:rPr>
        <w:t xml:space="preserve">                   </w:t>
      </w:r>
      <w:hyperlink w:anchor="_heading=h.30j0zll">
        <w:r w:rsidRPr="009C793F">
          <w:rPr>
            <w:rFonts w:asciiTheme="minorHAnsi" w:hAnsiTheme="minorHAnsi" w:cstheme="minorHAnsi"/>
            <w:color w:val="4472C4"/>
          </w:rPr>
          <w:t>Appendix</w:t>
        </w:r>
      </w:hyperlink>
      <w:r w:rsidRPr="009C793F">
        <w:rPr>
          <w:rFonts w:asciiTheme="minorHAnsi" w:hAnsiTheme="minorHAnsi" w:cstheme="minorHAnsi"/>
          <w:color w:val="4472C4"/>
        </w:rPr>
        <w:t xml:space="preserve"> 1:      SDG Questionnaire </w:t>
      </w:r>
    </w:p>
    <w:p w14:paraId="12B97D03" w14:textId="77777777" w:rsidR="00DE19C9" w:rsidRDefault="00DE19C9" w:rsidP="00DE19C9">
      <w:pPr>
        <w:tabs>
          <w:tab w:val="left" w:pos="1320"/>
          <w:tab w:val="right" w:pos="9016"/>
        </w:tabs>
        <w:ind w:left="220"/>
        <w:jc w:val="both"/>
        <w:rPr>
          <w:rFonts w:asciiTheme="minorHAnsi" w:hAnsiTheme="minorHAnsi" w:cstheme="minorHAnsi"/>
          <w:color w:val="4472C4"/>
        </w:rPr>
      </w:pPr>
    </w:p>
    <w:p w14:paraId="73E5D30D" w14:textId="0BA34C79" w:rsidR="008640BD" w:rsidRPr="009C793F" w:rsidRDefault="008640BD" w:rsidP="00DE19C9">
      <w:pPr>
        <w:tabs>
          <w:tab w:val="left" w:pos="1320"/>
          <w:tab w:val="right" w:pos="9016"/>
        </w:tabs>
        <w:ind w:left="220"/>
        <w:jc w:val="both"/>
        <w:rPr>
          <w:rFonts w:asciiTheme="minorHAnsi" w:hAnsiTheme="minorHAnsi" w:cstheme="minorHAnsi"/>
          <w:color w:val="4472C4"/>
        </w:rPr>
      </w:pPr>
      <w:r w:rsidRPr="009C793F">
        <w:rPr>
          <w:rFonts w:asciiTheme="minorHAnsi" w:hAnsiTheme="minorHAnsi" w:cstheme="minorHAnsi"/>
          <w:color w:val="4472C4"/>
        </w:rPr>
        <w:t xml:space="preserve">                   Appendix 2:      List of Persons consulted</w:t>
      </w:r>
    </w:p>
    <w:p w14:paraId="4C7D7822" w14:textId="77777777" w:rsidR="00DE19C9" w:rsidRDefault="00DE19C9" w:rsidP="00DE19C9">
      <w:pPr>
        <w:tabs>
          <w:tab w:val="left" w:pos="1320"/>
          <w:tab w:val="right" w:pos="9016"/>
        </w:tabs>
        <w:ind w:left="220"/>
        <w:jc w:val="both"/>
        <w:rPr>
          <w:rFonts w:asciiTheme="minorHAnsi" w:hAnsiTheme="minorHAnsi" w:cstheme="minorHAnsi"/>
          <w:color w:val="4472C4"/>
        </w:rPr>
      </w:pPr>
    </w:p>
    <w:p w14:paraId="77510439" w14:textId="70FD9D03" w:rsidR="00AD2933" w:rsidRPr="009C793F" w:rsidRDefault="00AD2933" w:rsidP="00DE19C9">
      <w:pPr>
        <w:tabs>
          <w:tab w:val="left" w:pos="1320"/>
          <w:tab w:val="right" w:pos="9016"/>
        </w:tabs>
        <w:ind w:left="220"/>
        <w:jc w:val="both"/>
        <w:rPr>
          <w:rFonts w:asciiTheme="minorHAnsi" w:hAnsiTheme="minorHAnsi" w:cstheme="minorHAnsi"/>
          <w:color w:val="4472C4"/>
        </w:rPr>
      </w:pPr>
      <w:r w:rsidRPr="009C793F">
        <w:rPr>
          <w:rFonts w:asciiTheme="minorHAnsi" w:hAnsiTheme="minorHAnsi" w:cstheme="minorHAnsi"/>
          <w:color w:val="4472C4"/>
        </w:rPr>
        <w:t xml:space="preserve">                   Appendix 3:      SDG Data Repository</w:t>
      </w:r>
    </w:p>
    <w:p w14:paraId="33D8A2A1" w14:textId="77777777" w:rsidR="00AD2933" w:rsidRPr="009C793F" w:rsidRDefault="00AD2933" w:rsidP="00DE19C9">
      <w:pPr>
        <w:tabs>
          <w:tab w:val="left" w:pos="1320"/>
          <w:tab w:val="right" w:pos="9016"/>
        </w:tabs>
        <w:ind w:left="220"/>
        <w:jc w:val="both"/>
        <w:rPr>
          <w:rFonts w:asciiTheme="minorHAnsi" w:hAnsiTheme="minorHAnsi" w:cstheme="minorHAnsi"/>
          <w:color w:val="4472C4"/>
        </w:rPr>
      </w:pPr>
    </w:p>
    <w:p w14:paraId="52DE7F06" w14:textId="77777777" w:rsidR="008640BD" w:rsidRPr="009C793F" w:rsidRDefault="008640BD" w:rsidP="00DE19C9">
      <w:pPr>
        <w:jc w:val="both"/>
        <w:rPr>
          <w:rFonts w:asciiTheme="minorHAnsi" w:hAnsiTheme="minorHAnsi" w:cstheme="minorHAnsi"/>
          <w:color w:val="4472C4"/>
        </w:rPr>
      </w:pPr>
      <w:r w:rsidRPr="009C793F">
        <w:rPr>
          <w:rFonts w:asciiTheme="minorHAnsi" w:hAnsiTheme="minorHAnsi" w:cstheme="minorHAnsi"/>
          <w:color w:val="4472C4"/>
        </w:rPr>
        <w:br w:type="page"/>
      </w:r>
    </w:p>
    <w:p w14:paraId="29356F4E" w14:textId="5A7F35F0" w:rsidR="00E40CFF" w:rsidRPr="009C793F" w:rsidRDefault="00E40CFF" w:rsidP="00DE19C9">
      <w:pPr>
        <w:pStyle w:val="Heading1"/>
        <w:shd w:val="clear" w:color="auto" w:fill="0070C0"/>
        <w:spacing w:before="0" w:after="0"/>
        <w:jc w:val="both"/>
        <w:rPr>
          <w:rFonts w:asciiTheme="minorHAnsi" w:eastAsiaTheme="majorEastAsia" w:hAnsiTheme="minorHAnsi" w:cstheme="minorHAnsi"/>
          <w:color w:val="FFFFFF" w:themeColor="background1"/>
          <w:sz w:val="22"/>
          <w:szCs w:val="22"/>
          <w:lang w:val="en-ZW" w:eastAsia="en-US"/>
        </w:rPr>
      </w:pPr>
      <w:r w:rsidRPr="009C793F">
        <w:rPr>
          <w:rFonts w:asciiTheme="minorHAnsi" w:eastAsiaTheme="majorEastAsia" w:hAnsiTheme="minorHAnsi" w:cstheme="minorHAnsi"/>
          <w:color w:val="FFFFFF" w:themeColor="background1"/>
          <w:sz w:val="22"/>
          <w:szCs w:val="22"/>
          <w:lang w:val="en-ZW" w:eastAsia="en-US"/>
        </w:rPr>
        <w:lastRenderedPageBreak/>
        <w:t>ABBREVIATIONS AND ACRONYMS</w:t>
      </w:r>
      <w:bookmarkEnd w:id="0"/>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603"/>
      </w:tblGrid>
      <w:tr w:rsidR="00E40CFF" w:rsidRPr="009C793F" w14:paraId="74412E72" w14:textId="77777777" w:rsidTr="0079377B">
        <w:tc>
          <w:tcPr>
            <w:tcW w:w="1413" w:type="dxa"/>
            <w:shd w:val="clear" w:color="auto" w:fill="0070C0"/>
          </w:tcPr>
          <w:p w14:paraId="63DA3C3A" w14:textId="77777777" w:rsidR="00EC7D7D" w:rsidRPr="009C793F" w:rsidRDefault="00EC7D7D" w:rsidP="00DE19C9">
            <w:pPr>
              <w:jc w:val="both"/>
              <w:rPr>
                <w:rFonts w:cstheme="minorHAnsi"/>
                <w:b/>
                <w:color w:val="FFFFFF" w:themeColor="background1"/>
              </w:rPr>
            </w:pPr>
            <w:r w:rsidRPr="009C793F">
              <w:rPr>
                <w:rFonts w:cstheme="minorHAnsi"/>
                <w:b/>
                <w:color w:val="FFFFFF" w:themeColor="background1"/>
              </w:rPr>
              <w:t>ACP</w:t>
            </w:r>
          </w:p>
          <w:p w14:paraId="6EF57672" w14:textId="68E2E78F" w:rsidR="00EC7D7D" w:rsidRPr="009C793F" w:rsidRDefault="00EC7D7D" w:rsidP="00DE19C9">
            <w:pPr>
              <w:jc w:val="both"/>
              <w:rPr>
                <w:rFonts w:cstheme="minorHAnsi"/>
                <w:b/>
                <w:color w:val="FFFFFF" w:themeColor="background1"/>
              </w:rPr>
            </w:pPr>
            <w:r w:rsidRPr="009C793F">
              <w:rPr>
                <w:rFonts w:cstheme="minorHAnsi"/>
                <w:b/>
                <w:color w:val="FFFFFF" w:themeColor="background1"/>
              </w:rPr>
              <w:t>ACS</w:t>
            </w:r>
          </w:p>
          <w:p w14:paraId="33729AC6" w14:textId="4DB33497" w:rsidR="00E40CFF" w:rsidRPr="009C793F" w:rsidRDefault="00E40CFF" w:rsidP="00DE19C9">
            <w:pPr>
              <w:jc w:val="both"/>
              <w:rPr>
                <w:rFonts w:cstheme="minorHAnsi"/>
                <w:b/>
                <w:color w:val="FFFFFF" w:themeColor="background1"/>
              </w:rPr>
            </w:pPr>
            <w:r w:rsidRPr="009C793F">
              <w:rPr>
                <w:rFonts w:cstheme="minorHAnsi"/>
                <w:b/>
                <w:color w:val="FFFFFF" w:themeColor="background1"/>
              </w:rPr>
              <w:t>CARICOM</w:t>
            </w:r>
          </w:p>
          <w:p w14:paraId="4EA878BF" w14:textId="1C05E39E" w:rsidR="00E40CFF" w:rsidRPr="009C793F" w:rsidRDefault="00E40CFF" w:rsidP="00DE19C9">
            <w:pPr>
              <w:jc w:val="both"/>
              <w:rPr>
                <w:rFonts w:cstheme="minorHAnsi"/>
                <w:b/>
                <w:color w:val="FFFFFF" w:themeColor="background1"/>
              </w:rPr>
            </w:pPr>
            <w:r w:rsidRPr="009C793F">
              <w:rPr>
                <w:rFonts w:cstheme="minorHAnsi"/>
                <w:b/>
                <w:color w:val="FFFFFF" w:themeColor="background1"/>
              </w:rPr>
              <w:t>CDB</w:t>
            </w:r>
          </w:p>
          <w:p w14:paraId="28F9E5E3" w14:textId="44270EC1" w:rsidR="00EC7D7D" w:rsidRPr="009C793F" w:rsidRDefault="00EC7D7D" w:rsidP="00DE19C9">
            <w:pPr>
              <w:jc w:val="both"/>
              <w:rPr>
                <w:rFonts w:cstheme="minorHAnsi"/>
                <w:b/>
                <w:color w:val="FFFFFF" w:themeColor="background1"/>
              </w:rPr>
            </w:pPr>
            <w:r w:rsidRPr="009C793F">
              <w:rPr>
                <w:rFonts w:cstheme="minorHAnsi"/>
                <w:b/>
                <w:color w:val="FFFFFF" w:themeColor="background1"/>
              </w:rPr>
              <w:t>CDEMA</w:t>
            </w:r>
          </w:p>
          <w:p w14:paraId="4A87E06D" w14:textId="77777777" w:rsidR="00E40CFF" w:rsidRPr="009C793F" w:rsidRDefault="00E40CFF" w:rsidP="00DE19C9">
            <w:pPr>
              <w:jc w:val="both"/>
              <w:rPr>
                <w:rFonts w:cstheme="minorHAnsi"/>
                <w:b/>
                <w:color w:val="FFFFFF" w:themeColor="background1"/>
              </w:rPr>
            </w:pPr>
          </w:p>
        </w:tc>
        <w:tc>
          <w:tcPr>
            <w:tcW w:w="7603" w:type="dxa"/>
          </w:tcPr>
          <w:p w14:paraId="5D4ADCCF" w14:textId="77777777" w:rsidR="00EC7D7D" w:rsidRPr="009C793F" w:rsidRDefault="00EC7D7D" w:rsidP="00DE19C9">
            <w:pPr>
              <w:jc w:val="both"/>
              <w:rPr>
                <w:rFonts w:cstheme="minorHAnsi"/>
              </w:rPr>
            </w:pPr>
            <w:r w:rsidRPr="009C793F">
              <w:rPr>
                <w:rFonts w:cstheme="minorHAnsi"/>
              </w:rPr>
              <w:t>Organisation of African, Caribbean and Pacific States</w:t>
            </w:r>
          </w:p>
          <w:p w14:paraId="00F88158" w14:textId="78793749" w:rsidR="00EC7D7D" w:rsidRPr="009C793F" w:rsidRDefault="00EC7D7D" w:rsidP="00DE19C9">
            <w:pPr>
              <w:jc w:val="both"/>
              <w:rPr>
                <w:rFonts w:cstheme="minorHAnsi"/>
              </w:rPr>
            </w:pPr>
            <w:r w:rsidRPr="009C793F">
              <w:rPr>
                <w:rFonts w:cstheme="minorHAnsi"/>
              </w:rPr>
              <w:t xml:space="preserve">Association of Caribbean States </w:t>
            </w:r>
          </w:p>
          <w:p w14:paraId="59B98984" w14:textId="727155E1" w:rsidR="00E40CFF" w:rsidRPr="009C793F" w:rsidRDefault="00E40CFF" w:rsidP="00DE19C9">
            <w:pPr>
              <w:jc w:val="both"/>
              <w:rPr>
                <w:rFonts w:cstheme="minorHAnsi"/>
              </w:rPr>
            </w:pPr>
            <w:r w:rsidRPr="009C793F">
              <w:rPr>
                <w:rFonts w:cstheme="minorHAnsi"/>
              </w:rPr>
              <w:t xml:space="preserve">Caribbean Community </w:t>
            </w:r>
          </w:p>
          <w:p w14:paraId="77CCA39A" w14:textId="77777777" w:rsidR="00E40CFF" w:rsidRPr="009C793F" w:rsidRDefault="00E40CFF" w:rsidP="00DE19C9">
            <w:pPr>
              <w:jc w:val="both"/>
              <w:rPr>
                <w:rFonts w:cstheme="minorHAnsi"/>
              </w:rPr>
            </w:pPr>
            <w:r w:rsidRPr="009C793F">
              <w:rPr>
                <w:rFonts w:cstheme="minorHAnsi"/>
              </w:rPr>
              <w:t xml:space="preserve">Caribbean Development Bank </w:t>
            </w:r>
          </w:p>
          <w:p w14:paraId="3DDD7794" w14:textId="6D00BB95" w:rsidR="00EC7D7D" w:rsidRPr="009C793F" w:rsidRDefault="00EC7D7D" w:rsidP="00DE19C9">
            <w:pPr>
              <w:jc w:val="both"/>
              <w:rPr>
                <w:rFonts w:cstheme="minorHAnsi"/>
              </w:rPr>
            </w:pPr>
            <w:r w:rsidRPr="009C793F">
              <w:rPr>
                <w:rFonts w:cstheme="minorHAnsi"/>
              </w:rPr>
              <w:t>Caribbean Disaster Emergency Management Agency</w:t>
            </w:r>
          </w:p>
        </w:tc>
      </w:tr>
      <w:tr w:rsidR="00E40CFF" w:rsidRPr="009C793F" w14:paraId="4CA6A449" w14:textId="77777777" w:rsidTr="0079377B">
        <w:tc>
          <w:tcPr>
            <w:tcW w:w="1413" w:type="dxa"/>
            <w:shd w:val="clear" w:color="auto" w:fill="0070C0"/>
          </w:tcPr>
          <w:p w14:paraId="1419DBBC"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CCA</w:t>
            </w:r>
          </w:p>
        </w:tc>
        <w:tc>
          <w:tcPr>
            <w:tcW w:w="7603" w:type="dxa"/>
          </w:tcPr>
          <w:p w14:paraId="3F0F651B" w14:textId="77777777" w:rsidR="00E40CFF" w:rsidRPr="009C793F" w:rsidRDefault="00E40CFF" w:rsidP="00DE19C9">
            <w:pPr>
              <w:jc w:val="both"/>
              <w:rPr>
                <w:rFonts w:cstheme="minorHAnsi"/>
              </w:rPr>
            </w:pPr>
            <w:r w:rsidRPr="009C793F">
              <w:rPr>
                <w:rFonts w:cstheme="minorHAnsi"/>
              </w:rPr>
              <w:t>Common Country Analysis</w:t>
            </w:r>
          </w:p>
        </w:tc>
      </w:tr>
      <w:tr w:rsidR="00E40CFF" w:rsidRPr="009C793F" w14:paraId="4632E1BF" w14:textId="77777777" w:rsidTr="0079377B">
        <w:tc>
          <w:tcPr>
            <w:tcW w:w="1413" w:type="dxa"/>
            <w:shd w:val="clear" w:color="auto" w:fill="0070C0"/>
          </w:tcPr>
          <w:p w14:paraId="2FF9587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CEDAW</w:t>
            </w:r>
          </w:p>
        </w:tc>
        <w:tc>
          <w:tcPr>
            <w:tcW w:w="7603" w:type="dxa"/>
          </w:tcPr>
          <w:p w14:paraId="0BC2AB50" w14:textId="77777777" w:rsidR="00E40CFF" w:rsidRPr="009C793F" w:rsidRDefault="00E40CFF" w:rsidP="00DE19C9">
            <w:pPr>
              <w:jc w:val="both"/>
              <w:rPr>
                <w:rFonts w:cstheme="minorHAnsi"/>
              </w:rPr>
            </w:pPr>
            <w:r w:rsidRPr="009C793F">
              <w:rPr>
                <w:rFonts w:cstheme="minorHAnsi"/>
              </w:rPr>
              <w:t>Convention on the Elimination of all forms of Discrimination Against Women</w:t>
            </w:r>
          </w:p>
        </w:tc>
      </w:tr>
      <w:tr w:rsidR="00E40CFF" w:rsidRPr="009C793F" w14:paraId="0F7D3A92" w14:textId="77777777" w:rsidTr="0079377B">
        <w:tc>
          <w:tcPr>
            <w:tcW w:w="1413" w:type="dxa"/>
            <w:shd w:val="clear" w:color="auto" w:fill="0070C0"/>
          </w:tcPr>
          <w:p w14:paraId="290B336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CoP</w:t>
            </w:r>
          </w:p>
        </w:tc>
        <w:tc>
          <w:tcPr>
            <w:tcW w:w="7603" w:type="dxa"/>
          </w:tcPr>
          <w:p w14:paraId="2DBEE5A8" w14:textId="77777777" w:rsidR="00E40CFF" w:rsidRPr="009C793F" w:rsidRDefault="00E40CFF" w:rsidP="00DE19C9">
            <w:pPr>
              <w:jc w:val="both"/>
              <w:rPr>
                <w:rFonts w:cstheme="minorHAnsi"/>
              </w:rPr>
            </w:pPr>
            <w:r w:rsidRPr="009C793F">
              <w:rPr>
                <w:rFonts w:cstheme="minorHAnsi"/>
              </w:rPr>
              <w:t>Conference of Parties</w:t>
            </w:r>
          </w:p>
        </w:tc>
      </w:tr>
      <w:tr w:rsidR="00E40CFF" w:rsidRPr="009C793F" w14:paraId="7A5D50B2" w14:textId="77777777" w:rsidTr="0079377B">
        <w:tc>
          <w:tcPr>
            <w:tcW w:w="1413" w:type="dxa"/>
            <w:shd w:val="clear" w:color="auto" w:fill="0070C0"/>
          </w:tcPr>
          <w:p w14:paraId="666E4EF8"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CSO(s)</w:t>
            </w:r>
          </w:p>
        </w:tc>
        <w:tc>
          <w:tcPr>
            <w:tcW w:w="7603" w:type="dxa"/>
          </w:tcPr>
          <w:p w14:paraId="30D8706A" w14:textId="77777777" w:rsidR="00E40CFF" w:rsidRPr="009C793F" w:rsidRDefault="00E40CFF" w:rsidP="00DE19C9">
            <w:pPr>
              <w:jc w:val="both"/>
              <w:rPr>
                <w:rFonts w:cstheme="minorHAnsi"/>
              </w:rPr>
            </w:pPr>
            <w:r w:rsidRPr="009C793F">
              <w:rPr>
                <w:rFonts w:cstheme="minorHAnsi"/>
              </w:rPr>
              <w:t>Civil Society Organisation(s)</w:t>
            </w:r>
          </w:p>
        </w:tc>
      </w:tr>
      <w:tr w:rsidR="00E40CFF" w:rsidRPr="009C793F" w14:paraId="6F042663" w14:textId="77777777" w:rsidTr="0079377B">
        <w:tc>
          <w:tcPr>
            <w:tcW w:w="1413" w:type="dxa"/>
            <w:shd w:val="clear" w:color="auto" w:fill="0070C0"/>
          </w:tcPr>
          <w:p w14:paraId="6DFF94F6" w14:textId="5A851D86" w:rsidR="00EC7D7D" w:rsidRPr="009C793F" w:rsidRDefault="00EC7D7D" w:rsidP="00DE19C9">
            <w:pPr>
              <w:jc w:val="both"/>
              <w:rPr>
                <w:rFonts w:cstheme="minorHAnsi"/>
                <w:b/>
                <w:color w:val="FFFFFF" w:themeColor="background1"/>
              </w:rPr>
            </w:pPr>
            <w:r w:rsidRPr="009C793F">
              <w:rPr>
                <w:rFonts w:cstheme="minorHAnsi"/>
                <w:b/>
                <w:color w:val="FFFFFF" w:themeColor="background1"/>
              </w:rPr>
              <w:t>CSR</w:t>
            </w:r>
          </w:p>
          <w:p w14:paraId="51B092EE"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DRM</w:t>
            </w:r>
          </w:p>
          <w:p w14:paraId="68EDB3B9" w14:textId="7827F69A" w:rsidR="008F1FB0" w:rsidRPr="009C793F" w:rsidRDefault="008F1FB0" w:rsidP="00DE19C9">
            <w:pPr>
              <w:jc w:val="both"/>
              <w:rPr>
                <w:rFonts w:cstheme="minorHAnsi"/>
                <w:b/>
                <w:color w:val="FFFFFF" w:themeColor="background1"/>
              </w:rPr>
            </w:pPr>
            <w:r w:rsidRPr="009C793F">
              <w:rPr>
                <w:rFonts w:cstheme="minorHAnsi"/>
                <w:b/>
                <w:color w:val="FFFFFF" w:themeColor="background1"/>
              </w:rPr>
              <w:t>EMA</w:t>
            </w:r>
          </w:p>
        </w:tc>
        <w:tc>
          <w:tcPr>
            <w:tcW w:w="7603" w:type="dxa"/>
          </w:tcPr>
          <w:p w14:paraId="5D0E6F02" w14:textId="25AD4B35" w:rsidR="00EC7D7D" w:rsidRPr="009C793F" w:rsidRDefault="00EC7D7D" w:rsidP="00DE19C9">
            <w:pPr>
              <w:jc w:val="both"/>
              <w:rPr>
                <w:rFonts w:cstheme="minorHAnsi"/>
              </w:rPr>
            </w:pPr>
            <w:r w:rsidRPr="009C793F">
              <w:rPr>
                <w:rFonts w:cstheme="minorHAnsi"/>
              </w:rPr>
              <w:t>Corporate Social Responsibility</w:t>
            </w:r>
          </w:p>
          <w:p w14:paraId="31582DD4" w14:textId="77777777" w:rsidR="00E40CFF" w:rsidRPr="009C793F" w:rsidRDefault="00E40CFF" w:rsidP="00DE19C9">
            <w:pPr>
              <w:jc w:val="both"/>
              <w:rPr>
                <w:rFonts w:cstheme="minorHAnsi"/>
              </w:rPr>
            </w:pPr>
            <w:r w:rsidRPr="009C793F">
              <w:rPr>
                <w:rFonts w:cstheme="minorHAnsi"/>
              </w:rPr>
              <w:t>Disaster Risk Management</w:t>
            </w:r>
          </w:p>
          <w:p w14:paraId="0214B22D" w14:textId="78F289A1" w:rsidR="008F1FB0" w:rsidRPr="009C793F" w:rsidRDefault="008F1FB0" w:rsidP="00DE19C9">
            <w:pPr>
              <w:jc w:val="both"/>
              <w:rPr>
                <w:rFonts w:cstheme="minorHAnsi"/>
              </w:rPr>
            </w:pPr>
            <w:r w:rsidRPr="009C793F">
              <w:rPr>
                <w:rFonts w:cstheme="minorHAnsi"/>
              </w:rPr>
              <w:t>Environmental Management Authority</w:t>
            </w:r>
          </w:p>
        </w:tc>
      </w:tr>
      <w:tr w:rsidR="00E40CFF" w:rsidRPr="009C793F" w14:paraId="5AF6E173" w14:textId="77777777" w:rsidTr="0079377B">
        <w:tc>
          <w:tcPr>
            <w:tcW w:w="1413" w:type="dxa"/>
            <w:shd w:val="clear" w:color="auto" w:fill="0070C0"/>
          </w:tcPr>
          <w:p w14:paraId="61731848"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EU</w:t>
            </w:r>
          </w:p>
        </w:tc>
        <w:tc>
          <w:tcPr>
            <w:tcW w:w="7603" w:type="dxa"/>
          </w:tcPr>
          <w:p w14:paraId="177768A9" w14:textId="77777777" w:rsidR="00E40CFF" w:rsidRPr="009C793F" w:rsidRDefault="00E40CFF" w:rsidP="00DE19C9">
            <w:pPr>
              <w:jc w:val="both"/>
              <w:rPr>
                <w:rFonts w:cstheme="minorHAnsi"/>
              </w:rPr>
            </w:pPr>
            <w:r w:rsidRPr="009C793F">
              <w:rPr>
                <w:rFonts w:cstheme="minorHAnsi"/>
              </w:rPr>
              <w:t>European Union</w:t>
            </w:r>
          </w:p>
        </w:tc>
      </w:tr>
      <w:tr w:rsidR="00E40CFF" w:rsidRPr="009C793F" w14:paraId="7FF79253" w14:textId="77777777" w:rsidTr="0079377B">
        <w:tc>
          <w:tcPr>
            <w:tcW w:w="1413" w:type="dxa"/>
            <w:shd w:val="clear" w:color="auto" w:fill="0070C0"/>
          </w:tcPr>
          <w:p w14:paraId="503F8F44"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FAO</w:t>
            </w:r>
          </w:p>
        </w:tc>
        <w:tc>
          <w:tcPr>
            <w:tcW w:w="7603" w:type="dxa"/>
          </w:tcPr>
          <w:p w14:paraId="31680E41" w14:textId="77777777" w:rsidR="00E40CFF" w:rsidRPr="009C793F" w:rsidRDefault="00E40CFF" w:rsidP="00DE19C9">
            <w:pPr>
              <w:jc w:val="both"/>
              <w:rPr>
                <w:rFonts w:cstheme="minorHAnsi"/>
              </w:rPr>
            </w:pPr>
            <w:r w:rsidRPr="009C793F">
              <w:rPr>
                <w:rFonts w:cstheme="minorHAnsi"/>
              </w:rPr>
              <w:t>Food and Agriculture Organisation</w:t>
            </w:r>
          </w:p>
        </w:tc>
      </w:tr>
      <w:tr w:rsidR="00E40CFF" w:rsidRPr="009C793F" w14:paraId="1238D578" w14:textId="77777777" w:rsidTr="0079377B">
        <w:tc>
          <w:tcPr>
            <w:tcW w:w="1413" w:type="dxa"/>
            <w:shd w:val="clear" w:color="auto" w:fill="0070C0"/>
          </w:tcPr>
          <w:p w14:paraId="57B57BA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FDI</w:t>
            </w:r>
          </w:p>
        </w:tc>
        <w:tc>
          <w:tcPr>
            <w:tcW w:w="7603" w:type="dxa"/>
          </w:tcPr>
          <w:p w14:paraId="6854A488" w14:textId="77777777" w:rsidR="00E40CFF" w:rsidRPr="009C793F" w:rsidRDefault="00E40CFF" w:rsidP="00DE19C9">
            <w:pPr>
              <w:jc w:val="both"/>
              <w:rPr>
                <w:rFonts w:cstheme="minorHAnsi"/>
              </w:rPr>
            </w:pPr>
            <w:r w:rsidRPr="009C793F">
              <w:rPr>
                <w:rFonts w:cstheme="minorHAnsi"/>
              </w:rPr>
              <w:t>Foreign Direct Investment</w:t>
            </w:r>
          </w:p>
        </w:tc>
      </w:tr>
      <w:tr w:rsidR="00E40CFF" w:rsidRPr="009C793F" w14:paraId="1326B01B" w14:textId="77777777" w:rsidTr="0079377B">
        <w:tc>
          <w:tcPr>
            <w:tcW w:w="1413" w:type="dxa"/>
            <w:shd w:val="clear" w:color="auto" w:fill="0070C0"/>
          </w:tcPr>
          <w:p w14:paraId="021AED4D"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GBV</w:t>
            </w:r>
          </w:p>
          <w:p w14:paraId="155AAB6E" w14:textId="392167B6" w:rsidR="00EC7D7D" w:rsidRPr="009C793F" w:rsidRDefault="00EC7D7D" w:rsidP="00DE19C9">
            <w:pPr>
              <w:jc w:val="both"/>
              <w:rPr>
                <w:rFonts w:cstheme="minorHAnsi"/>
                <w:b/>
                <w:color w:val="FFFFFF" w:themeColor="background1"/>
              </w:rPr>
            </w:pPr>
            <w:r w:rsidRPr="009C793F">
              <w:rPr>
                <w:rFonts w:cstheme="minorHAnsi"/>
                <w:b/>
                <w:color w:val="FFFFFF" w:themeColor="background1"/>
              </w:rPr>
              <w:t>GCF</w:t>
            </w:r>
          </w:p>
        </w:tc>
        <w:tc>
          <w:tcPr>
            <w:tcW w:w="7603" w:type="dxa"/>
          </w:tcPr>
          <w:p w14:paraId="4B923FF1" w14:textId="77777777" w:rsidR="00E40CFF" w:rsidRPr="009C793F" w:rsidRDefault="00E40CFF" w:rsidP="00DE19C9">
            <w:pPr>
              <w:jc w:val="both"/>
              <w:rPr>
                <w:rFonts w:cstheme="minorHAnsi"/>
              </w:rPr>
            </w:pPr>
            <w:r w:rsidRPr="009C793F">
              <w:rPr>
                <w:rFonts w:cstheme="minorHAnsi"/>
              </w:rPr>
              <w:t>Gender Based Violence</w:t>
            </w:r>
          </w:p>
          <w:p w14:paraId="526F4E96" w14:textId="1C17876D" w:rsidR="00EC7D7D" w:rsidRPr="009C793F" w:rsidRDefault="00EC7D7D" w:rsidP="00DE19C9">
            <w:pPr>
              <w:jc w:val="both"/>
              <w:rPr>
                <w:rFonts w:cstheme="minorHAnsi"/>
              </w:rPr>
            </w:pPr>
            <w:r w:rsidRPr="009C793F">
              <w:rPr>
                <w:rFonts w:cstheme="minorHAnsi"/>
              </w:rPr>
              <w:t xml:space="preserve">Green Climate Fund </w:t>
            </w:r>
          </w:p>
        </w:tc>
      </w:tr>
      <w:tr w:rsidR="00E40CFF" w:rsidRPr="009C793F" w14:paraId="490416E0" w14:textId="77777777" w:rsidTr="0079377B">
        <w:tc>
          <w:tcPr>
            <w:tcW w:w="1413" w:type="dxa"/>
            <w:shd w:val="clear" w:color="auto" w:fill="0070C0"/>
          </w:tcPr>
          <w:p w14:paraId="4E3EA698"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GDP</w:t>
            </w:r>
          </w:p>
        </w:tc>
        <w:tc>
          <w:tcPr>
            <w:tcW w:w="7603" w:type="dxa"/>
          </w:tcPr>
          <w:p w14:paraId="5489E431" w14:textId="77777777" w:rsidR="00E40CFF" w:rsidRPr="009C793F" w:rsidRDefault="00E40CFF" w:rsidP="00DE19C9">
            <w:pPr>
              <w:jc w:val="both"/>
              <w:rPr>
                <w:rFonts w:cstheme="minorHAnsi"/>
              </w:rPr>
            </w:pPr>
            <w:r w:rsidRPr="009C793F">
              <w:rPr>
                <w:rFonts w:cstheme="minorHAnsi"/>
              </w:rPr>
              <w:t>Gross Domestic Product</w:t>
            </w:r>
          </w:p>
        </w:tc>
      </w:tr>
      <w:tr w:rsidR="00E40CFF" w:rsidRPr="009C793F" w14:paraId="34658671" w14:textId="77777777" w:rsidTr="0079377B">
        <w:tc>
          <w:tcPr>
            <w:tcW w:w="1413" w:type="dxa"/>
            <w:shd w:val="clear" w:color="auto" w:fill="0070C0"/>
          </w:tcPr>
          <w:p w14:paraId="3CEE588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GNI</w:t>
            </w:r>
          </w:p>
        </w:tc>
        <w:tc>
          <w:tcPr>
            <w:tcW w:w="7603" w:type="dxa"/>
          </w:tcPr>
          <w:p w14:paraId="1EC6317F" w14:textId="77777777" w:rsidR="00E40CFF" w:rsidRPr="009C793F" w:rsidRDefault="00E40CFF" w:rsidP="00DE19C9">
            <w:pPr>
              <w:jc w:val="both"/>
              <w:rPr>
                <w:rFonts w:cstheme="minorHAnsi"/>
              </w:rPr>
            </w:pPr>
            <w:r w:rsidRPr="009C793F">
              <w:rPr>
                <w:rFonts w:cstheme="minorHAnsi"/>
              </w:rPr>
              <w:t>Gross national Income</w:t>
            </w:r>
          </w:p>
        </w:tc>
      </w:tr>
      <w:tr w:rsidR="00E40CFF" w:rsidRPr="009C793F" w14:paraId="44A578C9" w14:textId="77777777" w:rsidTr="009D1F76">
        <w:trPr>
          <w:trHeight w:val="1134"/>
        </w:trPr>
        <w:tc>
          <w:tcPr>
            <w:tcW w:w="1413" w:type="dxa"/>
            <w:shd w:val="clear" w:color="auto" w:fill="0070C0"/>
          </w:tcPr>
          <w:p w14:paraId="57B020BB" w14:textId="52945114" w:rsidR="00E40CFF" w:rsidRPr="009C793F" w:rsidRDefault="00E40CFF" w:rsidP="00DE19C9">
            <w:pPr>
              <w:jc w:val="both"/>
              <w:rPr>
                <w:rFonts w:cstheme="minorHAnsi"/>
                <w:b/>
                <w:color w:val="FFFFFF" w:themeColor="background1"/>
              </w:rPr>
            </w:pPr>
            <w:r w:rsidRPr="009C793F">
              <w:rPr>
                <w:rFonts w:cstheme="minorHAnsi"/>
                <w:b/>
                <w:color w:val="FFFFFF" w:themeColor="background1"/>
              </w:rPr>
              <w:t>GORTT</w:t>
            </w:r>
          </w:p>
          <w:p w14:paraId="1EF741C3" w14:textId="71C3CE31" w:rsidR="00EC7D7D" w:rsidRPr="009C793F" w:rsidRDefault="00EC7D7D" w:rsidP="00DE19C9">
            <w:pPr>
              <w:jc w:val="both"/>
              <w:rPr>
                <w:rFonts w:cstheme="minorHAnsi"/>
                <w:b/>
                <w:color w:val="FFFFFF" w:themeColor="background1"/>
              </w:rPr>
            </w:pPr>
            <w:r w:rsidRPr="009C793F">
              <w:rPr>
                <w:rFonts w:cstheme="minorHAnsi"/>
                <w:b/>
                <w:color w:val="FFFFFF" w:themeColor="background1"/>
              </w:rPr>
              <w:t>HCI</w:t>
            </w:r>
          </w:p>
          <w:p w14:paraId="7FCA12BA" w14:textId="7DAB2992" w:rsidR="00EC7D7D" w:rsidRPr="009C793F" w:rsidRDefault="00EC7D7D" w:rsidP="00DE19C9">
            <w:pPr>
              <w:jc w:val="both"/>
              <w:rPr>
                <w:rFonts w:cstheme="minorHAnsi"/>
                <w:b/>
                <w:color w:val="FFFFFF" w:themeColor="background1"/>
              </w:rPr>
            </w:pPr>
            <w:r w:rsidRPr="009C793F">
              <w:rPr>
                <w:rFonts w:cstheme="minorHAnsi"/>
                <w:b/>
                <w:color w:val="FFFFFF" w:themeColor="background1"/>
              </w:rPr>
              <w:t>HDI</w:t>
            </w:r>
          </w:p>
          <w:p w14:paraId="35E36475" w14:textId="502933AC" w:rsidR="00EC7D7D" w:rsidRPr="009C793F" w:rsidRDefault="00EC7D7D" w:rsidP="00DE19C9">
            <w:pPr>
              <w:jc w:val="both"/>
              <w:rPr>
                <w:rFonts w:cstheme="minorHAnsi"/>
                <w:b/>
                <w:color w:val="FFFFFF" w:themeColor="background1"/>
              </w:rPr>
            </w:pPr>
          </w:p>
        </w:tc>
        <w:tc>
          <w:tcPr>
            <w:tcW w:w="7603" w:type="dxa"/>
          </w:tcPr>
          <w:p w14:paraId="39F28781" w14:textId="77777777" w:rsidR="00E40CFF" w:rsidRPr="009C793F" w:rsidRDefault="00EC7D7D" w:rsidP="00DE19C9">
            <w:pPr>
              <w:jc w:val="both"/>
              <w:rPr>
                <w:rFonts w:cstheme="minorHAnsi"/>
              </w:rPr>
            </w:pPr>
            <w:r w:rsidRPr="009C793F">
              <w:rPr>
                <w:rFonts w:cstheme="minorHAnsi"/>
              </w:rPr>
              <w:t xml:space="preserve">The </w:t>
            </w:r>
            <w:r w:rsidR="00E40CFF" w:rsidRPr="009C793F">
              <w:rPr>
                <w:rFonts w:cstheme="minorHAnsi"/>
              </w:rPr>
              <w:t>Government of the Republic of Trinidad and Tobago</w:t>
            </w:r>
          </w:p>
          <w:p w14:paraId="438B0D60" w14:textId="77777777" w:rsidR="00EC7D7D" w:rsidRPr="009C793F" w:rsidRDefault="00EC7D7D" w:rsidP="00DE19C9">
            <w:pPr>
              <w:jc w:val="both"/>
              <w:rPr>
                <w:rFonts w:cstheme="minorHAnsi"/>
              </w:rPr>
            </w:pPr>
            <w:r w:rsidRPr="009C793F">
              <w:rPr>
                <w:rFonts w:cstheme="minorHAnsi"/>
              </w:rPr>
              <w:t xml:space="preserve">Human Capital Index </w:t>
            </w:r>
          </w:p>
          <w:p w14:paraId="6F91BA50" w14:textId="0E283EB7" w:rsidR="00EC7D7D" w:rsidRPr="009C793F" w:rsidRDefault="00EC7D7D" w:rsidP="00DE19C9">
            <w:pPr>
              <w:jc w:val="both"/>
              <w:rPr>
                <w:rFonts w:cstheme="minorHAnsi"/>
              </w:rPr>
            </w:pPr>
            <w:r w:rsidRPr="009C793F">
              <w:rPr>
                <w:rFonts w:cstheme="minorHAnsi"/>
              </w:rPr>
              <w:t xml:space="preserve">Human Development Index </w:t>
            </w:r>
          </w:p>
        </w:tc>
      </w:tr>
      <w:tr w:rsidR="00E40CFF" w:rsidRPr="009C793F" w14:paraId="7D14C458" w14:textId="77777777" w:rsidTr="0079377B">
        <w:tc>
          <w:tcPr>
            <w:tcW w:w="1413" w:type="dxa"/>
            <w:shd w:val="clear" w:color="auto" w:fill="0070C0"/>
          </w:tcPr>
          <w:p w14:paraId="71728ECA"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HDR</w:t>
            </w:r>
          </w:p>
        </w:tc>
        <w:tc>
          <w:tcPr>
            <w:tcW w:w="7603" w:type="dxa"/>
          </w:tcPr>
          <w:p w14:paraId="52DCD644" w14:textId="77777777" w:rsidR="00E40CFF" w:rsidRPr="009C793F" w:rsidRDefault="00E40CFF" w:rsidP="00DE19C9">
            <w:pPr>
              <w:jc w:val="both"/>
              <w:rPr>
                <w:rFonts w:cstheme="minorHAnsi"/>
              </w:rPr>
            </w:pPr>
            <w:r w:rsidRPr="009C793F">
              <w:rPr>
                <w:rFonts w:cstheme="minorHAnsi"/>
              </w:rPr>
              <w:t>Human Development Report</w:t>
            </w:r>
          </w:p>
        </w:tc>
      </w:tr>
      <w:tr w:rsidR="00E40CFF" w:rsidRPr="009C793F" w14:paraId="1A26F2B4" w14:textId="77777777" w:rsidTr="0079377B">
        <w:tc>
          <w:tcPr>
            <w:tcW w:w="1413" w:type="dxa"/>
            <w:shd w:val="clear" w:color="auto" w:fill="0070C0"/>
          </w:tcPr>
          <w:p w14:paraId="20BD556A" w14:textId="14AF6C65" w:rsidR="00E40CFF" w:rsidRPr="009C793F" w:rsidRDefault="00EC7D7D" w:rsidP="00DE19C9">
            <w:pPr>
              <w:jc w:val="both"/>
              <w:rPr>
                <w:rFonts w:cstheme="minorHAnsi"/>
                <w:b/>
                <w:color w:val="FFFFFF" w:themeColor="background1"/>
              </w:rPr>
            </w:pPr>
            <w:r w:rsidRPr="009C793F">
              <w:rPr>
                <w:rFonts w:cstheme="minorHAnsi"/>
                <w:b/>
                <w:color w:val="FFFFFF" w:themeColor="background1"/>
              </w:rPr>
              <w:t>HSF</w:t>
            </w:r>
          </w:p>
        </w:tc>
        <w:tc>
          <w:tcPr>
            <w:tcW w:w="7603" w:type="dxa"/>
          </w:tcPr>
          <w:p w14:paraId="1A827749" w14:textId="095A70C6" w:rsidR="00E40CFF" w:rsidRPr="009C793F" w:rsidRDefault="00EC7D7D" w:rsidP="00DE19C9">
            <w:pPr>
              <w:jc w:val="both"/>
              <w:rPr>
                <w:rFonts w:cstheme="minorHAnsi"/>
              </w:rPr>
            </w:pPr>
            <w:r w:rsidRPr="009C793F">
              <w:rPr>
                <w:rFonts w:cstheme="minorHAnsi"/>
              </w:rPr>
              <w:t xml:space="preserve">Heritage and Stabilisation Fund </w:t>
            </w:r>
          </w:p>
        </w:tc>
      </w:tr>
      <w:tr w:rsidR="00E40CFF" w:rsidRPr="009C793F" w14:paraId="27312995" w14:textId="77777777" w:rsidTr="0079377B">
        <w:tc>
          <w:tcPr>
            <w:tcW w:w="1413" w:type="dxa"/>
            <w:shd w:val="clear" w:color="auto" w:fill="0070C0"/>
          </w:tcPr>
          <w:p w14:paraId="718BD019"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IADB</w:t>
            </w:r>
          </w:p>
          <w:p w14:paraId="1BBB3FA0"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ICCPR</w:t>
            </w:r>
          </w:p>
        </w:tc>
        <w:tc>
          <w:tcPr>
            <w:tcW w:w="7603" w:type="dxa"/>
          </w:tcPr>
          <w:p w14:paraId="7984B05E" w14:textId="77777777" w:rsidR="00E40CFF" w:rsidRPr="009C793F" w:rsidRDefault="00E40CFF" w:rsidP="00DE19C9">
            <w:pPr>
              <w:jc w:val="both"/>
              <w:rPr>
                <w:rFonts w:cstheme="minorHAnsi"/>
              </w:rPr>
            </w:pPr>
            <w:r w:rsidRPr="009C793F">
              <w:rPr>
                <w:rFonts w:cstheme="minorHAnsi"/>
              </w:rPr>
              <w:t xml:space="preserve">Inter-American Development Bank </w:t>
            </w:r>
          </w:p>
          <w:p w14:paraId="726EFEC8" w14:textId="77777777" w:rsidR="00E40CFF" w:rsidRPr="009C793F" w:rsidRDefault="00E40CFF" w:rsidP="00DE19C9">
            <w:pPr>
              <w:jc w:val="both"/>
              <w:rPr>
                <w:rFonts w:cstheme="minorHAnsi"/>
              </w:rPr>
            </w:pPr>
            <w:r w:rsidRPr="009C793F">
              <w:rPr>
                <w:rFonts w:cstheme="minorHAnsi"/>
              </w:rPr>
              <w:t>International Convention on Civil and Political Rights</w:t>
            </w:r>
          </w:p>
        </w:tc>
      </w:tr>
      <w:tr w:rsidR="00E40CFF" w:rsidRPr="009C793F" w14:paraId="7830C633" w14:textId="77777777" w:rsidTr="0079377B">
        <w:tc>
          <w:tcPr>
            <w:tcW w:w="1413" w:type="dxa"/>
            <w:shd w:val="clear" w:color="auto" w:fill="0070C0"/>
          </w:tcPr>
          <w:p w14:paraId="2414F466"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ICESCR</w:t>
            </w:r>
          </w:p>
        </w:tc>
        <w:tc>
          <w:tcPr>
            <w:tcW w:w="7603" w:type="dxa"/>
          </w:tcPr>
          <w:p w14:paraId="52F0BA88" w14:textId="77777777" w:rsidR="00E40CFF" w:rsidRPr="009C793F" w:rsidRDefault="00E40CFF" w:rsidP="00DE19C9">
            <w:pPr>
              <w:jc w:val="both"/>
              <w:rPr>
                <w:rFonts w:cstheme="minorHAnsi"/>
              </w:rPr>
            </w:pPr>
            <w:r w:rsidRPr="009C793F">
              <w:rPr>
                <w:rFonts w:cstheme="minorHAnsi"/>
                <w:bCs/>
                <w:color w:val="6A6A6A"/>
              </w:rPr>
              <w:t>International Covenant on Economic, Social and Cultural Rights</w:t>
            </w:r>
          </w:p>
        </w:tc>
      </w:tr>
      <w:tr w:rsidR="00E40CFF" w:rsidRPr="009C793F" w14:paraId="71E7B14F" w14:textId="77777777" w:rsidTr="0079377B">
        <w:tc>
          <w:tcPr>
            <w:tcW w:w="1413" w:type="dxa"/>
            <w:shd w:val="clear" w:color="auto" w:fill="0070C0"/>
          </w:tcPr>
          <w:p w14:paraId="23113A73"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ICRC</w:t>
            </w:r>
          </w:p>
        </w:tc>
        <w:tc>
          <w:tcPr>
            <w:tcW w:w="7603" w:type="dxa"/>
          </w:tcPr>
          <w:p w14:paraId="66FC236B" w14:textId="77777777" w:rsidR="00E40CFF" w:rsidRPr="009C793F" w:rsidRDefault="00E40CFF" w:rsidP="00DE19C9">
            <w:pPr>
              <w:jc w:val="both"/>
              <w:rPr>
                <w:rFonts w:cstheme="minorHAnsi"/>
              </w:rPr>
            </w:pPr>
            <w:r w:rsidRPr="009C793F">
              <w:rPr>
                <w:rFonts w:cstheme="minorHAnsi"/>
              </w:rPr>
              <w:t>International Committee of Red Cross</w:t>
            </w:r>
          </w:p>
        </w:tc>
      </w:tr>
      <w:tr w:rsidR="00E40CFF" w:rsidRPr="009C793F" w14:paraId="47B4FBE6" w14:textId="77777777" w:rsidTr="0079377B">
        <w:tc>
          <w:tcPr>
            <w:tcW w:w="1413" w:type="dxa"/>
            <w:shd w:val="clear" w:color="auto" w:fill="0070C0"/>
          </w:tcPr>
          <w:p w14:paraId="608A240D"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ICT</w:t>
            </w:r>
          </w:p>
        </w:tc>
        <w:tc>
          <w:tcPr>
            <w:tcW w:w="7603" w:type="dxa"/>
          </w:tcPr>
          <w:p w14:paraId="2E95E668" w14:textId="77777777" w:rsidR="00E40CFF" w:rsidRPr="009C793F" w:rsidRDefault="00E40CFF" w:rsidP="00DE19C9">
            <w:pPr>
              <w:jc w:val="both"/>
              <w:rPr>
                <w:rFonts w:cstheme="minorHAnsi"/>
              </w:rPr>
            </w:pPr>
            <w:r w:rsidRPr="009C793F">
              <w:rPr>
                <w:rFonts w:cstheme="minorHAnsi"/>
              </w:rPr>
              <w:t>Information and Communication Technology</w:t>
            </w:r>
          </w:p>
        </w:tc>
      </w:tr>
      <w:tr w:rsidR="00E40CFF" w:rsidRPr="009C793F" w14:paraId="6A0D825A" w14:textId="77777777" w:rsidTr="0079377B">
        <w:tc>
          <w:tcPr>
            <w:tcW w:w="1413" w:type="dxa"/>
            <w:shd w:val="clear" w:color="auto" w:fill="0070C0"/>
          </w:tcPr>
          <w:p w14:paraId="05307169"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ICRMW</w:t>
            </w:r>
          </w:p>
          <w:p w14:paraId="2E7B8E3B" w14:textId="77777777" w:rsidR="00E40CFF" w:rsidRPr="009C793F" w:rsidRDefault="00E40CFF" w:rsidP="00DE19C9">
            <w:pPr>
              <w:jc w:val="both"/>
              <w:rPr>
                <w:rFonts w:cstheme="minorHAnsi"/>
                <w:b/>
                <w:color w:val="FFFFFF" w:themeColor="background1"/>
              </w:rPr>
            </w:pPr>
          </w:p>
          <w:p w14:paraId="550C330B" w14:textId="77777777" w:rsidR="00E40CFF" w:rsidRPr="009C793F" w:rsidRDefault="00E40CFF" w:rsidP="00DE19C9">
            <w:pPr>
              <w:jc w:val="both"/>
              <w:rPr>
                <w:rFonts w:cstheme="minorHAnsi"/>
                <w:b/>
                <w:color w:val="FFFFFF" w:themeColor="background1"/>
              </w:rPr>
            </w:pPr>
          </w:p>
        </w:tc>
        <w:tc>
          <w:tcPr>
            <w:tcW w:w="7603" w:type="dxa"/>
          </w:tcPr>
          <w:p w14:paraId="500EFD05" w14:textId="77777777" w:rsidR="00E40CFF" w:rsidRPr="009C793F" w:rsidRDefault="00E40CFF" w:rsidP="00DE19C9">
            <w:pPr>
              <w:jc w:val="both"/>
              <w:rPr>
                <w:rFonts w:cstheme="minorHAnsi"/>
              </w:rPr>
            </w:pPr>
            <w:r w:rsidRPr="009C793F">
              <w:rPr>
                <w:rFonts w:cstheme="minorHAnsi"/>
              </w:rPr>
              <w:t>International Convention on Protection of Rights of all Migrant Workers and their families</w:t>
            </w:r>
          </w:p>
        </w:tc>
      </w:tr>
      <w:tr w:rsidR="00E40CFF" w:rsidRPr="009C793F" w14:paraId="5AE7DA60" w14:textId="77777777" w:rsidTr="0079377B">
        <w:tc>
          <w:tcPr>
            <w:tcW w:w="1413" w:type="dxa"/>
            <w:shd w:val="clear" w:color="auto" w:fill="0070C0"/>
          </w:tcPr>
          <w:p w14:paraId="4F4A201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ILO</w:t>
            </w:r>
          </w:p>
          <w:p w14:paraId="370D7428" w14:textId="77777777" w:rsidR="00EC7D7D" w:rsidRPr="009C793F" w:rsidRDefault="00EC7D7D" w:rsidP="00DE19C9">
            <w:pPr>
              <w:jc w:val="both"/>
              <w:rPr>
                <w:rFonts w:cstheme="minorHAnsi"/>
                <w:b/>
                <w:color w:val="FFFFFF" w:themeColor="background1"/>
              </w:rPr>
            </w:pPr>
            <w:r w:rsidRPr="009C793F">
              <w:rPr>
                <w:rFonts w:cstheme="minorHAnsi"/>
                <w:b/>
                <w:color w:val="FFFFFF" w:themeColor="background1"/>
              </w:rPr>
              <w:t>IMF</w:t>
            </w:r>
          </w:p>
          <w:p w14:paraId="0D2D0FFF" w14:textId="2AA9FC78" w:rsidR="003534AB" w:rsidRPr="009C793F" w:rsidRDefault="003534AB" w:rsidP="00DE19C9">
            <w:pPr>
              <w:jc w:val="both"/>
              <w:rPr>
                <w:rFonts w:cstheme="minorHAnsi"/>
                <w:b/>
                <w:color w:val="FFFFFF" w:themeColor="background1"/>
              </w:rPr>
            </w:pPr>
            <w:r w:rsidRPr="009C793F">
              <w:rPr>
                <w:rFonts w:cstheme="minorHAnsi"/>
                <w:b/>
                <w:color w:val="FFFFFF" w:themeColor="background1"/>
              </w:rPr>
              <w:t>IFIs</w:t>
            </w:r>
          </w:p>
        </w:tc>
        <w:tc>
          <w:tcPr>
            <w:tcW w:w="7603" w:type="dxa"/>
          </w:tcPr>
          <w:p w14:paraId="679D6B42" w14:textId="77777777" w:rsidR="00E40CFF" w:rsidRPr="009C793F" w:rsidRDefault="00E40CFF" w:rsidP="00DE19C9">
            <w:pPr>
              <w:jc w:val="both"/>
              <w:rPr>
                <w:rFonts w:cstheme="minorHAnsi"/>
              </w:rPr>
            </w:pPr>
            <w:r w:rsidRPr="009C793F">
              <w:rPr>
                <w:rFonts w:cstheme="minorHAnsi"/>
              </w:rPr>
              <w:t>International Labour Organisation</w:t>
            </w:r>
          </w:p>
          <w:p w14:paraId="0B942F73" w14:textId="77777777" w:rsidR="00EC7D7D" w:rsidRPr="009C793F" w:rsidRDefault="00EC7D7D" w:rsidP="00DE19C9">
            <w:pPr>
              <w:jc w:val="both"/>
              <w:rPr>
                <w:rFonts w:cstheme="minorHAnsi"/>
              </w:rPr>
            </w:pPr>
            <w:r w:rsidRPr="009C793F">
              <w:rPr>
                <w:rFonts w:cstheme="minorHAnsi"/>
              </w:rPr>
              <w:t xml:space="preserve">International Monetary Fund </w:t>
            </w:r>
          </w:p>
          <w:p w14:paraId="14CB6B80" w14:textId="270FEAFF" w:rsidR="003534AB" w:rsidRPr="009C793F" w:rsidRDefault="003534AB" w:rsidP="00DE19C9">
            <w:pPr>
              <w:jc w:val="both"/>
              <w:rPr>
                <w:rFonts w:cstheme="minorHAnsi"/>
              </w:rPr>
            </w:pPr>
            <w:r w:rsidRPr="009C793F">
              <w:rPr>
                <w:rFonts w:cstheme="minorHAnsi"/>
              </w:rPr>
              <w:t xml:space="preserve">International Financial Institutions </w:t>
            </w:r>
          </w:p>
        </w:tc>
      </w:tr>
      <w:tr w:rsidR="00E40CFF" w:rsidRPr="009C793F" w14:paraId="696AA2E3" w14:textId="77777777" w:rsidTr="0079377B">
        <w:tc>
          <w:tcPr>
            <w:tcW w:w="1413" w:type="dxa"/>
            <w:shd w:val="clear" w:color="auto" w:fill="0070C0"/>
          </w:tcPr>
          <w:p w14:paraId="0BB17CA7"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 xml:space="preserve">IOM </w:t>
            </w:r>
          </w:p>
          <w:p w14:paraId="3307DC19" w14:textId="389B2FD5" w:rsidR="00EC7D7D" w:rsidRPr="009C793F" w:rsidRDefault="00EC7D7D" w:rsidP="00DE19C9">
            <w:pPr>
              <w:jc w:val="both"/>
              <w:rPr>
                <w:rFonts w:cstheme="minorHAnsi"/>
                <w:b/>
                <w:color w:val="FFFFFF" w:themeColor="background1"/>
              </w:rPr>
            </w:pPr>
            <w:r w:rsidRPr="009C793F">
              <w:rPr>
                <w:rFonts w:cstheme="minorHAnsi"/>
                <w:b/>
                <w:color w:val="FFFFFF" w:themeColor="background1"/>
              </w:rPr>
              <w:t>LAC</w:t>
            </w:r>
          </w:p>
        </w:tc>
        <w:tc>
          <w:tcPr>
            <w:tcW w:w="7603" w:type="dxa"/>
          </w:tcPr>
          <w:p w14:paraId="07959A2B" w14:textId="521F5F88" w:rsidR="00E40CFF" w:rsidRPr="009C793F" w:rsidRDefault="00E40CFF" w:rsidP="00DE19C9">
            <w:pPr>
              <w:jc w:val="both"/>
              <w:rPr>
                <w:rFonts w:cstheme="minorHAnsi"/>
              </w:rPr>
            </w:pPr>
            <w:r w:rsidRPr="009C793F">
              <w:rPr>
                <w:rFonts w:cstheme="minorHAnsi"/>
              </w:rPr>
              <w:t xml:space="preserve">International Organisation </w:t>
            </w:r>
            <w:r w:rsidR="009D1F76" w:rsidRPr="009C793F">
              <w:rPr>
                <w:rFonts w:cstheme="minorHAnsi"/>
              </w:rPr>
              <w:t>for</w:t>
            </w:r>
            <w:r w:rsidRPr="009C793F">
              <w:rPr>
                <w:rFonts w:cstheme="minorHAnsi"/>
              </w:rPr>
              <w:t xml:space="preserve"> Migration</w:t>
            </w:r>
          </w:p>
          <w:p w14:paraId="4F938538" w14:textId="014F927F" w:rsidR="00EC7D7D" w:rsidRPr="009C793F" w:rsidRDefault="00EC7D7D" w:rsidP="00DE19C9">
            <w:pPr>
              <w:jc w:val="both"/>
              <w:rPr>
                <w:rFonts w:cstheme="minorHAnsi"/>
              </w:rPr>
            </w:pPr>
            <w:r w:rsidRPr="009C793F">
              <w:rPr>
                <w:rFonts w:cstheme="minorHAnsi"/>
              </w:rPr>
              <w:t xml:space="preserve">Latin America and the Caribbean </w:t>
            </w:r>
          </w:p>
        </w:tc>
      </w:tr>
      <w:tr w:rsidR="00E40CFF" w:rsidRPr="009C793F" w14:paraId="5BB0280F" w14:textId="77777777" w:rsidTr="0079377B">
        <w:tc>
          <w:tcPr>
            <w:tcW w:w="1413" w:type="dxa"/>
            <w:shd w:val="clear" w:color="auto" w:fill="0070C0"/>
          </w:tcPr>
          <w:p w14:paraId="55843D79"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MPI</w:t>
            </w:r>
          </w:p>
        </w:tc>
        <w:tc>
          <w:tcPr>
            <w:tcW w:w="7603" w:type="dxa"/>
          </w:tcPr>
          <w:p w14:paraId="4D374072" w14:textId="77777777" w:rsidR="00E40CFF" w:rsidRPr="009C793F" w:rsidRDefault="00E40CFF" w:rsidP="00DE19C9">
            <w:pPr>
              <w:jc w:val="both"/>
              <w:rPr>
                <w:rFonts w:cstheme="minorHAnsi"/>
              </w:rPr>
            </w:pPr>
            <w:r w:rsidRPr="009C793F">
              <w:rPr>
                <w:rFonts w:cstheme="minorHAnsi"/>
              </w:rPr>
              <w:t>Multidimensional Poverty Index</w:t>
            </w:r>
          </w:p>
        </w:tc>
      </w:tr>
      <w:tr w:rsidR="00E40CFF" w:rsidRPr="009C793F" w14:paraId="21985B20" w14:textId="77777777" w:rsidTr="0079377B">
        <w:tc>
          <w:tcPr>
            <w:tcW w:w="1413" w:type="dxa"/>
            <w:shd w:val="clear" w:color="auto" w:fill="0070C0"/>
          </w:tcPr>
          <w:p w14:paraId="1223EE69"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NDCs</w:t>
            </w:r>
          </w:p>
          <w:p w14:paraId="077DDC68"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NDS</w:t>
            </w:r>
          </w:p>
        </w:tc>
        <w:tc>
          <w:tcPr>
            <w:tcW w:w="7603" w:type="dxa"/>
          </w:tcPr>
          <w:p w14:paraId="1B00592A" w14:textId="4E7F7957" w:rsidR="00E40CFF" w:rsidRPr="009C793F" w:rsidRDefault="00E40CFF" w:rsidP="00DE19C9">
            <w:pPr>
              <w:jc w:val="both"/>
              <w:rPr>
                <w:rFonts w:cstheme="minorHAnsi"/>
              </w:rPr>
            </w:pPr>
            <w:r w:rsidRPr="009C793F">
              <w:rPr>
                <w:rFonts w:cstheme="minorHAnsi"/>
              </w:rPr>
              <w:t xml:space="preserve">Nationally Determined Contributions </w:t>
            </w:r>
          </w:p>
          <w:p w14:paraId="776966C4" w14:textId="77777777" w:rsidR="00E40CFF" w:rsidRPr="009C793F" w:rsidRDefault="00E40CFF" w:rsidP="00DE19C9">
            <w:pPr>
              <w:jc w:val="both"/>
              <w:rPr>
                <w:rFonts w:cstheme="minorHAnsi"/>
              </w:rPr>
            </w:pPr>
            <w:r w:rsidRPr="009C793F">
              <w:rPr>
                <w:rFonts w:cstheme="minorHAnsi"/>
              </w:rPr>
              <w:t>National Development Strategy</w:t>
            </w:r>
          </w:p>
        </w:tc>
      </w:tr>
      <w:tr w:rsidR="00E40CFF" w:rsidRPr="009C793F" w14:paraId="69E29732" w14:textId="77777777" w:rsidTr="0079377B">
        <w:tc>
          <w:tcPr>
            <w:tcW w:w="1413" w:type="dxa"/>
            <w:shd w:val="clear" w:color="auto" w:fill="0070C0"/>
          </w:tcPr>
          <w:p w14:paraId="6CECA015"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NRM</w:t>
            </w:r>
          </w:p>
        </w:tc>
        <w:tc>
          <w:tcPr>
            <w:tcW w:w="7603" w:type="dxa"/>
          </w:tcPr>
          <w:p w14:paraId="4CC62E14" w14:textId="77777777" w:rsidR="00E40CFF" w:rsidRPr="009C793F" w:rsidRDefault="00E40CFF" w:rsidP="00DE19C9">
            <w:pPr>
              <w:jc w:val="both"/>
              <w:rPr>
                <w:rFonts w:cstheme="minorHAnsi"/>
              </w:rPr>
            </w:pPr>
            <w:r w:rsidRPr="009C793F">
              <w:rPr>
                <w:rFonts w:cstheme="minorHAnsi"/>
              </w:rPr>
              <w:t>Natural Resources Management</w:t>
            </w:r>
          </w:p>
        </w:tc>
      </w:tr>
      <w:tr w:rsidR="00E40CFF" w:rsidRPr="009C793F" w14:paraId="02D9F508" w14:textId="77777777" w:rsidTr="0079377B">
        <w:tc>
          <w:tcPr>
            <w:tcW w:w="1413" w:type="dxa"/>
            <w:shd w:val="clear" w:color="auto" w:fill="0070C0"/>
          </w:tcPr>
          <w:p w14:paraId="34CF4284"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ODA</w:t>
            </w:r>
          </w:p>
        </w:tc>
        <w:tc>
          <w:tcPr>
            <w:tcW w:w="7603" w:type="dxa"/>
          </w:tcPr>
          <w:p w14:paraId="0E378445" w14:textId="77777777" w:rsidR="00E40CFF" w:rsidRPr="009C793F" w:rsidRDefault="00E40CFF" w:rsidP="00DE19C9">
            <w:pPr>
              <w:jc w:val="both"/>
              <w:rPr>
                <w:rFonts w:cstheme="minorHAnsi"/>
              </w:rPr>
            </w:pPr>
            <w:r w:rsidRPr="009C793F">
              <w:rPr>
                <w:rFonts w:cstheme="minorHAnsi"/>
              </w:rPr>
              <w:t>Official Development Assistance</w:t>
            </w:r>
          </w:p>
        </w:tc>
      </w:tr>
      <w:tr w:rsidR="00E40CFF" w:rsidRPr="009C793F" w14:paraId="610119A4" w14:textId="77777777" w:rsidTr="0079377B">
        <w:tc>
          <w:tcPr>
            <w:tcW w:w="1413" w:type="dxa"/>
            <w:shd w:val="clear" w:color="auto" w:fill="0070C0"/>
          </w:tcPr>
          <w:p w14:paraId="3AFF72A2" w14:textId="77777777" w:rsidR="00E40CFF" w:rsidRPr="009C793F" w:rsidRDefault="00EC7D7D" w:rsidP="00DE19C9">
            <w:pPr>
              <w:jc w:val="both"/>
              <w:rPr>
                <w:rFonts w:cstheme="minorHAnsi"/>
                <w:b/>
                <w:color w:val="FFFFFF" w:themeColor="background1"/>
              </w:rPr>
            </w:pPr>
            <w:r w:rsidRPr="009C793F">
              <w:rPr>
                <w:rFonts w:cstheme="minorHAnsi"/>
                <w:b/>
                <w:color w:val="FFFFFF" w:themeColor="background1"/>
              </w:rPr>
              <w:t>PAHO</w:t>
            </w:r>
          </w:p>
          <w:p w14:paraId="7E99DC97" w14:textId="746C8E60" w:rsidR="00EC7D7D" w:rsidRPr="009C793F" w:rsidRDefault="00EC7D7D" w:rsidP="00DE19C9">
            <w:pPr>
              <w:jc w:val="both"/>
              <w:rPr>
                <w:rFonts w:cstheme="minorHAnsi"/>
                <w:b/>
                <w:color w:val="FFFFFF" w:themeColor="background1"/>
              </w:rPr>
            </w:pPr>
            <w:r w:rsidRPr="009C793F">
              <w:rPr>
                <w:rFonts w:cstheme="minorHAnsi"/>
                <w:b/>
                <w:color w:val="FFFFFF" w:themeColor="background1"/>
              </w:rPr>
              <w:t>POCs</w:t>
            </w:r>
          </w:p>
        </w:tc>
        <w:tc>
          <w:tcPr>
            <w:tcW w:w="7603" w:type="dxa"/>
          </w:tcPr>
          <w:p w14:paraId="128E57C1" w14:textId="77777777" w:rsidR="00E40CFF" w:rsidRPr="009C793F" w:rsidRDefault="00EC7D7D" w:rsidP="00DE19C9">
            <w:pPr>
              <w:jc w:val="both"/>
              <w:rPr>
                <w:rFonts w:cstheme="minorHAnsi"/>
              </w:rPr>
            </w:pPr>
            <w:r w:rsidRPr="009C793F">
              <w:rPr>
                <w:rFonts w:cstheme="minorHAnsi"/>
              </w:rPr>
              <w:t xml:space="preserve">Pan American Health Organisation </w:t>
            </w:r>
          </w:p>
          <w:p w14:paraId="6FB07EE5" w14:textId="63021156" w:rsidR="00EC7D7D" w:rsidRPr="009C793F" w:rsidRDefault="00EC7D7D" w:rsidP="00DE19C9">
            <w:pPr>
              <w:jc w:val="both"/>
              <w:rPr>
                <w:rFonts w:cstheme="minorHAnsi"/>
              </w:rPr>
            </w:pPr>
            <w:r w:rsidRPr="009C793F">
              <w:rPr>
                <w:rFonts w:cstheme="minorHAnsi"/>
              </w:rPr>
              <w:t>Persons of Concern</w:t>
            </w:r>
          </w:p>
        </w:tc>
      </w:tr>
      <w:tr w:rsidR="00E40CFF" w:rsidRPr="009C793F" w14:paraId="53DB251D" w14:textId="77777777" w:rsidTr="0079377B">
        <w:tc>
          <w:tcPr>
            <w:tcW w:w="1413" w:type="dxa"/>
            <w:shd w:val="clear" w:color="auto" w:fill="0070C0"/>
          </w:tcPr>
          <w:p w14:paraId="6CE1D2E2"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RCO</w:t>
            </w:r>
          </w:p>
        </w:tc>
        <w:tc>
          <w:tcPr>
            <w:tcW w:w="7603" w:type="dxa"/>
          </w:tcPr>
          <w:p w14:paraId="2E642B3A" w14:textId="77777777" w:rsidR="00E40CFF" w:rsidRPr="009C793F" w:rsidRDefault="00E40CFF" w:rsidP="00DE19C9">
            <w:pPr>
              <w:jc w:val="both"/>
              <w:rPr>
                <w:rFonts w:cstheme="minorHAnsi"/>
              </w:rPr>
            </w:pPr>
            <w:r w:rsidRPr="009C793F">
              <w:rPr>
                <w:rFonts w:cstheme="minorHAnsi"/>
              </w:rPr>
              <w:t xml:space="preserve">Resident Coordinator’s Office </w:t>
            </w:r>
          </w:p>
        </w:tc>
      </w:tr>
      <w:tr w:rsidR="00E40CFF" w:rsidRPr="009C793F" w14:paraId="562A082C" w14:textId="77777777" w:rsidTr="0079377B">
        <w:tc>
          <w:tcPr>
            <w:tcW w:w="1413" w:type="dxa"/>
            <w:shd w:val="clear" w:color="auto" w:fill="0070C0"/>
          </w:tcPr>
          <w:p w14:paraId="192BA999"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SDG(s)</w:t>
            </w:r>
          </w:p>
        </w:tc>
        <w:tc>
          <w:tcPr>
            <w:tcW w:w="7603" w:type="dxa"/>
          </w:tcPr>
          <w:p w14:paraId="3B1600D0" w14:textId="77777777" w:rsidR="00E40CFF" w:rsidRPr="009C793F" w:rsidRDefault="00E40CFF" w:rsidP="00DE19C9">
            <w:pPr>
              <w:jc w:val="both"/>
              <w:rPr>
                <w:rFonts w:cstheme="minorHAnsi"/>
              </w:rPr>
            </w:pPr>
            <w:r w:rsidRPr="009C793F">
              <w:rPr>
                <w:rFonts w:cstheme="minorHAnsi"/>
              </w:rPr>
              <w:t>Sustainable Development Goal(s)</w:t>
            </w:r>
          </w:p>
        </w:tc>
      </w:tr>
      <w:tr w:rsidR="00E40CFF" w:rsidRPr="009C793F" w14:paraId="62AFF08A" w14:textId="77777777" w:rsidTr="0079377B">
        <w:tc>
          <w:tcPr>
            <w:tcW w:w="1413" w:type="dxa"/>
            <w:shd w:val="clear" w:color="auto" w:fill="0070C0"/>
          </w:tcPr>
          <w:p w14:paraId="46262DAE"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SGBV</w:t>
            </w:r>
          </w:p>
          <w:p w14:paraId="721DB636" w14:textId="0F3841E5" w:rsidR="009D1F76" w:rsidRPr="009C793F" w:rsidRDefault="009D1F76" w:rsidP="00DE19C9">
            <w:pPr>
              <w:jc w:val="both"/>
              <w:rPr>
                <w:rFonts w:cstheme="minorHAnsi"/>
                <w:b/>
                <w:color w:val="FFFFFF" w:themeColor="background1"/>
              </w:rPr>
            </w:pPr>
            <w:r w:rsidRPr="009C793F">
              <w:rPr>
                <w:rFonts w:cstheme="minorHAnsi"/>
                <w:b/>
                <w:color w:val="FFFFFF" w:themeColor="background1"/>
              </w:rPr>
              <w:lastRenderedPageBreak/>
              <w:t>SIDS</w:t>
            </w:r>
          </w:p>
        </w:tc>
        <w:tc>
          <w:tcPr>
            <w:tcW w:w="7603" w:type="dxa"/>
          </w:tcPr>
          <w:p w14:paraId="70B8A641" w14:textId="77777777" w:rsidR="00E40CFF" w:rsidRPr="009C793F" w:rsidRDefault="00E40CFF" w:rsidP="00DE19C9">
            <w:pPr>
              <w:jc w:val="both"/>
              <w:rPr>
                <w:rFonts w:cstheme="minorHAnsi"/>
              </w:rPr>
            </w:pPr>
            <w:r w:rsidRPr="009C793F">
              <w:rPr>
                <w:rFonts w:cstheme="minorHAnsi"/>
              </w:rPr>
              <w:lastRenderedPageBreak/>
              <w:t>Sexual and Gender-based Violence</w:t>
            </w:r>
          </w:p>
          <w:p w14:paraId="78E42016" w14:textId="250E7CA8" w:rsidR="009D1F76" w:rsidRPr="009C793F" w:rsidRDefault="009D1F76" w:rsidP="00DE19C9">
            <w:pPr>
              <w:jc w:val="both"/>
              <w:rPr>
                <w:rFonts w:cstheme="minorHAnsi"/>
              </w:rPr>
            </w:pPr>
            <w:r w:rsidRPr="009C793F">
              <w:rPr>
                <w:rFonts w:cstheme="minorHAnsi"/>
              </w:rPr>
              <w:lastRenderedPageBreak/>
              <w:t xml:space="preserve">Small Island Developing States </w:t>
            </w:r>
          </w:p>
        </w:tc>
      </w:tr>
      <w:tr w:rsidR="00E40CFF" w:rsidRPr="009C793F" w14:paraId="66EA7E3A" w14:textId="77777777" w:rsidTr="0079377B">
        <w:tc>
          <w:tcPr>
            <w:tcW w:w="1413" w:type="dxa"/>
            <w:shd w:val="clear" w:color="auto" w:fill="0070C0"/>
          </w:tcPr>
          <w:p w14:paraId="12ABC46A"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lastRenderedPageBreak/>
              <w:t>SME(s)</w:t>
            </w:r>
          </w:p>
        </w:tc>
        <w:tc>
          <w:tcPr>
            <w:tcW w:w="7603" w:type="dxa"/>
          </w:tcPr>
          <w:p w14:paraId="629AC7A9" w14:textId="77777777" w:rsidR="00E40CFF" w:rsidRPr="009C793F" w:rsidRDefault="00E40CFF" w:rsidP="00DE19C9">
            <w:pPr>
              <w:jc w:val="both"/>
              <w:rPr>
                <w:rFonts w:cstheme="minorHAnsi"/>
              </w:rPr>
            </w:pPr>
            <w:r w:rsidRPr="009C793F">
              <w:rPr>
                <w:rFonts w:cstheme="minorHAnsi"/>
              </w:rPr>
              <w:t>Small and Medium Enterprise(s)</w:t>
            </w:r>
          </w:p>
        </w:tc>
      </w:tr>
      <w:tr w:rsidR="00E40CFF" w:rsidRPr="009C793F" w14:paraId="78147254" w14:textId="77777777" w:rsidTr="0079377B">
        <w:tc>
          <w:tcPr>
            <w:tcW w:w="1413" w:type="dxa"/>
            <w:shd w:val="clear" w:color="auto" w:fill="0070C0"/>
          </w:tcPr>
          <w:p w14:paraId="53E3E933" w14:textId="7C55E12D" w:rsidR="00E40CFF" w:rsidRPr="009C793F" w:rsidRDefault="00E40CFF" w:rsidP="00DE19C9">
            <w:pPr>
              <w:jc w:val="both"/>
              <w:rPr>
                <w:rFonts w:cstheme="minorHAnsi"/>
                <w:b/>
                <w:color w:val="FFFFFF" w:themeColor="background1"/>
              </w:rPr>
            </w:pPr>
            <w:r w:rsidRPr="009C793F">
              <w:rPr>
                <w:rFonts w:cstheme="minorHAnsi"/>
                <w:b/>
                <w:color w:val="FFFFFF" w:themeColor="background1"/>
              </w:rPr>
              <w:t>THA</w:t>
            </w:r>
          </w:p>
        </w:tc>
        <w:tc>
          <w:tcPr>
            <w:tcW w:w="7603" w:type="dxa"/>
          </w:tcPr>
          <w:p w14:paraId="69763D24" w14:textId="496532D8" w:rsidR="00E40CFF" w:rsidRPr="009C793F" w:rsidRDefault="00E40CFF" w:rsidP="00DE19C9">
            <w:pPr>
              <w:jc w:val="both"/>
              <w:rPr>
                <w:rFonts w:cstheme="minorHAnsi"/>
              </w:rPr>
            </w:pPr>
            <w:r w:rsidRPr="009C793F">
              <w:rPr>
                <w:rFonts w:cstheme="minorHAnsi"/>
              </w:rPr>
              <w:t>Tobago House of Assembly</w:t>
            </w:r>
          </w:p>
        </w:tc>
      </w:tr>
      <w:tr w:rsidR="00E40CFF" w:rsidRPr="009C793F" w14:paraId="14E64740" w14:textId="77777777" w:rsidTr="0079377B">
        <w:tc>
          <w:tcPr>
            <w:tcW w:w="1413" w:type="dxa"/>
            <w:shd w:val="clear" w:color="auto" w:fill="0070C0"/>
          </w:tcPr>
          <w:p w14:paraId="4373021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w:t>
            </w:r>
          </w:p>
        </w:tc>
        <w:tc>
          <w:tcPr>
            <w:tcW w:w="7603" w:type="dxa"/>
          </w:tcPr>
          <w:p w14:paraId="2E232244" w14:textId="77777777" w:rsidR="00E40CFF" w:rsidRPr="009C793F" w:rsidRDefault="00E40CFF" w:rsidP="00DE19C9">
            <w:pPr>
              <w:jc w:val="both"/>
              <w:rPr>
                <w:rFonts w:cstheme="minorHAnsi"/>
              </w:rPr>
            </w:pPr>
            <w:r w:rsidRPr="009C793F">
              <w:rPr>
                <w:rFonts w:cstheme="minorHAnsi"/>
              </w:rPr>
              <w:t>United Nations</w:t>
            </w:r>
          </w:p>
        </w:tc>
      </w:tr>
      <w:tr w:rsidR="00E40CFF" w:rsidRPr="009C793F" w14:paraId="6B894D6D" w14:textId="77777777" w:rsidTr="0079377B">
        <w:tc>
          <w:tcPr>
            <w:tcW w:w="1413" w:type="dxa"/>
            <w:shd w:val="clear" w:color="auto" w:fill="0070C0"/>
          </w:tcPr>
          <w:p w14:paraId="61480CBC" w14:textId="2DD44ACF" w:rsidR="00E40CFF" w:rsidRPr="009C793F" w:rsidRDefault="00E40CFF" w:rsidP="00DE19C9">
            <w:pPr>
              <w:jc w:val="both"/>
              <w:rPr>
                <w:rFonts w:cstheme="minorHAnsi"/>
                <w:b/>
                <w:color w:val="FFFFFF" w:themeColor="background1"/>
              </w:rPr>
            </w:pPr>
            <w:r w:rsidRPr="009C793F">
              <w:rPr>
                <w:rFonts w:cstheme="minorHAnsi"/>
                <w:b/>
                <w:color w:val="FFFFFF" w:themeColor="background1"/>
              </w:rPr>
              <w:t>UNCCD</w:t>
            </w:r>
          </w:p>
          <w:p w14:paraId="4446B9D8" w14:textId="14A9C2E1" w:rsidR="00E40CFF" w:rsidRPr="009C793F" w:rsidRDefault="00E40CFF" w:rsidP="00DE19C9">
            <w:pPr>
              <w:jc w:val="both"/>
              <w:rPr>
                <w:rFonts w:cstheme="minorHAnsi"/>
                <w:b/>
                <w:color w:val="FFFFFF" w:themeColor="background1"/>
              </w:rPr>
            </w:pPr>
            <w:r w:rsidRPr="009C793F">
              <w:rPr>
                <w:rFonts w:cstheme="minorHAnsi"/>
                <w:b/>
                <w:color w:val="FFFFFF" w:themeColor="background1"/>
              </w:rPr>
              <w:t>UNDG</w:t>
            </w:r>
          </w:p>
          <w:p w14:paraId="4FA5EA29" w14:textId="622FA4CF" w:rsidR="0035358C" w:rsidRPr="009C793F" w:rsidRDefault="0035358C" w:rsidP="00DE19C9">
            <w:pPr>
              <w:jc w:val="both"/>
              <w:rPr>
                <w:rFonts w:cstheme="minorHAnsi"/>
                <w:b/>
                <w:color w:val="FFFFFF" w:themeColor="background1"/>
              </w:rPr>
            </w:pPr>
            <w:r w:rsidRPr="009C793F">
              <w:rPr>
                <w:rFonts w:cstheme="minorHAnsi"/>
                <w:b/>
                <w:color w:val="FFFFFF" w:themeColor="background1"/>
              </w:rPr>
              <w:t>UNFCCC</w:t>
            </w:r>
          </w:p>
          <w:p w14:paraId="241D61C3"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UNEP</w:t>
            </w:r>
          </w:p>
          <w:p w14:paraId="05E2D94A"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UNFPA</w:t>
            </w:r>
          </w:p>
          <w:p w14:paraId="163C4B09" w14:textId="31F0704E" w:rsidR="00EC7D7D" w:rsidRPr="009C793F" w:rsidRDefault="00EC7D7D" w:rsidP="00DE19C9">
            <w:pPr>
              <w:jc w:val="both"/>
              <w:rPr>
                <w:rFonts w:cstheme="minorHAnsi"/>
                <w:b/>
                <w:color w:val="FFFFFF" w:themeColor="background1"/>
              </w:rPr>
            </w:pPr>
            <w:r w:rsidRPr="009C793F">
              <w:rPr>
                <w:rFonts w:cstheme="minorHAnsi"/>
                <w:b/>
                <w:color w:val="FFFFFF" w:themeColor="background1"/>
              </w:rPr>
              <w:t>UNHCR</w:t>
            </w:r>
          </w:p>
        </w:tc>
        <w:tc>
          <w:tcPr>
            <w:tcW w:w="7603" w:type="dxa"/>
          </w:tcPr>
          <w:p w14:paraId="22175FE7" w14:textId="77777777" w:rsidR="00E40CFF" w:rsidRPr="009C793F" w:rsidRDefault="00E40CFF" w:rsidP="00DE19C9">
            <w:pPr>
              <w:jc w:val="both"/>
              <w:rPr>
                <w:rFonts w:cstheme="minorHAnsi"/>
              </w:rPr>
            </w:pPr>
            <w:r w:rsidRPr="009C793F">
              <w:rPr>
                <w:rFonts w:cstheme="minorHAnsi"/>
              </w:rPr>
              <w:t>United Nations Convention to Combat Desertification</w:t>
            </w:r>
          </w:p>
          <w:p w14:paraId="6DFDF38B" w14:textId="58D288D7" w:rsidR="00E40CFF" w:rsidRPr="009C793F" w:rsidRDefault="00E40CFF" w:rsidP="00DE19C9">
            <w:pPr>
              <w:jc w:val="both"/>
              <w:rPr>
                <w:rFonts w:cstheme="minorHAnsi"/>
              </w:rPr>
            </w:pPr>
            <w:r w:rsidRPr="009C793F">
              <w:rPr>
                <w:rFonts w:cstheme="minorHAnsi"/>
              </w:rPr>
              <w:t>United Nations Development Group</w:t>
            </w:r>
          </w:p>
          <w:p w14:paraId="1FD892AC" w14:textId="6996C214" w:rsidR="0035358C" w:rsidRPr="009C793F" w:rsidRDefault="0035358C" w:rsidP="00DE19C9">
            <w:pPr>
              <w:jc w:val="both"/>
              <w:rPr>
                <w:rFonts w:cstheme="minorHAnsi"/>
              </w:rPr>
            </w:pPr>
            <w:r w:rsidRPr="009C793F">
              <w:rPr>
                <w:rFonts w:cstheme="minorHAnsi"/>
              </w:rPr>
              <w:t xml:space="preserve">United Nations Framework Convention on Climate Change </w:t>
            </w:r>
          </w:p>
          <w:p w14:paraId="53A00E44" w14:textId="77777777" w:rsidR="00E40CFF" w:rsidRPr="009C793F" w:rsidRDefault="00E40CFF" w:rsidP="00DE19C9">
            <w:pPr>
              <w:jc w:val="both"/>
              <w:rPr>
                <w:rFonts w:cstheme="minorHAnsi"/>
              </w:rPr>
            </w:pPr>
            <w:r w:rsidRPr="009C793F">
              <w:rPr>
                <w:rFonts w:cstheme="minorHAnsi"/>
              </w:rPr>
              <w:t>United Nations Environment Programme</w:t>
            </w:r>
          </w:p>
          <w:p w14:paraId="7F360F39" w14:textId="77777777" w:rsidR="00EC7D7D" w:rsidRPr="009C793F" w:rsidRDefault="00EC7D7D" w:rsidP="00DE19C9">
            <w:pPr>
              <w:jc w:val="both"/>
              <w:rPr>
                <w:rFonts w:cstheme="minorHAnsi"/>
              </w:rPr>
            </w:pPr>
            <w:r w:rsidRPr="009C793F">
              <w:rPr>
                <w:rFonts w:cstheme="minorHAnsi"/>
              </w:rPr>
              <w:t xml:space="preserve">United Nations Population Fund </w:t>
            </w:r>
          </w:p>
          <w:p w14:paraId="75C6ED44" w14:textId="6FA6E4F6" w:rsidR="008F1FB0" w:rsidRPr="009C793F" w:rsidRDefault="008F1FB0" w:rsidP="00DE19C9">
            <w:pPr>
              <w:jc w:val="both"/>
              <w:rPr>
                <w:rFonts w:cstheme="minorHAnsi"/>
              </w:rPr>
            </w:pPr>
            <w:r w:rsidRPr="009C793F">
              <w:rPr>
                <w:rFonts w:cstheme="minorHAnsi"/>
              </w:rPr>
              <w:t xml:space="preserve">United Nations High Commissioner for Refugees </w:t>
            </w:r>
          </w:p>
        </w:tc>
      </w:tr>
      <w:tr w:rsidR="00E40CFF" w:rsidRPr="009C793F" w14:paraId="3CC00868" w14:textId="77777777" w:rsidTr="0079377B">
        <w:tc>
          <w:tcPr>
            <w:tcW w:w="1413" w:type="dxa"/>
            <w:shd w:val="clear" w:color="auto" w:fill="0070C0"/>
          </w:tcPr>
          <w:p w14:paraId="0D6C3507"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UNICEF</w:t>
            </w:r>
          </w:p>
          <w:p w14:paraId="0B3B0CB6"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UNCT</w:t>
            </w:r>
          </w:p>
        </w:tc>
        <w:tc>
          <w:tcPr>
            <w:tcW w:w="7603" w:type="dxa"/>
          </w:tcPr>
          <w:p w14:paraId="73635A50" w14:textId="22ABCDA3" w:rsidR="00E40CFF" w:rsidRPr="009C793F" w:rsidRDefault="008F1FB0" w:rsidP="00DE19C9">
            <w:pPr>
              <w:jc w:val="both"/>
              <w:rPr>
                <w:rFonts w:cstheme="minorHAnsi"/>
              </w:rPr>
            </w:pPr>
            <w:r w:rsidRPr="009C793F">
              <w:rPr>
                <w:rFonts w:cstheme="minorHAnsi"/>
              </w:rPr>
              <w:t xml:space="preserve">United Nations Children’s Fund </w:t>
            </w:r>
          </w:p>
          <w:p w14:paraId="458C91BE" w14:textId="77777777" w:rsidR="00E40CFF" w:rsidRPr="009C793F" w:rsidRDefault="00E40CFF" w:rsidP="00DE19C9">
            <w:pPr>
              <w:jc w:val="both"/>
              <w:rPr>
                <w:rFonts w:cstheme="minorHAnsi"/>
              </w:rPr>
            </w:pPr>
            <w:r w:rsidRPr="009C793F">
              <w:rPr>
                <w:rFonts w:cstheme="minorHAnsi"/>
              </w:rPr>
              <w:t>United Nations Country Team</w:t>
            </w:r>
          </w:p>
        </w:tc>
      </w:tr>
      <w:tr w:rsidR="00E40CFF" w:rsidRPr="009C793F" w14:paraId="3CF49A08" w14:textId="77777777" w:rsidTr="0079377B">
        <w:tc>
          <w:tcPr>
            <w:tcW w:w="1413" w:type="dxa"/>
            <w:shd w:val="clear" w:color="auto" w:fill="0070C0"/>
          </w:tcPr>
          <w:p w14:paraId="2E0F4437"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UNDAF</w:t>
            </w:r>
          </w:p>
        </w:tc>
        <w:tc>
          <w:tcPr>
            <w:tcW w:w="7603" w:type="dxa"/>
          </w:tcPr>
          <w:p w14:paraId="1AB8C1EE" w14:textId="77777777" w:rsidR="00E40CFF" w:rsidRPr="009C793F" w:rsidRDefault="00E40CFF" w:rsidP="00DE19C9">
            <w:pPr>
              <w:jc w:val="both"/>
              <w:rPr>
                <w:rFonts w:cstheme="minorHAnsi"/>
              </w:rPr>
            </w:pPr>
            <w:r w:rsidRPr="009C793F">
              <w:rPr>
                <w:rFonts w:cstheme="minorHAnsi"/>
              </w:rPr>
              <w:t>United Nations Development Assistance Framework</w:t>
            </w:r>
          </w:p>
        </w:tc>
      </w:tr>
      <w:tr w:rsidR="00E40CFF" w:rsidRPr="009C793F" w14:paraId="7385266F" w14:textId="77777777" w:rsidTr="0079377B">
        <w:tc>
          <w:tcPr>
            <w:tcW w:w="1413" w:type="dxa"/>
            <w:shd w:val="clear" w:color="auto" w:fill="0070C0"/>
          </w:tcPr>
          <w:p w14:paraId="0EC6053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UNDP</w:t>
            </w:r>
          </w:p>
        </w:tc>
        <w:tc>
          <w:tcPr>
            <w:tcW w:w="7603" w:type="dxa"/>
          </w:tcPr>
          <w:p w14:paraId="5DC1EBEF" w14:textId="77777777" w:rsidR="00E40CFF" w:rsidRPr="009C793F" w:rsidRDefault="00E40CFF" w:rsidP="00DE19C9">
            <w:pPr>
              <w:jc w:val="both"/>
              <w:rPr>
                <w:rFonts w:cstheme="minorHAnsi"/>
              </w:rPr>
            </w:pPr>
            <w:r w:rsidRPr="009C793F">
              <w:rPr>
                <w:rFonts w:cstheme="minorHAnsi"/>
              </w:rPr>
              <w:t>United Nations Development Programme</w:t>
            </w:r>
          </w:p>
        </w:tc>
      </w:tr>
      <w:tr w:rsidR="00E40CFF" w:rsidRPr="009C793F" w14:paraId="68EF4986" w14:textId="77777777" w:rsidTr="0079377B">
        <w:tc>
          <w:tcPr>
            <w:tcW w:w="1413" w:type="dxa"/>
            <w:shd w:val="clear" w:color="auto" w:fill="0070C0"/>
          </w:tcPr>
          <w:p w14:paraId="56205EC4"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UNECLAC</w:t>
            </w:r>
          </w:p>
        </w:tc>
        <w:tc>
          <w:tcPr>
            <w:tcW w:w="7603" w:type="dxa"/>
          </w:tcPr>
          <w:p w14:paraId="32E07B84" w14:textId="77777777" w:rsidR="00E40CFF" w:rsidRPr="009C793F" w:rsidRDefault="00E40CFF" w:rsidP="00DE19C9">
            <w:pPr>
              <w:jc w:val="both"/>
              <w:rPr>
                <w:rFonts w:cstheme="minorHAnsi"/>
              </w:rPr>
            </w:pPr>
            <w:r w:rsidRPr="009C793F">
              <w:rPr>
                <w:rFonts w:cstheme="minorHAnsi"/>
              </w:rPr>
              <w:t xml:space="preserve">United Nations Economic Commission for Latin America and the Caribbean </w:t>
            </w:r>
          </w:p>
        </w:tc>
      </w:tr>
      <w:tr w:rsidR="00E40CFF" w:rsidRPr="009C793F" w14:paraId="355F03E6" w14:textId="77777777" w:rsidTr="0079377B">
        <w:tc>
          <w:tcPr>
            <w:tcW w:w="1413" w:type="dxa"/>
            <w:shd w:val="clear" w:color="auto" w:fill="0070C0"/>
          </w:tcPr>
          <w:p w14:paraId="3EE479F7"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UNFCCC</w:t>
            </w:r>
          </w:p>
        </w:tc>
        <w:tc>
          <w:tcPr>
            <w:tcW w:w="7603" w:type="dxa"/>
          </w:tcPr>
          <w:p w14:paraId="5E27BBDD" w14:textId="77777777" w:rsidR="00E40CFF" w:rsidRPr="009C793F" w:rsidRDefault="00E40CFF" w:rsidP="00DE19C9">
            <w:pPr>
              <w:jc w:val="both"/>
              <w:rPr>
                <w:rFonts w:cstheme="minorHAnsi"/>
              </w:rPr>
            </w:pPr>
            <w:r w:rsidRPr="009C793F">
              <w:rPr>
                <w:rFonts w:cstheme="minorHAnsi"/>
              </w:rPr>
              <w:t>United Nations Framework Convention on Climate Change</w:t>
            </w:r>
          </w:p>
        </w:tc>
      </w:tr>
      <w:tr w:rsidR="00E40CFF" w:rsidRPr="009C793F" w14:paraId="77710D16" w14:textId="77777777" w:rsidTr="0079377B">
        <w:tc>
          <w:tcPr>
            <w:tcW w:w="1413" w:type="dxa"/>
            <w:shd w:val="clear" w:color="auto" w:fill="0070C0"/>
          </w:tcPr>
          <w:p w14:paraId="192556A3"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UNHCR</w:t>
            </w:r>
          </w:p>
        </w:tc>
        <w:tc>
          <w:tcPr>
            <w:tcW w:w="7603" w:type="dxa"/>
          </w:tcPr>
          <w:p w14:paraId="48797B03" w14:textId="77777777" w:rsidR="00E40CFF" w:rsidRPr="009C793F" w:rsidRDefault="00E40CFF" w:rsidP="00DE19C9">
            <w:pPr>
              <w:jc w:val="both"/>
              <w:rPr>
                <w:rFonts w:cstheme="minorHAnsi"/>
              </w:rPr>
            </w:pPr>
            <w:r w:rsidRPr="009C793F">
              <w:rPr>
                <w:rFonts w:cstheme="minorHAnsi"/>
              </w:rPr>
              <w:t>United Nations High Commissioner for Refugees</w:t>
            </w:r>
          </w:p>
        </w:tc>
      </w:tr>
      <w:tr w:rsidR="00E40CFF" w:rsidRPr="009C793F" w14:paraId="30A4B58E" w14:textId="77777777" w:rsidTr="0079377B">
        <w:tc>
          <w:tcPr>
            <w:tcW w:w="1413" w:type="dxa"/>
            <w:shd w:val="clear" w:color="auto" w:fill="0070C0"/>
          </w:tcPr>
          <w:p w14:paraId="470FED84"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UNFPA</w:t>
            </w:r>
          </w:p>
        </w:tc>
        <w:tc>
          <w:tcPr>
            <w:tcW w:w="7603" w:type="dxa"/>
          </w:tcPr>
          <w:p w14:paraId="4917C9C7" w14:textId="77777777" w:rsidR="00E40CFF" w:rsidRPr="009C793F" w:rsidRDefault="00E40CFF" w:rsidP="00DE19C9">
            <w:pPr>
              <w:jc w:val="both"/>
              <w:rPr>
                <w:rFonts w:cstheme="minorHAnsi"/>
              </w:rPr>
            </w:pPr>
            <w:r w:rsidRPr="009C793F">
              <w:rPr>
                <w:rFonts w:cstheme="minorHAnsi"/>
              </w:rPr>
              <w:t>United Nations Population Fund</w:t>
            </w:r>
          </w:p>
        </w:tc>
      </w:tr>
      <w:tr w:rsidR="00E40CFF" w:rsidRPr="009C793F" w14:paraId="4D63BD3A" w14:textId="77777777" w:rsidTr="0079377B">
        <w:tc>
          <w:tcPr>
            <w:tcW w:w="1413" w:type="dxa"/>
            <w:shd w:val="clear" w:color="auto" w:fill="0070C0"/>
          </w:tcPr>
          <w:p w14:paraId="39D5CF65"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UNRC</w:t>
            </w:r>
          </w:p>
        </w:tc>
        <w:tc>
          <w:tcPr>
            <w:tcW w:w="7603" w:type="dxa"/>
          </w:tcPr>
          <w:p w14:paraId="5A82221E" w14:textId="77777777" w:rsidR="00E40CFF" w:rsidRPr="009C793F" w:rsidRDefault="00E40CFF" w:rsidP="00DE19C9">
            <w:pPr>
              <w:jc w:val="both"/>
              <w:rPr>
                <w:rFonts w:cstheme="minorHAnsi"/>
              </w:rPr>
            </w:pPr>
            <w:r w:rsidRPr="009C793F">
              <w:rPr>
                <w:rFonts w:cstheme="minorHAnsi"/>
              </w:rPr>
              <w:t>United Nations Resident Coordinator</w:t>
            </w:r>
          </w:p>
        </w:tc>
      </w:tr>
      <w:tr w:rsidR="00E40CFF" w:rsidRPr="009C793F" w14:paraId="79B90DA8" w14:textId="77777777" w:rsidTr="0079377B">
        <w:tc>
          <w:tcPr>
            <w:tcW w:w="1413" w:type="dxa"/>
            <w:shd w:val="clear" w:color="auto" w:fill="0070C0"/>
          </w:tcPr>
          <w:p w14:paraId="065F3C3B" w14:textId="0449EA59" w:rsidR="00E40CFF" w:rsidRPr="009C793F" w:rsidRDefault="00E40CFF" w:rsidP="00DE19C9">
            <w:pPr>
              <w:jc w:val="both"/>
              <w:rPr>
                <w:rFonts w:cstheme="minorHAnsi"/>
                <w:b/>
                <w:color w:val="FFFFFF" w:themeColor="background1"/>
              </w:rPr>
            </w:pPr>
            <w:r w:rsidRPr="009C793F">
              <w:rPr>
                <w:rFonts w:cstheme="minorHAnsi"/>
                <w:b/>
                <w:color w:val="FFFFFF" w:themeColor="background1"/>
              </w:rPr>
              <w:t>UNMCSDF</w:t>
            </w:r>
          </w:p>
          <w:p w14:paraId="22B01301" w14:textId="57D5C974" w:rsidR="001974CD" w:rsidRPr="009C793F" w:rsidRDefault="001974CD" w:rsidP="00DE19C9">
            <w:pPr>
              <w:jc w:val="both"/>
              <w:rPr>
                <w:rFonts w:cstheme="minorHAnsi"/>
                <w:b/>
                <w:color w:val="FFFFFF" w:themeColor="background1"/>
              </w:rPr>
            </w:pPr>
          </w:p>
          <w:p w14:paraId="3F9E5AE8" w14:textId="7F0DFEA8" w:rsidR="001974CD" w:rsidRPr="009C793F" w:rsidRDefault="001974CD" w:rsidP="00DE19C9">
            <w:pPr>
              <w:jc w:val="both"/>
              <w:rPr>
                <w:rFonts w:cstheme="minorHAnsi"/>
                <w:b/>
                <w:color w:val="FFFFFF" w:themeColor="background1"/>
              </w:rPr>
            </w:pPr>
            <w:r w:rsidRPr="009C793F">
              <w:rPr>
                <w:rFonts w:cstheme="minorHAnsi"/>
                <w:b/>
                <w:color w:val="FFFFFF" w:themeColor="background1"/>
              </w:rPr>
              <w:t>UWI</w:t>
            </w:r>
          </w:p>
          <w:p w14:paraId="0DAE658F" w14:textId="6D19FA8D" w:rsidR="008F1FB0" w:rsidRPr="009C793F" w:rsidRDefault="008F1FB0" w:rsidP="00DE19C9">
            <w:pPr>
              <w:jc w:val="both"/>
              <w:rPr>
                <w:rFonts w:cstheme="minorHAnsi"/>
                <w:b/>
                <w:color w:val="FFFFFF" w:themeColor="background1"/>
              </w:rPr>
            </w:pPr>
            <w:r w:rsidRPr="009C793F">
              <w:rPr>
                <w:rFonts w:cstheme="minorHAnsi"/>
                <w:b/>
                <w:color w:val="FFFFFF" w:themeColor="background1"/>
              </w:rPr>
              <w:t>WFP</w:t>
            </w:r>
          </w:p>
          <w:p w14:paraId="0E9654F7" w14:textId="65FDAF20" w:rsidR="00E40CFF" w:rsidRPr="009C793F" w:rsidRDefault="00E40CFF" w:rsidP="00DE19C9">
            <w:pPr>
              <w:jc w:val="both"/>
              <w:rPr>
                <w:rFonts w:cstheme="minorHAnsi"/>
                <w:b/>
                <w:color w:val="FFFFFF" w:themeColor="background1"/>
              </w:rPr>
            </w:pPr>
            <w:r w:rsidRPr="009C793F">
              <w:rPr>
                <w:rFonts w:cstheme="minorHAnsi"/>
                <w:b/>
                <w:color w:val="FFFFFF" w:themeColor="background1"/>
              </w:rPr>
              <w:t xml:space="preserve">UNWOMEN </w:t>
            </w:r>
          </w:p>
        </w:tc>
        <w:tc>
          <w:tcPr>
            <w:tcW w:w="7603" w:type="dxa"/>
          </w:tcPr>
          <w:p w14:paraId="295991AF" w14:textId="56EF6E4A" w:rsidR="00E40CFF" w:rsidRPr="009C793F" w:rsidRDefault="00E40CFF" w:rsidP="00DE19C9">
            <w:pPr>
              <w:jc w:val="both"/>
              <w:rPr>
                <w:rFonts w:cstheme="minorHAnsi"/>
              </w:rPr>
            </w:pPr>
            <w:r w:rsidRPr="009C793F">
              <w:rPr>
                <w:rFonts w:cstheme="minorHAnsi"/>
              </w:rPr>
              <w:t xml:space="preserve">United Nations </w:t>
            </w:r>
            <w:r w:rsidR="0079377B" w:rsidRPr="009C793F">
              <w:rPr>
                <w:rFonts w:cstheme="minorHAnsi"/>
              </w:rPr>
              <w:t xml:space="preserve">Multi Country </w:t>
            </w:r>
            <w:r w:rsidRPr="009C793F">
              <w:rPr>
                <w:rFonts w:cstheme="minorHAnsi"/>
              </w:rPr>
              <w:t>Sustainable Development Cooperation Framework</w:t>
            </w:r>
          </w:p>
          <w:p w14:paraId="3A66DF14" w14:textId="2169E810" w:rsidR="001974CD" w:rsidRPr="009C793F" w:rsidRDefault="001974CD" w:rsidP="00DE19C9">
            <w:pPr>
              <w:jc w:val="both"/>
              <w:rPr>
                <w:rFonts w:cstheme="minorHAnsi"/>
              </w:rPr>
            </w:pPr>
            <w:r w:rsidRPr="009C793F">
              <w:rPr>
                <w:rFonts w:cstheme="minorHAnsi"/>
              </w:rPr>
              <w:t>University of the West Indies</w:t>
            </w:r>
          </w:p>
          <w:p w14:paraId="05AFB1BE" w14:textId="77777777" w:rsidR="008F1FB0" w:rsidRPr="009C793F" w:rsidRDefault="008F1FB0" w:rsidP="00DE19C9">
            <w:pPr>
              <w:jc w:val="both"/>
              <w:rPr>
                <w:rFonts w:cstheme="minorHAnsi"/>
              </w:rPr>
            </w:pPr>
            <w:r w:rsidRPr="009C793F">
              <w:rPr>
                <w:rFonts w:cstheme="minorHAnsi"/>
              </w:rPr>
              <w:t>United Nations World Food Programme</w:t>
            </w:r>
          </w:p>
          <w:p w14:paraId="38463DAE" w14:textId="404268F1" w:rsidR="00EC7D7D" w:rsidRPr="009C793F" w:rsidRDefault="00EC7D7D" w:rsidP="00DE19C9">
            <w:pPr>
              <w:jc w:val="both"/>
              <w:rPr>
                <w:rFonts w:cstheme="minorHAnsi"/>
              </w:rPr>
            </w:pPr>
            <w:r w:rsidRPr="009C793F">
              <w:rPr>
                <w:rFonts w:cstheme="minorHAnsi"/>
              </w:rPr>
              <w:t xml:space="preserve">United Nations Entity for Gender Equity and the Empowerment of Women </w:t>
            </w:r>
          </w:p>
        </w:tc>
      </w:tr>
      <w:tr w:rsidR="00E40CFF" w:rsidRPr="009C793F" w14:paraId="275E7AE3" w14:textId="77777777" w:rsidTr="0079377B">
        <w:tc>
          <w:tcPr>
            <w:tcW w:w="1413" w:type="dxa"/>
            <w:shd w:val="clear" w:color="auto" w:fill="0070C0"/>
          </w:tcPr>
          <w:p w14:paraId="4B4DD0E1"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UPR</w:t>
            </w:r>
          </w:p>
        </w:tc>
        <w:tc>
          <w:tcPr>
            <w:tcW w:w="7603" w:type="dxa"/>
          </w:tcPr>
          <w:p w14:paraId="0353227B" w14:textId="77777777" w:rsidR="00E40CFF" w:rsidRPr="009C793F" w:rsidRDefault="00E40CFF" w:rsidP="00DE19C9">
            <w:pPr>
              <w:jc w:val="both"/>
              <w:rPr>
                <w:rFonts w:cstheme="minorHAnsi"/>
              </w:rPr>
            </w:pPr>
            <w:r w:rsidRPr="009C793F">
              <w:rPr>
                <w:rFonts w:cstheme="minorHAnsi"/>
              </w:rPr>
              <w:t>Universal periodic Review</w:t>
            </w:r>
          </w:p>
        </w:tc>
      </w:tr>
      <w:tr w:rsidR="00E40CFF" w:rsidRPr="009C793F" w14:paraId="7931D553" w14:textId="77777777" w:rsidTr="0079377B">
        <w:tc>
          <w:tcPr>
            <w:tcW w:w="1413" w:type="dxa"/>
            <w:shd w:val="clear" w:color="auto" w:fill="0070C0"/>
          </w:tcPr>
          <w:p w14:paraId="6E9D24C4"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VAWG</w:t>
            </w:r>
          </w:p>
        </w:tc>
        <w:tc>
          <w:tcPr>
            <w:tcW w:w="7603" w:type="dxa"/>
          </w:tcPr>
          <w:p w14:paraId="1D985CEE" w14:textId="77777777" w:rsidR="00E40CFF" w:rsidRPr="009C793F" w:rsidRDefault="00E40CFF" w:rsidP="00DE19C9">
            <w:pPr>
              <w:jc w:val="both"/>
              <w:rPr>
                <w:rFonts w:cstheme="minorHAnsi"/>
              </w:rPr>
            </w:pPr>
            <w:r w:rsidRPr="009C793F">
              <w:rPr>
                <w:rFonts w:cstheme="minorHAnsi"/>
              </w:rPr>
              <w:t>Violence against Women and Girls</w:t>
            </w:r>
          </w:p>
        </w:tc>
      </w:tr>
      <w:tr w:rsidR="00E40CFF" w:rsidRPr="009C793F" w14:paraId="400F0BDA" w14:textId="77777777" w:rsidTr="0079377B">
        <w:tc>
          <w:tcPr>
            <w:tcW w:w="1413" w:type="dxa"/>
            <w:shd w:val="clear" w:color="auto" w:fill="0070C0"/>
          </w:tcPr>
          <w:p w14:paraId="3367521F" w14:textId="77777777" w:rsidR="00E40CFF" w:rsidRPr="009C793F" w:rsidRDefault="00E40CFF" w:rsidP="00DE19C9">
            <w:pPr>
              <w:jc w:val="both"/>
              <w:rPr>
                <w:rFonts w:cstheme="minorHAnsi"/>
                <w:b/>
                <w:color w:val="FFFFFF" w:themeColor="background1"/>
              </w:rPr>
            </w:pPr>
            <w:r w:rsidRPr="009C793F">
              <w:rPr>
                <w:rFonts w:cstheme="minorHAnsi"/>
                <w:b/>
                <w:color w:val="FFFFFF" w:themeColor="background1"/>
              </w:rPr>
              <w:t>VNR</w:t>
            </w:r>
          </w:p>
          <w:p w14:paraId="07D1BA35" w14:textId="44FDFBA3" w:rsidR="008F1FB0" w:rsidRPr="009C793F" w:rsidRDefault="008F1FB0" w:rsidP="00DE19C9">
            <w:pPr>
              <w:jc w:val="both"/>
              <w:rPr>
                <w:rFonts w:cstheme="minorHAnsi"/>
                <w:b/>
                <w:color w:val="FFFFFF" w:themeColor="background1"/>
              </w:rPr>
            </w:pPr>
            <w:r w:rsidRPr="009C793F">
              <w:rPr>
                <w:rFonts w:cstheme="minorHAnsi"/>
                <w:b/>
                <w:color w:val="FFFFFF" w:themeColor="background1"/>
              </w:rPr>
              <w:t>WFP</w:t>
            </w:r>
          </w:p>
        </w:tc>
        <w:tc>
          <w:tcPr>
            <w:tcW w:w="7603" w:type="dxa"/>
          </w:tcPr>
          <w:p w14:paraId="713EDB61" w14:textId="77777777" w:rsidR="00E40CFF" w:rsidRPr="009C793F" w:rsidRDefault="00E40CFF" w:rsidP="00DE19C9">
            <w:pPr>
              <w:jc w:val="both"/>
              <w:rPr>
                <w:rFonts w:cstheme="minorHAnsi"/>
              </w:rPr>
            </w:pPr>
            <w:r w:rsidRPr="009C793F">
              <w:rPr>
                <w:rFonts w:cstheme="minorHAnsi"/>
              </w:rPr>
              <w:t>Voluntary National Review</w:t>
            </w:r>
          </w:p>
          <w:p w14:paraId="13E129D8" w14:textId="4667FFB7" w:rsidR="008F1FB0" w:rsidRPr="009C793F" w:rsidRDefault="008F1FB0" w:rsidP="00DE19C9">
            <w:pPr>
              <w:jc w:val="both"/>
              <w:rPr>
                <w:rFonts w:cstheme="minorHAnsi"/>
              </w:rPr>
            </w:pPr>
            <w:r w:rsidRPr="009C793F">
              <w:rPr>
                <w:rFonts w:cstheme="minorHAnsi"/>
              </w:rPr>
              <w:t>World Food Programme</w:t>
            </w:r>
          </w:p>
        </w:tc>
      </w:tr>
    </w:tbl>
    <w:p w14:paraId="00000001" w14:textId="1C466F82" w:rsidR="00E40CFF" w:rsidRPr="009C793F" w:rsidRDefault="00E40CFF" w:rsidP="00DE19C9">
      <w:pPr>
        <w:jc w:val="both"/>
        <w:rPr>
          <w:rFonts w:asciiTheme="minorHAnsi" w:eastAsia="Verdana" w:hAnsiTheme="minorHAnsi" w:cstheme="minorHAnsi"/>
          <w:b/>
        </w:rPr>
      </w:pPr>
    </w:p>
    <w:p w14:paraId="3DCC2B57" w14:textId="47C33BFA" w:rsidR="003A0877" w:rsidRPr="009C793F" w:rsidRDefault="003A0877" w:rsidP="00DE19C9">
      <w:pPr>
        <w:jc w:val="both"/>
        <w:rPr>
          <w:rFonts w:asciiTheme="minorHAnsi" w:eastAsia="Verdana" w:hAnsiTheme="minorHAnsi" w:cstheme="minorHAnsi"/>
          <w:b/>
        </w:rPr>
      </w:pPr>
    </w:p>
    <w:p w14:paraId="27E0BC4A" w14:textId="73A42DE2" w:rsidR="003A0877" w:rsidRPr="009C793F" w:rsidRDefault="003A0877" w:rsidP="00DE19C9">
      <w:pPr>
        <w:jc w:val="both"/>
        <w:rPr>
          <w:rFonts w:asciiTheme="minorHAnsi" w:eastAsia="Verdana" w:hAnsiTheme="minorHAnsi" w:cstheme="minorHAnsi"/>
          <w:b/>
        </w:rPr>
      </w:pPr>
    </w:p>
    <w:p w14:paraId="7C81307B" w14:textId="032DE8C8" w:rsidR="003A0877" w:rsidRPr="009C793F" w:rsidRDefault="003A0877" w:rsidP="00DE19C9">
      <w:pPr>
        <w:jc w:val="both"/>
        <w:rPr>
          <w:rFonts w:asciiTheme="minorHAnsi" w:eastAsia="Verdana" w:hAnsiTheme="minorHAnsi" w:cstheme="minorHAnsi"/>
          <w:b/>
        </w:rPr>
      </w:pPr>
    </w:p>
    <w:p w14:paraId="1347EB25" w14:textId="49149D8B" w:rsidR="003A0877" w:rsidRPr="009C793F" w:rsidRDefault="003A0877" w:rsidP="00DE19C9">
      <w:pPr>
        <w:jc w:val="both"/>
        <w:rPr>
          <w:rFonts w:asciiTheme="minorHAnsi" w:eastAsia="Verdana" w:hAnsiTheme="minorHAnsi" w:cstheme="minorHAnsi"/>
          <w:b/>
        </w:rPr>
      </w:pPr>
    </w:p>
    <w:p w14:paraId="36ECC9B2" w14:textId="3502703B" w:rsidR="003A0877" w:rsidRPr="009C793F" w:rsidRDefault="003A0877" w:rsidP="00DE19C9">
      <w:pPr>
        <w:jc w:val="both"/>
        <w:rPr>
          <w:rFonts w:asciiTheme="minorHAnsi" w:eastAsia="Verdana" w:hAnsiTheme="minorHAnsi" w:cstheme="minorHAnsi"/>
          <w:b/>
        </w:rPr>
      </w:pPr>
    </w:p>
    <w:p w14:paraId="3998549C" w14:textId="23F2C1F6" w:rsidR="003A0877" w:rsidRPr="009C793F" w:rsidRDefault="003A0877" w:rsidP="00DE19C9">
      <w:pPr>
        <w:jc w:val="both"/>
        <w:rPr>
          <w:rFonts w:asciiTheme="minorHAnsi" w:eastAsia="Verdana" w:hAnsiTheme="minorHAnsi" w:cstheme="minorHAnsi"/>
          <w:b/>
        </w:rPr>
      </w:pPr>
    </w:p>
    <w:p w14:paraId="3307B350" w14:textId="4976DFB3" w:rsidR="003A0877" w:rsidRPr="009C793F" w:rsidRDefault="003A0877" w:rsidP="00DE19C9">
      <w:pPr>
        <w:jc w:val="both"/>
        <w:rPr>
          <w:rFonts w:asciiTheme="minorHAnsi" w:eastAsia="Verdana" w:hAnsiTheme="minorHAnsi" w:cstheme="minorHAnsi"/>
          <w:b/>
        </w:rPr>
      </w:pPr>
    </w:p>
    <w:p w14:paraId="7070B57C" w14:textId="399527F3" w:rsidR="003A0877" w:rsidRPr="009C793F" w:rsidRDefault="003A0877" w:rsidP="00DE19C9">
      <w:pPr>
        <w:jc w:val="both"/>
        <w:rPr>
          <w:rFonts w:asciiTheme="minorHAnsi" w:eastAsia="Verdana" w:hAnsiTheme="minorHAnsi" w:cstheme="minorHAnsi"/>
          <w:bCs/>
        </w:rPr>
      </w:pPr>
      <w:r w:rsidRPr="009C793F">
        <w:rPr>
          <w:rFonts w:asciiTheme="minorHAnsi" w:eastAsia="Verdana" w:hAnsiTheme="minorHAnsi" w:cstheme="minorHAnsi"/>
          <w:bCs/>
        </w:rPr>
        <w:t>Exchange Rate: 1USD = Trinidad and Tobago Dollar 6.7</w:t>
      </w:r>
      <w:r w:rsidR="004A00EE" w:rsidRPr="009C793F">
        <w:rPr>
          <w:rFonts w:asciiTheme="minorHAnsi" w:eastAsia="Verdana" w:hAnsiTheme="minorHAnsi" w:cstheme="minorHAnsi"/>
          <w:bCs/>
        </w:rPr>
        <w:t>9</w:t>
      </w:r>
    </w:p>
    <w:p w14:paraId="7F509ECE" w14:textId="77777777" w:rsidR="00D97C56" w:rsidRDefault="00D97C56" w:rsidP="00DE19C9">
      <w:pPr>
        <w:jc w:val="both"/>
        <w:rPr>
          <w:rFonts w:asciiTheme="minorHAnsi" w:eastAsiaTheme="minorHAnsi" w:hAnsiTheme="minorHAnsi" w:cstheme="minorHAnsi"/>
          <w:b/>
          <w:bCs/>
          <w:lang w:eastAsia="en-US"/>
        </w:rPr>
      </w:pPr>
    </w:p>
    <w:p w14:paraId="5A43DFCB" w14:textId="77777777" w:rsidR="00D97C56" w:rsidRDefault="00D97C56" w:rsidP="00DE19C9">
      <w:pPr>
        <w:jc w:val="both"/>
        <w:rPr>
          <w:rFonts w:asciiTheme="minorHAnsi" w:eastAsiaTheme="minorHAnsi" w:hAnsiTheme="minorHAnsi" w:cstheme="minorHAnsi"/>
          <w:b/>
          <w:bCs/>
          <w:lang w:eastAsia="en-US"/>
        </w:rPr>
      </w:pPr>
    </w:p>
    <w:p w14:paraId="422612BE" w14:textId="77777777" w:rsidR="00D97C56" w:rsidRDefault="00D97C56" w:rsidP="00DE19C9">
      <w:pPr>
        <w:jc w:val="both"/>
        <w:rPr>
          <w:rFonts w:asciiTheme="minorHAnsi" w:eastAsiaTheme="minorHAnsi" w:hAnsiTheme="minorHAnsi" w:cstheme="minorHAnsi"/>
          <w:b/>
          <w:bCs/>
          <w:lang w:eastAsia="en-US"/>
        </w:rPr>
      </w:pPr>
    </w:p>
    <w:p w14:paraId="137128A2" w14:textId="77777777" w:rsidR="00D97C56" w:rsidRDefault="00D97C56" w:rsidP="00DE19C9">
      <w:pPr>
        <w:jc w:val="both"/>
        <w:rPr>
          <w:rFonts w:asciiTheme="minorHAnsi" w:eastAsiaTheme="minorHAnsi" w:hAnsiTheme="minorHAnsi" w:cstheme="minorHAnsi"/>
          <w:b/>
          <w:bCs/>
          <w:lang w:eastAsia="en-US"/>
        </w:rPr>
      </w:pPr>
    </w:p>
    <w:p w14:paraId="1DFB800C" w14:textId="77777777" w:rsidR="00D97C56" w:rsidRDefault="00D97C56" w:rsidP="00DE19C9">
      <w:pPr>
        <w:jc w:val="both"/>
        <w:rPr>
          <w:rFonts w:asciiTheme="minorHAnsi" w:eastAsiaTheme="minorHAnsi" w:hAnsiTheme="minorHAnsi" w:cstheme="minorHAnsi"/>
          <w:b/>
          <w:bCs/>
          <w:lang w:eastAsia="en-US"/>
        </w:rPr>
      </w:pPr>
    </w:p>
    <w:p w14:paraId="53D0FDC3" w14:textId="77777777" w:rsidR="00DE19C9" w:rsidRDefault="00DE19C9">
      <w:pPr>
        <w:rPr>
          <w:rFonts w:asciiTheme="minorHAnsi" w:eastAsiaTheme="minorHAnsi" w:hAnsiTheme="minorHAnsi" w:cstheme="minorHAnsi"/>
          <w:b/>
          <w:bCs/>
          <w:lang w:eastAsia="en-US"/>
        </w:rPr>
      </w:pPr>
      <w:r>
        <w:rPr>
          <w:rFonts w:asciiTheme="minorHAnsi" w:eastAsiaTheme="minorHAnsi" w:hAnsiTheme="minorHAnsi" w:cstheme="minorHAnsi"/>
          <w:b/>
          <w:bCs/>
          <w:lang w:eastAsia="en-US"/>
        </w:rPr>
        <w:br w:type="page"/>
      </w:r>
    </w:p>
    <w:p w14:paraId="747EDD91" w14:textId="04769223" w:rsidR="00044992" w:rsidRDefault="00044992" w:rsidP="00DE19C9">
      <w:pPr>
        <w:jc w:val="both"/>
        <w:rPr>
          <w:rFonts w:asciiTheme="minorHAnsi" w:eastAsiaTheme="minorHAnsi" w:hAnsiTheme="minorHAnsi" w:cstheme="minorHAnsi"/>
          <w:b/>
          <w:bCs/>
          <w:lang w:eastAsia="en-US"/>
        </w:rPr>
      </w:pPr>
      <w:r w:rsidRPr="009C793F">
        <w:rPr>
          <w:rFonts w:asciiTheme="minorHAnsi" w:eastAsiaTheme="minorHAnsi" w:hAnsiTheme="minorHAnsi" w:cstheme="minorHAnsi"/>
          <w:b/>
          <w:bCs/>
          <w:lang w:eastAsia="en-US"/>
        </w:rPr>
        <w:lastRenderedPageBreak/>
        <w:t>MAP OF TRINIDAD AND TOBAGO</w:t>
      </w:r>
    </w:p>
    <w:p w14:paraId="76FC9D63" w14:textId="77777777" w:rsidR="00D97C56" w:rsidRPr="009C793F" w:rsidRDefault="00D97C56" w:rsidP="00DE19C9">
      <w:pPr>
        <w:jc w:val="both"/>
        <w:rPr>
          <w:rFonts w:asciiTheme="minorHAnsi" w:eastAsiaTheme="minorHAnsi" w:hAnsiTheme="minorHAnsi" w:cstheme="minorHAnsi"/>
          <w:b/>
          <w:bCs/>
          <w:lang w:eastAsia="en-US"/>
        </w:rPr>
      </w:pPr>
    </w:p>
    <w:p w14:paraId="21D3846C" w14:textId="2162FA62" w:rsidR="00044992" w:rsidRPr="009C793F" w:rsidRDefault="00D97C56" w:rsidP="00DE19C9">
      <w:pPr>
        <w:jc w:val="both"/>
        <w:rPr>
          <w:rFonts w:asciiTheme="minorHAnsi" w:eastAsiaTheme="minorHAnsi" w:hAnsiTheme="minorHAnsi" w:cstheme="minorHAnsi"/>
          <w:b/>
          <w:bCs/>
          <w:lang w:eastAsia="en-US"/>
        </w:rPr>
      </w:pPr>
      <w:r>
        <w:rPr>
          <w:noProof/>
        </w:rPr>
        <w:drawing>
          <wp:inline distT="0" distB="0" distL="0" distR="0" wp14:anchorId="6E1FEC79" wp14:editId="1AC74944">
            <wp:extent cx="5943600" cy="420243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202430"/>
                    </a:xfrm>
                    <a:prstGeom prst="rect">
                      <a:avLst/>
                    </a:prstGeom>
                    <a:noFill/>
                    <a:ln>
                      <a:noFill/>
                    </a:ln>
                  </pic:spPr>
                </pic:pic>
              </a:graphicData>
            </a:graphic>
          </wp:inline>
        </w:drawing>
      </w:r>
    </w:p>
    <w:p w14:paraId="738D60B5" w14:textId="77777777" w:rsidR="00044992" w:rsidRPr="009C793F" w:rsidRDefault="00044992" w:rsidP="00DE19C9">
      <w:pPr>
        <w:jc w:val="both"/>
        <w:rPr>
          <w:rFonts w:asciiTheme="minorHAnsi" w:eastAsiaTheme="minorHAnsi" w:hAnsiTheme="minorHAnsi" w:cstheme="minorHAnsi"/>
          <w:b/>
          <w:bCs/>
          <w:lang w:eastAsia="en-US"/>
        </w:rPr>
      </w:pPr>
    </w:p>
    <w:p w14:paraId="243FAE35" w14:textId="77777777" w:rsidR="00044992" w:rsidRPr="009C793F" w:rsidRDefault="00044992" w:rsidP="00DE19C9">
      <w:pPr>
        <w:jc w:val="both"/>
        <w:rPr>
          <w:rFonts w:asciiTheme="minorHAnsi" w:eastAsiaTheme="minorHAnsi" w:hAnsiTheme="minorHAnsi" w:cstheme="minorHAnsi"/>
          <w:b/>
          <w:bCs/>
          <w:lang w:eastAsia="en-US"/>
        </w:rPr>
      </w:pPr>
    </w:p>
    <w:p w14:paraId="514FFD3F" w14:textId="77777777" w:rsidR="00044992" w:rsidRPr="009C793F" w:rsidRDefault="00044992" w:rsidP="00DE19C9">
      <w:pPr>
        <w:jc w:val="both"/>
        <w:rPr>
          <w:rFonts w:asciiTheme="minorHAnsi" w:eastAsiaTheme="minorHAnsi" w:hAnsiTheme="minorHAnsi" w:cstheme="minorHAnsi"/>
          <w:b/>
          <w:bCs/>
          <w:lang w:eastAsia="en-US"/>
        </w:rPr>
      </w:pPr>
    </w:p>
    <w:p w14:paraId="6AA60ECD" w14:textId="77777777" w:rsidR="00044992" w:rsidRPr="009C793F" w:rsidRDefault="00044992" w:rsidP="00DE19C9">
      <w:pPr>
        <w:jc w:val="both"/>
        <w:rPr>
          <w:rFonts w:asciiTheme="minorHAnsi" w:eastAsiaTheme="minorHAnsi" w:hAnsiTheme="minorHAnsi" w:cstheme="minorHAnsi"/>
          <w:b/>
          <w:bCs/>
          <w:lang w:eastAsia="en-US"/>
        </w:rPr>
      </w:pPr>
    </w:p>
    <w:p w14:paraId="39276D09" w14:textId="77777777" w:rsidR="00044992" w:rsidRPr="009C793F" w:rsidRDefault="00044992" w:rsidP="00DE19C9">
      <w:pPr>
        <w:jc w:val="both"/>
        <w:rPr>
          <w:rFonts w:asciiTheme="minorHAnsi" w:eastAsiaTheme="minorHAnsi" w:hAnsiTheme="minorHAnsi" w:cstheme="minorHAnsi"/>
          <w:b/>
          <w:bCs/>
          <w:lang w:eastAsia="en-US"/>
        </w:rPr>
      </w:pPr>
    </w:p>
    <w:p w14:paraId="58D7643D" w14:textId="77777777" w:rsidR="00044992" w:rsidRPr="009C793F" w:rsidRDefault="00044992" w:rsidP="00DE19C9">
      <w:pPr>
        <w:jc w:val="both"/>
        <w:rPr>
          <w:rFonts w:asciiTheme="minorHAnsi" w:eastAsiaTheme="minorHAnsi" w:hAnsiTheme="minorHAnsi" w:cstheme="minorHAnsi"/>
          <w:b/>
          <w:bCs/>
          <w:lang w:eastAsia="en-US"/>
        </w:rPr>
      </w:pPr>
    </w:p>
    <w:p w14:paraId="1B5E7141" w14:textId="77777777" w:rsidR="00044992" w:rsidRPr="009C793F" w:rsidRDefault="00044992" w:rsidP="00DE19C9">
      <w:pPr>
        <w:jc w:val="both"/>
        <w:rPr>
          <w:rFonts w:asciiTheme="minorHAnsi" w:eastAsiaTheme="minorHAnsi" w:hAnsiTheme="minorHAnsi" w:cstheme="minorHAnsi"/>
          <w:b/>
          <w:bCs/>
          <w:lang w:eastAsia="en-US"/>
        </w:rPr>
      </w:pPr>
    </w:p>
    <w:p w14:paraId="50E6981B" w14:textId="77777777" w:rsidR="00044992" w:rsidRPr="009C793F" w:rsidRDefault="00044992" w:rsidP="00DE19C9">
      <w:pPr>
        <w:jc w:val="both"/>
        <w:rPr>
          <w:rFonts w:asciiTheme="minorHAnsi" w:eastAsiaTheme="minorHAnsi" w:hAnsiTheme="minorHAnsi" w:cstheme="minorHAnsi"/>
          <w:b/>
          <w:bCs/>
          <w:lang w:eastAsia="en-US"/>
        </w:rPr>
      </w:pPr>
    </w:p>
    <w:p w14:paraId="208E9852" w14:textId="77777777" w:rsidR="00044992" w:rsidRPr="009C793F" w:rsidRDefault="00044992" w:rsidP="00DE19C9">
      <w:pPr>
        <w:jc w:val="both"/>
        <w:rPr>
          <w:rFonts w:asciiTheme="minorHAnsi" w:eastAsiaTheme="minorHAnsi" w:hAnsiTheme="minorHAnsi" w:cstheme="minorHAnsi"/>
          <w:b/>
          <w:bCs/>
          <w:lang w:eastAsia="en-US"/>
        </w:rPr>
      </w:pPr>
    </w:p>
    <w:p w14:paraId="680B762E" w14:textId="77777777" w:rsidR="00044992" w:rsidRPr="009C793F" w:rsidRDefault="00044992" w:rsidP="00DE19C9">
      <w:pPr>
        <w:jc w:val="both"/>
        <w:rPr>
          <w:rFonts w:asciiTheme="minorHAnsi" w:eastAsiaTheme="minorHAnsi" w:hAnsiTheme="minorHAnsi" w:cstheme="minorHAnsi"/>
          <w:b/>
          <w:bCs/>
          <w:lang w:eastAsia="en-US"/>
        </w:rPr>
      </w:pPr>
    </w:p>
    <w:p w14:paraId="168D5A9D" w14:textId="77777777" w:rsidR="00044992" w:rsidRPr="009C793F" w:rsidRDefault="00044992" w:rsidP="00DE19C9">
      <w:pPr>
        <w:jc w:val="both"/>
        <w:rPr>
          <w:rFonts w:asciiTheme="minorHAnsi" w:eastAsiaTheme="minorHAnsi" w:hAnsiTheme="minorHAnsi" w:cstheme="minorHAnsi"/>
          <w:b/>
          <w:bCs/>
          <w:lang w:eastAsia="en-US"/>
        </w:rPr>
      </w:pPr>
    </w:p>
    <w:p w14:paraId="2299C846" w14:textId="77777777" w:rsidR="00044992" w:rsidRPr="009C793F" w:rsidRDefault="00044992" w:rsidP="00DE19C9">
      <w:pPr>
        <w:jc w:val="both"/>
        <w:rPr>
          <w:rFonts w:asciiTheme="minorHAnsi" w:eastAsiaTheme="minorHAnsi" w:hAnsiTheme="minorHAnsi" w:cstheme="minorHAnsi"/>
          <w:b/>
          <w:bCs/>
          <w:lang w:eastAsia="en-US"/>
        </w:rPr>
      </w:pPr>
    </w:p>
    <w:p w14:paraId="5485CFE0" w14:textId="77777777" w:rsidR="00044992" w:rsidRPr="009C793F" w:rsidRDefault="00044992" w:rsidP="00DE19C9">
      <w:pPr>
        <w:jc w:val="both"/>
        <w:rPr>
          <w:rFonts w:asciiTheme="minorHAnsi" w:eastAsiaTheme="minorHAnsi" w:hAnsiTheme="minorHAnsi" w:cstheme="minorHAnsi"/>
          <w:b/>
          <w:bCs/>
          <w:lang w:eastAsia="en-US"/>
        </w:rPr>
      </w:pPr>
    </w:p>
    <w:p w14:paraId="792924EC" w14:textId="77777777" w:rsidR="00044992" w:rsidRPr="009C793F" w:rsidRDefault="00044992" w:rsidP="00DE19C9">
      <w:pPr>
        <w:jc w:val="both"/>
        <w:rPr>
          <w:rFonts w:asciiTheme="minorHAnsi" w:eastAsiaTheme="minorHAnsi" w:hAnsiTheme="minorHAnsi" w:cstheme="minorHAnsi"/>
          <w:b/>
          <w:bCs/>
          <w:lang w:eastAsia="en-US"/>
        </w:rPr>
      </w:pPr>
    </w:p>
    <w:p w14:paraId="18706C0E" w14:textId="77777777" w:rsidR="00DE19C9" w:rsidRDefault="00DE19C9">
      <w:pPr>
        <w:rPr>
          <w:rFonts w:asciiTheme="minorHAnsi" w:eastAsiaTheme="minorHAnsi" w:hAnsiTheme="minorHAnsi" w:cstheme="minorHAnsi"/>
          <w:b/>
          <w:bCs/>
          <w:lang w:eastAsia="en-US"/>
        </w:rPr>
      </w:pPr>
      <w:r>
        <w:rPr>
          <w:rFonts w:asciiTheme="minorHAnsi" w:eastAsiaTheme="minorHAnsi" w:hAnsiTheme="minorHAnsi" w:cstheme="minorHAnsi"/>
          <w:b/>
          <w:bCs/>
          <w:lang w:eastAsia="en-US"/>
        </w:rPr>
        <w:br w:type="page"/>
      </w:r>
    </w:p>
    <w:p w14:paraId="67FD3137" w14:textId="13A412C3" w:rsidR="008F1FB0" w:rsidRPr="009C793F" w:rsidRDefault="008640BD" w:rsidP="00DE19C9">
      <w:pPr>
        <w:jc w:val="both"/>
        <w:rPr>
          <w:rFonts w:asciiTheme="minorHAnsi" w:eastAsiaTheme="minorHAnsi" w:hAnsiTheme="minorHAnsi" w:cstheme="minorHAnsi"/>
          <w:b/>
          <w:bCs/>
          <w:lang w:eastAsia="en-US"/>
        </w:rPr>
      </w:pPr>
      <w:r w:rsidRPr="009C793F">
        <w:rPr>
          <w:rFonts w:asciiTheme="minorHAnsi" w:eastAsiaTheme="minorHAnsi" w:hAnsiTheme="minorHAnsi" w:cstheme="minorHAnsi"/>
          <w:b/>
          <w:bCs/>
          <w:lang w:eastAsia="en-US"/>
        </w:rPr>
        <w:lastRenderedPageBreak/>
        <w:t>EXECUTIVE SUMMARY</w:t>
      </w:r>
    </w:p>
    <w:p w14:paraId="653B9473" w14:textId="3B8F7FC6" w:rsidR="00DE19C9" w:rsidRDefault="00DE19C9" w:rsidP="00DE19C9">
      <w:pPr>
        <w:jc w:val="both"/>
        <w:rPr>
          <w:rFonts w:asciiTheme="minorHAnsi" w:eastAsiaTheme="minorHAnsi" w:hAnsiTheme="minorHAnsi" w:cstheme="minorHAnsi"/>
          <w:lang w:eastAsia="en-US"/>
        </w:rPr>
      </w:pPr>
    </w:p>
    <w:p w14:paraId="7755E724" w14:textId="0B259391" w:rsidR="008F1FB0" w:rsidRPr="009C793F" w:rsidRDefault="00DE19C9" w:rsidP="00DE19C9">
      <w:pPr>
        <w:jc w:val="both"/>
        <w:rPr>
          <w:rFonts w:asciiTheme="minorHAnsi" w:eastAsiaTheme="minorHAnsi" w:hAnsiTheme="minorHAnsi" w:cstheme="minorHAnsi"/>
          <w:lang w:eastAsia="en-US"/>
        </w:rPr>
      </w:pPr>
      <w:r>
        <w:rPr>
          <w:rFonts w:asciiTheme="minorHAnsi" w:eastAsiaTheme="minorHAnsi" w:hAnsiTheme="minorHAnsi" w:cstheme="minorHAnsi"/>
          <w:lang w:eastAsia="en-US"/>
        </w:rPr>
        <w:t>T</w:t>
      </w:r>
      <w:r w:rsidR="008F1FB0" w:rsidRPr="009C793F">
        <w:rPr>
          <w:rFonts w:asciiTheme="minorHAnsi" w:eastAsiaTheme="minorHAnsi" w:hAnsiTheme="minorHAnsi" w:cstheme="minorHAnsi"/>
          <w:lang w:eastAsia="en-US"/>
        </w:rPr>
        <w:t>rinidad and Tobago has experienced strong growth since its independence in 1962. It has invested heavily in its human capital using the wealth generated by natural resources in oil an</w:t>
      </w:r>
      <w:r w:rsidR="005C74A1" w:rsidRPr="009C793F">
        <w:rPr>
          <w:rFonts w:asciiTheme="minorHAnsi" w:eastAsiaTheme="minorHAnsi" w:hAnsiTheme="minorHAnsi" w:cstheme="minorHAnsi"/>
          <w:lang w:eastAsia="en-US"/>
        </w:rPr>
        <w:t>d</w:t>
      </w:r>
      <w:r w:rsidR="008F1FB0" w:rsidRPr="009C793F">
        <w:rPr>
          <w:rFonts w:asciiTheme="minorHAnsi" w:eastAsiaTheme="minorHAnsi" w:hAnsiTheme="minorHAnsi" w:cstheme="minorHAnsi"/>
          <w:lang w:eastAsia="en-US"/>
        </w:rPr>
        <w:t xml:space="preserve"> gas. Consequently, the country has made good progress with respect to human development and is a leader in the Caribbean region in terms of its economic strength as well as levels of socioeconomic development. In 2008, Trinidad and Tobago was classified as a high-income country making it largely ineligible for O</w:t>
      </w:r>
      <w:r w:rsidR="002B2568" w:rsidRPr="009C793F">
        <w:rPr>
          <w:rFonts w:asciiTheme="minorHAnsi" w:eastAsiaTheme="minorHAnsi" w:hAnsiTheme="minorHAnsi" w:cstheme="minorHAnsi"/>
          <w:lang w:eastAsia="en-US"/>
        </w:rPr>
        <w:t>fficial Development</w:t>
      </w:r>
      <w:r w:rsidR="008F1FB0" w:rsidRPr="009C793F">
        <w:rPr>
          <w:rFonts w:asciiTheme="minorHAnsi" w:eastAsiaTheme="minorHAnsi" w:hAnsiTheme="minorHAnsi" w:cstheme="minorHAnsi"/>
          <w:lang w:eastAsia="en-US"/>
        </w:rPr>
        <w:t xml:space="preserve"> </w:t>
      </w:r>
      <w:r w:rsidR="002B2568" w:rsidRPr="009C793F">
        <w:rPr>
          <w:rFonts w:asciiTheme="minorHAnsi" w:eastAsiaTheme="minorHAnsi" w:hAnsiTheme="minorHAnsi" w:cstheme="minorHAnsi"/>
          <w:lang w:eastAsia="en-US"/>
        </w:rPr>
        <w:t>Assistance</w:t>
      </w:r>
      <w:r w:rsidR="005C74A1" w:rsidRPr="009C793F">
        <w:rPr>
          <w:rFonts w:asciiTheme="minorHAnsi" w:eastAsiaTheme="minorHAnsi" w:hAnsiTheme="minorHAnsi" w:cstheme="minorHAnsi"/>
          <w:lang w:eastAsia="en-US"/>
        </w:rPr>
        <w:t xml:space="preserve"> (ODA)</w:t>
      </w:r>
      <w:r w:rsidR="002B2568" w:rsidRPr="009C793F">
        <w:rPr>
          <w:rFonts w:asciiTheme="minorHAnsi" w:eastAsiaTheme="minorHAnsi" w:hAnsiTheme="minorHAnsi" w:cstheme="minorHAnsi"/>
          <w:lang w:eastAsia="en-US"/>
        </w:rPr>
        <w:t xml:space="preserve"> </w:t>
      </w:r>
      <w:r w:rsidR="008F1FB0" w:rsidRPr="009C793F">
        <w:rPr>
          <w:rFonts w:asciiTheme="minorHAnsi" w:eastAsiaTheme="minorHAnsi" w:hAnsiTheme="minorHAnsi" w:cstheme="minorHAnsi"/>
          <w:lang w:eastAsia="en-US"/>
        </w:rPr>
        <w:t>and concessional financing.</w:t>
      </w:r>
    </w:p>
    <w:p w14:paraId="524C3C46" w14:textId="77777777" w:rsidR="00DE19C9" w:rsidRDefault="00DE19C9" w:rsidP="00DE19C9">
      <w:pPr>
        <w:jc w:val="both"/>
        <w:rPr>
          <w:rFonts w:asciiTheme="minorHAnsi" w:eastAsiaTheme="minorHAnsi" w:hAnsiTheme="minorHAnsi" w:cstheme="minorHAnsi"/>
          <w:lang w:eastAsia="en-US"/>
        </w:rPr>
      </w:pPr>
    </w:p>
    <w:p w14:paraId="359139F4" w14:textId="39BAE767"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t xml:space="preserve">Like other resource-rich countries, the strength of its economy has been determined by the ebb and flow of international market prices for oil and gas. Recent low prices for </w:t>
      </w:r>
      <w:r w:rsidR="00AA0FB7" w:rsidRPr="009C793F">
        <w:rPr>
          <w:rFonts w:asciiTheme="minorHAnsi" w:eastAsiaTheme="minorHAnsi" w:hAnsiTheme="minorHAnsi" w:cstheme="minorHAnsi"/>
          <w:lang w:eastAsia="en-US"/>
        </w:rPr>
        <w:t>these commodities</w:t>
      </w:r>
      <w:r w:rsidRPr="009C793F">
        <w:rPr>
          <w:rFonts w:asciiTheme="minorHAnsi" w:eastAsiaTheme="minorHAnsi" w:hAnsiTheme="minorHAnsi" w:cstheme="minorHAnsi"/>
          <w:lang w:eastAsia="en-US"/>
        </w:rPr>
        <w:t xml:space="preserve"> have</w:t>
      </w:r>
      <w:r w:rsidR="002B0010" w:rsidRPr="009C793F">
        <w:rPr>
          <w:rFonts w:asciiTheme="minorHAnsi" w:eastAsiaTheme="minorHAnsi" w:hAnsiTheme="minorHAnsi" w:cstheme="minorHAnsi"/>
          <w:lang w:eastAsia="en-US"/>
        </w:rPr>
        <w:t xml:space="preserve"> had a deleterious effect on the country’s economy which has been further</w:t>
      </w:r>
      <w:r w:rsidRPr="009C793F">
        <w:rPr>
          <w:rFonts w:asciiTheme="minorHAnsi" w:eastAsiaTheme="minorHAnsi" w:hAnsiTheme="minorHAnsi" w:cstheme="minorHAnsi"/>
          <w:lang w:eastAsia="en-US"/>
        </w:rPr>
        <w:t xml:space="preserve"> exacerbated by the impact of COVID-19 on the global economy. COVID-19 has also set back hard-won development gains.</w:t>
      </w:r>
    </w:p>
    <w:p w14:paraId="14EA9100" w14:textId="77777777" w:rsidR="00DE19C9" w:rsidRDefault="00DE19C9" w:rsidP="00DE19C9">
      <w:pPr>
        <w:jc w:val="both"/>
        <w:rPr>
          <w:rFonts w:asciiTheme="minorHAnsi" w:eastAsiaTheme="minorHAnsi" w:hAnsiTheme="minorHAnsi" w:cstheme="minorHAnsi"/>
          <w:lang w:eastAsia="en-US"/>
        </w:rPr>
      </w:pPr>
    </w:p>
    <w:p w14:paraId="1F691272" w14:textId="51B12BCF"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t xml:space="preserve">The </w:t>
      </w:r>
      <w:r w:rsidRPr="009C793F">
        <w:rPr>
          <w:rFonts w:asciiTheme="minorHAnsi" w:eastAsiaTheme="minorHAnsi" w:hAnsiTheme="minorHAnsi" w:cstheme="minorHAnsi"/>
          <w:b/>
          <w:bCs/>
          <w:lang w:eastAsia="en-US"/>
        </w:rPr>
        <w:t>Sustainable Development Goals</w:t>
      </w:r>
      <w:r w:rsidRPr="009C793F">
        <w:rPr>
          <w:rFonts w:asciiTheme="minorHAnsi" w:eastAsiaTheme="minorHAnsi" w:hAnsiTheme="minorHAnsi" w:cstheme="minorHAnsi"/>
          <w:lang w:eastAsia="en-US"/>
        </w:rPr>
        <w:t xml:space="preserve"> </w:t>
      </w:r>
      <w:r w:rsidR="000C43C1" w:rsidRPr="009C793F">
        <w:rPr>
          <w:rFonts w:asciiTheme="minorHAnsi" w:eastAsiaTheme="minorHAnsi" w:hAnsiTheme="minorHAnsi" w:cstheme="minorHAnsi"/>
          <w:lang w:eastAsia="en-US"/>
        </w:rPr>
        <w:t xml:space="preserve">(SDGs) </w:t>
      </w:r>
      <w:r w:rsidRPr="009C793F">
        <w:rPr>
          <w:rFonts w:asciiTheme="minorHAnsi" w:eastAsiaTheme="minorHAnsi" w:hAnsiTheme="minorHAnsi" w:cstheme="minorHAnsi"/>
          <w:lang w:eastAsia="en-US"/>
        </w:rPr>
        <w:t xml:space="preserve">have been accorded a premier policy priority in Trinidad and Tobago. More specifically, the </w:t>
      </w:r>
      <w:r w:rsidR="00660966" w:rsidRPr="009C793F">
        <w:rPr>
          <w:rFonts w:asciiTheme="minorHAnsi" w:eastAsiaTheme="minorHAnsi" w:hAnsiTheme="minorHAnsi" w:cstheme="minorHAnsi"/>
          <w:lang w:eastAsia="en-US"/>
        </w:rPr>
        <w:t xml:space="preserve">country’s </w:t>
      </w:r>
      <w:r w:rsidR="00660966" w:rsidRPr="009C793F">
        <w:rPr>
          <w:rFonts w:asciiTheme="minorHAnsi" w:eastAsiaTheme="minorHAnsi" w:hAnsiTheme="minorHAnsi" w:cstheme="minorHAnsi"/>
          <w:b/>
          <w:bCs/>
          <w:lang w:eastAsia="en-US"/>
        </w:rPr>
        <w:t>National</w:t>
      </w:r>
      <w:r w:rsidRPr="009C793F">
        <w:rPr>
          <w:rFonts w:asciiTheme="minorHAnsi" w:eastAsiaTheme="minorHAnsi" w:hAnsiTheme="minorHAnsi" w:cstheme="minorHAnsi"/>
          <w:b/>
          <w:bCs/>
          <w:lang w:eastAsia="en-US"/>
        </w:rPr>
        <w:t xml:space="preserve"> Development Strategy (Vision 2030) is inextricably linked, aligned, and congruent with the SDGs</w:t>
      </w:r>
      <w:r w:rsidRPr="009C793F">
        <w:rPr>
          <w:rFonts w:asciiTheme="minorHAnsi" w:eastAsiaTheme="minorHAnsi" w:hAnsiTheme="minorHAnsi" w:cstheme="minorHAnsi"/>
          <w:lang w:eastAsia="en-US"/>
        </w:rPr>
        <w:t>. Critically, the monitoring, measurement, and evaluation of the progress of Vision 2030 will also be done against SDG goals and targets as part of official government policy.</w:t>
      </w:r>
    </w:p>
    <w:p w14:paraId="180B8B11" w14:textId="77777777" w:rsidR="00DE19C9" w:rsidRDefault="00DE19C9" w:rsidP="00DE19C9">
      <w:pPr>
        <w:jc w:val="both"/>
        <w:rPr>
          <w:rFonts w:asciiTheme="minorHAnsi" w:eastAsiaTheme="minorHAnsi" w:hAnsiTheme="minorHAnsi" w:cstheme="minorHAnsi"/>
          <w:lang w:eastAsia="en-US"/>
        </w:rPr>
      </w:pPr>
    </w:p>
    <w:p w14:paraId="1CF559DC" w14:textId="05C95697"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t xml:space="preserve">Though Trinidad and Tobago has a clear agenda for SDG achievement, the country faces </w:t>
      </w:r>
      <w:r w:rsidRPr="009C793F">
        <w:rPr>
          <w:rFonts w:asciiTheme="minorHAnsi" w:eastAsiaTheme="minorHAnsi" w:hAnsiTheme="minorHAnsi" w:cstheme="minorHAnsi"/>
          <w:b/>
          <w:bCs/>
          <w:lang w:eastAsia="en-US"/>
        </w:rPr>
        <w:t xml:space="preserve">challenges </w:t>
      </w:r>
      <w:r w:rsidR="00AA0FB7" w:rsidRPr="009C793F">
        <w:rPr>
          <w:rFonts w:asciiTheme="minorHAnsi" w:eastAsiaTheme="minorHAnsi" w:hAnsiTheme="minorHAnsi" w:cstheme="minorHAnsi"/>
          <w:lang w:eastAsia="en-US"/>
        </w:rPr>
        <w:t>which are</w:t>
      </w:r>
      <w:r w:rsidR="00AA0FB7" w:rsidRPr="009C793F">
        <w:rPr>
          <w:rFonts w:asciiTheme="minorHAnsi" w:eastAsiaTheme="minorHAnsi" w:hAnsiTheme="minorHAnsi" w:cstheme="minorHAnsi"/>
          <w:b/>
          <w:bCs/>
          <w:lang w:eastAsia="en-US"/>
        </w:rPr>
        <w:t xml:space="preserve"> </w:t>
      </w:r>
      <w:r w:rsidRPr="009C793F">
        <w:rPr>
          <w:rFonts w:asciiTheme="minorHAnsi" w:eastAsiaTheme="minorHAnsi" w:hAnsiTheme="minorHAnsi" w:cstheme="minorHAnsi"/>
          <w:b/>
          <w:bCs/>
          <w:lang w:eastAsia="en-US"/>
        </w:rPr>
        <w:t>now accentuated by COVID-19</w:t>
      </w:r>
      <w:r w:rsidRPr="009C793F">
        <w:rPr>
          <w:rFonts w:asciiTheme="minorHAnsi" w:eastAsiaTheme="minorHAnsi" w:hAnsiTheme="minorHAnsi" w:cstheme="minorHAnsi"/>
          <w:lang w:eastAsia="en-US"/>
        </w:rPr>
        <w:t xml:space="preserve">.  There is the risk that its continued reliance on oil and natural gas as the mainstay of its economy may delay the transition to a green economy. This is at a time of a global shift to renewables that will </w:t>
      </w:r>
      <w:r w:rsidR="00AA0FB7" w:rsidRPr="009C793F">
        <w:rPr>
          <w:rFonts w:asciiTheme="minorHAnsi" w:eastAsiaTheme="minorHAnsi" w:hAnsiTheme="minorHAnsi" w:cstheme="minorHAnsi"/>
          <w:lang w:eastAsia="en-US"/>
        </w:rPr>
        <w:t xml:space="preserve">ultimately </w:t>
      </w:r>
      <w:r w:rsidRPr="009C793F">
        <w:rPr>
          <w:rFonts w:asciiTheme="minorHAnsi" w:eastAsiaTheme="minorHAnsi" w:hAnsiTheme="minorHAnsi" w:cstheme="minorHAnsi"/>
          <w:lang w:eastAsia="en-US"/>
        </w:rPr>
        <w:t xml:space="preserve">result in reduced demand for fossil fuels. Therefore, </w:t>
      </w:r>
      <w:r w:rsidRPr="009C793F">
        <w:rPr>
          <w:rFonts w:asciiTheme="minorHAnsi" w:eastAsiaTheme="minorHAnsi" w:hAnsiTheme="minorHAnsi" w:cstheme="minorHAnsi"/>
          <w:b/>
          <w:bCs/>
          <w:lang w:eastAsia="en-US"/>
        </w:rPr>
        <w:t>economic diversification is imperative</w:t>
      </w:r>
      <w:r w:rsidRPr="009C793F">
        <w:rPr>
          <w:rFonts w:asciiTheme="minorHAnsi" w:eastAsiaTheme="minorHAnsi" w:hAnsiTheme="minorHAnsi" w:cstheme="minorHAnsi"/>
          <w:lang w:eastAsia="en-US"/>
        </w:rPr>
        <w:t xml:space="preserve">. Trinidad and Tobago, as a small island developing state (SIDS), is acutely vulnerable to shocks from natural hazards which are now increasing in intensity and frequency due to climate change. </w:t>
      </w:r>
      <w:r w:rsidRPr="009C793F">
        <w:rPr>
          <w:rFonts w:asciiTheme="minorHAnsi" w:eastAsiaTheme="minorHAnsi" w:hAnsiTheme="minorHAnsi" w:cstheme="minorHAnsi"/>
          <w:b/>
          <w:bCs/>
          <w:lang w:eastAsia="en-US"/>
        </w:rPr>
        <w:t>Climate change poses an existential threat</w:t>
      </w:r>
      <w:r w:rsidRPr="009C793F">
        <w:rPr>
          <w:rFonts w:asciiTheme="minorHAnsi" w:eastAsiaTheme="minorHAnsi" w:hAnsiTheme="minorHAnsi" w:cstheme="minorHAnsi"/>
          <w:lang w:eastAsia="en-US"/>
        </w:rPr>
        <w:t xml:space="preserve"> and building resilience via effective climate action must be at the epicenter of policymaking and resource allocation.</w:t>
      </w:r>
    </w:p>
    <w:p w14:paraId="4FB01338" w14:textId="77777777" w:rsidR="00DE19C9" w:rsidRDefault="00DE19C9" w:rsidP="00DE19C9">
      <w:pPr>
        <w:jc w:val="both"/>
        <w:rPr>
          <w:rFonts w:asciiTheme="minorHAnsi" w:eastAsiaTheme="minorHAnsi" w:hAnsiTheme="minorHAnsi" w:cstheme="minorHAnsi"/>
          <w:lang w:eastAsia="en-US"/>
        </w:rPr>
      </w:pPr>
    </w:p>
    <w:p w14:paraId="0B851A7A" w14:textId="0DE2C519"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t xml:space="preserve">In terms of governance, Trinidad and Tobago has been </w:t>
      </w:r>
      <w:r w:rsidRPr="009C793F">
        <w:rPr>
          <w:rFonts w:asciiTheme="minorHAnsi" w:eastAsiaTheme="minorHAnsi" w:hAnsiTheme="minorHAnsi" w:cstheme="minorHAnsi"/>
          <w:b/>
          <w:bCs/>
          <w:lang w:eastAsia="en-US"/>
        </w:rPr>
        <w:t>a beacon of electoral democracy</w:t>
      </w:r>
      <w:r w:rsidRPr="009C793F">
        <w:rPr>
          <w:rFonts w:asciiTheme="minorHAnsi" w:eastAsiaTheme="minorHAnsi" w:hAnsiTheme="minorHAnsi" w:cstheme="minorHAnsi"/>
          <w:lang w:eastAsia="en-US"/>
        </w:rPr>
        <w:t xml:space="preserve"> convening elections as provided for in the constitution with the will of the people being respected on every single occasion. However, there are remaining challenges with specific regard to </w:t>
      </w:r>
      <w:r w:rsidRPr="009C793F">
        <w:rPr>
          <w:rFonts w:asciiTheme="minorHAnsi" w:eastAsiaTheme="minorHAnsi" w:hAnsiTheme="minorHAnsi" w:cstheme="minorHAnsi"/>
          <w:b/>
          <w:bCs/>
          <w:lang w:eastAsia="en-US"/>
        </w:rPr>
        <w:t>the need for stronger institutions and capacities for good governance</w:t>
      </w:r>
      <w:r w:rsidRPr="009C793F">
        <w:rPr>
          <w:rFonts w:asciiTheme="minorHAnsi" w:eastAsiaTheme="minorHAnsi" w:hAnsiTheme="minorHAnsi" w:cstheme="minorHAnsi"/>
          <w:lang w:eastAsia="en-US"/>
        </w:rPr>
        <w:t xml:space="preserve">. These include enhancing accountability and transparency; improved tax systems; </w:t>
      </w:r>
      <w:r w:rsidR="002B0010" w:rsidRPr="009C793F">
        <w:rPr>
          <w:rFonts w:asciiTheme="minorHAnsi" w:eastAsiaTheme="minorHAnsi" w:hAnsiTheme="minorHAnsi" w:cstheme="minorHAnsi"/>
          <w:lang w:eastAsia="en-US"/>
        </w:rPr>
        <w:t>improving</w:t>
      </w:r>
      <w:r w:rsidRPr="009C793F">
        <w:rPr>
          <w:rFonts w:asciiTheme="minorHAnsi" w:eastAsiaTheme="minorHAnsi" w:hAnsiTheme="minorHAnsi" w:cstheme="minorHAnsi"/>
          <w:lang w:eastAsia="en-US"/>
        </w:rPr>
        <w:t xml:space="preserve"> public sector </w:t>
      </w:r>
      <w:r w:rsidR="002B0010" w:rsidRPr="009C793F">
        <w:rPr>
          <w:rFonts w:asciiTheme="minorHAnsi" w:eastAsiaTheme="minorHAnsi" w:hAnsiTheme="minorHAnsi" w:cstheme="minorHAnsi"/>
          <w:lang w:eastAsia="en-US"/>
        </w:rPr>
        <w:t>efficiency and efficacy</w:t>
      </w:r>
      <w:r w:rsidRPr="009C793F">
        <w:rPr>
          <w:rFonts w:asciiTheme="minorHAnsi" w:eastAsiaTheme="minorHAnsi" w:hAnsiTheme="minorHAnsi" w:cstheme="minorHAnsi"/>
          <w:lang w:eastAsia="en-US"/>
        </w:rPr>
        <w:t>;</w:t>
      </w:r>
      <w:r w:rsidR="00DF6922" w:rsidRPr="009C793F">
        <w:rPr>
          <w:rFonts w:asciiTheme="minorHAnsi" w:eastAsiaTheme="minorHAnsi" w:hAnsiTheme="minorHAnsi" w:cstheme="minorHAnsi"/>
          <w:lang w:eastAsia="en-US"/>
        </w:rPr>
        <w:t xml:space="preserve"> </w:t>
      </w:r>
      <w:r w:rsidR="002B0010" w:rsidRPr="009C793F">
        <w:rPr>
          <w:rFonts w:asciiTheme="minorHAnsi" w:eastAsiaTheme="minorHAnsi" w:hAnsiTheme="minorHAnsi" w:cstheme="minorHAnsi"/>
          <w:lang w:eastAsia="en-US"/>
        </w:rPr>
        <w:t>improving</w:t>
      </w:r>
      <w:r w:rsidRPr="009C793F">
        <w:rPr>
          <w:rFonts w:asciiTheme="minorHAnsi" w:eastAsiaTheme="minorHAnsi" w:hAnsiTheme="minorHAnsi" w:cstheme="minorHAnsi"/>
          <w:lang w:eastAsia="en-US"/>
        </w:rPr>
        <w:t xml:space="preserve"> bipartisan mechanisms on matters of the highest national priority such as </w:t>
      </w:r>
      <w:r w:rsidR="00AA0FB7" w:rsidRPr="009C793F">
        <w:rPr>
          <w:rFonts w:asciiTheme="minorHAnsi" w:eastAsiaTheme="minorHAnsi" w:hAnsiTheme="minorHAnsi" w:cstheme="minorHAnsi"/>
          <w:lang w:eastAsia="en-US"/>
        </w:rPr>
        <w:t>dealing with the economic fall-out from COVID-19</w:t>
      </w:r>
      <w:r w:rsidR="00DF6922" w:rsidRPr="009C793F">
        <w:rPr>
          <w:rFonts w:asciiTheme="minorHAnsi" w:eastAsiaTheme="minorHAnsi" w:hAnsiTheme="minorHAnsi" w:cstheme="minorHAnsi"/>
          <w:lang w:eastAsia="en-US"/>
        </w:rPr>
        <w:t>; and</w:t>
      </w:r>
      <w:r w:rsidRPr="009C793F">
        <w:rPr>
          <w:rFonts w:asciiTheme="minorHAnsi" w:eastAsiaTheme="minorHAnsi" w:hAnsiTheme="minorHAnsi" w:cstheme="minorHAnsi"/>
          <w:lang w:eastAsia="en-US"/>
        </w:rPr>
        <w:t xml:space="preserve"> </w:t>
      </w:r>
      <w:r w:rsidRPr="009C793F">
        <w:rPr>
          <w:rFonts w:asciiTheme="minorHAnsi" w:eastAsiaTheme="minorHAnsi" w:hAnsiTheme="minorHAnsi" w:cstheme="minorHAnsi"/>
          <w:b/>
          <w:bCs/>
          <w:lang w:eastAsia="en-US"/>
        </w:rPr>
        <w:t>improving the administration of justice</w:t>
      </w:r>
      <w:r w:rsidR="00EF2F76" w:rsidRPr="009C793F">
        <w:rPr>
          <w:rFonts w:asciiTheme="minorHAnsi" w:eastAsiaTheme="minorHAnsi" w:hAnsiTheme="minorHAnsi" w:cstheme="minorHAnsi"/>
          <w:lang w:eastAsia="en-US"/>
        </w:rPr>
        <w:t>.</w:t>
      </w:r>
    </w:p>
    <w:p w14:paraId="53D55E4D" w14:textId="77777777" w:rsidR="00DE19C9" w:rsidRDefault="00DE19C9" w:rsidP="00DE19C9">
      <w:pPr>
        <w:jc w:val="both"/>
        <w:rPr>
          <w:rFonts w:asciiTheme="minorHAnsi" w:eastAsiaTheme="minorHAnsi" w:hAnsiTheme="minorHAnsi" w:cstheme="minorHAnsi"/>
          <w:b/>
          <w:bCs/>
          <w:lang w:eastAsia="en-US"/>
        </w:rPr>
      </w:pPr>
    </w:p>
    <w:p w14:paraId="0C556DB9" w14:textId="30DE1B98"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b/>
          <w:bCs/>
          <w:lang w:eastAsia="en-US"/>
        </w:rPr>
        <w:t>Crime and citizen security</w:t>
      </w:r>
      <w:r w:rsidRPr="009C793F">
        <w:rPr>
          <w:rFonts w:asciiTheme="minorHAnsi" w:eastAsiaTheme="minorHAnsi" w:hAnsiTheme="minorHAnsi" w:cstheme="minorHAnsi"/>
          <w:lang w:eastAsia="en-US"/>
        </w:rPr>
        <w:t xml:space="preserve"> remain a major issue for the country threatening the well-being of citizens</w:t>
      </w:r>
      <w:r w:rsidR="00DF6922" w:rsidRPr="009C793F">
        <w:rPr>
          <w:rFonts w:asciiTheme="minorHAnsi" w:eastAsiaTheme="minorHAnsi" w:hAnsiTheme="minorHAnsi" w:cstheme="minorHAnsi"/>
          <w:lang w:eastAsia="en-US"/>
        </w:rPr>
        <w:t>,</w:t>
      </w:r>
      <w:r w:rsidRPr="009C793F">
        <w:rPr>
          <w:rFonts w:asciiTheme="minorHAnsi" w:eastAsiaTheme="minorHAnsi" w:hAnsiTheme="minorHAnsi" w:cstheme="minorHAnsi"/>
          <w:lang w:eastAsia="en-US"/>
        </w:rPr>
        <w:t xml:space="preserve"> as well </w:t>
      </w:r>
      <w:r w:rsidR="00DF6922" w:rsidRPr="009C793F">
        <w:rPr>
          <w:rFonts w:asciiTheme="minorHAnsi" w:eastAsiaTheme="minorHAnsi" w:hAnsiTheme="minorHAnsi" w:cstheme="minorHAnsi"/>
          <w:lang w:eastAsia="en-US"/>
        </w:rPr>
        <w:t>as</w:t>
      </w:r>
      <w:r w:rsidRPr="009C793F">
        <w:rPr>
          <w:rFonts w:asciiTheme="minorHAnsi" w:eastAsiaTheme="minorHAnsi" w:hAnsiTheme="minorHAnsi" w:cstheme="minorHAnsi"/>
          <w:lang w:eastAsia="en-US"/>
        </w:rPr>
        <w:t xml:space="preserve"> the attractiveness of Trinidad and Tobago as a </w:t>
      </w:r>
      <w:r w:rsidR="00DF6922" w:rsidRPr="009C793F">
        <w:rPr>
          <w:rFonts w:asciiTheme="minorHAnsi" w:eastAsiaTheme="minorHAnsi" w:hAnsiTheme="minorHAnsi" w:cstheme="minorHAnsi"/>
          <w:lang w:eastAsia="en-US"/>
        </w:rPr>
        <w:t>hub for commercial and investment opportunities</w:t>
      </w:r>
      <w:r w:rsidRPr="009C793F">
        <w:rPr>
          <w:rFonts w:asciiTheme="minorHAnsi" w:eastAsiaTheme="minorHAnsi" w:hAnsiTheme="minorHAnsi" w:cstheme="minorHAnsi"/>
          <w:lang w:eastAsia="en-US"/>
        </w:rPr>
        <w:t xml:space="preserve">. Given the limited fiscal space of government and growing debt levels, SDG achievement is intricately connected to the availability of new sources of finance. Consequently, </w:t>
      </w:r>
      <w:r w:rsidRPr="009C793F">
        <w:rPr>
          <w:rFonts w:asciiTheme="minorHAnsi" w:eastAsiaTheme="minorHAnsi" w:hAnsiTheme="minorHAnsi" w:cstheme="minorHAnsi"/>
          <w:b/>
          <w:bCs/>
          <w:lang w:eastAsia="en-US"/>
        </w:rPr>
        <w:t>F</w:t>
      </w:r>
      <w:r w:rsidR="00DF6922" w:rsidRPr="009C793F">
        <w:rPr>
          <w:rFonts w:asciiTheme="minorHAnsi" w:eastAsiaTheme="minorHAnsi" w:hAnsiTheme="minorHAnsi" w:cstheme="minorHAnsi"/>
          <w:b/>
          <w:bCs/>
          <w:lang w:eastAsia="en-US"/>
        </w:rPr>
        <w:t>oreign Direct Investment (F</w:t>
      </w:r>
      <w:r w:rsidRPr="009C793F">
        <w:rPr>
          <w:rFonts w:asciiTheme="minorHAnsi" w:eastAsiaTheme="minorHAnsi" w:hAnsiTheme="minorHAnsi" w:cstheme="minorHAnsi"/>
          <w:b/>
          <w:bCs/>
          <w:lang w:eastAsia="en-US"/>
        </w:rPr>
        <w:t>DI</w:t>
      </w:r>
      <w:r w:rsidR="00DF6922" w:rsidRPr="009C793F">
        <w:rPr>
          <w:rFonts w:asciiTheme="minorHAnsi" w:eastAsiaTheme="minorHAnsi" w:hAnsiTheme="minorHAnsi" w:cstheme="minorHAnsi"/>
          <w:b/>
          <w:bCs/>
          <w:lang w:eastAsia="en-US"/>
        </w:rPr>
        <w:t>)</w:t>
      </w:r>
      <w:r w:rsidRPr="009C793F">
        <w:rPr>
          <w:rFonts w:asciiTheme="minorHAnsi" w:eastAsiaTheme="minorHAnsi" w:hAnsiTheme="minorHAnsi" w:cstheme="minorHAnsi"/>
          <w:b/>
          <w:bCs/>
          <w:lang w:eastAsia="en-US"/>
        </w:rPr>
        <w:t xml:space="preserve"> is crucial going forward</w:t>
      </w:r>
      <w:r w:rsidRPr="009C793F">
        <w:rPr>
          <w:rFonts w:asciiTheme="minorHAnsi" w:eastAsiaTheme="minorHAnsi" w:hAnsiTheme="minorHAnsi" w:cstheme="minorHAnsi"/>
          <w:lang w:eastAsia="en-US"/>
        </w:rPr>
        <w:t xml:space="preserve">. Inextricably linked to this is the </w:t>
      </w:r>
      <w:r w:rsidRPr="009C793F">
        <w:rPr>
          <w:rFonts w:asciiTheme="minorHAnsi" w:eastAsiaTheme="minorHAnsi" w:hAnsiTheme="minorHAnsi" w:cstheme="minorHAnsi"/>
          <w:i/>
          <w:iCs/>
          <w:lang w:eastAsia="en-US"/>
        </w:rPr>
        <w:t>sine qua non</w:t>
      </w:r>
      <w:r w:rsidRPr="009C793F">
        <w:rPr>
          <w:rFonts w:asciiTheme="minorHAnsi" w:eastAsiaTheme="minorHAnsi" w:hAnsiTheme="minorHAnsi" w:cstheme="minorHAnsi"/>
          <w:lang w:eastAsia="en-US"/>
        </w:rPr>
        <w:t xml:space="preserve"> of </w:t>
      </w:r>
      <w:r w:rsidRPr="009C793F">
        <w:rPr>
          <w:rFonts w:asciiTheme="minorHAnsi" w:eastAsiaTheme="minorHAnsi" w:hAnsiTheme="minorHAnsi" w:cstheme="minorHAnsi"/>
          <w:b/>
          <w:bCs/>
          <w:lang w:eastAsia="en-US"/>
        </w:rPr>
        <w:t>improving the ease of doing business</w:t>
      </w:r>
      <w:r w:rsidRPr="009C793F">
        <w:rPr>
          <w:rFonts w:asciiTheme="minorHAnsi" w:eastAsiaTheme="minorHAnsi" w:hAnsiTheme="minorHAnsi" w:cstheme="minorHAnsi"/>
          <w:lang w:eastAsia="en-US"/>
        </w:rPr>
        <w:t xml:space="preserve"> in Trinidad and Tobago with the implementation of the associated policy reforms.</w:t>
      </w:r>
    </w:p>
    <w:p w14:paraId="4023717E" w14:textId="77777777" w:rsidR="00DE19C9" w:rsidRDefault="00DE19C9" w:rsidP="00DE19C9">
      <w:pPr>
        <w:jc w:val="both"/>
        <w:rPr>
          <w:rFonts w:asciiTheme="minorHAnsi" w:eastAsiaTheme="minorHAnsi" w:hAnsiTheme="minorHAnsi" w:cstheme="minorHAnsi"/>
          <w:lang w:eastAsia="en-US"/>
        </w:rPr>
      </w:pPr>
    </w:p>
    <w:p w14:paraId="445F1CE9" w14:textId="3B9AE3D7"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t xml:space="preserve">Trinidad and Tobago has </w:t>
      </w:r>
      <w:r w:rsidRPr="009C793F">
        <w:rPr>
          <w:rFonts w:asciiTheme="minorHAnsi" w:eastAsiaTheme="minorHAnsi" w:hAnsiTheme="minorHAnsi" w:cstheme="minorHAnsi"/>
          <w:b/>
          <w:bCs/>
          <w:lang w:eastAsia="en-US"/>
        </w:rPr>
        <w:t>historically prioritised investments in social protection systems</w:t>
      </w:r>
      <w:r w:rsidR="00B71385" w:rsidRPr="009C793F">
        <w:rPr>
          <w:rFonts w:asciiTheme="minorHAnsi" w:eastAsiaTheme="minorHAnsi" w:hAnsiTheme="minorHAnsi" w:cstheme="minorHAnsi"/>
          <w:b/>
          <w:bCs/>
          <w:lang w:eastAsia="en-US"/>
        </w:rPr>
        <w:t>,</w:t>
      </w:r>
      <w:r w:rsidRPr="009C793F">
        <w:rPr>
          <w:rFonts w:asciiTheme="minorHAnsi" w:eastAsiaTheme="minorHAnsi" w:hAnsiTheme="minorHAnsi" w:cstheme="minorHAnsi"/>
          <w:lang w:eastAsia="en-US"/>
        </w:rPr>
        <w:t xml:space="preserve"> and protecting the vulnerable has been one of the foundations of government policy. However, </w:t>
      </w:r>
      <w:r w:rsidR="00B71385" w:rsidRPr="009C793F">
        <w:rPr>
          <w:rFonts w:asciiTheme="minorHAnsi" w:eastAsiaTheme="minorHAnsi" w:hAnsiTheme="minorHAnsi" w:cstheme="minorHAnsi"/>
          <w:lang w:eastAsia="en-US"/>
        </w:rPr>
        <w:t>the fiscal impact of COVID-19</w:t>
      </w:r>
      <w:r w:rsidRPr="009C793F">
        <w:rPr>
          <w:rFonts w:asciiTheme="minorHAnsi" w:eastAsiaTheme="minorHAnsi" w:hAnsiTheme="minorHAnsi" w:cstheme="minorHAnsi"/>
          <w:lang w:eastAsia="en-US"/>
        </w:rPr>
        <w:t xml:space="preserve"> will constrain the government’s capacity to provide support on a scale and scope as </w:t>
      </w:r>
      <w:r w:rsidR="00B71385" w:rsidRPr="009C793F">
        <w:rPr>
          <w:rFonts w:asciiTheme="minorHAnsi" w:eastAsiaTheme="minorHAnsi" w:hAnsiTheme="minorHAnsi" w:cstheme="minorHAnsi"/>
          <w:lang w:eastAsia="en-US"/>
        </w:rPr>
        <w:t>before</w:t>
      </w:r>
      <w:r w:rsidRPr="009C793F">
        <w:rPr>
          <w:rFonts w:asciiTheme="minorHAnsi" w:eastAsiaTheme="minorHAnsi" w:hAnsiTheme="minorHAnsi" w:cstheme="minorHAnsi"/>
          <w:lang w:eastAsia="en-US"/>
        </w:rPr>
        <w:t xml:space="preserve">. In this regard, </w:t>
      </w:r>
      <w:r w:rsidRPr="009C793F">
        <w:rPr>
          <w:rFonts w:asciiTheme="minorHAnsi" w:eastAsiaTheme="minorHAnsi" w:hAnsiTheme="minorHAnsi" w:cstheme="minorHAnsi"/>
          <w:b/>
          <w:bCs/>
          <w:lang w:eastAsia="en-US"/>
        </w:rPr>
        <w:t>value for money and efficient models of social protection</w:t>
      </w:r>
      <w:r w:rsidR="00B71385" w:rsidRPr="009C793F">
        <w:rPr>
          <w:rFonts w:asciiTheme="minorHAnsi" w:eastAsiaTheme="minorHAnsi" w:hAnsiTheme="minorHAnsi" w:cstheme="minorHAnsi"/>
          <w:b/>
          <w:bCs/>
          <w:lang w:eastAsia="en-US"/>
        </w:rPr>
        <w:t>,</w:t>
      </w:r>
      <w:r w:rsidRPr="009C793F">
        <w:rPr>
          <w:rFonts w:asciiTheme="minorHAnsi" w:eastAsiaTheme="minorHAnsi" w:hAnsiTheme="minorHAnsi" w:cstheme="minorHAnsi"/>
          <w:b/>
          <w:bCs/>
          <w:lang w:eastAsia="en-US"/>
        </w:rPr>
        <w:t xml:space="preserve"> </w:t>
      </w:r>
      <w:r w:rsidRPr="009C793F">
        <w:rPr>
          <w:rFonts w:asciiTheme="minorHAnsi" w:eastAsiaTheme="minorHAnsi" w:hAnsiTheme="minorHAnsi" w:cstheme="minorHAnsi"/>
          <w:lang w:eastAsia="en-US"/>
        </w:rPr>
        <w:t xml:space="preserve">including through a </w:t>
      </w:r>
      <w:r w:rsidRPr="009C793F">
        <w:rPr>
          <w:rFonts w:asciiTheme="minorHAnsi" w:eastAsiaTheme="minorHAnsi" w:hAnsiTheme="minorHAnsi" w:cstheme="minorHAnsi"/>
          <w:b/>
          <w:bCs/>
          <w:lang w:eastAsia="en-US"/>
        </w:rPr>
        <w:t xml:space="preserve">transformed and </w:t>
      </w:r>
      <w:r w:rsidR="006509DB" w:rsidRPr="009C793F">
        <w:rPr>
          <w:rFonts w:asciiTheme="minorHAnsi" w:eastAsiaTheme="minorHAnsi" w:hAnsiTheme="minorHAnsi" w:cstheme="minorHAnsi"/>
          <w:b/>
          <w:bCs/>
          <w:lang w:eastAsia="en-US"/>
        </w:rPr>
        <w:t>digitized</w:t>
      </w:r>
      <w:r w:rsidRPr="009C793F">
        <w:rPr>
          <w:rFonts w:asciiTheme="minorHAnsi" w:eastAsiaTheme="minorHAnsi" w:hAnsiTheme="minorHAnsi" w:cstheme="minorHAnsi"/>
          <w:lang w:eastAsia="en-US"/>
        </w:rPr>
        <w:t xml:space="preserve"> </w:t>
      </w:r>
      <w:r w:rsidRPr="009C793F">
        <w:rPr>
          <w:rFonts w:asciiTheme="minorHAnsi" w:eastAsiaTheme="minorHAnsi" w:hAnsiTheme="minorHAnsi" w:cstheme="minorHAnsi"/>
          <w:b/>
          <w:bCs/>
          <w:lang w:eastAsia="en-US"/>
        </w:rPr>
        <w:t>public sector</w:t>
      </w:r>
      <w:r w:rsidR="00B71385" w:rsidRPr="009C793F">
        <w:rPr>
          <w:rFonts w:asciiTheme="minorHAnsi" w:eastAsiaTheme="minorHAnsi" w:hAnsiTheme="minorHAnsi" w:cstheme="minorHAnsi"/>
          <w:lang w:eastAsia="en-US"/>
        </w:rPr>
        <w:t>,</w:t>
      </w:r>
      <w:r w:rsidRPr="009C793F">
        <w:rPr>
          <w:rFonts w:asciiTheme="minorHAnsi" w:eastAsiaTheme="minorHAnsi" w:hAnsiTheme="minorHAnsi" w:cstheme="minorHAnsi"/>
          <w:lang w:eastAsia="en-US"/>
        </w:rPr>
        <w:t xml:space="preserve"> are high priorities.</w:t>
      </w:r>
    </w:p>
    <w:p w14:paraId="004C451C" w14:textId="77777777" w:rsidR="00DE19C9" w:rsidRDefault="00DE19C9" w:rsidP="00DE19C9">
      <w:pPr>
        <w:jc w:val="both"/>
        <w:rPr>
          <w:rFonts w:asciiTheme="minorHAnsi" w:eastAsiaTheme="minorHAnsi" w:hAnsiTheme="minorHAnsi" w:cstheme="minorHAnsi"/>
          <w:lang w:eastAsia="en-US"/>
        </w:rPr>
      </w:pPr>
    </w:p>
    <w:p w14:paraId="0FE4F429" w14:textId="2AC5C611"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lastRenderedPageBreak/>
        <w:t xml:space="preserve">The SDGs are about leaving no one behind and having a forensic focus to </w:t>
      </w:r>
      <w:r w:rsidRPr="009C793F">
        <w:rPr>
          <w:rFonts w:asciiTheme="minorHAnsi" w:eastAsiaTheme="minorHAnsi" w:hAnsiTheme="minorHAnsi" w:cstheme="minorHAnsi"/>
          <w:b/>
          <w:bCs/>
          <w:lang w:eastAsia="en-US"/>
        </w:rPr>
        <w:t xml:space="preserve">ensure that those left furthest behind </w:t>
      </w:r>
      <w:r w:rsidR="00B71385" w:rsidRPr="009C793F">
        <w:rPr>
          <w:rFonts w:asciiTheme="minorHAnsi" w:eastAsiaTheme="minorHAnsi" w:hAnsiTheme="minorHAnsi" w:cstheme="minorHAnsi"/>
          <w:lang w:eastAsia="en-US"/>
        </w:rPr>
        <w:t>are mainstreamed into national policies and plans</w:t>
      </w:r>
      <w:r w:rsidRPr="009C793F">
        <w:rPr>
          <w:rFonts w:asciiTheme="minorHAnsi" w:eastAsiaTheme="minorHAnsi" w:hAnsiTheme="minorHAnsi" w:cstheme="minorHAnsi"/>
          <w:b/>
          <w:bCs/>
          <w:lang w:eastAsia="en-US"/>
        </w:rPr>
        <w:t xml:space="preserve"> </w:t>
      </w:r>
      <w:r w:rsidRPr="009C793F">
        <w:rPr>
          <w:rFonts w:asciiTheme="minorHAnsi" w:eastAsiaTheme="minorHAnsi" w:hAnsiTheme="minorHAnsi" w:cstheme="minorHAnsi"/>
          <w:lang w:eastAsia="en-US"/>
        </w:rPr>
        <w:t xml:space="preserve">will be essential going forward. They include the most vulnerable segments of the population such as </w:t>
      </w:r>
      <w:r w:rsidR="008C0C58" w:rsidRPr="009C793F">
        <w:rPr>
          <w:rFonts w:asciiTheme="minorHAnsi" w:eastAsiaTheme="minorHAnsi" w:hAnsiTheme="minorHAnsi" w:cstheme="minorHAnsi"/>
          <w:lang w:eastAsia="en-US"/>
        </w:rPr>
        <w:t xml:space="preserve">persons with disabilities, the socially displaced, </w:t>
      </w:r>
      <w:r w:rsidRPr="009C793F">
        <w:rPr>
          <w:rFonts w:asciiTheme="minorHAnsi" w:eastAsiaTheme="minorHAnsi" w:hAnsiTheme="minorHAnsi" w:cstheme="minorHAnsi"/>
          <w:lang w:eastAsia="en-US"/>
        </w:rPr>
        <w:t xml:space="preserve">migrants and refugees. In this regard, establishing policy coherence using a human rights-based approach and putting in place the requisite implementation support systems are vital. </w:t>
      </w:r>
      <w:r w:rsidR="008C0C58" w:rsidRPr="009C793F">
        <w:rPr>
          <w:rFonts w:asciiTheme="minorHAnsi" w:eastAsiaTheme="minorHAnsi" w:hAnsiTheme="minorHAnsi" w:cstheme="minorHAnsi"/>
          <w:lang w:eastAsia="en-US"/>
        </w:rPr>
        <w:t>T</w:t>
      </w:r>
      <w:r w:rsidRPr="009C793F">
        <w:rPr>
          <w:rFonts w:asciiTheme="minorHAnsi" w:eastAsiaTheme="minorHAnsi" w:hAnsiTheme="minorHAnsi" w:cstheme="minorHAnsi"/>
          <w:lang w:eastAsia="en-US"/>
        </w:rPr>
        <w:t>he</w:t>
      </w:r>
      <w:r w:rsidR="00EF2F76" w:rsidRPr="009C793F">
        <w:rPr>
          <w:rFonts w:asciiTheme="minorHAnsi" w:eastAsiaTheme="minorHAnsi" w:hAnsiTheme="minorHAnsi" w:cstheme="minorHAnsi"/>
          <w:lang w:eastAsia="en-US"/>
        </w:rPr>
        <w:t xml:space="preserve"> </w:t>
      </w:r>
      <w:r w:rsidRPr="009C793F">
        <w:rPr>
          <w:rFonts w:asciiTheme="minorHAnsi" w:eastAsiaTheme="minorHAnsi" w:hAnsiTheme="minorHAnsi" w:cstheme="minorHAnsi"/>
          <w:b/>
          <w:bCs/>
          <w:lang w:eastAsia="en-US"/>
        </w:rPr>
        <w:t>institutionalisation of human rights capacities</w:t>
      </w:r>
      <w:r w:rsidRPr="009C793F">
        <w:rPr>
          <w:rFonts w:asciiTheme="minorHAnsi" w:eastAsiaTheme="minorHAnsi" w:hAnsiTheme="minorHAnsi" w:cstheme="minorHAnsi"/>
          <w:lang w:eastAsia="en-US"/>
        </w:rPr>
        <w:t xml:space="preserve"> in an independent entity is consistent with the country’s developed state aspirations. </w:t>
      </w:r>
    </w:p>
    <w:p w14:paraId="760927C5" w14:textId="77777777" w:rsidR="00DE19C9" w:rsidRDefault="00DE19C9" w:rsidP="00DE19C9">
      <w:pPr>
        <w:jc w:val="both"/>
        <w:rPr>
          <w:rFonts w:asciiTheme="minorHAnsi" w:eastAsiaTheme="minorHAnsi" w:hAnsiTheme="minorHAnsi" w:cstheme="minorHAnsi"/>
          <w:lang w:eastAsia="en-US"/>
        </w:rPr>
      </w:pPr>
    </w:p>
    <w:p w14:paraId="5D777061" w14:textId="0903E8DD" w:rsidR="008F1FB0" w:rsidRPr="009C793F" w:rsidRDefault="008F1FB0" w:rsidP="00DE19C9">
      <w:pPr>
        <w:jc w:val="both"/>
        <w:rPr>
          <w:rFonts w:asciiTheme="minorHAnsi" w:eastAsiaTheme="minorHAnsi" w:hAnsiTheme="minorHAnsi" w:cstheme="minorHAnsi"/>
          <w:lang w:eastAsia="en-US"/>
        </w:rPr>
      </w:pPr>
      <w:r w:rsidRPr="009C793F">
        <w:rPr>
          <w:rFonts w:asciiTheme="minorHAnsi" w:eastAsiaTheme="minorHAnsi" w:hAnsiTheme="minorHAnsi" w:cstheme="minorHAnsi"/>
          <w:lang w:eastAsia="en-US"/>
        </w:rPr>
        <w:t>Based on extensive consultations</w:t>
      </w:r>
      <w:r w:rsidR="002B2568" w:rsidRPr="009C793F">
        <w:rPr>
          <w:rFonts w:asciiTheme="minorHAnsi" w:eastAsiaTheme="minorHAnsi" w:hAnsiTheme="minorHAnsi" w:cstheme="minorHAnsi"/>
          <w:lang w:eastAsia="en-US"/>
        </w:rPr>
        <w:t xml:space="preserve"> and its own comparative advantages</w:t>
      </w:r>
      <w:r w:rsidRPr="009C793F">
        <w:rPr>
          <w:rFonts w:asciiTheme="minorHAnsi" w:eastAsiaTheme="minorHAnsi" w:hAnsiTheme="minorHAnsi" w:cstheme="minorHAnsi"/>
          <w:lang w:eastAsia="en-US"/>
        </w:rPr>
        <w:t xml:space="preserve">, the UNCT </w:t>
      </w:r>
      <w:r w:rsidR="00C344DD" w:rsidRPr="009C793F">
        <w:rPr>
          <w:rFonts w:asciiTheme="minorHAnsi" w:eastAsiaTheme="minorHAnsi" w:hAnsiTheme="minorHAnsi" w:cstheme="minorHAnsi"/>
          <w:lang w:eastAsia="en-US"/>
        </w:rPr>
        <w:t xml:space="preserve">is convinced it </w:t>
      </w:r>
      <w:r w:rsidRPr="009C793F">
        <w:rPr>
          <w:rFonts w:asciiTheme="minorHAnsi" w:eastAsiaTheme="minorHAnsi" w:hAnsiTheme="minorHAnsi" w:cstheme="minorHAnsi"/>
          <w:lang w:eastAsia="en-US"/>
        </w:rPr>
        <w:t>can play a vital role in helping Trinidad and Tobago achieve its SDG aspirations</w:t>
      </w:r>
      <w:r w:rsidR="00C344DD" w:rsidRPr="009C793F">
        <w:rPr>
          <w:rFonts w:asciiTheme="minorHAnsi" w:eastAsiaTheme="minorHAnsi" w:hAnsiTheme="minorHAnsi" w:cstheme="minorHAnsi"/>
          <w:lang w:eastAsia="en-US"/>
        </w:rPr>
        <w:t xml:space="preserve"> by</w:t>
      </w:r>
      <w:r w:rsidRPr="009C793F">
        <w:rPr>
          <w:rFonts w:asciiTheme="minorHAnsi" w:eastAsiaTheme="minorHAnsi" w:hAnsiTheme="minorHAnsi" w:cstheme="minorHAnsi"/>
          <w:b/>
          <w:bCs/>
          <w:lang w:eastAsia="en-US"/>
        </w:rPr>
        <w:t xml:space="preserve"> add</w:t>
      </w:r>
      <w:r w:rsidR="00C344DD" w:rsidRPr="009C793F">
        <w:rPr>
          <w:rFonts w:asciiTheme="minorHAnsi" w:eastAsiaTheme="minorHAnsi" w:hAnsiTheme="minorHAnsi" w:cstheme="minorHAnsi"/>
          <w:b/>
          <w:bCs/>
          <w:lang w:eastAsia="en-US"/>
        </w:rPr>
        <w:t>ing</w:t>
      </w:r>
      <w:r w:rsidRPr="009C793F">
        <w:rPr>
          <w:rFonts w:asciiTheme="minorHAnsi" w:eastAsiaTheme="minorHAnsi" w:hAnsiTheme="minorHAnsi" w:cstheme="minorHAnsi"/>
          <w:b/>
          <w:bCs/>
          <w:lang w:eastAsia="en-US"/>
        </w:rPr>
        <w:t xml:space="preserve"> demonstrable value, lend</w:t>
      </w:r>
      <w:r w:rsidR="00C344DD" w:rsidRPr="009C793F">
        <w:rPr>
          <w:rFonts w:asciiTheme="minorHAnsi" w:eastAsiaTheme="minorHAnsi" w:hAnsiTheme="minorHAnsi" w:cstheme="minorHAnsi"/>
          <w:b/>
          <w:bCs/>
          <w:lang w:eastAsia="en-US"/>
        </w:rPr>
        <w:t>ing</w:t>
      </w:r>
      <w:r w:rsidRPr="009C793F">
        <w:rPr>
          <w:rFonts w:asciiTheme="minorHAnsi" w:eastAsiaTheme="minorHAnsi" w:hAnsiTheme="minorHAnsi" w:cstheme="minorHAnsi"/>
          <w:b/>
          <w:bCs/>
          <w:lang w:eastAsia="en-US"/>
        </w:rPr>
        <w:t xml:space="preserve"> substance, bring</w:t>
      </w:r>
      <w:r w:rsidR="00C344DD" w:rsidRPr="009C793F">
        <w:rPr>
          <w:rFonts w:asciiTheme="minorHAnsi" w:eastAsiaTheme="minorHAnsi" w:hAnsiTheme="minorHAnsi" w:cstheme="minorHAnsi"/>
          <w:b/>
          <w:bCs/>
          <w:lang w:eastAsia="en-US"/>
        </w:rPr>
        <w:t>ing</w:t>
      </w:r>
      <w:r w:rsidRPr="009C793F">
        <w:rPr>
          <w:rFonts w:asciiTheme="minorHAnsi" w:eastAsiaTheme="minorHAnsi" w:hAnsiTheme="minorHAnsi" w:cstheme="minorHAnsi"/>
          <w:b/>
          <w:bCs/>
          <w:lang w:eastAsia="en-US"/>
        </w:rPr>
        <w:t xml:space="preserve"> global experience, and levera</w:t>
      </w:r>
      <w:r w:rsidR="00C344DD" w:rsidRPr="009C793F">
        <w:rPr>
          <w:rFonts w:asciiTheme="minorHAnsi" w:eastAsiaTheme="minorHAnsi" w:hAnsiTheme="minorHAnsi" w:cstheme="minorHAnsi"/>
          <w:b/>
          <w:bCs/>
          <w:lang w:eastAsia="en-US"/>
        </w:rPr>
        <w:t>ging</w:t>
      </w:r>
      <w:r w:rsidRPr="009C793F">
        <w:rPr>
          <w:rFonts w:asciiTheme="minorHAnsi" w:eastAsiaTheme="minorHAnsi" w:hAnsiTheme="minorHAnsi" w:cstheme="minorHAnsi"/>
          <w:b/>
          <w:bCs/>
          <w:lang w:eastAsia="en-US"/>
        </w:rPr>
        <w:t xml:space="preserve"> its convening power</w:t>
      </w:r>
      <w:r w:rsidRPr="009C793F">
        <w:rPr>
          <w:rFonts w:asciiTheme="minorHAnsi" w:eastAsiaTheme="minorHAnsi" w:hAnsiTheme="minorHAnsi" w:cstheme="minorHAnsi"/>
          <w:lang w:eastAsia="en-US"/>
        </w:rPr>
        <w:t>. Th</w:t>
      </w:r>
      <w:r w:rsidR="00C344DD" w:rsidRPr="009C793F">
        <w:rPr>
          <w:rFonts w:asciiTheme="minorHAnsi" w:eastAsiaTheme="minorHAnsi" w:hAnsiTheme="minorHAnsi" w:cstheme="minorHAnsi"/>
          <w:lang w:eastAsia="en-US"/>
        </w:rPr>
        <w:t>is</w:t>
      </w:r>
      <w:r w:rsidRPr="009C793F">
        <w:rPr>
          <w:rFonts w:asciiTheme="minorHAnsi" w:eastAsiaTheme="minorHAnsi" w:hAnsiTheme="minorHAnsi" w:cstheme="minorHAnsi"/>
          <w:lang w:eastAsia="en-US"/>
        </w:rPr>
        <w:t xml:space="preserve"> include</w:t>
      </w:r>
      <w:r w:rsidR="00C344DD" w:rsidRPr="009C793F">
        <w:rPr>
          <w:rFonts w:asciiTheme="minorHAnsi" w:eastAsiaTheme="minorHAnsi" w:hAnsiTheme="minorHAnsi" w:cstheme="minorHAnsi"/>
          <w:lang w:eastAsia="en-US"/>
        </w:rPr>
        <w:t>s</w:t>
      </w:r>
      <w:r w:rsidRPr="009C793F">
        <w:rPr>
          <w:rFonts w:asciiTheme="minorHAnsi" w:eastAsiaTheme="minorHAnsi" w:hAnsiTheme="minorHAnsi" w:cstheme="minorHAnsi"/>
          <w:lang w:eastAsia="en-US"/>
        </w:rPr>
        <w:t xml:space="preserve"> providing </w:t>
      </w:r>
      <w:r w:rsidRPr="009C793F">
        <w:rPr>
          <w:rFonts w:asciiTheme="minorHAnsi" w:eastAsiaTheme="minorHAnsi" w:hAnsiTheme="minorHAnsi" w:cstheme="minorHAnsi"/>
          <w:b/>
          <w:bCs/>
          <w:lang w:eastAsia="en-US"/>
        </w:rPr>
        <w:t>support to the achievement of Vision 2030</w:t>
      </w:r>
      <w:r w:rsidRPr="009C793F">
        <w:rPr>
          <w:rFonts w:asciiTheme="minorHAnsi" w:eastAsiaTheme="minorHAnsi" w:hAnsiTheme="minorHAnsi" w:cstheme="minorHAnsi"/>
          <w:lang w:eastAsia="en-US"/>
        </w:rPr>
        <w:t>.</w:t>
      </w:r>
    </w:p>
    <w:p w14:paraId="5212A2C4" w14:textId="77777777" w:rsidR="00DE19C9" w:rsidRDefault="00DE19C9" w:rsidP="00DE19C9">
      <w:pPr>
        <w:jc w:val="both"/>
        <w:rPr>
          <w:rFonts w:asciiTheme="minorHAnsi" w:eastAsiaTheme="minorHAnsi" w:hAnsiTheme="minorHAnsi" w:cstheme="minorHAnsi"/>
          <w:lang w:eastAsia="en-US"/>
        </w:rPr>
      </w:pPr>
    </w:p>
    <w:p w14:paraId="4A1F2EE0" w14:textId="5847B5B4" w:rsidR="008F1FB0" w:rsidRPr="009C793F" w:rsidRDefault="00C344DD" w:rsidP="00DE19C9">
      <w:pPr>
        <w:jc w:val="both"/>
        <w:rPr>
          <w:rFonts w:asciiTheme="minorHAnsi" w:eastAsiaTheme="minorHAnsi" w:hAnsiTheme="minorHAnsi" w:cstheme="minorHAnsi"/>
          <w:b/>
          <w:bCs/>
          <w:lang w:eastAsia="en-US"/>
        </w:rPr>
      </w:pPr>
      <w:r w:rsidRPr="009C793F">
        <w:rPr>
          <w:rFonts w:asciiTheme="minorHAnsi" w:eastAsiaTheme="minorHAnsi" w:hAnsiTheme="minorHAnsi" w:cstheme="minorHAnsi"/>
          <w:lang w:eastAsia="en-US"/>
        </w:rPr>
        <w:t>As we enter the Decade of Action to</w:t>
      </w:r>
      <w:r w:rsidR="008F1FB0" w:rsidRPr="009C793F">
        <w:rPr>
          <w:rFonts w:asciiTheme="minorHAnsi" w:eastAsiaTheme="minorHAnsi" w:hAnsiTheme="minorHAnsi" w:cstheme="minorHAnsi"/>
          <w:lang w:eastAsia="en-US"/>
        </w:rPr>
        <w:t xml:space="preserve"> achiev</w:t>
      </w:r>
      <w:r w:rsidRPr="009C793F">
        <w:rPr>
          <w:rFonts w:asciiTheme="minorHAnsi" w:eastAsiaTheme="minorHAnsi" w:hAnsiTheme="minorHAnsi" w:cstheme="minorHAnsi"/>
          <w:lang w:eastAsia="en-US"/>
        </w:rPr>
        <w:t>ing</w:t>
      </w:r>
      <w:r w:rsidR="008F1FB0" w:rsidRPr="009C793F">
        <w:rPr>
          <w:rFonts w:asciiTheme="minorHAnsi" w:eastAsiaTheme="minorHAnsi" w:hAnsiTheme="minorHAnsi" w:cstheme="minorHAnsi"/>
          <w:lang w:eastAsia="en-US"/>
        </w:rPr>
        <w:t xml:space="preserve"> the SDGs and Vision 2030, </w:t>
      </w:r>
      <w:r w:rsidR="008F1FB0" w:rsidRPr="009C793F">
        <w:rPr>
          <w:rFonts w:asciiTheme="minorHAnsi" w:eastAsiaTheme="minorHAnsi" w:hAnsiTheme="minorHAnsi" w:cstheme="minorHAnsi"/>
          <w:b/>
          <w:bCs/>
          <w:lang w:eastAsia="en-US"/>
        </w:rPr>
        <w:t>measurement and monitoring of progress</w:t>
      </w:r>
      <w:r w:rsidR="008F1FB0" w:rsidRPr="009C793F">
        <w:rPr>
          <w:rFonts w:asciiTheme="minorHAnsi" w:eastAsiaTheme="minorHAnsi" w:hAnsiTheme="minorHAnsi" w:cstheme="minorHAnsi"/>
          <w:lang w:eastAsia="en-US"/>
        </w:rPr>
        <w:t xml:space="preserve"> is essential. Trinidad and Tobago</w:t>
      </w:r>
      <w:r w:rsidRPr="009C793F">
        <w:rPr>
          <w:rFonts w:asciiTheme="minorHAnsi" w:eastAsiaTheme="minorHAnsi" w:hAnsiTheme="minorHAnsi" w:cstheme="minorHAnsi"/>
          <w:lang w:eastAsia="en-US"/>
        </w:rPr>
        <w:t xml:space="preserve"> has</w:t>
      </w:r>
      <w:r w:rsidR="008F1FB0" w:rsidRPr="009C793F">
        <w:rPr>
          <w:rFonts w:asciiTheme="minorHAnsi" w:eastAsiaTheme="minorHAnsi" w:hAnsiTheme="minorHAnsi" w:cstheme="minorHAnsi"/>
          <w:lang w:eastAsia="en-US"/>
        </w:rPr>
        <w:t xml:space="preserve"> </w:t>
      </w:r>
      <w:r w:rsidR="006509DB" w:rsidRPr="009C793F">
        <w:rPr>
          <w:rFonts w:asciiTheme="minorHAnsi" w:eastAsiaTheme="minorHAnsi" w:hAnsiTheme="minorHAnsi" w:cstheme="minorHAnsi"/>
          <w:lang w:eastAsia="en-US"/>
        </w:rPr>
        <w:t>recognized</w:t>
      </w:r>
      <w:r w:rsidR="008F1FB0" w:rsidRPr="009C793F">
        <w:rPr>
          <w:rFonts w:asciiTheme="minorHAnsi" w:eastAsiaTheme="minorHAnsi" w:hAnsiTheme="minorHAnsi" w:cstheme="minorHAnsi"/>
          <w:lang w:eastAsia="en-US"/>
        </w:rPr>
        <w:t xml:space="preserve"> </w:t>
      </w:r>
      <w:r w:rsidRPr="009C793F">
        <w:rPr>
          <w:rFonts w:asciiTheme="minorHAnsi" w:eastAsiaTheme="minorHAnsi" w:hAnsiTheme="minorHAnsi" w:cstheme="minorHAnsi"/>
          <w:lang w:eastAsia="en-US"/>
        </w:rPr>
        <w:t>the need to improve its</w:t>
      </w:r>
      <w:r w:rsidR="008F1FB0" w:rsidRPr="009C793F">
        <w:rPr>
          <w:rFonts w:asciiTheme="minorHAnsi" w:eastAsiaTheme="minorHAnsi" w:hAnsiTheme="minorHAnsi" w:cstheme="minorHAnsi"/>
          <w:lang w:eastAsia="en-US"/>
        </w:rPr>
        <w:t xml:space="preserve"> statistical capacity in terms of sound data analytics to measure, monitor, and track SDG progress. The UN</w:t>
      </w:r>
      <w:r w:rsidRPr="009C793F">
        <w:rPr>
          <w:rFonts w:asciiTheme="minorHAnsi" w:eastAsiaTheme="minorHAnsi" w:hAnsiTheme="minorHAnsi" w:cstheme="minorHAnsi"/>
          <w:lang w:eastAsia="en-US"/>
        </w:rPr>
        <w:t xml:space="preserve"> </w:t>
      </w:r>
      <w:r w:rsidR="00EF2F76" w:rsidRPr="009C793F">
        <w:rPr>
          <w:rFonts w:asciiTheme="minorHAnsi" w:eastAsiaTheme="minorHAnsi" w:hAnsiTheme="minorHAnsi" w:cstheme="minorHAnsi"/>
          <w:lang w:eastAsia="en-US"/>
        </w:rPr>
        <w:t xml:space="preserve">can </w:t>
      </w:r>
      <w:r w:rsidR="0063312A" w:rsidRPr="009C793F">
        <w:rPr>
          <w:rFonts w:asciiTheme="minorHAnsi" w:eastAsiaTheme="minorHAnsi" w:hAnsiTheme="minorHAnsi" w:cstheme="minorHAnsi"/>
          <w:lang w:eastAsia="en-US"/>
        </w:rPr>
        <w:t>assist</w:t>
      </w:r>
      <w:r w:rsidR="008F1FB0" w:rsidRPr="009C793F">
        <w:rPr>
          <w:rFonts w:asciiTheme="minorHAnsi" w:eastAsiaTheme="minorHAnsi" w:hAnsiTheme="minorHAnsi" w:cstheme="minorHAnsi"/>
          <w:lang w:eastAsia="en-US"/>
        </w:rPr>
        <w:t xml:space="preserve"> Trinidad and Tobago build stronger systems for </w:t>
      </w:r>
      <w:r w:rsidR="009B7027" w:rsidRPr="009C793F">
        <w:rPr>
          <w:rFonts w:asciiTheme="minorHAnsi" w:eastAsiaTheme="minorHAnsi" w:hAnsiTheme="minorHAnsi" w:cstheme="minorHAnsi"/>
          <w:lang w:eastAsia="en-US"/>
        </w:rPr>
        <w:t xml:space="preserve">tracking and assessment of SDG advancement. </w:t>
      </w:r>
      <w:r w:rsidR="008F1FB0" w:rsidRPr="009C793F">
        <w:rPr>
          <w:rFonts w:asciiTheme="minorHAnsi" w:eastAsiaTheme="minorHAnsi" w:hAnsiTheme="minorHAnsi" w:cstheme="minorHAnsi"/>
          <w:lang w:eastAsia="en-US"/>
        </w:rPr>
        <w:t xml:space="preserve"> With the requisite data and systems, the UN can </w:t>
      </w:r>
      <w:r w:rsidR="00E6128E" w:rsidRPr="009C793F">
        <w:rPr>
          <w:rFonts w:asciiTheme="minorHAnsi" w:eastAsiaTheme="minorHAnsi" w:hAnsiTheme="minorHAnsi" w:cstheme="minorHAnsi"/>
          <w:lang w:eastAsia="en-US"/>
        </w:rPr>
        <w:t>support</w:t>
      </w:r>
      <w:r w:rsidR="008F1FB0" w:rsidRPr="009C793F">
        <w:rPr>
          <w:rFonts w:asciiTheme="minorHAnsi" w:eastAsiaTheme="minorHAnsi" w:hAnsiTheme="minorHAnsi" w:cstheme="minorHAnsi"/>
          <w:lang w:eastAsia="en-US"/>
        </w:rPr>
        <w:t xml:space="preserve"> Trinidad and Tobago transform the performance of its social protection systems through </w:t>
      </w:r>
      <w:r w:rsidR="008F1FB0" w:rsidRPr="009C793F">
        <w:rPr>
          <w:rFonts w:asciiTheme="minorHAnsi" w:eastAsiaTheme="minorHAnsi" w:hAnsiTheme="minorHAnsi" w:cstheme="minorHAnsi"/>
          <w:b/>
          <w:bCs/>
          <w:lang w:eastAsia="en-US"/>
        </w:rPr>
        <w:t>state-of-the-art measurement and evaluation systems.</w:t>
      </w:r>
    </w:p>
    <w:p w14:paraId="4E3BBCFC" w14:textId="77777777" w:rsidR="00DE19C9" w:rsidRDefault="00DE19C9" w:rsidP="00DE19C9">
      <w:pPr>
        <w:jc w:val="both"/>
        <w:rPr>
          <w:rFonts w:asciiTheme="minorHAnsi" w:eastAsiaTheme="minorHAnsi" w:hAnsiTheme="minorHAnsi" w:cstheme="minorHAnsi"/>
          <w:b/>
          <w:bCs/>
          <w:lang w:eastAsia="en-US"/>
        </w:rPr>
      </w:pPr>
    </w:p>
    <w:p w14:paraId="21845725" w14:textId="36B9DBB3" w:rsidR="00A01515" w:rsidRPr="009C793F" w:rsidRDefault="008F1FB0" w:rsidP="00DE19C9">
      <w:pPr>
        <w:jc w:val="both"/>
        <w:rPr>
          <w:rFonts w:asciiTheme="minorHAnsi" w:hAnsiTheme="minorHAnsi" w:cstheme="minorHAnsi"/>
          <w:b/>
          <w:color w:val="2F5496"/>
        </w:rPr>
      </w:pPr>
      <w:r w:rsidRPr="009C793F">
        <w:rPr>
          <w:rFonts w:asciiTheme="minorHAnsi" w:eastAsiaTheme="minorHAnsi" w:hAnsiTheme="minorHAnsi" w:cstheme="minorHAnsi"/>
          <w:b/>
          <w:bCs/>
          <w:lang w:eastAsia="en-US"/>
        </w:rPr>
        <w:t>SDG 17</w:t>
      </w:r>
      <w:r w:rsidR="00E6128E" w:rsidRPr="009C793F">
        <w:rPr>
          <w:rFonts w:asciiTheme="minorHAnsi" w:eastAsiaTheme="minorHAnsi" w:hAnsiTheme="minorHAnsi" w:cstheme="minorHAnsi"/>
          <w:b/>
          <w:bCs/>
          <w:lang w:eastAsia="en-US"/>
        </w:rPr>
        <w:t xml:space="preserve"> </w:t>
      </w:r>
      <w:r w:rsidR="00C86F4B">
        <w:rPr>
          <w:rFonts w:asciiTheme="minorHAnsi" w:eastAsiaTheme="minorHAnsi" w:hAnsiTheme="minorHAnsi" w:cstheme="minorHAnsi"/>
          <w:b/>
          <w:bCs/>
          <w:lang w:eastAsia="en-US"/>
        </w:rPr>
        <w:t xml:space="preserve">is </w:t>
      </w:r>
      <w:r w:rsidRPr="009C793F">
        <w:rPr>
          <w:rFonts w:asciiTheme="minorHAnsi" w:eastAsiaTheme="minorHAnsi" w:hAnsiTheme="minorHAnsi" w:cstheme="minorHAnsi"/>
          <w:b/>
          <w:bCs/>
          <w:lang w:eastAsia="en-US"/>
        </w:rPr>
        <w:t>critical for Trinidad and Tobago</w:t>
      </w:r>
      <w:r w:rsidRPr="009C793F">
        <w:rPr>
          <w:rFonts w:asciiTheme="minorHAnsi" w:eastAsiaTheme="minorHAnsi" w:hAnsiTheme="minorHAnsi" w:cstheme="minorHAnsi"/>
          <w:lang w:eastAsia="en-US"/>
        </w:rPr>
        <w:t xml:space="preserve"> and the UN is uniquely positioned to have a </w:t>
      </w:r>
      <w:r w:rsidR="00E6128E" w:rsidRPr="009C793F">
        <w:rPr>
          <w:rFonts w:asciiTheme="minorHAnsi" w:eastAsiaTheme="minorHAnsi" w:hAnsiTheme="minorHAnsi" w:cstheme="minorHAnsi"/>
          <w:lang w:eastAsia="en-US"/>
        </w:rPr>
        <w:t>positive</w:t>
      </w:r>
      <w:r w:rsidR="002B2568" w:rsidRPr="009C793F">
        <w:rPr>
          <w:rFonts w:asciiTheme="minorHAnsi" w:eastAsiaTheme="minorHAnsi" w:hAnsiTheme="minorHAnsi" w:cstheme="minorHAnsi"/>
          <w:lang w:eastAsia="en-US"/>
        </w:rPr>
        <w:t xml:space="preserve"> impact</w:t>
      </w:r>
      <w:r w:rsidR="00EF2F76" w:rsidRPr="009C793F">
        <w:rPr>
          <w:rFonts w:asciiTheme="minorHAnsi" w:eastAsiaTheme="minorHAnsi" w:hAnsiTheme="minorHAnsi" w:cstheme="minorHAnsi"/>
          <w:lang w:eastAsia="en-US"/>
        </w:rPr>
        <w:t xml:space="preserve"> as one integrated system</w:t>
      </w:r>
      <w:r w:rsidRPr="009C793F">
        <w:rPr>
          <w:rFonts w:asciiTheme="minorHAnsi" w:eastAsiaTheme="minorHAnsi" w:hAnsiTheme="minorHAnsi" w:cstheme="minorHAnsi"/>
          <w:lang w:eastAsia="en-US"/>
        </w:rPr>
        <w:t xml:space="preserve">. As a high-income country with increasing levels of debt and ineligible </w:t>
      </w:r>
      <w:r w:rsidR="00E6128E" w:rsidRPr="009C793F">
        <w:rPr>
          <w:rFonts w:asciiTheme="minorHAnsi" w:eastAsiaTheme="minorHAnsi" w:hAnsiTheme="minorHAnsi" w:cstheme="minorHAnsi"/>
          <w:lang w:eastAsia="en-US"/>
        </w:rPr>
        <w:t>for</w:t>
      </w:r>
      <w:r w:rsidRPr="009C793F">
        <w:rPr>
          <w:rFonts w:asciiTheme="minorHAnsi" w:eastAsiaTheme="minorHAnsi" w:hAnsiTheme="minorHAnsi" w:cstheme="minorHAnsi"/>
          <w:lang w:eastAsia="en-US"/>
        </w:rPr>
        <w:t xml:space="preserve"> concessional financing, innovative partnerships to generate critically needed finance for SDG achievement will be essential. The UN’s role in helping to generate non-debt finance and leverage </w:t>
      </w:r>
      <w:r w:rsidRPr="009C793F">
        <w:rPr>
          <w:rFonts w:asciiTheme="minorHAnsi" w:eastAsiaTheme="minorHAnsi" w:hAnsiTheme="minorHAnsi" w:cstheme="minorHAnsi"/>
          <w:b/>
          <w:bCs/>
          <w:lang w:eastAsia="en-US"/>
        </w:rPr>
        <w:t>South-South and Triangular Cooperation</w:t>
      </w:r>
      <w:r w:rsidRPr="009C793F">
        <w:rPr>
          <w:rFonts w:asciiTheme="minorHAnsi" w:eastAsiaTheme="minorHAnsi" w:hAnsiTheme="minorHAnsi" w:cstheme="minorHAnsi"/>
          <w:lang w:eastAsia="en-US"/>
        </w:rPr>
        <w:t xml:space="preserve"> can assist the country unleash its full potential to </w:t>
      </w:r>
      <w:r w:rsidR="006509DB" w:rsidRPr="009C793F">
        <w:rPr>
          <w:rFonts w:asciiTheme="minorHAnsi" w:eastAsiaTheme="minorHAnsi" w:hAnsiTheme="minorHAnsi" w:cstheme="minorHAnsi"/>
          <w:lang w:eastAsia="en-US"/>
        </w:rPr>
        <w:t>realize</w:t>
      </w:r>
      <w:r w:rsidRPr="009C793F">
        <w:rPr>
          <w:rFonts w:asciiTheme="minorHAnsi" w:eastAsiaTheme="minorHAnsi" w:hAnsiTheme="minorHAnsi" w:cstheme="minorHAnsi"/>
          <w:lang w:eastAsia="en-US"/>
        </w:rPr>
        <w:t xml:space="preserve"> the SDGs.</w:t>
      </w:r>
      <w:r w:rsidRPr="009C793F">
        <w:rPr>
          <w:rFonts w:asciiTheme="minorHAnsi" w:eastAsiaTheme="minorHAnsi" w:hAnsiTheme="minorHAnsi" w:cstheme="minorHAnsi"/>
          <w:b/>
          <w:bCs/>
          <w:lang w:eastAsia="en-US"/>
        </w:rPr>
        <w:t xml:space="preserve"> </w:t>
      </w:r>
      <w:r w:rsidR="00E6128E" w:rsidRPr="009C793F">
        <w:rPr>
          <w:rFonts w:asciiTheme="minorHAnsi" w:eastAsiaTheme="minorHAnsi" w:hAnsiTheme="minorHAnsi" w:cstheme="minorHAnsi"/>
          <w:b/>
          <w:bCs/>
          <w:lang w:eastAsia="en-US"/>
        </w:rPr>
        <w:t xml:space="preserve">A </w:t>
      </w:r>
      <w:r w:rsidRPr="009C793F">
        <w:rPr>
          <w:rFonts w:asciiTheme="minorHAnsi" w:eastAsiaTheme="minorHAnsi" w:hAnsiTheme="minorHAnsi" w:cstheme="minorHAnsi"/>
          <w:b/>
          <w:bCs/>
          <w:lang w:eastAsia="en-US"/>
        </w:rPr>
        <w:t xml:space="preserve">resilient and committed multi-stakeholder coalition </w:t>
      </w:r>
      <w:r w:rsidRPr="009C793F">
        <w:rPr>
          <w:rFonts w:asciiTheme="minorHAnsi" w:eastAsiaTheme="minorHAnsi" w:hAnsiTheme="minorHAnsi" w:cstheme="minorHAnsi"/>
          <w:lang w:eastAsia="en-US"/>
        </w:rPr>
        <w:t>must be built with partners such as civil society, business, youth, and groups representing the most vulnerable. The UN</w:t>
      </w:r>
      <w:r w:rsidR="00E6128E" w:rsidRPr="009C793F">
        <w:rPr>
          <w:rFonts w:asciiTheme="minorHAnsi" w:eastAsiaTheme="minorHAnsi" w:hAnsiTheme="minorHAnsi" w:cstheme="minorHAnsi"/>
          <w:lang w:eastAsia="en-US"/>
        </w:rPr>
        <w:t xml:space="preserve">’s </w:t>
      </w:r>
      <w:r w:rsidRPr="009C793F">
        <w:rPr>
          <w:rFonts w:asciiTheme="minorHAnsi" w:eastAsiaTheme="minorHAnsi" w:hAnsiTheme="minorHAnsi" w:cstheme="minorHAnsi"/>
          <w:lang w:eastAsia="en-US"/>
        </w:rPr>
        <w:t xml:space="preserve">convening power and its </w:t>
      </w:r>
      <w:r w:rsidR="002B2568" w:rsidRPr="009C793F">
        <w:rPr>
          <w:rFonts w:asciiTheme="minorHAnsi" w:eastAsiaTheme="minorHAnsi" w:hAnsiTheme="minorHAnsi" w:cstheme="minorHAnsi"/>
          <w:lang w:eastAsia="en-US"/>
        </w:rPr>
        <w:t>niche</w:t>
      </w:r>
      <w:r w:rsidRPr="009C793F">
        <w:rPr>
          <w:rFonts w:asciiTheme="minorHAnsi" w:eastAsiaTheme="minorHAnsi" w:hAnsiTheme="minorHAnsi" w:cstheme="minorHAnsi"/>
          <w:lang w:eastAsia="en-US"/>
        </w:rPr>
        <w:t xml:space="preserve"> role as a neutral partner is perfectly positioned and capable to help build enduring partnership</w:t>
      </w:r>
      <w:r w:rsidR="00E6128E" w:rsidRPr="009C793F">
        <w:rPr>
          <w:rFonts w:asciiTheme="minorHAnsi" w:eastAsiaTheme="minorHAnsi" w:hAnsiTheme="minorHAnsi" w:cstheme="minorHAnsi"/>
          <w:lang w:eastAsia="en-US"/>
        </w:rPr>
        <w:t>s</w:t>
      </w:r>
      <w:r w:rsidRPr="009C793F">
        <w:rPr>
          <w:rFonts w:asciiTheme="minorHAnsi" w:eastAsiaTheme="minorHAnsi" w:hAnsiTheme="minorHAnsi" w:cstheme="minorHAnsi"/>
          <w:lang w:eastAsia="en-US"/>
        </w:rPr>
        <w:t xml:space="preserve"> to help deliver the SDGs.</w:t>
      </w:r>
    </w:p>
    <w:p w14:paraId="0CFC73AA" w14:textId="77777777" w:rsidR="00A01515" w:rsidRPr="009C793F" w:rsidRDefault="00A01515" w:rsidP="00DE19C9">
      <w:pPr>
        <w:jc w:val="both"/>
        <w:rPr>
          <w:rFonts w:asciiTheme="minorHAnsi" w:hAnsiTheme="minorHAnsi" w:cstheme="minorHAnsi"/>
          <w:b/>
          <w:color w:val="2F5496"/>
        </w:rPr>
        <w:sectPr w:rsidR="00A01515" w:rsidRPr="009C793F" w:rsidSect="00E3776D">
          <w:footerReference w:type="default" r:id="rId10"/>
          <w:footerReference w:type="first" r:id="rId11"/>
          <w:pgSz w:w="12240" w:h="15840"/>
          <w:pgMar w:top="720" w:right="1440" w:bottom="1440" w:left="1440" w:header="720" w:footer="720" w:gutter="0"/>
          <w:pgNumType w:fmt="lowerRoman" w:start="1"/>
          <w:cols w:space="720"/>
          <w:titlePg/>
          <w:docGrid w:linePitch="299"/>
        </w:sectPr>
      </w:pPr>
    </w:p>
    <w:p w14:paraId="733E3273" w14:textId="77777777" w:rsidR="00DE19C9" w:rsidRDefault="0053010E" w:rsidP="00DE19C9">
      <w:pPr>
        <w:jc w:val="both"/>
        <w:rPr>
          <w:rFonts w:asciiTheme="minorHAnsi" w:hAnsiTheme="minorHAnsi" w:cstheme="minorHAnsi"/>
          <w:b/>
        </w:rPr>
      </w:pPr>
      <w:r w:rsidRPr="009C793F">
        <w:rPr>
          <w:rFonts w:asciiTheme="minorHAnsi" w:hAnsiTheme="minorHAnsi" w:cstheme="minorHAnsi"/>
          <w:b/>
        </w:rPr>
        <w:lastRenderedPageBreak/>
        <w:t>CHAPTER ONE</w:t>
      </w:r>
      <w:r w:rsidR="00845012" w:rsidRPr="009C793F">
        <w:rPr>
          <w:rFonts w:asciiTheme="minorHAnsi" w:hAnsiTheme="minorHAnsi" w:cstheme="minorHAnsi"/>
          <w:b/>
        </w:rPr>
        <w:t xml:space="preserve">    </w:t>
      </w:r>
      <w:r w:rsidR="00845012" w:rsidRPr="009C793F">
        <w:rPr>
          <w:rFonts w:asciiTheme="minorHAnsi" w:hAnsiTheme="minorHAnsi" w:cstheme="minorHAnsi"/>
          <w:b/>
        </w:rPr>
        <w:tab/>
      </w:r>
    </w:p>
    <w:p w14:paraId="24B536B2" w14:textId="77777777" w:rsidR="00DE19C9" w:rsidRDefault="00DE19C9" w:rsidP="00DE19C9">
      <w:pPr>
        <w:jc w:val="both"/>
        <w:rPr>
          <w:rFonts w:asciiTheme="minorHAnsi" w:hAnsiTheme="minorHAnsi" w:cstheme="minorHAnsi"/>
          <w:b/>
        </w:rPr>
      </w:pPr>
    </w:p>
    <w:p w14:paraId="0000002E" w14:textId="342258CB" w:rsidR="006B72B0" w:rsidRDefault="00845012" w:rsidP="00DE19C9">
      <w:pPr>
        <w:jc w:val="both"/>
        <w:rPr>
          <w:rFonts w:asciiTheme="minorHAnsi" w:hAnsiTheme="minorHAnsi" w:cstheme="minorHAnsi"/>
          <w:b/>
        </w:rPr>
      </w:pPr>
      <w:r w:rsidRPr="009C793F">
        <w:rPr>
          <w:rFonts w:asciiTheme="minorHAnsi" w:hAnsiTheme="minorHAnsi" w:cstheme="minorHAnsi"/>
          <w:b/>
        </w:rPr>
        <w:t>I</w:t>
      </w:r>
      <w:r w:rsidR="0053010E" w:rsidRPr="009C793F">
        <w:rPr>
          <w:rFonts w:asciiTheme="minorHAnsi" w:hAnsiTheme="minorHAnsi" w:cstheme="minorHAnsi"/>
          <w:b/>
        </w:rPr>
        <w:t>NTRODUCTION</w:t>
      </w:r>
    </w:p>
    <w:p w14:paraId="6CE399DB" w14:textId="77777777" w:rsidR="00DE19C9" w:rsidRPr="009C793F" w:rsidRDefault="00DE19C9" w:rsidP="00DE19C9">
      <w:pPr>
        <w:jc w:val="both"/>
        <w:rPr>
          <w:rFonts w:asciiTheme="minorHAnsi" w:hAnsiTheme="minorHAnsi" w:cstheme="minorHAnsi"/>
          <w:b/>
        </w:rPr>
      </w:pPr>
    </w:p>
    <w:p w14:paraId="0000002F" w14:textId="140E4C95"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b/>
          <w:color w:val="000000"/>
        </w:rPr>
        <w:t>Background:</w:t>
      </w:r>
      <w:r w:rsidRPr="009C793F">
        <w:rPr>
          <w:rFonts w:asciiTheme="minorHAnsi" w:hAnsiTheme="minorHAnsi" w:cstheme="minorHAnsi"/>
          <w:color w:val="000000"/>
        </w:rPr>
        <w:t xml:space="preserve"> This Common Country Analysis (CCA) is the first such document for Trinidad and Tobago since 2012. As the original United Nations (UN) Multi Country Sustainable Development Framework (MSDF) expires at the end of 2021, preparations for its successor, MSDF II (2022-2026) are underway. Since the MSDF is a unique regional cooperation framework between the United Nations and 18 Caribbean countries and territories, the MSDF Regional Steering Committee </w:t>
      </w:r>
      <w:r w:rsidR="00EE3EE7" w:rsidRPr="009C793F">
        <w:rPr>
          <w:rFonts w:asciiTheme="minorHAnsi" w:hAnsiTheme="minorHAnsi" w:cstheme="minorHAnsi"/>
          <w:color w:val="000000"/>
        </w:rPr>
        <w:t xml:space="preserve">decided </w:t>
      </w:r>
      <w:r w:rsidRPr="009C793F">
        <w:rPr>
          <w:rFonts w:asciiTheme="minorHAnsi" w:hAnsiTheme="minorHAnsi" w:cstheme="minorHAnsi"/>
          <w:color w:val="000000"/>
        </w:rPr>
        <w:t xml:space="preserve">to strengthen the analytical foundation of the successor framework by </w:t>
      </w:r>
      <w:r w:rsidRPr="009C793F">
        <w:rPr>
          <w:rFonts w:asciiTheme="minorHAnsi" w:hAnsiTheme="minorHAnsi" w:cstheme="minorHAnsi"/>
          <w:b/>
          <w:bCs/>
          <w:color w:val="000000"/>
        </w:rPr>
        <w:t>developing national level CCAs.</w:t>
      </w:r>
      <w:r w:rsidRPr="009C793F">
        <w:rPr>
          <w:rFonts w:asciiTheme="minorHAnsi" w:hAnsiTheme="minorHAnsi" w:cstheme="minorHAnsi"/>
          <w:color w:val="000000"/>
        </w:rPr>
        <w:t xml:space="preserve"> These national level CCAs will </w:t>
      </w:r>
      <w:r w:rsidR="00EF2F76" w:rsidRPr="009C793F">
        <w:rPr>
          <w:rFonts w:asciiTheme="minorHAnsi" w:hAnsiTheme="minorHAnsi" w:cstheme="minorHAnsi"/>
          <w:color w:val="000000"/>
        </w:rPr>
        <w:t>highlight</w:t>
      </w:r>
      <w:r w:rsidRPr="009C793F">
        <w:rPr>
          <w:rFonts w:asciiTheme="minorHAnsi" w:hAnsiTheme="minorHAnsi" w:cstheme="minorHAnsi"/>
          <w:b/>
          <w:bCs/>
          <w:color w:val="000000"/>
        </w:rPr>
        <w:t xml:space="preserve"> the specific issues, pathways to </w:t>
      </w:r>
      <w:r w:rsidR="00EF2F76" w:rsidRPr="009C793F">
        <w:rPr>
          <w:rFonts w:asciiTheme="minorHAnsi" w:hAnsiTheme="minorHAnsi" w:cstheme="minorHAnsi"/>
          <w:b/>
          <w:bCs/>
          <w:color w:val="000000"/>
        </w:rPr>
        <w:t xml:space="preserve">achievement of the Sustainable Development Goals (SDGs) </w:t>
      </w:r>
      <w:r w:rsidRPr="009C793F">
        <w:rPr>
          <w:rFonts w:asciiTheme="minorHAnsi" w:hAnsiTheme="minorHAnsi" w:cstheme="minorHAnsi"/>
          <w:b/>
          <w:bCs/>
          <w:color w:val="000000"/>
        </w:rPr>
        <w:t>and nuances of the specific countries</w:t>
      </w:r>
      <w:r w:rsidRPr="009C793F">
        <w:rPr>
          <w:rFonts w:asciiTheme="minorHAnsi" w:hAnsiTheme="minorHAnsi" w:cstheme="minorHAnsi"/>
          <w:color w:val="000000"/>
        </w:rPr>
        <w:t xml:space="preserve"> participating in the MSDF. </w:t>
      </w:r>
    </w:p>
    <w:p w14:paraId="00000030" w14:textId="77777777" w:rsidR="006B72B0" w:rsidRPr="009C793F" w:rsidRDefault="006B72B0" w:rsidP="00DE19C9">
      <w:pPr>
        <w:ind w:left="-5" w:right="43" w:hanging="10"/>
        <w:jc w:val="both"/>
        <w:rPr>
          <w:rFonts w:asciiTheme="minorHAnsi" w:hAnsiTheme="minorHAnsi" w:cstheme="minorHAnsi"/>
          <w:color w:val="000000"/>
        </w:rPr>
      </w:pPr>
    </w:p>
    <w:p w14:paraId="00000031" w14:textId="5013052C"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color w:val="000000"/>
        </w:rPr>
        <w:t xml:space="preserve">The CCA will complement the regional analysis and discussions that will take place and help provide the </w:t>
      </w:r>
      <w:r w:rsidRPr="009C793F">
        <w:rPr>
          <w:rFonts w:asciiTheme="minorHAnsi" w:hAnsiTheme="minorHAnsi" w:cstheme="minorHAnsi"/>
          <w:b/>
          <w:bCs/>
          <w:color w:val="000000"/>
        </w:rPr>
        <w:t>empirical basis for the UN’s engagement</w:t>
      </w:r>
      <w:r w:rsidRPr="009C793F">
        <w:rPr>
          <w:rFonts w:asciiTheme="minorHAnsi" w:hAnsiTheme="minorHAnsi" w:cstheme="minorHAnsi"/>
          <w:color w:val="000000"/>
        </w:rPr>
        <w:t xml:space="preserve"> with Trinidad and Tobago and the wider Caribbean region. This is especially prudent given th</w:t>
      </w:r>
      <w:r w:rsidR="00EE3EE7" w:rsidRPr="009C793F">
        <w:rPr>
          <w:rFonts w:asciiTheme="minorHAnsi" w:hAnsiTheme="minorHAnsi" w:cstheme="minorHAnsi"/>
          <w:color w:val="000000"/>
        </w:rPr>
        <w:t>e</w:t>
      </w:r>
      <w:r w:rsidRPr="009C793F">
        <w:rPr>
          <w:rFonts w:asciiTheme="minorHAnsi" w:hAnsiTheme="minorHAnsi" w:cstheme="minorHAnsi"/>
          <w:color w:val="000000"/>
        </w:rPr>
        <w:t xml:space="preserve"> impact of the </w:t>
      </w:r>
      <w:r w:rsidR="00EE3EE7" w:rsidRPr="009C793F">
        <w:rPr>
          <w:rFonts w:asciiTheme="minorHAnsi" w:hAnsiTheme="minorHAnsi" w:cstheme="minorHAnsi"/>
          <w:color w:val="000000"/>
        </w:rPr>
        <w:t>COVID-19</w:t>
      </w:r>
      <w:r w:rsidRPr="009C793F">
        <w:rPr>
          <w:rFonts w:asciiTheme="minorHAnsi" w:hAnsiTheme="minorHAnsi" w:cstheme="minorHAnsi"/>
          <w:color w:val="000000"/>
        </w:rPr>
        <w:t xml:space="preserve"> pandemic on economies and societies</w:t>
      </w:r>
      <w:r w:rsidR="00EE3EE7" w:rsidRPr="009C793F">
        <w:rPr>
          <w:rFonts w:asciiTheme="minorHAnsi" w:hAnsiTheme="minorHAnsi" w:cstheme="minorHAnsi"/>
          <w:color w:val="000000"/>
        </w:rPr>
        <w:t xml:space="preserve"> around the world,</w:t>
      </w:r>
      <w:r w:rsidRPr="009C793F">
        <w:rPr>
          <w:rFonts w:asciiTheme="minorHAnsi" w:hAnsiTheme="minorHAnsi" w:cstheme="minorHAnsi"/>
          <w:color w:val="000000"/>
        </w:rPr>
        <w:t xml:space="preserve"> including Trinidad and Tobago</w:t>
      </w:r>
      <w:r w:rsidRPr="009C793F">
        <w:rPr>
          <w:rFonts w:asciiTheme="minorHAnsi" w:hAnsiTheme="minorHAnsi" w:cstheme="minorHAnsi"/>
          <w:b/>
          <w:bCs/>
          <w:color w:val="000000"/>
        </w:rPr>
        <w:t xml:space="preserve">. </w:t>
      </w:r>
      <w:r w:rsidR="009B7027" w:rsidRPr="009C793F">
        <w:rPr>
          <w:rFonts w:asciiTheme="minorHAnsi" w:hAnsiTheme="minorHAnsi" w:cstheme="minorHAnsi"/>
          <w:b/>
          <w:bCs/>
          <w:color w:val="000000"/>
        </w:rPr>
        <w:t xml:space="preserve">COVID-19 </w:t>
      </w:r>
      <w:r w:rsidRPr="009C793F">
        <w:rPr>
          <w:rFonts w:asciiTheme="minorHAnsi" w:hAnsiTheme="minorHAnsi" w:cstheme="minorHAnsi"/>
          <w:b/>
          <w:bCs/>
          <w:color w:val="000000"/>
        </w:rPr>
        <w:t xml:space="preserve">has </w:t>
      </w:r>
      <w:r w:rsidR="00EE3EE7" w:rsidRPr="009C793F">
        <w:rPr>
          <w:rFonts w:asciiTheme="minorHAnsi" w:hAnsiTheme="minorHAnsi" w:cstheme="minorHAnsi"/>
          <w:b/>
          <w:bCs/>
          <w:color w:val="000000"/>
        </w:rPr>
        <w:t>exposed</w:t>
      </w:r>
      <w:r w:rsidRPr="009C793F">
        <w:rPr>
          <w:rFonts w:asciiTheme="minorHAnsi" w:hAnsiTheme="minorHAnsi" w:cstheme="minorHAnsi"/>
          <w:b/>
          <w:bCs/>
          <w:color w:val="000000"/>
        </w:rPr>
        <w:t xml:space="preserve"> existing vulnerabilities</w:t>
      </w:r>
      <w:r w:rsidRPr="009C793F">
        <w:rPr>
          <w:rFonts w:asciiTheme="minorHAnsi" w:hAnsiTheme="minorHAnsi" w:cstheme="minorHAnsi"/>
          <w:color w:val="000000"/>
        </w:rPr>
        <w:t>; created new challenges; and ha</w:t>
      </w:r>
      <w:r w:rsidR="00EE3EE7" w:rsidRPr="009C793F">
        <w:rPr>
          <w:rFonts w:asciiTheme="minorHAnsi" w:hAnsiTheme="minorHAnsi" w:cstheme="minorHAnsi"/>
          <w:color w:val="000000"/>
        </w:rPr>
        <w:t>s</w:t>
      </w:r>
      <w:r w:rsidRPr="009C793F">
        <w:rPr>
          <w:rFonts w:asciiTheme="minorHAnsi" w:hAnsiTheme="minorHAnsi" w:cstheme="minorHAnsi"/>
          <w:color w:val="000000"/>
        </w:rPr>
        <w:t xml:space="preserve"> set back hard-won development gains made by Trinidad and Tobago.  This combination of global changes, new realities and planned UN processes make this CCA timely and relevant. </w:t>
      </w:r>
    </w:p>
    <w:p w14:paraId="00000032" w14:textId="77777777" w:rsidR="006B72B0" w:rsidRPr="009C793F" w:rsidRDefault="006B72B0" w:rsidP="00DE19C9">
      <w:pPr>
        <w:ind w:left="-5" w:right="43" w:hanging="10"/>
        <w:jc w:val="both"/>
        <w:rPr>
          <w:rFonts w:asciiTheme="minorHAnsi" w:hAnsiTheme="minorHAnsi" w:cstheme="minorHAnsi"/>
          <w:color w:val="000000"/>
        </w:rPr>
      </w:pPr>
    </w:p>
    <w:p w14:paraId="00000033" w14:textId="04BA50D7" w:rsidR="006B72B0" w:rsidRPr="009C793F" w:rsidRDefault="00845012" w:rsidP="00DE19C9">
      <w:pPr>
        <w:ind w:left="-15" w:right="43"/>
        <w:jc w:val="both"/>
        <w:rPr>
          <w:rFonts w:asciiTheme="minorHAnsi" w:hAnsiTheme="minorHAnsi" w:cstheme="minorHAnsi"/>
          <w:highlight w:val="white"/>
        </w:rPr>
      </w:pPr>
      <w:r w:rsidRPr="009C793F">
        <w:rPr>
          <w:rFonts w:asciiTheme="minorHAnsi" w:hAnsiTheme="minorHAnsi" w:cstheme="minorHAnsi"/>
          <w:color w:val="000000"/>
        </w:rPr>
        <w:t xml:space="preserve">Consequently, the purpose of this CCA is to undertake </w:t>
      </w:r>
      <w:r w:rsidRPr="009C793F">
        <w:rPr>
          <w:rFonts w:asciiTheme="minorHAnsi" w:hAnsiTheme="minorHAnsi" w:cstheme="minorHAnsi"/>
          <w:b/>
          <w:bCs/>
          <w:color w:val="000000"/>
        </w:rPr>
        <w:t>an analysis on the key issues and challenges</w:t>
      </w:r>
      <w:r w:rsidRPr="009C793F">
        <w:rPr>
          <w:rFonts w:asciiTheme="minorHAnsi" w:hAnsiTheme="minorHAnsi" w:cstheme="minorHAnsi"/>
          <w:color w:val="000000"/>
        </w:rPr>
        <w:t xml:space="preserve"> facing the country</w:t>
      </w:r>
      <w:r w:rsidR="00EE3EE7" w:rsidRPr="009C793F">
        <w:rPr>
          <w:rFonts w:asciiTheme="minorHAnsi" w:hAnsiTheme="minorHAnsi" w:cstheme="minorHAnsi"/>
          <w:color w:val="000000"/>
        </w:rPr>
        <w:t>,</w:t>
      </w:r>
      <w:r w:rsidRPr="009C793F">
        <w:rPr>
          <w:rFonts w:asciiTheme="minorHAnsi" w:hAnsiTheme="minorHAnsi" w:cstheme="minorHAnsi"/>
          <w:color w:val="000000"/>
        </w:rPr>
        <w:t xml:space="preserve"> including from the lens of the SDGs. This will in turn lay the basis for the identification of the specific gaps that may exist and the support that the UN System and other partners can provide to Trinidad and Tobago. In doing so, it will look at the underlying and structural challenges facing the country and seek to help lay the foundation for </w:t>
      </w:r>
      <w:r w:rsidRPr="009C793F">
        <w:rPr>
          <w:rFonts w:asciiTheme="minorHAnsi" w:hAnsiTheme="minorHAnsi" w:cstheme="minorHAnsi"/>
          <w:b/>
          <w:bCs/>
          <w:color w:val="000000"/>
        </w:rPr>
        <w:t>achieving the SDGs and building resilience</w:t>
      </w:r>
      <w:r w:rsidRPr="009C793F">
        <w:rPr>
          <w:rFonts w:asciiTheme="minorHAnsi" w:hAnsiTheme="minorHAnsi" w:cstheme="minorHAnsi"/>
          <w:color w:val="000000"/>
        </w:rPr>
        <w:t xml:space="preserve">.  </w:t>
      </w:r>
    </w:p>
    <w:p w14:paraId="00000034" w14:textId="77777777" w:rsidR="006B72B0" w:rsidRPr="009C793F" w:rsidRDefault="006B72B0" w:rsidP="00DE19C9">
      <w:pPr>
        <w:ind w:left="-5" w:right="43" w:hanging="10"/>
        <w:jc w:val="both"/>
        <w:rPr>
          <w:rFonts w:asciiTheme="minorHAnsi" w:hAnsiTheme="minorHAnsi" w:cstheme="minorHAnsi"/>
          <w:color w:val="000000"/>
        </w:rPr>
      </w:pPr>
    </w:p>
    <w:p w14:paraId="00000035" w14:textId="77777777"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b/>
          <w:color w:val="000000"/>
        </w:rPr>
        <w:t>Methodology:</w:t>
      </w:r>
      <w:r w:rsidRPr="009C793F">
        <w:rPr>
          <w:rFonts w:asciiTheme="minorHAnsi" w:hAnsiTheme="minorHAnsi" w:cstheme="minorHAnsi"/>
          <w:color w:val="000000"/>
        </w:rPr>
        <w:t xml:space="preserve"> The United Nations in Trinidad and Tobago has followed closely the requirements of this new generation CCA and with the SDGs being placed at the epicenter of the country’s and the UN’s agenda. The CCA team used the following as a guidance: </w:t>
      </w:r>
    </w:p>
    <w:p w14:paraId="00000036" w14:textId="5D808FF6" w:rsidR="006B72B0" w:rsidRPr="009C793F" w:rsidRDefault="00845012" w:rsidP="00DE19C9">
      <w:pPr>
        <w:numPr>
          <w:ilvl w:val="0"/>
          <w:numId w:val="7"/>
        </w:numPr>
        <w:ind w:right="34" w:hanging="360"/>
        <w:jc w:val="both"/>
        <w:rPr>
          <w:rFonts w:asciiTheme="minorHAnsi" w:hAnsiTheme="minorHAnsi" w:cstheme="minorHAnsi"/>
          <w:color w:val="000000"/>
        </w:rPr>
      </w:pPr>
      <w:r w:rsidRPr="009C793F">
        <w:rPr>
          <w:rFonts w:asciiTheme="minorHAnsi" w:hAnsiTheme="minorHAnsi" w:cstheme="minorHAnsi"/>
          <w:color w:val="000000"/>
        </w:rPr>
        <w:t xml:space="preserve">The </w:t>
      </w:r>
      <w:sdt>
        <w:sdtPr>
          <w:rPr>
            <w:rFonts w:asciiTheme="minorHAnsi" w:hAnsiTheme="minorHAnsi" w:cstheme="minorHAnsi"/>
          </w:rPr>
          <w:tag w:val="goog_rdk_2"/>
          <w:id w:val="254714780"/>
        </w:sdtPr>
        <w:sdtContent>
          <w:r w:rsidR="00E40CFF" w:rsidRPr="009C793F">
            <w:rPr>
              <w:rFonts w:asciiTheme="minorHAnsi" w:hAnsiTheme="minorHAnsi" w:cstheme="minorHAnsi"/>
            </w:rPr>
            <w:t>United Nations Development Group (</w:t>
          </w:r>
        </w:sdtContent>
      </w:sdt>
      <w:r w:rsidRPr="009C793F">
        <w:rPr>
          <w:rFonts w:asciiTheme="minorHAnsi" w:hAnsiTheme="minorHAnsi" w:cstheme="minorHAnsi"/>
          <w:color w:val="000000"/>
        </w:rPr>
        <w:t>UNDG</w:t>
      </w:r>
      <w:r w:rsidR="00E40CFF" w:rsidRPr="009C793F">
        <w:rPr>
          <w:rFonts w:asciiTheme="minorHAnsi" w:hAnsiTheme="minorHAnsi" w:cstheme="minorHAnsi"/>
          <w:color w:val="000000"/>
        </w:rPr>
        <w:t>)</w:t>
      </w:r>
      <w:r w:rsidRPr="009C793F">
        <w:rPr>
          <w:rFonts w:asciiTheme="minorHAnsi" w:hAnsiTheme="minorHAnsi" w:cstheme="minorHAnsi"/>
          <w:color w:val="000000"/>
        </w:rPr>
        <w:t xml:space="preserve"> Reference Guide for UN Country Teams to Mainstream the 2030 Agenda for Sustainable Development </w:t>
      </w:r>
    </w:p>
    <w:p w14:paraId="00000037" w14:textId="77777777" w:rsidR="006B72B0" w:rsidRPr="009C793F" w:rsidRDefault="00845012" w:rsidP="00DE19C9">
      <w:pPr>
        <w:numPr>
          <w:ilvl w:val="0"/>
          <w:numId w:val="7"/>
        </w:numPr>
        <w:ind w:right="34" w:hanging="360"/>
        <w:jc w:val="both"/>
        <w:rPr>
          <w:rFonts w:asciiTheme="minorHAnsi" w:hAnsiTheme="minorHAnsi" w:cstheme="minorHAnsi"/>
          <w:color w:val="000000"/>
        </w:rPr>
      </w:pPr>
      <w:r w:rsidRPr="009C793F">
        <w:rPr>
          <w:rFonts w:asciiTheme="minorHAnsi" w:hAnsiTheme="minorHAnsi" w:cstheme="minorHAnsi"/>
          <w:color w:val="000000"/>
        </w:rPr>
        <w:t xml:space="preserve">UNDG guidance on CCA </w:t>
      </w:r>
    </w:p>
    <w:p w14:paraId="00000038" w14:textId="77777777" w:rsidR="006B72B0" w:rsidRPr="009C793F" w:rsidRDefault="00845012" w:rsidP="00DE19C9">
      <w:pPr>
        <w:numPr>
          <w:ilvl w:val="0"/>
          <w:numId w:val="7"/>
        </w:numPr>
        <w:ind w:right="34" w:hanging="360"/>
        <w:jc w:val="both"/>
        <w:rPr>
          <w:rFonts w:asciiTheme="minorHAnsi" w:hAnsiTheme="minorHAnsi" w:cstheme="minorHAnsi"/>
          <w:color w:val="000000"/>
        </w:rPr>
      </w:pPr>
      <w:r w:rsidRPr="009C793F">
        <w:rPr>
          <w:rFonts w:asciiTheme="minorHAnsi" w:hAnsiTheme="minorHAnsi" w:cstheme="minorHAnsi"/>
          <w:color w:val="000000"/>
        </w:rPr>
        <w:t xml:space="preserve">UN Inter-Agency Common Learning Package on Human Rights-based Approach to Programming </w:t>
      </w:r>
    </w:p>
    <w:p w14:paraId="00000039" w14:textId="77777777" w:rsidR="006B72B0" w:rsidRPr="009C793F" w:rsidRDefault="00845012" w:rsidP="00DE19C9">
      <w:pPr>
        <w:numPr>
          <w:ilvl w:val="0"/>
          <w:numId w:val="7"/>
        </w:numPr>
        <w:ind w:right="34" w:hanging="360"/>
        <w:jc w:val="both"/>
        <w:rPr>
          <w:rFonts w:asciiTheme="minorHAnsi" w:hAnsiTheme="minorHAnsi" w:cstheme="minorHAnsi"/>
          <w:color w:val="000000"/>
        </w:rPr>
      </w:pPr>
      <w:r w:rsidRPr="009C793F">
        <w:rPr>
          <w:rFonts w:asciiTheme="minorHAnsi" w:hAnsiTheme="minorHAnsi" w:cstheme="minorHAnsi"/>
          <w:color w:val="000000"/>
        </w:rPr>
        <w:t xml:space="preserve">Resource Book for Mainstreaming Gender in UN Common Programming at the Country Level </w:t>
      </w:r>
    </w:p>
    <w:p w14:paraId="0000003A" w14:textId="77777777" w:rsidR="006B72B0" w:rsidRPr="009C793F" w:rsidRDefault="006B72B0" w:rsidP="00DE19C9">
      <w:pPr>
        <w:ind w:right="34"/>
        <w:jc w:val="both"/>
        <w:rPr>
          <w:rFonts w:asciiTheme="minorHAnsi" w:hAnsiTheme="minorHAnsi" w:cstheme="minorHAnsi"/>
          <w:color w:val="000000"/>
        </w:rPr>
      </w:pPr>
    </w:p>
    <w:p w14:paraId="0000003B" w14:textId="77777777" w:rsidR="006B72B0" w:rsidRPr="009C793F" w:rsidRDefault="00845012" w:rsidP="00DE19C9">
      <w:pPr>
        <w:ind w:right="34"/>
        <w:jc w:val="both"/>
        <w:rPr>
          <w:rFonts w:asciiTheme="minorHAnsi" w:hAnsiTheme="minorHAnsi" w:cstheme="minorHAnsi"/>
          <w:color w:val="000000"/>
        </w:rPr>
      </w:pPr>
      <w:r w:rsidRPr="009C793F">
        <w:rPr>
          <w:rFonts w:asciiTheme="minorHAnsi" w:hAnsiTheme="minorHAnsi" w:cstheme="minorHAnsi"/>
          <w:color w:val="000000"/>
        </w:rPr>
        <w:t xml:space="preserve">The </w:t>
      </w:r>
      <w:r w:rsidRPr="009C793F">
        <w:rPr>
          <w:rFonts w:asciiTheme="minorHAnsi" w:hAnsiTheme="minorHAnsi" w:cstheme="minorHAnsi"/>
          <w:b/>
          <w:color w:val="000000"/>
        </w:rPr>
        <w:t>principles</w:t>
      </w:r>
      <w:r w:rsidRPr="009C793F">
        <w:rPr>
          <w:rFonts w:asciiTheme="minorHAnsi" w:hAnsiTheme="minorHAnsi" w:cstheme="minorHAnsi"/>
          <w:color w:val="000000"/>
        </w:rPr>
        <w:t xml:space="preserve"> guiding this CCA also reflect those used </w:t>
      </w:r>
      <w:r w:rsidRPr="009C793F">
        <w:rPr>
          <w:rFonts w:asciiTheme="minorHAnsi" w:hAnsiTheme="minorHAnsi" w:cstheme="minorHAnsi"/>
        </w:rPr>
        <w:t>by the Government of the Republic of Trinidad and Tobago (</w:t>
      </w:r>
      <w:r w:rsidRPr="009C793F">
        <w:rPr>
          <w:rFonts w:asciiTheme="minorHAnsi" w:hAnsiTheme="minorHAnsi" w:cstheme="minorHAnsi"/>
          <w:color w:val="000000"/>
        </w:rPr>
        <w:t xml:space="preserve">GORTT) in its Vision 2030 plan. They are: </w:t>
      </w:r>
    </w:p>
    <w:p w14:paraId="0000003C" w14:textId="77777777" w:rsidR="006B72B0" w:rsidRPr="009C793F" w:rsidRDefault="00845012" w:rsidP="00DE19C9">
      <w:pPr>
        <w:ind w:right="34"/>
        <w:jc w:val="both"/>
        <w:rPr>
          <w:rFonts w:asciiTheme="minorHAnsi" w:hAnsiTheme="minorHAnsi" w:cstheme="minorHAnsi"/>
          <w:color w:val="000000"/>
        </w:rPr>
      </w:pPr>
      <w:r w:rsidRPr="009C793F">
        <w:rPr>
          <w:rFonts w:asciiTheme="minorHAnsi" w:hAnsiTheme="minorHAnsi" w:cstheme="minorHAnsi"/>
          <w:color w:val="000000"/>
        </w:rPr>
        <w:t xml:space="preserve">        •</w:t>
      </w:r>
      <w:r w:rsidRPr="009C793F">
        <w:rPr>
          <w:rFonts w:asciiTheme="minorHAnsi" w:hAnsiTheme="minorHAnsi" w:cstheme="minorHAnsi"/>
          <w:color w:val="000000"/>
        </w:rPr>
        <w:tab/>
        <w:t>Leave no one behind</w:t>
      </w:r>
    </w:p>
    <w:p w14:paraId="0000003D" w14:textId="77777777" w:rsidR="006B72B0" w:rsidRPr="009C793F" w:rsidRDefault="00845012" w:rsidP="00DE19C9">
      <w:pPr>
        <w:ind w:right="34"/>
        <w:jc w:val="both"/>
        <w:rPr>
          <w:rFonts w:asciiTheme="minorHAnsi" w:hAnsiTheme="minorHAnsi" w:cstheme="minorHAnsi"/>
          <w:color w:val="000000"/>
        </w:rPr>
      </w:pPr>
      <w:r w:rsidRPr="009C793F">
        <w:rPr>
          <w:rFonts w:asciiTheme="minorHAnsi" w:hAnsiTheme="minorHAnsi" w:cstheme="minorHAnsi"/>
          <w:color w:val="000000"/>
        </w:rPr>
        <w:t xml:space="preserve">        •</w:t>
      </w:r>
      <w:r w:rsidRPr="009C793F">
        <w:rPr>
          <w:rFonts w:asciiTheme="minorHAnsi" w:hAnsiTheme="minorHAnsi" w:cstheme="minorHAnsi"/>
          <w:color w:val="000000"/>
        </w:rPr>
        <w:tab/>
        <w:t>Human Rights Gender Equality and Women Empowerment</w:t>
      </w:r>
    </w:p>
    <w:p w14:paraId="0000003E" w14:textId="77777777" w:rsidR="006B72B0" w:rsidRPr="009C793F" w:rsidRDefault="00845012" w:rsidP="00DE19C9">
      <w:pPr>
        <w:ind w:right="34"/>
        <w:jc w:val="both"/>
        <w:rPr>
          <w:rFonts w:asciiTheme="minorHAnsi" w:hAnsiTheme="minorHAnsi" w:cstheme="minorHAnsi"/>
          <w:color w:val="000000"/>
        </w:rPr>
      </w:pPr>
      <w:r w:rsidRPr="009C793F">
        <w:rPr>
          <w:rFonts w:asciiTheme="minorHAnsi" w:hAnsiTheme="minorHAnsi" w:cstheme="minorHAnsi"/>
          <w:color w:val="000000"/>
        </w:rPr>
        <w:t xml:space="preserve">        •</w:t>
      </w:r>
      <w:r w:rsidRPr="009C793F">
        <w:rPr>
          <w:rFonts w:asciiTheme="minorHAnsi" w:hAnsiTheme="minorHAnsi" w:cstheme="minorHAnsi"/>
          <w:color w:val="000000"/>
        </w:rPr>
        <w:tab/>
        <w:t>Sustainability and Resilience</w:t>
      </w:r>
    </w:p>
    <w:p w14:paraId="0000003F" w14:textId="77777777" w:rsidR="006B72B0" w:rsidRPr="009C793F" w:rsidRDefault="00845012" w:rsidP="00DE19C9">
      <w:pPr>
        <w:ind w:right="34"/>
        <w:jc w:val="both"/>
        <w:rPr>
          <w:rFonts w:asciiTheme="minorHAnsi" w:hAnsiTheme="minorHAnsi" w:cstheme="minorHAnsi"/>
          <w:color w:val="000000"/>
        </w:rPr>
      </w:pPr>
      <w:r w:rsidRPr="009C793F">
        <w:rPr>
          <w:rFonts w:asciiTheme="minorHAnsi" w:hAnsiTheme="minorHAnsi" w:cstheme="minorHAnsi"/>
          <w:color w:val="000000"/>
        </w:rPr>
        <w:t xml:space="preserve">        •</w:t>
      </w:r>
      <w:r w:rsidRPr="009C793F">
        <w:rPr>
          <w:rFonts w:asciiTheme="minorHAnsi" w:hAnsiTheme="minorHAnsi" w:cstheme="minorHAnsi"/>
          <w:color w:val="000000"/>
        </w:rPr>
        <w:tab/>
        <w:t>Accountability</w:t>
      </w:r>
    </w:p>
    <w:p w14:paraId="00000040"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 </w:t>
      </w:r>
    </w:p>
    <w:p w14:paraId="00000041"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During this process, there was an emphasis on the </w:t>
      </w:r>
      <w:r w:rsidRPr="009C793F">
        <w:rPr>
          <w:rFonts w:asciiTheme="minorHAnsi" w:hAnsiTheme="minorHAnsi" w:cstheme="minorHAnsi"/>
          <w:b/>
          <w:color w:val="000000"/>
        </w:rPr>
        <w:t>interconnectedness of the SDGs</w:t>
      </w:r>
      <w:r w:rsidRPr="009C793F">
        <w:rPr>
          <w:rFonts w:asciiTheme="minorHAnsi" w:hAnsiTheme="minorHAnsi" w:cstheme="minorHAnsi"/>
          <w:color w:val="000000"/>
        </w:rPr>
        <w:t xml:space="preserve"> and the imperative of focusing on the deep and structural issues that, if addressed, can </w:t>
      </w:r>
      <w:r w:rsidRPr="009C793F">
        <w:rPr>
          <w:rFonts w:asciiTheme="minorHAnsi" w:hAnsiTheme="minorHAnsi" w:cstheme="minorHAnsi"/>
          <w:b/>
          <w:bCs/>
          <w:color w:val="000000"/>
        </w:rPr>
        <w:t>lead to transformation</w:t>
      </w:r>
      <w:r w:rsidRPr="009C793F">
        <w:rPr>
          <w:rFonts w:asciiTheme="minorHAnsi" w:hAnsiTheme="minorHAnsi" w:cstheme="minorHAnsi"/>
          <w:color w:val="000000"/>
        </w:rPr>
        <w:t xml:space="preserve">. Being </w:t>
      </w:r>
      <w:r w:rsidRPr="009C793F">
        <w:rPr>
          <w:rFonts w:asciiTheme="minorHAnsi" w:hAnsiTheme="minorHAnsi" w:cstheme="minorHAnsi"/>
          <w:b/>
          <w:bCs/>
          <w:color w:val="000000"/>
        </w:rPr>
        <w:t>innovative, evidence-based and data-driven</w:t>
      </w:r>
      <w:r w:rsidRPr="009C793F">
        <w:rPr>
          <w:rFonts w:asciiTheme="minorHAnsi" w:hAnsiTheme="minorHAnsi" w:cstheme="minorHAnsi"/>
          <w:color w:val="000000"/>
        </w:rPr>
        <w:t xml:space="preserve"> have been the hallmark of this CCA preparation process spearheaded by the Resident Coordinator Office (RCO). </w:t>
      </w:r>
    </w:p>
    <w:p w14:paraId="00000042" w14:textId="77777777" w:rsidR="006B72B0" w:rsidRPr="009C793F" w:rsidRDefault="006B72B0" w:rsidP="00DE19C9">
      <w:pPr>
        <w:jc w:val="both"/>
        <w:rPr>
          <w:rFonts w:asciiTheme="minorHAnsi" w:hAnsiTheme="minorHAnsi" w:cstheme="minorHAnsi"/>
          <w:color w:val="000000"/>
        </w:rPr>
      </w:pPr>
    </w:p>
    <w:p w14:paraId="00000046" w14:textId="132E44A3" w:rsidR="006B72B0"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lastRenderedPageBreak/>
        <w:t>The Resident Coordinator and the UNCT have undertaken this CCA in four distinct yet closely inter-related and connected components which are as follows:</w:t>
      </w:r>
    </w:p>
    <w:p w14:paraId="710BD630" w14:textId="77777777" w:rsidR="00C86F4B" w:rsidRPr="009C793F" w:rsidRDefault="00C86F4B" w:rsidP="00DE19C9">
      <w:pPr>
        <w:jc w:val="both"/>
        <w:rPr>
          <w:rFonts w:asciiTheme="minorHAnsi" w:hAnsiTheme="minorHAnsi" w:cstheme="minorHAnsi"/>
          <w:color w:val="000000"/>
        </w:rPr>
      </w:pPr>
    </w:p>
    <w:p w14:paraId="00000047" w14:textId="37DDA635" w:rsidR="006B72B0" w:rsidRPr="009C793F" w:rsidRDefault="00845012" w:rsidP="00DE19C9">
      <w:pPr>
        <w:numPr>
          <w:ilvl w:val="0"/>
          <w:numId w:val="8"/>
        </w:numPr>
        <w:pBdr>
          <w:top w:val="nil"/>
          <w:left w:val="nil"/>
          <w:bottom w:val="nil"/>
          <w:right w:val="nil"/>
          <w:between w:val="nil"/>
        </w:pBdr>
        <w:ind w:right="43"/>
        <w:jc w:val="both"/>
        <w:rPr>
          <w:rFonts w:asciiTheme="minorHAnsi" w:hAnsiTheme="minorHAnsi" w:cstheme="minorHAnsi"/>
          <w:color w:val="000000"/>
        </w:rPr>
      </w:pPr>
      <w:r w:rsidRPr="009C793F">
        <w:rPr>
          <w:rFonts w:asciiTheme="minorHAnsi" w:hAnsiTheme="minorHAnsi" w:cstheme="minorHAnsi"/>
          <w:color w:val="000000"/>
          <w:u w:val="single"/>
        </w:rPr>
        <w:t>Firstly</w:t>
      </w:r>
      <w:r w:rsidRPr="009C793F">
        <w:rPr>
          <w:rFonts w:asciiTheme="minorHAnsi" w:hAnsiTheme="minorHAnsi" w:cstheme="minorHAnsi"/>
          <w:color w:val="000000"/>
        </w:rPr>
        <w:t>, a repository of the analytical works as source documents from</w:t>
      </w:r>
      <w:r w:rsidR="009B7027" w:rsidRPr="009C793F">
        <w:rPr>
          <w:rFonts w:asciiTheme="minorHAnsi" w:hAnsiTheme="minorHAnsi" w:cstheme="minorHAnsi"/>
          <w:color w:val="000000"/>
        </w:rPr>
        <w:t xml:space="preserve"> </w:t>
      </w:r>
      <w:r w:rsidR="00D54693" w:rsidRPr="009C793F">
        <w:rPr>
          <w:rFonts w:asciiTheme="minorHAnsi" w:hAnsiTheme="minorHAnsi" w:cstheme="minorHAnsi"/>
          <w:color w:val="000000"/>
        </w:rPr>
        <w:t>the Government of the Republic of Trinidad and Tobago (</w:t>
      </w:r>
      <w:r w:rsidR="009B7027" w:rsidRPr="009C793F">
        <w:rPr>
          <w:rFonts w:asciiTheme="minorHAnsi" w:hAnsiTheme="minorHAnsi" w:cstheme="minorHAnsi"/>
          <w:color w:val="000000"/>
        </w:rPr>
        <w:t>GORTT</w:t>
      </w:r>
      <w:r w:rsidR="00D54693" w:rsidRPr="009C793F">
        <w:rPr>
          <w:rFonts w:asciiTheme="minorHAnsi" w:hAnsiTheme="minorHAnsi" w:cstheme="minorHAnsi"/>
          <w:color w:val="000000"/>
        </w:rPr>
        <w:t>)</w:t>
      </w:r>
      <w:r w:rsidRPr="009C793F">
        <w:rPr>
          <w:rFonts w:asciiTheme="minorHAnsi" w:hAnsiTheme="minorHAnsi" w:cstheme="minorHAnsi"/>
          <w:color w:val="000000"/>
        </w:rPr>
        <w:t xml:space="preserve">, the UN System, </w:t>
      </w:r>
      <w:r w:rsidR="001974CD" w:rsidRPr="009C793F">
        <w:rPr>
          <w:rFonts w:asciiTheme="minorHAnsi" w:hAnsiTheme="minorHAnsi" w:cstheme="minorHAnsi"/>
          <w:color w:val="000000"/>
        </w:rPr>
        <w:t>International Financial Institutions (IFIs)</w:t>
      </w:r>
      <w:r w:rsidRPr="009C793F">
        <w:rPr>
          <w:rFonts w:asciiTheme="minorHAnsi" w:hAnsiTheme="minorHAnsi" w:cstheme="minorHAnsi"/>
          <w:color w:val="000000"/>
        </w:rPr>
        <w:t>, the University of the West Indies</w:t>
      </w:r>
      <w:r w:rsidR="001974CD" w:rsidRPr="009C793F">
        <w:rPr>
          <w:rFonts w:asciiTheme="minorHAnsi" w:hAnsiTheme="minorHAnsi" w:cstheme="minorHAnsi"/>
          <w:color w:val="000000"/>
        </w:rPr>
        <w:t xml:space="preserve"> (UWI)</w:t>
      </w:r>
      <w:r w:rsidRPr="009C793F">
        <w:rPr>
          <w:rFonts w:asciiTheme="minorHAnsi" w:hAnsiTheme="minorHAnsi" w:cstheme="minorHAnsi"/>
          <w:color w:val="000000"/>
        </w:rPr>
        <w:t xml:space="preserve">, and Civil Society was prepared. </w:t>
      </w:r>
    </w:p>
    <w:p w14:paraId="00000048" w14:textId="77777777" w:rsidR="006B72B0" w:rsidRPr="009C793F" w:rsidRDefault="00845012" w:rsidP="00DE19C9">
      <w:pPr>
        <w:numPr>
          <w:ilvl w:val="0"/>
          <w:numId w:val="8"/>
        </w:numPr>
        <w:pBdr>
          <w:top w:val="nil"/>
          <w:left w:val="nil"/>
          <w:bottom w:val="nil"/>
          <w:right w:val="nil"/>
          <w:between w:val="nil"/>
        </w:pBdr>
        <w:ind w:right="43"/>
        <w:jc w:val="both"/>
        <w:rPr>
          <w:rFonts w:asciiTheme="minorHAnsi" w:hAnsiTheme="minorHAnsi" w:cstheme="minorHAnsi"/>
          <w:color w:val="000000"/>
        </w:rPr>
      </w:pPr>
      <w:r w:rsidRPr="009C793F">
        <w:rPr>
          <w:rFonts w:asciiTheme="minorHAnsi" w:hAnsiTheme="minorHAnsi" w:cstheme="minorHAnsi"/>
          <w:color w:val="000000"/>
          <w:u w:val="single"/>
        </w:rPr>
        <w:t>Secondly</w:t>
      </w:r>
      <w:r w:rsidRPr="009C793F">
        <w:rPr>
          <w:rFonts w:asciiTheme="minorHAnsi" w:hAnsiTheme="minorHAnsi" w:cstheme="minorHAnsi"/>
          <w:color w:val="000000"/>
        </w:rPr>
        <w:t xml:space="preserve">, a Statistical Consultant was retained to generate a data repository for all SDG indicators, including identifying data sources in cases such information was not available. This has created the evidential basis for an analytically robust CCA. </w:t>
      </w:r>
    </w:p>
    <w:p w14:paraId="00000049" w14:textId="08C689E8" w:rsidR="006B72B0" w:rsidRPr="009C793F" w:rsidRDefault="00845012" w:rsidP="00DE19C9">
      <w:pPr>
        <w:numPr>
          <w:ilvl w:val="0"/>
          <w:numId w:val="8"/>
        </w:numPr>
        <w:pBdr>
          <w:top w:val="nil"/>
          <w:left w:val="nil"/>
          <w:bottom w:val="nil"/>
          <w:right w:val="nil"/>
          <w:between w:val="nil"/>
        </w:pBdr>
        <w:ind w:right="43"/>
        <w:jc w:val="both"/>
        <w:rPr>
          <w:rFonts w:asciiTheme="minorHAnsi" w:hAnsiTheme="minorHAnsi" w:cstheme="minorHAnsi"/>
          <w:color w:val="000000"/>
        </w:rPr>
      </w:pPr>
      <w:r w:rsidRPr="009C793F">
        <w:rPr>
          <w:rFonts w:asciiTheme="minorHAnsi" w:hAnsiTheme="minorHAnsi" w:cstheme="minorHAnsi"/>
          <w:color w:val="000000"/>
          <w:u w:val="single"/>
        </w:rPr>
        <w:t>Thirdly</w:t>
      </w:r>
      <w:r w:rsidRPr="009C793F">
        <w:rPr>
          <w:rFonts w:asciiTheme="minorHAnsi" w:hAnsiTheme="minorHAnsi" w:cstheme="minorHAnsi"/>
          <w:color w:val="000000"/>
        </w:rPr>
        <w:t xml:space="preserve">, the UNCT established a CCA Working Group for ongoing consultations and inputs in the CCA from all </w:t>
      </w:r>
      <w:r w:rsidR="00DD20D7" w:rsidRPr="009C793F">
        <w:rPr>
          <w:rFonts w:asciiTheme="minorHAnsi" w:hAnsiTheme="minorHAnsi" w:cstheme="minorHAnsi"/>
          <w:color w:val="000000"/>
        </w:rPr>
        <w:t>agencies under the oversight of the UNCT</w:t>
      </w:r>
      <w:r w:rsidRPr="009C793F">
        <w:rPr>
          <w:rFonts w:asciiTheme="minorHAnsi" w:hAnsiTheme="minorHAnsi" w:cstheme="minorHAnsi"/>
          <w:color w:val="000000"/>
        </w:rPr>
        <w:t xml:space="preserve">. This Working Group also reviewed the analysis emerging from the data and provided systematic support and counsel to the CCA process. </w:t>
      </w:r>
    </w:p>
    <w:p w14:paraId="0000004A" w14:textId="4700DFDF" w:rsidR="006B72B0" w:rsidRPr="009C793F" w:rsidRDefault="00845012" w:rsidP="00DE19C9">
      <w:pPr>
        <w:numPr>
          <w:ilvl w:val="0"/>
          <w:numId w:val="8"/>
        </w:numPr>
        <w:pBdr>
          <w:top w:val="nil"/>
          <w:left w:val="nil"/>
          <w:bottom w:val="nil"/>
          <w:right w:val="nil"/>
          <w:between w:val="nil"/>
        </w:pBdr>
        <w:ind w:right="43"/>
        <w:jc w:val="both"/>
        <w:rPr>
          <w:rFonts w:asciiTheme="minorHAnsi" w:hAnsiTheme="minorHAnsi" w:cstheme="minorHAnsi"/>
          <w:color w:val="000000"/>
        </w:rPr>
      </w:pPr>
      <w:r w:rsidRPr="009C793F">
        <w:rPr>
          <w:rFonts w:asciiTheme="minorHAnsi" w:hAnsiTheme="minorHAnsi" w:cstheme="minorHAnsi"/>
          <w:color w:val="000000"/>
          <w:u w:val="single"/>
        </w:rPr>
        <w:t>Finally,</w:t>
      </w:r>
      <w:r w:rsidR="00DD20D7" w:rsidRPr="009C793F">
        <w:rPr>
          <w:rFonts w:asciiTheme="minorHAnsi" w:hAnsiTheme="minorHAnsi" w:cstheme="minorHAnsi"/>
          <w:color w:val="000000"/>
          <w:u w:val="single"/>
        </w:rPr>
        <w:t xml:space="preserve"> </w:t>
      </w:r>
      <w:r w:rsidR="00DD20D7" w:rsidRPr="009C793F">
        <w:rPr>
          <w:rFonts w:asciiTheme="minorHAnsi" w:hAnsiTheme="minorHAnsi" w:cstheme="minorHAnsi"/>
          <w:color w:val="000000"/>
        </w:rPr>
        <w:t xml:space="preserve">to draft the CCA, </w:t>
      </w:r>
      <w:r w:rsidRPr="009C793F">
        <w:rPr>
          <w:rFonts w:asciiTheme="minorHAnsi" w:hAnsiTheme="minorHAnsi" w:cstheme="minorHAnsi"/>
          <w:color w:val="000000"/>
        </w:rPr>
        <w:t>a</w:t>
      </w:r>
      <w:r w:rsidR="00DD20D7" w:rsidRPr="009C793F">
        <w:rPr>
          <w:rFonts w:asciiTheme="minorHAnsi" w:hAnsiTheme="minorHAnsi" w:cstheme="minorHAnsi"/>
          <w:color w:val="000000"/>
        </w:rPr>
        <w:t xml:space="preserve"> </w:t>
      </w:r>
      <w:r w:rsidR="00DD20D7" w:rsidRPr="009C793F">
        <w:rPr>
          <w:rFonts w:asciiTheme="minorHAnsi" w:hAnsiTheme="minorHAnsi" w:cstheme="minorHAnsi"/>
          <w:b/>
          <w:bCs/>
          <w:color w:val="000000"/>
        </w:rPr>
        <w:t>Writing Group</w:t>
      </w:r>
      <w:r w:rsidR="00DD20D7" w:rsidRPr="009C793F">
        <w:rPr>
          <w:rFonts w:asciiTheme="minorHAnsi" w:hAnsiTheme="minorHAnsi" w:cstheme="minorHAnsi"/>
          <w:color w:val="000000"/>
        </w:rPr>
        <w:t xml:space="preserve"> comprising a wide cross-section of agencies and </w:t>
      </w:r>
      <w:r w:rsidRPr="009C793F">
        <w:rPr>
          <w:rFonts w:asciiTheme="minorHAnsi" w:hAnsiTheme="minorHAnsi" w:cstheme="minorHAnsi"/>
          <w:color w:val="000000"/>
        </w:rPr>
        <w:t>led by the RCO was established</w:t>
      </w:r>
      <w:r w:rsidR="00DD20D7" w:rsidRPr="009C793F">
        <w:rPr>
          <w:rFonts w:asciiTheme="minorHAnsi" w:hAnsiTheme="minorHAnsi" w:cstheme="minorHAnsi"/>
          <w:color w:val="000000"/>
        </w:rPr>
        <w:t>. This process was supported by a national consultant.</w:t>
      </w:r>
      <w:r w:rsidRPr="009C793F">
        <w:rPr>
          <w:rFonts w:asciiTheme="minorHAnsi" w:hAnsiTheme="minorHAnsi" w:cstheme="minorHAnsi"/>
          <w:color w:val="000000"/>
        </w:rPr>
        <w:t xml:space="preserve"> UNCT members provided</w:t>
      </w:r>
      <w:r w:rsidR="00DD20D7" w:rsidRPr="009C793F">
        <w:rPr>
          <w:rFonts w:asciiTheme="minorHAnsi" w:hAnsiTheme="minorHAnsi" w:cstheme="minorHAnsi"/>
          <w:color w:val="000000"/>
        </w:rPr>
        <w:t xml:space="preserve"> technical inputs</w:t>
      </w:r>
      <w:r w:rsidRPr="009C793F">
        <w:rPr>
          <w:rFonts w:asciiTheme="minorHAnsi" w:hAnsiTheme="minorHAnsi" w:cstheme="minorHAnsi"/>
          <w:color w:val="000000"/>
        </w:rPr>
        <w:t>, analysis and data for relevant sections as well as reviewing</w:t>
      </w:r>
      <w:r w:rsidR="00DD20D7" w:rsidRPr="009C793F">
        <w:rPr>
          <w:rFonts w:asciiTheme="minorHAnsi" w:hAnsiTheme="minorHAnsi" w:cstheme="minorHAnsi"/>
          <w:color w:val="000000"/>
        </w:rPr>
        <w:t xml:space="preserve"> the CCA</w:t>
      </w:r>
      <w:r w:rsidR="00387941" w:rsidRPr="009C793F">
        <w:rPr>
          <w:rFonts w:asciiTheme="minorHAnsi" w:hAnsiTheme="minorHAnsi" w:cstheme="minorHAnsi"/>
          <w:color w:val="000000"/>
        </w:rPr>
        <w:t>.</w:t>
      </w:r>
    </w:p>
    <w:p w14:paraId="73C40CBC" w14:textId="77777777" w:rsidR="001974CD" w:rsidRPr="009C793F" w:rsidRDefault="001974CD" w:rsidP="00DE19C9">
      <w:pPr>
        <w:ind w:left="-5" w:right="43" w:hanging="10"/>
        <w:jc w:val="both"/>
        <w:rPr>
          <w:rFonts w:asciiTheme="minorHAnsi" w:hAnsiTheme="minorHAnsi" w:cstheme="minorHAnsi"/>
          <w:color w:val="000000"/>
        </w:rPr>
      </w:pPr>
    </w:p>
    <w:p w14:paraId="0000004C" w14:textId="148FB0FA"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color w:val="000000"/>
        </w:rPr>
        <w:t xml:space="preserve">An integral dimension of the methodology was to integrate and ensure that the </w:t>
      </w:r>
      <w:r w:rsidRPr="009C793F">
        <w:rPr>
          <w:rFonts w:asciiTheme="minorHAnsi" w:hAnsiTheme="minorHAnsi" w:cstheme="minorHAnsi"/>
          <w:b/>
          <w:bCs/>
          <w:color w:val="000000"/>
        </w:rPr>
        <w:t xml:space="preserve">peace, security, development and </w:t>
      </w:r>
      <w:sdt>
        <w:sdtPr>
          <w:rPr>
            <w:rFonts w:asciiTheme="minorHAnsi" w:hAnsiTheme="minorHAnsi" w:cstheme="minorHAnsi"/>
            <w:b/>
            <w:bCs/>
          </w:rPr>
          <w:tag w:val="goog_rdk_3"/>
          <w:id w:val="658959556"/>
        </w:sdtPr>
        <w:sdtContent>
          <w:r w:rsidR="00E40CFF" w:rsidRPr="009C793F">
            <w:rPr>
              <w:rFonts w:asciiTheme="minorHAnsi" w:hAnsiTheme="minorHAnsi" w:cstheme="minorHAnsi"/>
              <w:b/>
              <w:bCs/>
            </w:rPr>
            <w:t xml:space="preserve">humanitarian </w:t>
          </w:r>
        </w:sdtContent>
      </w:sdt>
      <w:r w:rsidR="00E40CFF" w:rsidRPr="009C793F">
        <w:rPr>
          <w:rFonts w:asciiTheme="minorHAnsi" w:hAnsiTheme="minorHAnsi" w:cstheme="minorHAnsi"/>
          <w:color w:val="000000"/>
        </w:rPr>
        <w:t>a</w:t>
      </w:r>
      <w:r w:rsidRPr="009C793F">
        <w:rPr>
          <w:rFonts w:asciiTheme="minorHAnsi" w:hAnsiTheme="minorHAnsi" w:cstheme="minorHAnsi"/>
          <w:color w:val="000000"/>
        </w:rPr>
        <w:t xml:space="preserve">spects were fully reflected in the CCA. </w:t>
      </w:r>
      <w:r w:rsidRPr="009C793F">
        <w:rPr>
          <w:rFonts w:asciiTheme="minorHAnsi" w:hAnsiTheme="minorHAnsi" w:cstheme="minorHAnsi"/>
          <w:b/>
          <w:bCs/>
          <w:color w:val="000000"/>
        </w:rPr>
        <w:t>Human rights</w:t>
      </w:r>
      <w:r w:rsidRPr="009C793F">
        <w:rPr>
          <w:rFonts w:asciiTheme="minorHAnsi" w:hAnsiTheme="minorHAnsi" w:cstheme="minorHAnsi"/>
          <w:color w:val="000000"/>
        </w:rPr>
        <w:t xml:space="preserve"> standards and principles are</w:t>
      </w:r>
      <w:r w:rsidR="001974CD" w:rsidRPr="009C793F">
        <w:rPr>
          <w:rFonts w:asciiTheme="minorHAnsi" w:hAnsiTheme="minorHAnsi" w:cstheme="minorHAnsi"/>
          <w:color w:val="000000"/>
        </w:rPr>
        <w:t xml:space="preserve"> integrated and</w:t>
      </w:r>
      <w:r w:rsidRPr="009C793F">
        <w:rPr>
          <w:rFonts w:asciiTheme="minorHAnsi" w:hAnsiTheme="minorHAnsi" w:cstheme="minorHAnsi"/>
          <w:color w:val="000000"/>
        </w:rPr>
        <w:t xml:space="preserve"> articulated throughout this CCA. </w:t>
      </w:r>
      <w:r w:rsidR="006509DB" w:rsidRPr="009C793F">
        <w:rPr>
          <w:rFonts w:asciiTheme="minorHAnsi" w:hAnsiTheme="minorHAnsi" w:cstheme="minorHAnsi"/>
          <w:color w:val="000000"/>
        </w:rPr>
        <w:t>Because of</w:t>
      </w:r>
      <w:r w:rsidR="00DD20D7" w:rsidRPr="009C793F">
        <w:rPr>
          <w:rFonts w:asciiTheme="minorHAnsi" w:hAnsiTheme="minorHAnsi" w:cstheme="minorHAnsi"/>
          <w:color w:val="000000"/>
        </w:rPr>
        <w:t xml:space="preserve"> the consultative methodology used leveraging on the</w:t>
      </w:r>
      <w:r w:rsidR="001974CD" w:rsidRPr="009C793F">
        <w:rPr>
          <w:rFonts w:asciiTheme="minorHAnsi" w:hAnsiTheme="minorHAnsi" w:cstheme="minorHAnsi"/>
          <w:color w:val="000000"/>
        </w:rPr>
        <w:t xml:space="preserve"> strengths</w:t>
      </w:r>
      <w:r w:rsidR="00DD20D7" w:rsidRPr="009C793F">
        <w:rPr>
          <w:rFonts w:asciiTheme="minorHAnsi" w:hAnsiTheme="minorHAnsi" w:cstheme="minorHAnsi"/>
          <w:color w:val="000000"/>
        </w:rPr>
        <w:t xml:space="preserve"> of the respective agencies and the UN System as a whole, this </w:t>
      </w:r>
      <w:r w:rsidRPr="009C793F">
        <w:rPr>
          <w:rFonts w:asciiTheme="minorHAnsi" w:hAnsiTheme="minorHAnsi" w:cstheme="minorHAnsi"/>
          <w:color w:val="000000"/>
        </w:rPr>
        <w:t>CCA</w:t>
      </w:r>
      <w:r w:rsidR="00DD20D7" w:rsidRPr="009C793F">
        <w:rPr>
          <w:rFonts w:asciiTheme="minorHAnsi" w:hAnsiTheme="minorHAnsi" w:cstheme="minorHAnsi"/>
          <w:color w:val="000000"/>
        </w:rPr>
        <w:t xml:space="preserve"> is fully owned by the UNCT </w:t>
      </w:r>
      <w:r w:rsidR="00FD6A41" w:rsidRPr="009C793F">
        <w:rPr>
          <w:rFonts w:asciiTheme="minorHAnsi" w:hAnsiTheme="minorHAnsi" w:cstheme="minorHAnsi"/>
          <w:color w:val="000000"/>
        </w:rPr>
        <w:t>serving</w:t>
      </w:r>
      <w:r w:rsidRPr="009C793F">
        <w:rPr>
          <w:rFonts w:asciiTheme="minorHAnsi" w:hAnsiTheme="minorHAnsi" w:cstheme="minorHAnsi"/>
          <w:color w:val="000000"/>
        </w:rPr>
        <w:t xml:space="preserve"> Trinidad and Tobago.</w:t>
      </w:r>
    </w:p>
    <w:p w14:paraId="0000004D" w14:textId="77777777" w:rsidR="006B72B0" w:rsidRPr="009C793F" w:rsidRDefault="006B72B0" w:rsidP="00DE19C9">
      <w:pPr>
        <w:ind w:left="-5" w:right="43" w:hanging="10"/>
        <w:jc w:val="both"/>
        <w:rPr>
          <w:rFonts w:asciiTheme="minorHAnsi" w:hAnsiTheme="minorHAnsi" w:cstheme="minorHAnsi"/>
          <w:color w:val="000000"/>
        </w:rPr>
      </w:pPr>
    </w:p>
    <w:p w14:paraId="0000004E" w14:textId="20D8EBAD"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color w:val="000000"/>
        </w:rPr>
        <w:t xml:space="preserve">This CCA ensured that it </w:t>
      </w:r>
      <w:r w:rsidRPr="009C793F">
        <w:rPr>
          <w:rFonts w:asciiTheme="minorHAnsi" w:hAnsiTheme="minorHAnsi" w:cstheme="minorHAnsi"/>
        </w:rPr>
        <w:t>benefited</w:t>
      </w:r>
      <w:r w:rsidRPr="009C793F">
        <w:rPr>
          <w:rFonts w:asciiTheme="minorHAnsi" w:hAnsiTheme="minorHAnsi" w:cstheme="minorHAnsi"/>
          <w:color w:val="000000"/>
        </w:rPr>
        <w:t xml:space="preserve"> from extensive </w:t>
      </w:r>
      <w:r w:rsidRPr="009C793F">
        <w:rPr>
          <w:rFonts w:asciiTheme="minorHAnsi" w:hAnsiTheme="minorHAnsi" w:cstheme="minorHAnsi"/>
          <w:b/>
          <w:color w:val="000000"/>
        </w:rPr>
        <w:t>inputs and a systematic engagement with non-resident agencies</w:t>
      </w:r>
      <w:r w:rsidRPr="009C793F">
        <w:rPr>
          <w:rFonts w:asciiTheme="minorHAnsi" w:hAnsiTheme="minorHAnsi" w:cstheme="minorHAnsi"/>
          <w:color w:val="000000"/>
        </w:rPr>
        <w:t xml:space="preserve">. The non-resident agencies had substantive lead responsibility for key sections of the CCA including those focusing on children, environment, gender, drugs and crime. A questionnaire on the work of the agencies and SDG capacities was also completed by resident and non-resident agencies.  Please see Appendix 1 </w:t>
      </w:r>
      <w:r w:rsidRPr="009C793F">
        <w:rPr>
          <w:rFonts w:asciiTheme="minorHAnsi" w:hAnsiTheme="minorHAnsi" w:cstheme="minorHAnsi"/>
        </w:rPr>
        <w:t>for questionnaire</w:t>
      </w:r>
      <w:r w:rsidRPr="009C793F">
        <w:rPr>
          <w:rFonts w:asciiTheme="minorHAnsi" w:hAnsiTheme="minorHAnsi" w:cstheme="minorHAnsi"/>
          <w:color w:val="000000"/>
        </w:rPr>
        <w:t xml:space="preserve">. </w:t>
      </w:r>
    </w:p>
    <w:p w14:paraId="0000004F" w14:textId="77777777" w:rsidR="006B72B0" w:rsidRPr="009C793F" w:rsidRDefault="006B72B0" w:rsidP="00DE19C9">
      <w:pPr>
        <w:ind w:left="-5" w:right="43" w:hanging="10"/>
        <w:jc w:val="both"/>
        <w:rPr>
          <w:rFonts w:asciiTheme="minorHAnsi" w:hAnsiTheme="minorHAnsi" w:cstheme="minorHAnsi"/>
          <w:color w:val="000000"/>
        </w:rPr>
      </w:pPr>
    </w:p>
    <w:p w14:paraId="00000050" w14:textId="109A163E"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b/>
          <w:color w:val="000000"/>
        </w:rPr>
        <w:t>Consultations</w:t>
      </w:r>
      <w:r w:rsidRPr="009C793F">
        <w:rPr>
          <w:rFonts w:asciiTheme="minorHAnsi" w:hAnsiTheme="minorHAnsi" w:cstheme="minorHAnsi"/>
          <w:color w:val="000000"/>
        </w:rPr>
        <w:t>: At the national level, the CCA process has been highly consultative using face-to-face meetings</w:t>
      </w:r>
      <w:r w:rsidR="00387941" w:rsidRPr="009C793F">
        <w:rPr>
          <w:rFonts w:asciiTheme="minorHAnsi" w:hAnsiTheme="minorHAnsi" w:cstheme="minorHAnsi"/>
          <w:color w:val="000000"/>
        </w:rPr>
        <w:t xml:space="preserve"> and</w:t>
      </w:r>
      <w:r w:rsidRPr="009C793F">
        <w:rPr>
          <w:rFonts w:asciiTheme="minorHAnsi" w:hAnsiTheme="minorHAnsi" w:cstheme="minorHAnsi"/>
          <w:color w:val="000000"/>
        </w:rPr>
        <w:t xml:space="preserve"> focus group discussions</w:t>
      </w:r>
      <w:r w:rsidR="00170E21" w:rsidRPr="009C793F">
        <w:rPr>
          <w:rFonts w:asciiTheme="minorHAnsi" w:hAnsiTheme="minorHAnsi" w:cstheme="minorHAnsi"/>
          <w:color w:val="000000"/>
        </w:rPr>
        <w:t>, despite COVID-19 limitations</w:t>
      </w:r>
      <w:r w:rsidRPr="009C793F">
        <w:rPr>
          <w:rFonts w:asciiTheme="minorHAnsi" w:hAnsiTheme="minorHAnsi" w:cstheme="minorHAnsi"/>
          <w:color w:val="000000"/>
        </w:rPr>
        <w:t xml:space="preserve">. </w:t>
      </w:r>
    </w:p>
    <w:p w14:paraId="00000051" w14:textId="77777777" w:rsidR="006B72B0" w:rsidRPr="009C793F" w:rsidRDefault="006B72B0" w:rsidP="00DE19C9">
      <w:pPr>
        <w:ind w:left="-5" w:right="43" w:hanging="10"/>
        <w:jc w:val="both"/>
        <w:rPr>
          <w:rFonts w:asciiTheme="minorHAnsi" w:hAnsiTheme="minorHAnsi" w:cstheme="minorHAnsi"/>
          <w:color w:val="000000"/>
        </w:rPr>
      </w:pPr>
    </w:p>
    <w:p w14:paraId="00000052" w14:textId="0253FB54" w:rsidR="006B72B0" w:rsidRPr="009C793F" w:rsidRDefault="00845012" w:rsidP="00DE19C9">
      <w:pPr>
        <w:ind w:left="-5" w:right="43" w:hanging="10"/>
        <w:jc w:val="both"/>
        <w:rPr>
          <w:rFonts w:asciiTheme="minorHAnsi" w:hAnsiTheme="minorHAnsi" w:cstheme="minorHAnsi"/>
          <w:color w:val="000000"/>
        </w:rPr>
      </w:pPr>
      <w:r w:rsidRPr="009C793F">
        <w:rPr>
          <w:rFonts w:asciiTheme="minorHAnsi" w:hAnsiTheme="minorHAnsi" w:cstheme="minorHAnsi"/>
          <w:color w:val="000000"/>
        </w:rPr>
        <w:t>The national stakeholders consulted included Government, the private sector, c</w:t>
      </w:r>
      <w:r w:rsidR="00E40CFF" w:rsidRPr="009C793F">
        <w:rPr>
          <w:rFonts w:asciiTheme="minorHAnsi" w:hAnsiTheme="minorHAnsi" w:cstheme="minorHAnsi"/>
          <w:color w:val="000000"/>
        </w:rPr>
        <w:t>ivil society organisations (CSOs)</w:t>
      </w:r>
      <w:r w:rsidRPr="009C793F">
        <w:rPr>
          <w:rFonts w:asciiTheme="minorHAnsi" w:hAnsiTheme="minorHAnsi" w:cstheme="minorHAnsi"/>
          <w:color w:val="000000"/>
        </w:rPr>
        <w:t xml:space="preserve"> and academia.  Targeted consultations were conducted with entities representing those left behind and those left furthest behind to ensure the perspectives of the most vulnerable were captured. </w:t>
      </w:r>
    </w:p>
    <w:p w14:paraId="00000053" w14:textId="77777777" w:rsidR="006B72B0" w:rsidRPr="009C793F" w:rsidRDefault="006B72B0" w:rsidP="00DE19C9">
      <w:pPr>
        <w:ind w:left="-5" w:right="43" w:hanging="10"/>
        <w:jc w:val="both"/>
        <w:rPr>
          <w:rFonts w:asciiTheme="minorHAnsi" w:hAnsiTheme="minorHAnsi" w:cstheme="minorHAnsi"/>
          <w:color w:val="000000"/>
        </w:rPr>
      </w:pPr>
    </w:p>
    <w:p w14:paraId="00000054" w14:textId="73CC4B5D" w:rsidR="006B72B0" w:rsidRPr="009C793F" w:rsidRDefault="00170E21" w:rsidP="00DE19C9">
      <w:pPr>
        <w:ind w:left="-5" w:right="43" w:hanging="10"/>
        <w:jc w:val="both"/>
        <w:rPr>
          <w:rFonts w:asciiTheme="minorHAnsi" w:hAnsiTheme="minorHAnsi" w:cstheme="minorHAnsi"/>
          <w:color w:val="000000"/>
        </w:rPr>
      </w:pPr>
      <w:r w:rsidRPr="009C793F">
        <w:rPr>
          <w:rFonts w:asciiTheme="minorHAnsi" w:hAnsiTheme="minorHAnsi" w:cstheme="minorHAnsi"/>
          <w:color w:val="000000"/>
        </w:rPr>
        <w:t>T</w:t>
      </w:r>
      <w:r w:rsidR="00845012" w:rsidRPr="009C793F">
        <w:rPr>
          <w:rFonts w:asciiTheme="minorHAnsi" w:hAnsiTheme="minorHAnsi" w:cstheme="minorHAnsi"/>
          <w:color w:val="000000"/>
        </w:rPr>
        <w:t xml:space="preserve">he CCA team </w:t>
      </w:r>
      <w:r w:rsidR="00845012" w:rsidRPr="009C793F">
        <w:rPr>
          <w:rFonts w:asciiTheme="minorHAnsi" w:hAnsiTheme="minorHAnsi" w:cstheme="minorHAnsi"/>
          <w:b/>
          <w:bCs/>
          <w:color w:val="000000"/>
        </w:rPr>
        <w:t>met a wide cross-section of</w:t>
      </w:r>
      <w:r w:rsidRPr="009C793F">
        <w:rPr>
          <w:rFonts w:asciiTheme="minorHAnsi" w:hAnsiTheme="minorHAnsi" w:cstheme="minorHAnsi"/>
          <w:b/>
          <w:bCs/>
          <w:color w:val="000000"/>
        </w:rPr>
        <w:t xml:space="preserve"> government</w:t>
      </w:r>
      <w:r w:rsidR="00845012" w:rsidRPr="009C793F">
        <w:rPr>
          <w:rFonts w:asciiTheme="minorHAnsi" w:hAnsiTheme="minorHAnsi" w:cstheme="minorHAnsi"/>
          <w:b/>
          <w:bCs/>
          <w:color w:val="000000"/>
        </w:rPr>
        <w:t xml:space="preserve"> Ministries</w:t>
      </w:r>
      <w:r w:rsidRPr="009C793F">
        <w:rPr>
          <w:rFonts w:asciiTheme="minorHAnsi" w:hAnsiTheme="minorHAnsi" w:cstheme="minorHAnsi"/>
          <w:color w:val="000000"/>
        </w:rPr>
        <w:t xml:space="preserve"> including</w:t>
      </w:r>
      <w:r w:rsidR="00845012" w:rsidRPr="009C793F">
        <w:rPr>
          <w:rFonts w:asciiTheme="minorHAnsi" w:hAnsiTheme="minorHAnsi" w:cstheme="minorHAnsi"/>
          <w:color w:val="000000"/>
        </w:rPr>
        <w:t xml:space="preserve"> a </w:t>
      </w:r>
      <w:r w:rsidR="00845012" w:rsidRPr="009C793F">
        <w:rPr>
          <w:rFonts w:asciiTheme="minorHAnsi" w:hAnsiTheme="minorHAnsi" w:cstheme="minorHAnsi"/>
          <w:b/>
          <w:bCs/>
          <w:color w:val="000000"/>
        </w:rPr>
        <w:t>dedicated engagement with the Tobago House of Assembly</w:t>
      </w:r>
      <w:r w:rsidR="00E40CFF" w:rsidRPr="009C793F">
        <w:rPr>
          <w:rFonts w:asciiTheme="minorHAnsi" w:hAnsiTheme="minorHAnsi" w:cstheme="minorHAnsi"/>
          <w:color w:val="000000"/>
        </w:rPr>
        <w:t xml:space="preserve"> (THA)</w:t>
      </w:r>
      <w:r w:rsidR="00845012" w:rsidRPr="009C793F">
        <w:rPr>
          <w:rFonts w:asciiTheme="minorHAnsi" w:hAnsiTheme="minorHAnsi" w:cstheme="minorHAnsi"/>
          <w:color w:val="000000"/>
        </w:rPr>
        <w:t xml:space="preserve">. The list of persons consulted is shown at Appendix 2. </w:t>
      </w:r>
    </w:p>
    <w:p w14:paraId="2AA5D0D7" w14:textId="77777777" w:rsidR="001974CD" w:rsidRPr="009C793F" w:rsidRDefault="001974CD" w:rsidP="00DE19C9">
      <w:pPr>
        <w:ind w:left="-5" w:right="43" w:hanging="10"/>
        <w:jc w:val="both"/>
        <w:rPr>
          <w:rFonts w:asciiTheme="minorHAnsi" w:hAnsiTheme="minorHAnsi" w:cstheme="minorHAnsi"/>
          <w:color w:val="000000"/>
        </w:rPr>
      </w:pPr>
    </w:p>
    <w:p w14:paraId="16B47ED0" w14:textId="77777777" w:rsidR="00C86F4B" w:rsidRDefault="00C86F4B">
      <w:pPr>
        <w:rPr>
          <w:rFonts w:asciiTheme="minorHAnsi" w:hAnsiTheme="minorHAnsi" w:cstheme="minorHAnsi"/>
          <w:b/>
        </w:rPr>
      </w:pPr>
      <w:r>
        <w:rPr>
          <w:rFonts w:asciiTheme="minorHAnsi" w:hAnsiTheme="minorHAnsi" w:cstheme="minorHAnsi"/>
          <w:b/>
        </w:rPr>
        <w:br w:type="page"/>
      </w:r>
    </w:p>
    <w:p w14:paraId="363597B5" w14:textId="6E24D962" w:rsidR="00DE19C9" w:rsidRDefault="0053010E" w:rsidP="00DE19C9">
      <w:pPr>
        <w:ind w:left="-5" w:right="43" w:hanging="10"/>
        <w:jc w:val="both"/>
        <w:rPr>
          <w:rFonts w:asciiTheme="minorHAnsi" w:hAnsiTheme="minorHAnsi" w:cstheme="minorHAnsi"/>
          <w:b/>
        </w:rPr>
      </w:pPr>
      <w:r w:rsidRPr="009C793F">
        <w:rPr>
          <w:rFonts w:asciiTheme="minorHAnsi" w:hAnsiTheme="minorHAnsi" w:cstheme="minorHAnsi"/>
          <w:b/>
        </w:rPr>
        <w:lastRenderedPageBreak/>
        <w:t xml:space="preserve">CHAPTER TWO </w:t>
      </w:r>
      <w:r w:rsidRPr="009C793F">
        <w:rPr>
          <w:rFonts w:asciiTheme="minorHAnsi" w:hAnsiTheme="minorHAnsi" w:cstheme="minorHAnsi"/>
          <w:b/>
        </w:rPr>
        <w:tab/>
      </w:r>
    </w:p>
    <w:p w14:paraId="30058A36" w14:textId="77777777" w:rsidR="00DE19C9" w:rsidRDefault="00DE19C9" w:rsidP="00DE19C9">
      <w:pPr>
        <w:ind w:left="-5" w:right="43" w:hanging="10"/>
        <w:jc w:val="both"/>
        <w:rPr>
          <w:rFonts w:asciiTheme="minorHAnsi" w:hAnsiTheme="minorHAnsi" w:cstheme="minorHAnsi"/>
          <w:b/>
        </w:rPr>
      </w:pPr>
    </w:p>
    <w:p w14:paraId="00000056" w14:textId="4109CCE0" w:rsidR="006B72B0" w:rsidRPr="009C793F" w:rsidRDefault="0053010E" w:rsidP="00DE19C9">
      <w:pPr>
        <w:ind w:left="-5" w:right="43" w:hanging="10"/>
        <w:jc w:val="both"/>
        <w:rPr>
          <w:rFonts w:asciiTheme="minorHAnsi" w:hAnsiTheme="minorHAnsi" w:cstheme="minorHAnsi"/>
          <w:b/>
        </w:rPr>
      </w:pPr>
      <w:r w:rsidRPr="009C793F">
        <w:rPr>
          <w:rFonts w:asciiTheme="minorHAnsi" w:hAnsiTheme="minorHAnsi" w:cstheme="minorHAnsi"/>
          <w:b/>
        </w:rPr>
        <w:t>DEVELOPMENT CONTEXT</w:t>
      </w:r>
    </w:p>
    <w:p w14:paraId="3D27E884" w14:textId="77777777" w:rsidR="001974CD" w:rsidRPr="009C793F" w:rsidRDefault="001974CD" w:rsidP="00DE19C9">
      <w:pPr>
        <w:ind w:left="-5" w:right="43" w:hanging="10"/>
        <w:jc w:val="both"/>
        <w:rPr>
          <w:rFonts w:asciiTheme="minorHAnsi" w:hAnsiTheme="minorHAnsi" w:cstheme="minorHAnsi"/>
          <w:color w:val="000000"/>
        </w:rPr>
      </w:pPr>
    </w:p>
    <w:p w14:paraId="00000057"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 xml:space="preserve">2.1 International Development Context </w:t>
      </w:r>
    </w:p>
    <w:p w14:paraId="1550B13D" w14:textId="77777777" w:rsidR="00C86F4B" w:rsidRDefault="00C86F4B" w:rsidP="00DE19C9">
      <w:pPr>
        <w:shd w:val="clear" w:color="auto" w:fill="FFFFFF"/>
        <w:jc w:val="both"/>
        <w:rPr>
          <w:rFonts w:asciiTheme="minorHAnsi" w:hAnsiTheme="minorHAnsi" w:cstheme="minorHAnsi"/>
          <w:color w:val="444444"/>
        </w:rPr>
      </w:pPr>
    </w:p>
    <w:p w14:paraId="00000058" w14:textId="2571AEEE" w:rsidR="006B72B0" w:rsidRPr="009C793F" w:rsidRDefault="00845012" w:rsidP="00DE19C9">
      <w:pPr>
        <w:shd w:val="clear" w:color="auto" w:fill="FFFFFF"/>
        <w:jc w:val="both"/>
        <w:rPr>
          <w:rFonts w:asciiTheme="minorHAnsi" w:hAnsiTheme="minorHAnsi" w:cstheme="minorHAnsi"/>
          <w:color w:val="444444"/>
        </w:rPr>
      </w:pPr>
      <w:r w:rsidRPr="009C793F">
        <w:rPr>
          <w:rFonts w:asciiTheme="minorHAnsi" w:hAnsiTheme="minorHAnsi" w:cstheme="minorHAnsi"/>
          <w:color w:val="444444"/>
        </w:rPr>
        <w:t>Trinidad and Tobago is a twin-island Caribbean country off the northern coast of </w:t>
      </w:r>
      <w:hyperlink r:id="rId12">
        <w:r w:rsidRPr="009C793F">
          <w:rPr>
            <w:rFonts w:asciiTheme="minorHAnsi" w:hAnsiTheme="minorHAnsi" w:cstheme="minorHAnsi"/>
          </w:rPr>
          <w:t>South America</w:t>
        </w:r>
      </w:hyperlink>
      <w:r w:rsidRPr="009C793F">
        <w:rPr>
          <w:rFonts w:asciiTheme="minorHAnsi" w:hAnsiTheme="minorHAnsi" w:cstheme="minorHAnsi"/>
        </w:rPr>
        <w:t xml:space="preserve">. It has </w:t>
      </w:r>
      <w:r w:rsidRPr="009C793F">
        <w:rPr>
          <w:rFonts w:asciiTheme="minorHAnsi" w:hAnsiTheme="minorHAnsi" w:cstheme="minorHAnsi"/>
          <w:b/>
          <w:bCs/>
        </w:rPr>
        <w:t>close proximity to north-eastern </w:t>
      </w:r>
      <w:hyperlink r:id="rId13">
        <w:r w:rsidRPr="009C793F">
          <w:rPr>
            <w:rFonts w:asciiTheme="minorHAnsi" w:hAnsiTheme="minorHAnsi" w:cstheme="minorHAnsi"/>
            <w:b/>
            <w:bCs/>
          </w:rPr>
          <w:t>Venezuela</w:t>
        </w:r>
      </w:hyperlink>
      <w:r w:rsidRPr="009C793F">
        <w:rPr>
          <w:rFonts w:asciiTheme="minorHAnsi" w:hAnsiTheme="minorHAnsi" w:cstheme="minorHAnsi"/>
        </w:rPr>
        <w:t xml:space="preserve"> with the </w:t>
      </w:r>
      <w:r w:rsidR="006A7AD0" w:rsidRPr="009C793F">
        <w:rPr>
          <w:rFonts w:asciiTheme="minorHAnsi" w:hAnsiTheme="minorHAnsi" w:cstheme="minorHAnsi"/>
        </w:rPr>
        <w:t>nearest</w:t>
      </w:r>
      <w:r w:rsidRPr="009C793F">
        <w:rPr>
          <w:rFonts w:asciiTheme="minorHAnsi" w:hAnsiTheme="minorHAnsi" w:cstheme="minorHAnsi"/>
        </w:rPr>
        <w:t xml:space="preserve"> point between the two being seven miles.  It also shares maritime borders with </w:t>
      </w:r>
      <w:hyperlink r:id="rId14">
        <w:r w:rsidRPr="009C793F">
          <w:rPr>
            <w:rFonts w:asciiTheme="minorHAnsi" w:hAnsiTheme="minorHAnsi" w:cstheme="minorHAnsi"/>
          </w:rPr>
          <w:t>Barbados</w:t>
        </w:r>
      </w:hyperlink>
      <w:r w:rsidRPr="009C793F">
        <w:rPr>
          <w:rFonts w:asciiTheme="minorHAnsi" w:hAnsiTheme="minorHAnsi" w:cstheme="minorHAnsi"/>
        </w:rPr>
        <w:t>, </w:t>
      </w:r>
      <w:hyperlink r:id="rId15">
        <w:r w:rsidRPr="009C793F">
          <w:rPr>
            <w:rFonts w:asciiTheme="minorHAnsi" w:hAnsiTheme="minorHAnsi" w:cstheme="minorHAnsi"/>
          </w:rPr>
          <w:t>Grenada</w:t>
        </w:r>
      </w:hyperlink>
      <w:r w:rsidRPr="009C793F">
        <w:rPr>
          <w:rFonts w:asciiTheme="minorHAnsi" w:hAnsiTheme="minorHAnsi" w:cstheme="minorHAnsi"/>
        </w:rPr>
        <w:t xml:space="preserve"> and </w:t>
      </w:r>
      <w:hyperlink r:id="rId16">
        <w:r w:rsidRPr="009C793F">
          <w:rPr>
            <w:rFonts w:asciiTheme="minorHAnsi" w:hAnsiTheme="minorHAnsi" w:cstheme="minorHAnsi"/>
          </w:rPr>
          <w:t>Guyana</w:t>
        </w:r>
      </w:hyperlink>
      <w:r w:rsidRPr="009C793F">
        <w:rPr>
          <w:rFonts w:asciiTheme="minorHAnsi" w:hAnsiTheme="minorHAnsi" w:cstheme="minorHAnsi"/>
        </w:rPr>
        <w:t>.</w:t>
      </w:r>
      <w:r w:rsidRPr="009C793F">
        <w:rPr>
          <w:rFonts w:asciiTheme="minorHAnsi" w:hAnsiTheme="minorHAnsi" w:cstheme="minorHAnsi"/>
          <w:color w:val="444444"/>
        </w:rPr>
        <w:t xml:space="preserve">  </w:t>
      </w:r>
      <w:r w:rsidRPr="009C793F">
        <w:rPr>
          <w:rFonts w:asciiTheme="minorHAnsi" w:hAnsiTheme="minorHAnsi" w:cstheme="minorHAnsi"/>
        </w:rPr>
        <w:t>The 2019 State of the World Population Report</w:t>
      </w:r>
      <w:r w:rsidRPr="009C793F">
        <w:rPr>
          <w:rFonts w:asciiTheme="minorHAnsi" w:hAnsiTheme="minorHAnsi" w:cstheme="minorHAnsi"/>
          <w:vertAlign w:val="superscript"/>
        </w:rPr>
        <w:footnoteReference w:id="1"/>
      </w:r>
      <w:r w:rsidRPr="009C793F">
        <w:rPr>
          <w:rFonts w:asciiTheme="minorHAnsi" w:hAnsiTheme="minorHAnsi" w:cstheme="minorHAnsi"/>
        </w:rPr>
        <w:t xml:space="preserve"> estimates its population at 1.4 million with </w:t>
      </w:r>
      <w:r w:rsidRPr="009C793F">
        <w:rPr>
          <w:rFonts w:asciiTheme="minorHAnsi" w:hAnsiTheme="minorHAnsi" w:cstheme="minorHAnsi"/>
          <w:color w:val="444444"/>
        </w:rPr>
        <w:t>96</w:t>
      </w:r>
      <w:r w:rsidR="00E408E0" w:rsidRPr="009C793F">
        <w:rPr>
          <w:rFonts w:asciiTheme="minorHAnsi" w:hAnsiTheme="minorHAnsi" w:cstheme="minorHAnsi"/>
          <w:color w:val="444444"/>
        </w:rPr>
        <w:t>per cent</w:t>
      </w:r>
      <w:r w:rsidRPr="009C793F">
        <w:rPr>
          <w:rFonts w:asciiTheme="minorHAnsi" w:hAnsiTheme="minorHAnsi" w:cstheme="minorHAnsi"/>
          <w:color w:val="444444"/>
        </w:rPr>
        <w:t xml:space="preserve"> living in Trinidad and the remaining 4</w:t>
      </w:r>
      <w:r w:rsidR="00E408E0" w:rsidRPr="009C793F">
        <w:rPr>
          <w:rFonts w:asciiTheme="minorHAnsi" w:hAnsiTheme="minorHAnsi" w:cstheme="minorHAnsi"/>
          <w:color w:val="444444"/>
        </w:rPr>
        <w:t>per cent</w:t>
      </w:r>
      <w:r w:rsidRPr="009C793F">
        <w:rPr>
          <w:rFonts w:asciiTheme="minorHAnsi" w:hAnsiTheme="minorHAnsi" w:cstheme="minorHAnsi"/>
          <w:color w:val="444444"/>
        </w:rPr>
        <w:t xml:space="preserve"> residing in Tobago. Trinidad and Tobago is densely populated with just 5,131 square kilometres of land and 254 people per square kilometre (659/sq. mi).</w:t>
      </w:r>
    </w:p>
    <w:p w14:paraId="0CEC9F90" w14:textId="77777777" w:rsidR="00C86F4B" w:rsidRDefault="00C86F4B" w:rsidP="00DE19C9">
      <w:pPr>
        <w:tabs>
          <w:tab w:val="left" w:pos="0"/>
        </w:tabs>
        <w:jc w:val="both"/>
        <w:rPr>
          <w:rFonts w:asciiTheme="minorHAnsi" w:hAnsiTheme="minorHAnsi" w:cstheme="minorHAnsi"/>
        </w:rPr>
      </w:pPr>
    </w:p>
    <w:p w14:paraId="00000059" w14:textId="53AC1D4B"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Trinidad and Tobago is one of the most cosmopolitan countries in the Caribbean. This rich heritage is reflected in its vibrant and multifaceted culture with influences ranging from its indigenous people and including descendants of those who came from Africa, India, Europe, China, the Middle East and the wider Caribbean. The two main ethnic groups are Afro and Indo Trinidadians with histories of slavery and indentureship, respectively. </w:t>
      </w:r>
    </w:p>
    <w:p w14:paraId="0000005A" w14:textId="77777777" w:rsidR="006B72B0" w:rsidRPr="009C793F" w:rsidRDefault="006B72B0" w:rsidP="00DE19C9">
      <w:pPr>
        <w:tabs>
          <w:tab w:val="left" w:pos="0"/>
        </w:tabs>
        <w:jc w:val="both"/>
        <w:rPr>
          <w:rFonts w:asciiTheme="minorHAnsi" w:hAnsiTheme="minorHAnsi" w:cstheme="minorHAnsi"/>
        </w:rPr>
      </w:pPr>
    </w:p>
    <w:p w14:paraId="0000005B" w14:textId="53E552A0"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Trinidad and Tobago achieved independence from the United Kingdom in 1962 and is a Republic retaining the Westminster model of parliamentary democracy. It is classified as </w:t>
      </w:r>
      <w:r w:rsidRPr="009C793F">
        <w:rPr>
          <w:rFonts w:asciiTheme="minorHAnsi" w:hAnsiTheme="minorHAnsi" w:cstheme="minorHAnsi"/>
          <w:b/>
          <w:bCs/>
        </w:rPr>
        <w:t>a high-income country</w:t>
      </w:r>
      <w:r w:rsidRPr="009C793F">
        <w:rPr>
          <w:rFonts w:asciiTheme="minorHAnsi" w:hAnsiTheme="minorHAnsi" w:cstheme="minorHAnsi"/>
        </w:rPr>
        <w:t xml:space="preserve"> and therefore ineligible for </w:t>
      </w:r>
      <w:r w:rsidR="0079377B" w:rsidRPr="009C793F">
        <w:rPr>
          <w:rFonts w:asciiTheme="minorHAnsi" w:hAnsiTheme="minorHAnsi" w:cstheme="minorHAnsi"/>
        </w:rPr>
        <w:t>Official Development Assistance</w:t>
      </w:r>
      <w:r w:rsidRPr="009C793F">
        <w:rPr>
          <w:rFonts w:asciiTheme="minorHAnsi" w:hAnsiTheme="minorHAnsi" w:cstheme="minorHAnsi"/>
        </w:rPr>
        <w:t xml:space="preserve"> (ODA) and concessional financing from the </w:t>
      </w:r>
      <w:r w:rsidR="001974CD" w:rsidRPr="009C793F">
        <w:rPr>
          <w:rFonts w:asciiTheme="minorHAnsi" w:hAnsiTheme="minorHAnsi" w:cstheme="minorHAnsi"/>
        </w:rPr>
        <w:t>IFIs</w:t>
      </w:r>
      <w:r w:rsidRPr="009C793F">
        <w:rPr>
          <w:rFonts w:asciiTheme="minorHAnsi" w:hAnsiTheme="minorHAnsi" w:cstheme="minorHAnsi"/>
        </w:rPr>
        <w:t>. Its GNI per capita rose from less than US$4,000 in the early 1990s to US$16,890 in 2018</w:t>
      </w:r>
      <w:r w:rsidRPr="009C793F">
        <w:rPr>
          <w:rFonts w:asciiTheme="minorHAnsi" w:hAnsiTheme="minorHAnsi" w:cstheme="minorHAnsi"/>
          <w:vertAlign w:val="superscript"/>
        </w:rPr>
        <w:footnoteReference w:id="2"/>
      </w:r>
      <w:r w:rsidRPr="009C793F">
        <w:rPr>
          <w:rFonts w:asciiTheme="minorHAnsi" w:hAnsiTheme="minorHAnsi" w:cstheme="minorHAnsi"/>
        </w:rPr>
        <w:t xml:space="preserve">.  Like other small island developing states (SIDS), Trinidad and Tobago is </w:t>
      </w:r>
      <w:r w:rsidRPr="009C793F">
        <w:rPr>
          <w:rFonts w:asciiTheme="minorHAnsi" w:hAnsiTheme="minorHAnsi" w:cstheme="minorHAnsi"/>
          <w:b/>
          <w:bCs/>
        </w:rPr>
        <w:t>highly vulnerable to exogenous shocks</w:t>
      </w:r>
      <w:r w:rsidRPr="009C793F">
        <w:rPr>
          <w:rFonts w:asciiTheme="minorHAnsi" w:hAnsiTheme="minorHAnsi" w:cstheme="minorHAnsi"/>
        </w:rPr>
        <w:t xml:space="preserve">. As an economy largely reliant on one major sector for export earnings, economic cycles are tied to the volatility of global oil and gas prices. The </w:t>
      </w:r>
      <w:r w:rsidRPr="009C793F">
        <w:rPr>
          <w:rFonts w:asciiTheme="minorHAnsi" w:hAnsiTheme="minorHAnsi" w:cstheme="minorHAnsi"/>
          <w:b/>
          <w:bCs/>
        </w:rPr>
        <w:t>oil and gas sector accounts for 35</w:t>
      </w:r>
      <w:r w:rsidR="001974CD" w:rsidRPr="009C793F">
        <w:rPr>
          <w:rFonts w:asciiTheme="minorHAnsi" w:hAnsiTheme="minorHAnsi" w:cstheme="minorHAnsi"/>
          <w:b/>
          <w:bCs/>
        </w:rPr>
        <w:t xml:space="preserve"> per cent </w:t>
      </w:r>
      <w:r w:rsidRPr="009C793F">
        <w:rPr>
          <w:rFonts w:asciiTheme="minorHAnsi" w:hAnsiTheme="minorHAnsi" w:cstheme="minorHAnsi"/>
          <w:b/>
          <w:bCs/>
        </w:rPr>
        <w:t xml:space="preserve">of its Gross Domestic Product </w:t>
      </w:r>
      <w:r w:rsidR="00E40CFF" w:rsidRPr="009C793F">
        <w:rPr>
          <w:rFonts w:asciiTheme="minorHAnsi" w:hAnsiTheme="minorHAnsi" w:cstheme="minorHAnsi"/>
          <w:b/>
          <w:bCs/>
        </w:rPr>
        <w:t>(GDP)</w:t>
      </w:r>
      <w:r w:rsidR="00E40CFF" w:rsidRPr="009C793F">
        <w:rPr>
          <w:rFonts w:asciiTheme="minorHAnsi" w:hAnsiTheme="minorHAnsi" w:cstheme="minorHAnsi"/>
        </w:rPr>
        <w:t xml:space="preserve"> </w:t>
      </w:r>
      <w:r w:rsidRPr="009C793F">
        <w:rPr>
          <w:rFonts w:asciiTheme="minorHAnsi" w:hAnsiTheme="minorHAnsi" w:cstheme="minorHAnsi"/>
        </w:rPr>
        <w:t>and 80</w:t>
      </w:r>
      <w:r w:rsidR="001974CD" w:rsidRPr="009C793F">
        <w:rPr>
          <w:rFonts w:asciiTheme="minorHAnsi" w:hAnsiTheme="minorHAnsi" w:cstheme="minorHAnsi"/>
        </w:rPr>
        <w:t xml:space="preserve"> per cent</w:t>
      </w:r>
      <w:r w:rsidRPr="009C793F">
        <w:rPr>
          <w:rFonts w:asciiTheme="minorHAnsi" w:hAnsiTheme="minorHAnsi" w:cstheme="minorHAnsi"/>
        </w:rPr>
        <w:t xml:space="preserve"> of merchandise exports according to the Roadmap to Recovery Report (2020)</w:t>
      </w:r>
      <w:r w:rsidRPr="009C793F">
        <w:rPr>
          <w:rFonts w:asciiTheme="minorHAnsi" w:hAnsiTheme="minorHAnsi" w:cstheme="minorHAnsi"/>
          <w:vertAlign w:val="superscript"/>
        </w:rPr>
        <w:footnoteReference w:id="3"/>
      </w:r>
      <w:r w:rsidRPr="009C793F">
        <w:rPr>
          <w:rFonts w:asciiTheme="minorHAnsi" w:hAnsiTheme="minorHAnsi" w:cstheme="minorHAnsi"/>
        </w:rPr>
        <w:t xml:space="preserve">. </w:t>
      </w:r>
    </w:p>
    <w:p w14:paraId="0000005C" w14:textId="77777777" w:rsidR="006B72B0" w:rsidRPr="009C793F" w:rsidRDefault="006B72B0" w:rsidP="00DE19C9">
      <w:pPr>
        <w:tabs>
          <w:tab w:val="left" w:pos="0"/>
        </w:tabs>
        <w:jc w:val="both"/>
        <w:rPr>
          <w:rFonts w:asciiTheme="minorHAnsi" w:hAnsiTheme="minorHAnsi" w:cstheme="minorHAnsi"/>
        </w:rPr>
      </w:pPr>
    </w:p>
    <w:p w14:paraId="0000005D" w14:textId="3AA42C47"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Trinidad and Tobago has </w:t>
      </w:r>
      <w:r w:rsidRPr="009C793F">
        <w:rPr>
          <w:rFonts w:asciiTheme="minorHAnsi" w:hAnsiTheme="minorHAnsi" w:cstheme="minorHAnsi"/>
          <w:b/>
          <w:bCs/>
        </w:rPr>
        <w:t>strong relations with the international community</w:t>
      </w:r>
      <w:r w:rsidRPr="009C793F">
        <w:rPr>
          <w:rFonts w:asciiTheme="minorHAnsi" w:hAnsiTheme="minorHAnsi" w:cstheme="minorHAnsi"/>
        </w:rPr>
        <w:t xml:space="preserve"> and has steadily expanded its footprint further afield including with Africa and Asia. It is a member of major international and regional organizations including the UN; the Commonwealth; the Organisation of African, Caribbean and Pacific (ACP) States; the Association of Caribbean States (ACS); and the Caribbean Community (CARICOM). In terms of foreign policy, it </w:t>
      </w:r>
      <w:r w:rsidRPr="009C793F">
        <w:rPr>
          <w:rFonts w:asciiTheme="minorHAnsi" w:hAnsiTheme="minorHAnsi" w:cstheme="minorHAnsi"/>
          <w:b/>
          <w:bCs/>
        </w:rPr>
        <w:t>works closely with CARICOM</w:t>
      </w:r>
      <w:r w:rsidRPr="009C793F">
        <w:rPr>
          <w:rFonts w:asciiTheme="minorHAnsi" w:hAnsiTheme="minorHAnsi" w:cstheme="minorHAnsi"/>
        </w:rPr>
        <w:t xml:space="preserve"> to identify common approaches on </w:t>
      </w:r>
      <w:r w:rsidR="00F379EC" w:rsidRPr="009C793F">
        <w:rPr>
          <w:rFonts w:asciiTheme="minorHAnsi" w:hAnsiTheme="minorHAnsi" w:cstheme="minorHAnsi"/>
        </w:rPr>
        <w:t>key issues</w:t>
      </w:r>
      <w:r w:rsidRPr="009C793F">
        <w:rPr>
          <w:rFonts w:asciiTheme="minorHAnsi" w:hAnsiTheme="minorHAnsi" w:cstheme="minorHAnsi"/>
        </w:rPr>
        <w:t xml:space="preserve">. </w:t>
      </w:r>
    </w:p>
    <w:p w14:paraId="0000005E" w14:textId="77777777" w:rsidR="006B72B0" w:rsidRPr="009C793F" w:rsidRDefault="006B72B0" w:rsidP="00DE19C9">
      <w:pPr>
        <w:tabs>
          <w:tab w:val="left" w:pos="0"/>
        </w:tabs>
        <w:jc w:val="both"/>
        <w:rPr>
          <w:rFonts w:asciiTheme="minorHAnsi" w:hAnsiTheme="minorHAnsi" w:cstheme="minorHAnsi"/>
        </w:rPr>
      </w:pPr>
    </w:p>
    <w:p w14:paraId="0000005F" w14:textId="6CFFD84C"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The United States is </w:t>
      </w:r>
      <w:r w:rsidR="00F379EC" w:rsidRPr="009C793F">
        <w:rPr>
          <w:rFonts w:asciiTheme="minorHAnsi" w:hAnsiTheme="minorHAnsi" w:cstheme="minorHAnsi"/>
        </w:rPr>
        <w:t>the</w:t>
      </w:r>
      <w:r w:rsidRPr="009C793F">
        <w:rPr>
          <w:rFonts w:asciiTheme="minorHAnsi" w:hAnsiTheme="minorHAnsi" w:cstheme="minorHAnsi"/>
        </w:rPr>
        <w:t xml:space="preserve"> main trading partner</w:t>
      </w:r>
      <w:r w:rsidR="00F379EC" w:rsidRPr="009C793F">
        <w:rPr>
          <w:rFonts w:asciiTheme="minorHAnsi" w:hAnsiTheme="minorHAnsi" w:cstheme="minorHAnsi"/>
        </w:rPr>
        <w:t>,</w:t>
      </w:r>
      <w:r w:rsidRPr="009C793F">
        <w:rPr>
          <w:rFonts w:asciiTheme="minorHAnsi" w:hAnsiTheme="minorHAnsi" w:cstheme="minorHAnsi"/>
        </w:rPr>
        <w:t xml:space="preserve"> accounting for 45</w:t>
      </w:r>
      <w:r w:rsidR="001974CD" w:rsidRPr="009C793F">
        <w:rPr>
          <w:rFonts w:asciiTheme="minorHAnsi" w:hAnsiTheme="minorHAnsi" w:cstheme="minorHAnsi"/>
        </w:rPr>
        <w:t xml:space="preserve"> per cent </w:t>
      </w:r>
      <w:r w:rsidRPr="009C793F">
        <w:rPr>
          <w:rFonts w:asciiTheme="minorHAnsi" w:hAnsiTheme="minorHAnsi" w:cstheme="minorHAnsi"/>
        </w:rPr>
        <w:t>of total trade</w:t>
      </w:r>
      <w:r w:rsidRPr="009C793F">
        <w:rPr>
          <w:rFonts w:asciiTheme="minorHAnsi" w:hAnsiTheme="minorHAnsi" w:cstheme="minorHAnsi"/>
          <w:vertAlign w:val="superscript"/>
        </w:rPr>
        <w:footnoteReference w:id="4"/>
      </w:r>
      <w:r w:rsidRPr="009C793F">
        <w:rPr>
          <w:rFonts w:asciiTheme="minorHAnsi" w:hAnsiTheme="minorHAnsi" w:cstheme="minorHAnsi"/>
        </w:rPr>
        <w:t xml:space="preserve">.  Trinidad and Tobago has a large diaspora population in the United States, Canada and the United Kingdom. It has not traditionally relied heavily on remittances as a source of revenue. </w:t>
      </w:r>
      <w:r w:rsidRPr="009C793F">
        <w:rPr>
          <w:rFonts w:asciiTheme="minorHAnsi" w:hAnsiTheme="minorHAnsi" w:cstheme="minorHAnsi"/>
          <w:b/>
          <w:bCs/>
        </w:rPr>
        <w:t>Remittances</w:t>
      </w:r>
      <w:r w:rsidRPr="009C793F">
        <w:rPr>
          <w:rFonts w:asciiTheme="minorHAnsi" w:hAnsiTheme="minorHAnsi" w:cstheme="minorHAnsi"/>
        </w:rPr>
        <w:t xml:space="preserve"> which stood at an estimated US$139 million in 2019</w:t>
      </w:r>
      <w:r w:rsidRPr="009C793F">
        <w:rPr>
          <w:rFonts w:asciiTheme="minorHAnsi" w:hAnsiTheme="minorHAnsi" w:cstheme="minorHAnsi"/>
          <w:vertAlign w:val="superscript"/>
        </w:rPr>
        <w:footnoteReference w:id="5"/>
      </w:r>
      <w:r w:rsidRPr="009C793F">
        <w:rPr>
          <w:rFonts w:asciiTheme="minorHAnsi" w:hAnsiTheme="minorHAnsi" w:cstheme="minorHAnsi"/>
        </w:rPr>
        <w:t xml:space="preserve"> </w:t>
      </w:r>
      <w:r w:rsidR="00F379EC" w:rsidRPr="009C793F">
        <w:rPr>
          <w:rFonts w:asciiTheme="minorHAnsi" w:hAnsiTheme="minorHAnsi" w:cstheme="minorHAnsi"/>
        </w:rPr>
        <w:t>are</w:t>
      </w:r>
      <w:r w:rsidRPr="009C793F">
        <w:rPr>
          <w:rFonts w:asciiTheme="minorHAnsi" w:hAnsiTheme="minorHAnsi" w:cstheme="minorHAnsi"/>
        </w:rPr>
        <w:t xml:space="preserve"> likely to become increasingly important to help finance SDG achievement. </w:t>
      </w:r>
    </w:p>
    <w:p w14:paraId="00000060" w14:textId="77777777" w:rsidR="006B72B0" w:rsidRPr="009C793F" w:rsidRDefault="006B72B0" w:rsidP="00DE19C9">
      <w:pPr>
        <w:tabs>
          <w:tab w:val="left" w:pos="0"/>
        </w:tabs>
        <w:jc w:val="both"/>
        <w:rPr>
          <w:rFonts w:asciiTheme="minorHAnsi" w:hAnsiTheme="minorHAnsi" w:cstheme="minorHAnsi"/>
        </w:rPr>
      </w:pPr>
    </w:p>
    <w:p w14:paraId="00000061" w14:textId="77777777"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lastRenderedPageBreak/>
        <w:t xml:space="preserve">Looking ahead, </w:t>
      </w:r>
      <w:r w:rsidRPr="009C793F">
        <w:rPr>
          <w:rFonts w:asciiTheme="minorHAnsi" w:hAnsiTheme="minorHAnsi" w:cstheme="minorHAnsi"/>
          <w:b/>
          <w:bCs/>
        </w:rPr>
        <w:t>multilateral cooperation will become even more</w:t>
      </w:r>
      <w:r w:rsidRPr="009C793F">
        <w:rPr>
          <w:rFonts w:asciiTheme="minorHAnsi" w:hAnsiTheme="minorHAnsi" w:cstheme="minorHAnsi"/>
        </w:rPr>
        <w:t xml:space="preserve"> important to Trinidad and Tobago. A good example has been its quick action to join the international COVAX</w:t>
      </w:r>
      <w:r w:rsidRPr="009C793F">
        <w:rPr>
          <w:rFonts w:asciiTheme="minorHAnsi" w:hAnsiTheme="minorHAnsi" w:cstheme="minorHAnsi"/>
          <w:vertAlign w:val="superscript"/>
        </w:rPr>
        <w:footnoteReference w:id="6"/>
      </w:r>
      <w:r w:rsidRPr="009C793F">
        <w:rPr>
          <w:rFonts w:asciiTheme="minorHAnsi" w:hAnsiTheme="minorHAnsi" w:cstheme="minorHAnsi"/>
        </w:rPr>
        <w:t xml:space="preserve"> arrangement to get vaccines for coronavirus when they come on stream. </w:t>
      </w:r>
    </w:p>
    <w:p w14:paraId="00000062" w14:textId="77777777" w:rsidR="006B72B0" w:rsidRPr="009C793F" w:rsidRDefault="006B72B0" w:rsidP="00DE19C9">
      <w:pPr>
        <w:tabs>
          <w:tab w:val="left" w:pos="0"/>
        </w:tabs>
        <w:jc w:val="both"/>
        <w:rPr>
          <w:rFonts w:asciiTheme="minorHAnsi" w:hAnsiTheme="minorHAnsi" w:cstheme="minorHAnsi"/>
        </w:rPr>
      </w:pPr>
    </w:p>
    <w:p w14:paraId="084B96EB" w14:textId="60B150CE" w:rsidR="00C86F4B"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2.2 </w:t>
      </w:r>
      <w:r w:rsidRPr="009C793F">
        <w:rPr>
          <w:rFonts w:asciiTheme="minorHAnsi" w:hAnsiTheme="minorHAnsi" w:cstheme="minorHAnsi"/>
          <w:b/>
        </w:rPr>
        <w:t>Regional Development Context</w:t>
      </w:r>
      <w:r w:rsidRPr="009C793F">
        <w:rPr>
          <w:rFonts w:asciiTheme="minorHAnsi" w:hAnsiTheme="minorHAnsi" w:cstheme="minorHAnsi"/>
        </w:rPr>
        <w:t xml:space="preserve"> </w:t>
      </w:r>
    </w:p>
    <w:p w14:paraId="514BB6D1" w14:textId="77777777" w:rsidR="00C86F4B" w:rsidRDefault="00C86F4B" w:rsidP="00DE19C9">
      <w:pPr>
        <w:tabs>
          <w:tab w:val="left" w:pos="0"/>
        </w:tabs>
        <w:jc w:val="both"/>
        <w:rPr>
          <w:rFonts w:asciiTheme="minorHAnsi" w:hAnsiTheme="minorHAnsi" w:cstheme="minorHAnsi"/>
        </w:rPr>
      </w:pPr>
    </w:p>
    <w:p w14:paraId="00000063" w14:textId="56E95AC2"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Trinidad and Tobago has </w:t>
      </w:r>
      <w:r w:rsidRPr="009C793F">
        <w:rPr>
          <w:rFonts w:asciiTheme="minorHAnsi" w:hAnsiTheme="minorHAnsi" w:cstheme="minorHAnsi"/>
          <w:b/>
          <w:bCs/>
        </w:rPr>
        <w:t>the largest economy in CARICOM</w:t>
      </w:r>
      <w:r w:rsidRPr="009C793F">
        <w:rPr>
          <w:rFonts w:asciiTheme="minorHAnsi" w:hAnsiTheme="minorHAnsi" w:cstheme="minorHAnsi"/>
        </w:rPr>
        <w:t xml:space="preserve"> which comprises 15 member states and 5 associate members. As a small and highly vulnerable economy, Trinidad and Tobago has been a strong advocate for regional integration. It is an active member at the regional level and in institutions such as CARICOM, the Caribbean Development Bank</w:t>
      </w:r>
      <w:r w:rsidR="0079377B" w:rsidRPr="009C793F">
        <w:rPr>
          <w:rFonts w:asciiTheme="minorHAnsi" w:hAnsiTheme="minorHAnsi" w:cstheme="minorHAnsi"/>
        </w:rPr>
        <w:t xml:space="preserve"> (CDB)</w:t>
      </w:r>
      <w:r w:rsidRPr="009C793F">
        <w:rPr>
          <w:rFonts w:asciiTheme="minorHAnsi" w:hAnsiTheme="minorHAnsi" w:cstheme="minorHAnsi"/>
        </w:rPr>
        <w:t>, and the Caribbean Export Development Agency. It has recognised the importance of optimizing resources and leveraging regional economies of scale. This is evidenced by its utilisation of regional coordination mechanisms such as the Caribbean Disaster Emergency Management Agency (CDEMA)</w:t>
      </w:r>
      <w:r w:rsidR="001974CD" w:rsidRPr="009C793F">
        <w:rPr>
          <w:rFonts w:asciiTheme="minorHAnsi" w:hAnsiTheme="minorHAnsi" w:cstheme="minorHAnsi"/>
        </w:rPr>
        <w:t xml:space="preserve"> and where it is also a major contributor.</w:t>
      </w:r>
      <w:r w:rsidRPr="009C793F">
        <w:rPr>
          <w:rFonts w:asciiTheme="minorHAnsi" w:hAnsiTheme="minorHAnsi" w:cstheme="minorHAnsi"/>
        </w:rPr>
        <w:t xml:space="preserve">  Trinidad and Tobago hosts one of the main campuses of the University of the West Indies and its secondary school students are all assessed via the Regional examinations body, the Caribbean Examinations Council.  </w:t>
      </w:r>
    </w:p>
    <w:p w14:paraId="00000064" w14:textId="77777777" w:rsidR="006B72B0" w:rsidRPr="009C793F" w:rsidRDefault="006B72B0" w:rsidP="00DE19C9">
      <w:pPr>
        <w:tabs>
          <w:tab w:val="left" w:pos="0"/>
        </w:tabs>
        <w:jc w:val="both"/>
        <w:rPr>
          <w:rFonts w:asciiTheme="minorHAnsi" w:hAnsiTheme="minorHAnsi" w:cstheme="minorHAnsi"/>
        </w:rPr>
      </w:pPr>
    </w:p>
    <w:p w14:paraId="00000065" w14:textId="38DB472D"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Whilst being an active member of CARICOM, it has been </w:t>
      </w:r>
      <w:r w:rsidRPr="009C793F">
        <w:rPr>
          <w:rFonts w:asciiTheme="minorHAnsi" w:hAnsiTheme="minorHAnsi" w:cstheme="minorHAnsi"/>
          <w:b/>
          <w:bCs/>
        </w:rPr>
        <w:t>building political and trading relationships</w:t>
      </w:r>
      <w:r w:rsidRPr="009C793F">
        <w:rPr>
          <w:rFonts w:asciiTheme="minorHAnsi" w:hAnsiTheme="minorHAnsi" w:cstheme="minorHAnsi"/>
        </w:rPr>
        <w:t xml:space="preserve"> across the Caribbean basin with Cuba, Dominican Republic, Mexico, and the rest of Central America. It has also been steadily </w:t>
      </w:r>
      <w:r w:rsidRPr="009C793F">
        <w:rPr>
          <w:rFonts w:asciiTheme="minorHAnsi" w:hAnsiTheme="minorHAnsi" w:cstheme="minorHAnsi"/>
          <w:b/>
          <w:bCs/>
        </w:rPr>
        <w:t>forging partnerships</w:t>
      </w:r>
      <w:r w:rsidRPr="009C793F">
        <w:rPr>
          <w:rFonts w:asciiTheme="minorHAnsi" w:hAnsiTheme="minorHAnsi" w:cstheme="minorHAnsi"/>
        </w:rPr>
        <w:t xml:space="preserve"> with the rest of South America and further afield in Africa and Asia. Trinidad and Tobago hosts the Secretariat of the Association of Caribbean States</w:t>
      </w:r>
      <w:r w:rsidR="003A0877" w:rsidRPr="009C793F">
        <w:rPr>
          <w:rFonts w:asciiTheme="minorHAnsi" w:hAnsiTheme="minorHAnsi" w:cstheme="minorHAnsi"/>
        </w:rPr>
        <w:t xml:space="preserve"> (ACS)</w:t>
      </w:r>
      <w:r w:rsidRPr="009C793F">
        <w:rPr>
          <w:rFonts w:asciiTheme="minorHAnsi" w:hAnsiTheme="minorHAnsi" w:cstheme="minorHAnsi"/>
        </w:rPr>
        <w:t xml:space="preserve"> which has a membership of 35 countries in the Greater Caribbean. </w:t>
      </w:r>
    </w:p>
    <w:p w14:paraId="00000066" w14:textId="77777777" w:rsidR="006B72B0" w:rsidRPr="009C793F" w:rsidRDefault="006B72B0" w:rsidP="00DE19C9">
      <w:pPr>
        <w:tabs>
          <w:tab w:val="left" w:pos="0"/>
        </w:tabs>
        <w:jc w:val="both"/>
        <w:rPr>
          <w:rFonts w:asciiTheme="minorHAnsi" w:hAnsiTheme="minorHAnsi" w:cstheme="minorHAnsi"/>
        </w:rPr>
      </w:pPr>
    </w:p>
    <w:p w14:paraId="00000067" w14:textId="7BFD7CDC"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Given its geographic location and proximity to the South American mainland, it has been </w:t>
      </w:r>
      <w:r w:rsidRPr="009C793F">
        <w:rPr>
          <w:rFonts w:asciiTheme="minorHAnsi" w:hAnsiTheme="minorHAnsi" w:cstheme="minorHAnsi"/>
          <w:b/>
          <w:bCs/>
        </w:rPr>
        <w:t>impacted by the international trade in illicit drugs and illegal arms</w:t>
      </w:r>
      <w:r w:rsidRPr="009C793F">
        <w:rPr>
          <w:rFonts w:asciiTheme="minorHAnsi" w:hAnsiTheme="minorHAnsi" w:cstheme="minorHAnsi"/>
        </w:rPr>
        <w:t xml:space="preserve">. The </w:t>
      </w:r>
      <w:r w:rsidRPr="009C793F">
        <w:rPr>
          <w:rFonts w:asciiTheme="minorHAnsi" w:hAnsiTheme="minorHAnsi" w:cstheme="minorHAnsi"/>
          <w:b/>
          <w:bCs/>
        </w:rPr>
        <w:t>deteriorating humanitarian situation in Venezuela</w:t>
      </w:r>
      <w:r w:rsidRPr="009C793F">
        <w:rPr>
          <w:rFonts w:asciiTheme="minorHAnsi" w:hAnsiTheme="minorHAnsi" w:cstheme="minorHAnsi"/>
        </w:rPr>
        <w:t xml:space="preserve"> has resulted in a large influx of migrants and refugees to Trinidad and Tobago. There are 16,</w:t>
      </w:r>
      <w:r w:rsidR="007376BA" w:rsidRPr="009C793F">
        <w:rPr>
          <w:rFonts w:asciiTheme="minorHAnsi" w:hAnsiTheme="minorHAnsi" w:cstheme="minorHAnsi"/>
        </w:rPr>
        <w:t>532</w:t>
      </w:r>
      <w:r w:rsidRPr="009C793F">
        <w:rPr>
          <w:rFonts w:asciiTheme="minorHAnsi" w:hAnsiTheme="minorHAnsi" w:cstheme="minorHAnsi"/>
        </w:rPr>
        <w:t xml:space="preserve"> Venezuelan nationals registered by GORTT</w:t>
      </w:r>
      <w:r w:rsidRPr="009C793F">
        <w:rPr>
          <w:rFonts w:asciiTheme="minorHAnsi" w:hAnsiTheme="minorHAnsi" w:cstheme="minorHAnsi"/>
          <w:vertAlign w:val="superscript"/>
        </w:rPr>
        <w:footnoteReference w:id="7"/>
      </w:r>
      <w:r w:rsidRPr="009C793F">
        <w:rPr>
          <w:rFonts w:asciiTheme="minorHAnsi" w:hAnsiTheme="minorHAnsi" w:cstheme="minorHAnsi"/>
        </w:rPr>
        <w:t xml:space="preserve">. It should be noted that with regular arrivals, the numbers are likely to be higher. Given their registered status, they </w:t>
      </w:r>
      <w:r w:rsidR="006509DB" w:rsidRPr="009C793F">
        <w:rPr>
          <w:rFonts w:asciiTheme="minorHAnsi" w:hAnsiTheme="minorHAnsi" w:cstheme="minorHAnsi"/>
        </w:rPr>
        <w:t>can</w:t>
      </w:r>
      <w:r w:rsidRPr="009C793F">
        <w:rPr>
          <w:rFonts w:asciiTheme="minorHAnsi" w:hAnsiTheme="minorHAnsi" w:cstheme="minorHAnsi"/>
        </w:rPr>
        <w:t xml:space="preserve"> participate in the national economy though access to social services are limited. The increasing number of Venezuelan nationals coming to Trinidad and Tobago illegally can put an additional strain on an already resource-constrained social protection system which is now already </w:t>
      </w:r>
      <w:r w:rsidR="001974CD" w:rsidRPr="009C793F">
        <w:rPr>
          <w:rFonts w:asciiTheme="minorHAnsi" w:hAnsiTheme="minorHAnsi" w:cstheme="minorHAnsi"/>
        </w:rPr>
        <w:t xml:space="preserve">stressed </w:t>
      </w:r>
      <w:r w:rsidRPr="009C793F">
        <w:rPr>
          <w:rFonts w:asciiTheme="minorHAnsi" w:hAnsiTheme="minorHAnsi" w:cstheme="minorHAnsi"/>
        </w:rPr>
        <w:t xml:space="preserve">by COVID-19. However, there are areas such as agriculture where the migrant population can make an important contribution especially given the enhanced priority accorded to this sector in the national budget. </w:t>
      </w:r>
    </w:p>
    <w:p w14:paraId="00000068" w14:textId="77777777" w:rsidR="006B72B0" w:rsidRPr="009C793F" w:rsidRDefault="006B72B0" w:rsidP="00DE19C9">
      <w:pPr>
        <w:tabs>
          <w:tab w:val="left" w:pos="0"/>
        </w:tabs>
        <w:jc w:val="both"/>
        <w:rPr>
          <w:rFonts w:asciiTheme="minorHAnsi" w:hAnsiTheme="minorHAnsi" w:cstheme="minorHAnsi"/>
        </w:rPr>
      </w:pPr>
    </w:p>
    <w:p w14:paraId="00000069" w14:textId="41C07A5C" w:rsidR="006B72B0" w:rsidRDefault="00845012" w:rsidP="00DE19C9">
      <w:pPr>
        <w:widowControl w:val="0"/>
        <w:jc w:val="both"/>
        <w:rPr>
          <w:rFonts w:asciiTheme="minorHAnsi" w:hAnsiTheme="minorHAnsi" w:cstheme="minorHAnsi"/>
        </w:rPr>
      </w:pPr>
      <w:r w:rsidRPr="009C793F">
        <w:rPr>
          <w:rFonts w:asciiTheme="minorHAnsi" w:hAnsiTheme="minorHAnsi" w:cstheme="minorHAnsi"/>
        </w:rPr>
        <w:t xml:space="preserve">Like in the rest of the Caribbean, </w:t>
      </w:r>
      <w:r w:rsidRPr="009C793F">
        <w:rPr>
          <w:rFonts w:asciiTheme="minorHAnsi" w:hAnsiTheme="minorHAnsi" w:cstheme="minorHAnsi"/>
          <w:b/>
          <w:bCs/>
        </w:rPr>
        <w:t>food security</w:t>
      </w:r>
      <w:r w:rsidRPr="009C793F">
        <w:rPr>
          <w:rFonts w:asciiTheme="minorHAnsi" w:hAnsiTheme="minorHAnsi" w:cstheme="minorHAnsi"/>
        </w:rPr>
        <w:t xml:space="preserve"> is a big issue in Trinidad and Tobago once more underlined by the </w:t>
      </w:r>
      <w:r w:rsidR="007376BA" w:rsidRPr="009C793F">
        <w:rPr>
          <w:rFonts w:asciiTheme="minorHAnsi" w:hAnsiTheme="minorHAnsi" w:cstheme="minorHAnsi"/>
        </w:rPr>
        <w:t>COVID-19</w:t>
      </w:r>
      <w:r w:rsidRPr="009C793F">
        <w:rPr>
          <w:rFonts w:asciiTheme="minorHAnsi" w:hAnsiTheme="minorHAnsi" w:cstheme="minorHAnsi"/>
        </w:rPr>
        <w:t xml:space="preserve"> pandemic. Recognising this, the GORTT has signed onto the Liliendaal Declaration of Heads of Government in 2009 to strengthen agriculture, food, and nutrition security within the CARICOM region. In 2010, at a special meeting of the Council of Economic Trade and Development of CARICOM, Trinidad and Tobago also signed onto a declaration endorsing a Regional Plan of Action for Food and Nutrition Security. In 2011, the United Nations through FAO supported the development of a National Plan for Food and Nutrition Security. Government has signaled its determination to redoubl</w:t>
      </w:r>
      <w:r w:rsidR="007376BA" w:rsidRPr="009C793F">
        <w:rPr>
          <w:rFonts w:asciiTheme="minorHAnsi" w:hAnsiTheme="minorHAnsi" w:cstheme="minorHAnsi"/>
        </w:rPr>
        <w:t>e its</w:t>
      </w:r>
      <w:r w:rsidRPr="009C793F">
        <w:rPr>
          <w:rFonts w:asciiTheme="minorHAnsi" w:hAnsiTheme="minorHAnsi" w:cstheme="minorHAnsi"/>
        </w:rPr>
        <w:t xml:space="preserve"> efforts in the agriculture sector. The Government in its 202</w:t>
      </w:r>
      <w:r w:rsidR="007376BA" w:rsidRPr="009C793F">
        <w:rPr>
          <w:rFonts w:asciiTheme="minorHAnsi" w:hAnsiTheme="minorHAnsi" w:cstheme="minorHAnsi"/>
        </w:rPr>
        <w:t>1</w:t>
      </w:r>
      <w:r w:rsidRPr="009C793F">
        <w:rPr>
          <w:rFonts w:asciiTheme="minorHAnsi" w:hAnsiTheme="minorHAnsi" w:cstheme="minorHAnsi"/>
        </w:rPr>
        <w:t xml:space="preserve"> budget statement announced a TT$500 million Agriculture Stimulus Package. This is in addition to the normal budgetary allocation and represents 70</w:t>
      </w:r>
      <w:sdt>
        <w:sdtPr>
          <w:rPr>
            <w:rFonts w:asciiTheme="minorHAnsi" w:hAnsiTheme="minorHAnsi" w:cstheme="minorHAnsi"/>
          </w:rPr>
          <w:tag w:val="goog_rdk_4"/>
          <w:id w:val="-997726880"/>
        </w:sdtPr>
        <w:sdtContent/>
      </w:sdt>
      <w:r w:rsidR="00E40CFF" w:rsidRPr="009C793F">
        <w:rPr>
          <w:rFonts w:asciiTheme="minorHAnsi" w:hAnsiTheme="minorHAnsi" w:cstheme="minorHAnsi"/>
        </w:rPr>
        <w:t xml:space="preserve"> per cent </w:t>
      </w:r>
      <w:r w:rsidRPr="009C793F">
        <w:rPr>
          <w:rFonts w:asciiTheme="minorHAnsi" w:hAnsiTheme="minorHAnsi" w:cstheme="minorHAnsi"/>
        </w:rPr>
        <w:t>increase over the previous year’s allocation for Agriculture</w:t>
      </w:r>
      <w:r w:rsidRPr="009C793F">
        <w:rPr>
          <w:rFonts w:asciiTheme="minorHAnsi" w:hAnsiTheme="minorHAnsi" w:cstheme="minorHAnsi"/>
          <w:vertAlign w:val="superscript"/>
        </w:rPr>
        <w:footnoteReference w:id="8"/>
      </w:r>
      <w:r w:rsidRPr="009C793F">
        <w:rPr>
          <w:rFonts w:asciiTheme="minorHAnsi" w:hAnsiTheme="minorHAnsi" w:cstheme="minorHAnsi"/>
        </w:rPr>
        <w:t xml:space="preserve">. </w:t>
      </w:r>
    </w:p>
    <w:p w14:paraId="6733DF7A" w14:textId="77777777" w:rsidR="00DE19C9" w:rsidRPr="009C793F" w:rsidRDefault="00DE19C9" w:rsidP="00DE19C9">
      <w:pPr>
        <w:widowControl w:val="0"/>
        <w:jc w:val="both"/>
        <w:rPr>
          <w:rFonts w:asciiTheme="minorHAnsi" w:hAnsiTheme="minorHAnsi" w:cstheme="minorHAnsi"/>
        </w:rPr>
      </w:pPr>
    </w:p>
    <w:p w14:paraId="0000006A" w14:textId="4F08DDAF" w:rsidR="006B72B0" w:rsidRDefault="00845012" w:rsidP="00DE19C9">
      <w:pPr>
        <w:jc w:val="both"/>
        <w:rPr>
          <w:rFonts w:asciiTheme="minorHAnsi" w:hAnsiTheme="minorHAnsi" w:cstheme="minorHAnsi"/>
          <w:b/>
        </w:rPr>
      </w:pPr>
      <w:r w:rsidRPr="009C793F">
        <w:rPr>
          <w:rFonts w:asciiTheme="minorHAnsi" w:hAnsiTheme="minorHAnsi" w:cstheme="minorHAnsi"/>
          <w:b/>
        </w:rPr>
        <w:t xml:space="preserve">2.3 National Development Context </w:t>
      </w:r>
    </w:p>
    <w:p w14:paraId="222D5FCA" w14:textId="77777777" w:rsidR="00DE19C9" w:rsidRPr="009C793F" w:rsidRDefault="00DE19C9" w:rsidP="00DE19C9">
      <w:pPr>
        <w:jc w:val="both"/>
        <w:rPr>
          <w:rFonts w:asciiTheme="minorHAnsi" w:hAnsiTheme="minorHAnsi" w:cstheme="minorHAnsi"/>
          <w:b/>
        </w:rPr>
      </w:pPr>
    </w:p>
    <w:p w14:paraId="0000006B" w14:textId="0D75E9B9" w:rsidR="006B72B0" w:rsidRDefault="00845012" w:rsidP="00DE19C9">
      <w:pPr>
        <w:numPr>
          <w:ilvl w:val="0"/>
          <w:numId w:val="2"/>
        </w:numPr>
        <w:jc w:val="both"/>
        <w:rPr>
          <w:rFonts w:asciiTheme="minorHAnsi" w:hAnsiTheme="minorHAnsi" w:cstheme="minorHAnsi"/>
          <w:b/>
        </w:rPr>
      </w:pPr>
      <w:r w:rsidRPr="009C793F">
        <w:rPr>
          <w:rFonts w:asciiTheme="minorHAnsi" w:hAnsiTheme="minorHAnsi" w:cstheme="minorHAnsi"/>
          <w:b/>
        </w:rPr>
        <w:t>National Vision for Sustainable Development and Agenda 2030</w:t>
      </w:r>
    </w:p>
    <w:p w14:paraId="7F940D7C" w14:textId="77777777" w:rsidR="00C86F4B" w:rsidRPr="009C793F" w:rsidRDefault="00C86F4B" w:rsidP="00C86F4B">
      <w:pPr>
        <w:ind w:left="360"/>
        <w:jc w:val="both"/>
        <w:rPr>
          <w:rFonts w:asciiTheme="minorHAnsi" w:hAnsiTheme="minorHAnsi" w:cstheme="minorHAnsi"/>
          <w:b/>
        </w:rPr>
      </w:pPr>
    </w:p>
    <w:p w14:paraId="0000006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has adopted a National Development Strategy (NDS) for the period 2016-2030 known as </w:t>
      </w:r>
      <w:r w:rsidRPr="009C793F">
        <w:rPr>
          <w:rFonts w:asciiTheme="minorHAnsi" w:hAnsiTheme="minorHAnsi" w:cstheme="minorHAnsi"/>
          <w:b/>
        </w:rPr>
        <w:t>Vision 2030.</w:t>
      </w:r>
      <w:r w:rsidRPr="009C793F">
        <w:rPr>
          <w:rFonts w:asciiTheme="minorHAnsi" w:hAnsiTheme="minorHAnsi" w:cstheme="minorHAnsi"/>
        </w:rPr>
        <w:t xml:space="preserve"> It fully incorporates the principles and objectives of the SDGs. The NDS establishes the vision and broad framework for Trinidad and Tobago’s sustainable development to 2030. The NDS main imperatives include:  expanding exports and increasing foreign exchange earnings and employment; solving and preventing crime; reversing the non-progressive values, attitudes and behaviours such as low productivity and poor work ethos; undertaking constitutional and institutional reform; addressing the impact of shale gas and alternative energy sources; ensuring effective and efficient public service delivery; and measurement of results achieved.</w:t>
      </w:r>
    </w:p>
    <w:p w14:paraId="0000006D" w14:textId="77777777" w:rsidR="006B72B0" w:rsidRPr="009C793F" w:rsidRDefault="006B72B0" w:rsidP="00DE19C9">
      <w:pPr>
        <w:ind w:left="720"/>
        <w:jc w:val="both"/>
        <w:rPr>
          <w:rFonts w:asciiTheme="minorHAnsi" w:hAnsiTheme="minorHAnsi" w:cstheme="minorHAnsi"/>
        </w:rPr>
      </w:pPr>
    </w:p>
    <w:p w14:paraId="0000006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NDS is the outcome of extensive consultations and has as its main thematic focus the following: </w:t>
      </w:r>
    </w:p>
    <w:p w14:paraId="0000006F" w14:textId="77777777" w:rsidR="006B72B0" w:rsidRPr="009C793F" w:rsidRDefault="006B72B0" w:rsidP="00DE19C9">
      <w:pPr>
        <w:ind w:left="720"/>
        <w:jc w:val="both"/>
        <w:rPr>
          <w:rFonts w:asciiTheme="minorHAnsi" w:hAnsiTheme="minorHAnsi" w:cstheme="minorHAnsi"/>
        </w:rPr>
      </w:pPr>
    </w:p>
    <w:p w14:paraId="00000070" w14:textId="77777777" w:rsidR="006B72B0" w:rsidRPr="009C793F" w:rsidRDefault="00845012" w:rsidP="00DE19C9">
      <w:pPr>
        <w:numPr>
          <w:ilvl w:val="0"/>
          <w:numId w:val="1"/>
        </w:numPr>
        <w:jc w:val="both"/>
        <w:rPr>
          <w:rFonts w:asciiTheme="minorHAnsi" w:hAnsiTheme="minorHAnsi" w:cstheme="minorHAnsi"/>
        </w:rPr>
      </w:pPr>
      <w:r w:rsidRPr="009C793F">
        <w:rPr>
          <w:rFonts w:asciiTheme="minorHAnsi" w:hAnsiTheme="minorHAnsi" w:cstheme="minorHAnsi"/>
        </w:rPr>
        <w:t xml:space="preserve">Theme 1 - Putting People First: Nurturing Our Greatest Asset; </w:t>
      </w:r>
    </w:p>
    <w:p w14:paraId="00000071" w14:textId="77777777" w:rsidR="006B72B0" w:rsidRPr="009C793F" w:rsidRDefault="00845012" w:rsidP="00DE19C9">
      <w:pPr>
        <w:numPr>
          <w:ilvl w:val="0"/>
          <w:numId w:val="1"/>
        </w:numPr>
        <w:jc w:val="both"/>
        <w:rPr>
          <w:rFonts w:asciiTheme="minorHAnsi" w:hAnsiTheme="minorHAnsi" w:cstheme="minorHAnsi"/>
        </w:rPr>
      </w:pPr>
      <w:r w:rsidRPr="009C793F">
        <w:rPr>
          <w:rFonts w:asciiTheme="minorHAnsi" w:hAnsiTheme="minorHAnsi" w:cstheme="minorHAnsi"/>
        </w:rPr>
        <w:t xml:space="preserve">Theme 2 - Delivering Good Governance and Service Excellence; </w:t>
      </w:r>
    </w:p>
    <w:p w14:paraId="00000072" w14:textId="77777777" w:rsidR="006B72B0" w:rsidRPr="009C793F" w:rsidRDefault="00845012" w:rsidP="00DE19C9">
      <w:pPr>
        <w:numPr>
          <w:ilvl w:val="0"/>
          <w:numId w:val="1"/>
        </w:numPr>
        <w:jc w:val="both"/>
        <w:rPr>
          <w:rFonts w:asciiTheme="minorHAnsi" w:hAnsiTheme="minorHAnsi" w:cstheme="minorHAnsi"/>
        </w:rPr>
      </w:pPr>
      <w:r w:rsidRPr="009C793F">
        <w:rPr>
          <w:rFonts w:asciiTheme="minorHAnsi" w:hAnsiTheme="minorHAnsi" w:cstheme="minorHAnsi"/>
        </w:rPr>
        <w:t xml:space="preserve">Theme 3 - Improving Productivity through Quality Infrastructure and Transportation; </w:t>
      </w:r>
    </w:p>
    <w:p w14:paraId="00000073" w14:textId="77777777" w:rsidR="006B72B0" w:rsidRPr="009C793F" w:rsidRDefault="00845012" w:rsidP="00DE19C9">
      <w:pPr>
        <w:numPr>
          <w:ilvl w:val="0"/>
          <w:numId w:val="1"/>
        </w:numPr>
        <w:jc w:val="both"/>
        <w:rPr>
          <w:rFonts w:asciiTheme="minorHAnsi" w:hAnsiTheme="minorHAnsi" w:cstheme="minorHAnsi"/>
        </w:rPr>
      </w:pPr>
      <w:r w:rsidRPr="009C793F">
        <w:rPr>
          <w:rFonts w:asciiTheme="minorHAnsi" w:hAnsiTheme="minorHAnsi" w:cstheme="minorHAnsi"/>
        </w:rPr>
        <w:t xml:space="preserve">Theme 4 - Building Globally Competitive Businesses; and </w:t>
      </w:r>
    </w:p>
    <w:p w14:paraId="00000074" w14:textId="77777777" w:rsidR="006B72B0" w:rsidRPr="009C793F" w:rsidRDefault="00845012" w:rsidP="00DE19C9">
      <w:pPr>
        <w:numPr>
          <w:ilvl w:val="0"/>
          <w:numId w:val="1"/>
        </w:numPr>
        <w:jc w:val="both"/>
        <w:rPr>
          <w:rFonts w:asciiTheme="minorHAnsi" w:hAnsiTheme="minorHAnsi" w:cstheme="minorHAnsi"/>
        </w:rPr>
      </w:pPr>
      <w:r w:rsidRPr="009C793F">
        <w:rPr>
          <w:rFonts w:asciiTheme="minorHAnsi" w:hAnsiTheme="minorHAnsi" w:cstheme="minorHAnsi"/>
        </w:rPr>
        <w:t>Theme 5 - Placing the Environment at the Centre of Social and Economic Development.</w:t>
      </w:r>
    </w:p>
    <w:p w14:paraId="00000075" w14:textId="77777777" w:rsidR="006B72B0" w:rsidRPr="009C793F" w:rsidRDefault="006B72B0" w:rsidP="00DE19C9">
      <w:pPr>
        <w:jc w:val="both"/>
        <w:rPr>
          <w:rFonts w:asciiTheme="minorHAnsi" w:hAnsiTheme="minorHAnsi" w:cstheme="minorHAnsi"/>
        </w:rPr>
      </w:pPr>
    </w:p>
    <w:p w14:paraId="0000007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preparing the NDS, </w:t>
      </w:r>
      <w:r w:rsidRPr="009C793F">
        <w:rPr>
          <w:rFonts w:asciiTheme="minorHAnsi" w:hAnsiTheme="minorHAnsi" w:cstheme="minorHAnsi"/>
          <w:b/>
          <w:bCs/>
        </w:rPr>
        <w:t>the 17 SDGs were reviewed and aligned to the Vision 2030 goals</w:t>
      </w:r>
      <w:r w:rsidRPr="009C793F">
        <w:rPr>
          <w:rFonts w:asciiTheme="minorHAnsi" w:hAnsiTheme="minorHAnsi" w:cstheme="minorHAnsi"/>
        </w:rPr>
        <w:t xml:space="preserve"> to ensure coherence. During the implementation of the NDS, a review of the 230 indicators and 169 targets within the SDGs will be undertaken and integrated into the National Performance Framework and the various Ministry/Sector Plans where applicable, thereby driving specific actions to achieve the Vision. </w:t>
      </w:r>
    </w:p>
    <w:p w14:paraId="00000077" w14:textId="77777777" w:rsidR="006B72B0" w:rsidRPr="009C793F" w:rsidRDefault="006B72B0" w:rsidP="00DE19C9">
      <w:pPr>
        <w:jc w:val="both"/>
        <w:rPr>
          <w:rFonts w:asciiTheme="minorHAnsi" w:hAnsiTheme="minorHAnsi" w:cstheme="minorHAnsi"/>
        </w:rPr>
      </w:pPr>
    </w:p>
    <w:p w14:paraId="00000078" w14:textId="75BD1E1D" w:rsidR="006B72B0" w:rsidRPr="009C793F" w:rsidRDefault="00845012" w:rsidP="00DE19C9">
      <w:pPr>
        <w:jc w:val="both"/>
        <w:rPr>
          <w:rFonts w:asciiTheme="minorHAnsi" w:hAnsiTheme="minorHAnsi" w:cstheme="minorHAnsi"/>
          <w:b/>
        </w:rPr>
      </w:pPr>
      <w:r w:rsidRPr="009C793F">
        <w:rPr>
          <w:rFonts w:asciiTheme="minorHAnsi" w:hAnsiTheme="minorHAnsi" w:cstheme="minorHAnsi"/>
        </w:rPr>
        <w:t xml:space="preserve">It is important to note that the </w:t>
      </w:r>
      <w:r w:rsidRPr="009C793F">
        <w:rPr>
          <w:rFonts w:asciiTheme="minorHAnsi" w:hAnsiTheme="minorHAnsi" w:cstheme="minorHAnsi"/>
          <w:b/>
          <w:bCs/>
        </w:rPr>
        <w:t>NDS does not take a sectoral approach</w:t>
      </w:r>
      <w:r w:rsidRPr="009C793F">
        <w:rPr>
          <w:rFonts w:asciiTheme="minorHAnsi" w:hAnsiTheme="minorHAnsi" w:cstheme="minorHAnsi"/>
          <w:vertAlign w:val="superscript"/>
        </w:rPr>
        <w:footnoteReference w:id="9"/>
      </w:r>
      <w:r w:rsidRPr="009C793F">
        <w:rPr>
          <w:rFonts w:asciiTheme="minorHAnsi" w:hAnsiTheme="minorHAnsi" w:cstheme="minorHAnsi"/>
        </w:rPr>
        <w:t xml:space="preserve"> and recognises the indivisibility of the intersectoral linkages. This is precisely the approach required for SDG achievement. Critically, one key element of the Implementation Plan includes the </w:t>
      </w:r>
      <w:r w:rsidRPr="009C793F">
        <w:rPr>
          <w:rFonts w:asciiTheme="minorHAnsi" w:hAnsiTheme="minorHAnsi" w:cstheme="minorHAnsi"/>
          <w:b/>
          <w:bCs/>
        </w:rPr>
        <w:t>Monitoring and Evaluation Framework</w:t>
      </w:r>
      <w:r w:rsidRPr="009C793F">
        <w:rPr>
          <w:rFonts w:asciiTheme="minorHAnsi" w:hAnsiTheme="minorHAnsi" w:cstheme="minorHAnsi"/>
        </w:rPr>
        <w:t xml:space="preserve"> which will comprise </w:t>
      </w:r>
      <w:r w:rsidR="001974CD" w:rsidRPr="009C793F">
        <w:rPr>
          <w:rFonts w:asciiTheme="minorHAnsi" w:hAnsiTheme="minorHAnsi" w:cstheme="minorHAnsi"/>
        </w:rPr>
        <w:t>k</w:t>
      </w:r>
      <w:r w:rsidRPr="009C793F">
        <w:rPr>
          <w:rFonts w:asciiTheme="minorHAnsi" w:hAnsiTheme="minorHAnsi" w:cstheme="minorHAnsi"/>
        </w:rPr>
        <w:t xml:space="preserve">ey </w:t>
      </w:r>
      <w:r w:rsidR="001974CD" w:rsidRPr="009C793F">
        <w:rPr>
          <w:rFonts w:asciiTheme="minorHAnsi" w:hAnsiTheme="minorHAnsi" w:cstheme="minorHAnsi"/>
        </w:rPr>
        <w:t>p</w:t>
      </w:r>
      <w:r w:rsidRPr="009C793F">
        <w:rPr>
          <w:rFonts w:asciiTheme="minorHAnsi" w:hAnsiTheme="minorHAnsi" w:cstheme="minorHAnsi"/>
        </w:rPr>
        <w:t xml:space="preserve">erformance </w:t>
      </w:r>
      <w:r w:rsidR="001974CD" w:rsidRPr="009C793F">
        <w:rPr>
          <w:rFonts w:asciiTheme="minorHAnsi" w:hAnsiTheme="minorHAnsi" w:cstheme="minorHAnsi"/>
        </w:rPr>
        <w:t>i</w:t>
      </w:r>
      <w:r w:rsidRPr="009C793F">
        <w:rPr>
          <w:rFonts w:asciiTheme="minorHAnsi" w:hAnsiTheme="minorHAnsi" w:cstheme="minorHAnsi"/>
        </w:rPr>
        <w:t xml:space="preserve">ndicators and targets to aid in monitoring progress in implementing the NDS. Finally, in recognition that Vision 2030 cannot be implemented by Government alone, the NDS calls on all segments of society to play its role. Key stakeholders include the Private and Public Sectors and Civil Society, labour, citizens, international development partners and the diaspora. This </w:t>
      </w:r>
      <w:r w:rsidRPr="009C793F">
        <w:rPr>
          <w:rFonts w:asciiTheme="minorHAnsi" w:hAnsiTheme="minorHAnsi" w:cstheme="minorHAnsi"/>
          <w:b/>
          <w:bCs/>
        </w:rPr>
        <w:t>“whole of society approach”</w:t>
      </w:r>
      <w:r w:rsidRPr="009C793F">
        <w:rPr>
          <w:rFonts w:asciiTheme="minorHAnsi" w:hAnsiTheme="minorHAnsi" w:cstheme="minorHAnsi"/>
        </w:rPr>
        <w:t xml:space="preserve"> is integral to achieving the NDS and the SDGs.  </w:t>
      </w:r>
    </w:p>
    <w:p w14:paraId="0000007A" w14:textId="77777777" w:rsidR="006B72B0" w:rsidRPr="009C793F" w:rsidRDefault="006B72B0" w:rsidP="00DE19C9">
      <w:pPr>
        <w:jc w:val="both"/>
        <w:rPr>
          <w:rFonts w:asciiTheme="minorHAnsi" w:hAnsiTheme="minorHAnsi" w:cstheme="minorHAnsi"/>
          <w:b/>
        </w:rPr>
      </w:pPr>
    </w:p>
    <w:p w14:paraId="0000007B" w14:textId="77777777" w:rsidR="006B72B0" w:rsidRPr="009C793F" w:rsidRDefault="00845012" w:rsidP="00DE19C9">
      <w:pPr>
        <w:numPr>
          <w:ilvl w:val="0"/>
          <w:numId w:val="2"/>
        </w:numPr>
        <w:jc w:val="both"/>
        <w:rPr>
          <w:rFonts w:asciiTheme="minorHAnsi" w:hAnsiTheme="minorHAnsi" w:cstheme="minorHAnsi"/>
          <w:b/>
        </w:rPr>
      </w:pPr>
      <w:r w:rsidRPr="009C793F">
        <w:rPr>
          <w:rFonts w:asciiTheme="minorHAnsi" w:hAnsiTheme="minorHAnsi" w:cstheme="minorHAnsi"/>
          <w:b/>
        </w:rPr>
        <w:t>SDG-based data review and analysis</w:t>
      </w:r>
    </w:p>
    <w:p w14:paraId="0000007C" w14:textId="7A60AB3B" w:rsidR="006B72B0" w:rsidRDefault="006B72B0" w:rsidP="00DE19C9">
      <w:pPr>
        <w:jc w:val="both"/>
        <w:rPr>
          <w:rFonts w:asciiTheme="minorHAnsi" w:hAnsiTheme="minorHAnsi" w:cstheme="minorHAnsi"/>
          <w:b/>
        </w:rPr>
      </w:pPr>
    </w:p>
    <w:p w14:paraId="1EDF7B7D" w14:textId="77777777" w:rsidR="00005FFA" w:rsidRPr="00005FFA" w:rsidRDefault="00005FFA" w:rsidP="00DE19C9">
      <w:pPr>
        <w:jc w:val="both"/>
        <w:rPr>
          <w:rFonts w:asciiTheme="minorHAnsi" w:hAnsiTheme="minorHAnsi" w:cstheme="minorHAnsi"/>
          <w:bCs/>
        </w:rPr>
      </w:pPr>
      <w:r w:rsidRPr="00005FFA">
        <w:rPr>
          <w:rFonts w:asciiTheme="minorHAnsi" w:hAnsiTheme="minorHAnsi" w:cstheme="minorHAnsi"/>
          <w:bCs/>
        </w:rPr>
        <w:t xml:space="preserve">The UNCT in support of Government commenced the development of an SDG Data Repository. The Repository will provide source material for more frequent analytic products, one of which is the annual CCA Report. The Data and Analysis Repository should provide a means to track situational developments and inform the UN system’s work on a more regular basis, generating evidence and analysis that is responsive to emerging needs and changing conditions in a country, including needed course corrections </w:t>
      </w:r>
      <w:r w:rsidRPr="00005FFA">
        <w:rPr>
          <w:rFonts w:asciiTheme="minorHAnsi" w:hAnsiTheme="minorHAnsi" w:cstheme="minorHAnsi"/>
          <w:bCs/>
        </w:rPr>
        <w:lastRenderedPageBreak/>
        <w:t xml:space="preserve">in programme implementation. The Repository will provide country-relevant SDG statistics, data, and analytic outputs, featuring linkages to dynamic UN and external data platforms, and capitalizing on the abundance of new data sources and approaches across the UN system. </w:t>
      </w:r>
    </w:p>
    <w:p w14:paraId="7E911F9B" w14:textId="77777777" w:rsidR="00005FFA" w:rsidRPr="00005FFA" w:rsidRDefault="00005FFA" w:rsidP="00DE19C9">
      <w:pPr>
        <w:jc w:val="both"/>
        <w:rPr>
          <w:rFonts w:asciiTheme="minorHAnsi" w:hAnsiTheme="minorHAnsi" w:cstheme="minorHAnsi"/>
          <w:bCs/>
        </w:rPr>
      </w:pPr>
    </w:p>
    <w:p w14:paraId="0491962E" w14:textId="6776157E" w:rsidR="00005FFA" w:rsidRDefault="00005FFA" w:rsidP="00DE19C9">
      <w:pPr>
        <w:jc w:val="both"/>
        <w:rPr>
          <w:rFonts w:asciiTheme="minorHAnsi" w:hAnsiTheme="minorHAnsi" w:cstheme="minorHAnsi"/>
          <w:bCs/>
        </w:rPr>
      </w:pPr>
      <w:r w:rsidRPr="00005FFA">
        <w:rPr>
          <w:rFonts w:asciiTheme="minorHAnsi" w:hAnsiTheme="minorHAnsi" w:cstheme="minorHAnsi"/>
          <w:bCs/>
        </w:rPr>
        <w:t>The development of the SDG data repository identif</w:t>
      </w:r>
      <w:r w:rsidR="00716F48">
        <w:rPr>
          <w:rFonts w:asciiTheme="minorHAnsi" w:hAnsiTheme="minorHAnsi" w:cstheme="minorHAnsi"/>
          <w:bCs/>
        </w:rPr>
        <w:t>ies</w:t>
      </w:r>
      <w:r w:rsidRPr="00005FFA">
        <w:rPr>
          <w:rFonts w:asciiTheme="minorHAnsi" w:hAnsiTheme="minorHAnsi" w:cstheme="minorHAnsi"/>
          <w:bCs/>
        </w:rPr>
        <w:t xml:space="preserve"> key issues that impact the availability of SDG related data and, if not addressed, will continue to affect the country’s ability to consistently produce SDG indicators based on international metadata requirements. Critical issues include: The National Statistical System (NSS) of Trinidad and Tobago, in its current form, is unable to properly execute its mandate primarily</w:t>
      </w:r>
      <w:r w:rsidR="00716F48">
        <w:rPr>
          <w:rFonts w:asciiTheme="minorHAnsi" w:hAnsiTheme="minorHAnsi" w:cstheme="minorHAnsi"/>
          <w:bCs/>
        </w:rPr>
        <w:t xml:space="preserve"> </w:t>
      </w:r>
      <w:r w:rsidRPr="00005FFA">
        <w:rPr>
          <w:rFonts w:asciiTheme="minorHAnsi" w:hAnsiTheme="minorHAnsi" w:cstheme="minorHAnsi"/>
          <w:bCs/>
        </w:rPr>
        <w:t>because its major stakeholder, the CSO, does not possess, among other things, the legislative powers that allow it to serve as an effective central coordinating agency responsible for the collection and compilation of national data and statistics</w:t>
      </w:r>
      <w:r w:rsidR="00716F48">
        <w:rPr>
          <w:rFonts w:asciiTheme="minorHAnsi" w:hAnsiTheme="minorHAnsi" w:cstheme="minorHAnsi"/>
          <w:bCs/>
        </w:rPr>
        <w:t>.</w:t>
      </w:r>
      <w:r w:rsidRPr="00005FFA">
        <w:rPr>
          <w:rFonts w:asciiTheme="minorHAnsi" w:hAnsiTheme="minorHAnsi" w:cstheme="minorHAnsi"/>
          <w:bCs/>
        </w:rPr>
        <w:t xml:space="preserve"> </w:t>
      </w:r>
      <w:r w:rsidR="00716F48">
        <w:rPr>
          <w:rFonts w:asciiTheme="minorHAnsi" w:hAnsiTheme="minorHAnsi" w:cstheme="minorHAnsi"/>
          <w:bCs/>
        </w:rPr>
        <w:t>R</w:t>
      </w:r>
      <w:r w:rsidRPr="00005FFA">
        <w:rPr>
          <w:rFonts w:asciiTheme="minorHAnsi" w:hAnsiTheme="minorHAnsi" w:cstheme="minorHAnsi"/>
          <w:bCs/>
        </w:rPr>
        <w:t>esponsibility for the SDGs should ideally reside within a functional NSS through which, clearly defined roles and responsibilities will evolve among its stakeholders. In the absence of some meaningful deliberations in this regard, efforts at compiling the indicators beyond the CCA process can become easily stymied</w:t>
      </w:r>
      <w:r w:rsidR="00716F48">
        <w:rPr>
          <w:rFonts w:asciiTheme="minorHAnsi" w:hAnsiTheme="minorHAnsi" w:cstheme="minorHAnsi"/>
          <w:bCs/>
        </w:rPr>
        <w:t>.</w:t>
      </w:r>
      <w:r w:rsidRPr="00005FFA">
        <w:rPr>
          <w:rFonts w:asciiTheme="minorHAnsi" w:hAnsiTheme="minorHAnsi" w:cstheme="minorHAnsi"/>
          <w:bCs/>
        </w:rPr>
        <w:t xml:space="preserve"> </w:t>
      </w:r>
      <w:r w:rsidR="00716F48">
        <w:rPr>
          <w:rFonts w:asciiTheme="minorHAnsi" w:hAnsiTheme="minorHAnsi" w:cstheme="minorHAnsi"/>
          <w:bCs/>
        </w:rPr>
        <w:t>B</w:t>
      </w:r>
      <w:r w:rsidRPr="00005FFA">
        <w:rPr>
          <w:rFonts w:asciiTheme="minorHAnsi" w:hAnsiTheme="minorHAnsi" w:cstheme="minorHAnsi"/>
          <w:bCs/>
        </w:rPr>
        <w:t>ased on existing data collection practices</w:t>
      </w:r>
      <w:r w:rsidR="00716F48">
        <w:rPr>
          <w:rFonts w:asciiTheme="minorHAnsi" w:hAnsiTheme="minorHAnsi" w:cstheme="minorHAnsi"/>
          <w:bCs/>
        </w:rPr>
        <w:t xml:space="preserve"> and</w:t>
      </w:r>
      <w:r w:rsidRPr="00005FFA">
        <w:rPr>
          <w:rFonts w:asciiTheme="minorHAnsi" w:hAnsiTheme="minorHAnsi" w:cstheme="minorHAnsi"/>
          <w:bCs/>
        </w:rPr>
        <w:t xml:space="preserve"> storage systems, it may not be feasible to provide disaggregated estimates for many of the indices.</w:t>
      </w:r>
    </w:p>
    <w:p w14:paraId="40533D91" w14:textId="77777777" w:rsidR="00005FFA" w:rsidRDefault="00005FFA" w:rsidP="00DE19C9">
      <w:pPr>
        <w:jc w:val="both"/>
        <w:rPr>
          <w:rFonts w:asciiTheme="minorHAnsi" w:hAnsiTheme="minorHAnsi" w:cstheme="minorHAnsi"/>
          <w:bCs/>
        </w:rPr>
      </w:pPr>
    </w:p>
    <w:p w14:paraId="228EC8E3" w14:textId="6E31B8F6" w:rsidR="00005FFA" w:rsidRPr="00005FFA" w:rsidRDefault="00005FFA" w:rsidP="00DE19C9">
      <w:pPr>
        <w:jc w:val="both"/>
        <w:rPr>
          <w:rFonts w:asciiTheme="minorHAnsi" w:hAnsiTheme="minorHAnsi" w:cstheme="minorHAnsi"/>
          <w:bCs/>
        </w:rPr>
      </w:pPr>
      <w:r w:rsidRPr="00005FFA">
        <w:rPr>
          <w:rFonts w:asciiTheme="minorHAnsi" w:hAnsiTheme="minorHAnsi" w:cstheme="minorHAnsi"/>
          <w:bCs/>
        </w:rPr>
        <w:t>Table 1 below presents a summary of the availability of data for producing the various SDG indicators</w:t>
      </w:r>
      <w:r>
        <w:rPr>
          <w:rFonts w:asciiTheme="minorHAnsi" w:hAnsiTheme="minorHAnsi" w:cstheme="minorHAnsi"/>
          <w:bCs/>
        </w:rPr>
        <w:t>.</w:t>
      </w:r>
    </w:p>
    <w:p w14:paraId="1C788D7C" w14:textId="4CDE15E2" w:rsidR="00005FFA" w:rsidRPr="00005FFA" w:rsidRDefault="00005FFA" w:rsidP="00DE19C9">
      <w:pPr>
        <w:jc w:val="both"/>
        <w:rPr>
          <w:rFonts w:asciiTheme="minorHAnsi" w:hAnsiTheme="minorHAnsi" w:cstheme="minorHAnsi"/>
          <w:bCs/>
        </w:rPr>
      </w:pPr>
      <w:r w:rsidRPr="00005FFA">
        <w:rPr>
          <w:rFonts w:asciiTheme="minorHAnsi" w:hAnsiTheme="minorHAnsi" w:cstheme="minorHAnsi"/>
          <w:bCs/>
        </w:rPr>
        <w:t>It is anticipated that the number of indicators may increase subject to</w:t>
      </w:r>
      <w:r w:rsidR="00716F48">
        <w:rPr>
          <w:rFonts w:asciiTheme="minorHAnsi" w:hAnsiTheme="minorHAnsi" w:cstheme="minorHAnsi"/>
          <w:bCs/>
        </w:rPr>
        <w:t xml:space="preserve"> </w:t>
      </w:r>
      <w:r w:rsidRPr="00005FFA">
        <w:rPr>
          <w:rFonts w:asciiTheme="minorHAnsi" w:hAnsiTheme="minorHAnsi" w:cstheme="minorHAnsi"/>
          <w:bCs/>
        </w:rPr>
        <w:t xml:space="preserve">ongoing discussions with data </w:t>
      </w:r>
      <w:r w:rsidR="00716F48">
        <w:rPr>
          <w:rFonts w:asciiTheme="minorHAnsi" w:hAnsiTheme="minorHAnsi" w:cstheme="minorHAnsi"/>
          <w:bCs/>
        </w:rPr>
        <w:t xml:space="preserve">producers and </w:t>
      </w:r>
      <w:r w:rsidRPr="00005FFA">
        <w:rPr>
          <w:rFonts w:asciiTheme="minorHAnsi" w:hAnsiTheme="minorHAnsi" w:cstheme="minorHAnsi"/>
          <w:bCs/>
        </w:rPr>
        <w:t>providers. Based on the current assessment and the availability of data</w:t>
      </w:r>
      <w:r w:rsidR="00716F48">
        <w:rPr>
          <w:rFonts w:asciiTheme="minorHAnsi" w:hAnsiTheme="minorHAnsi" w:cstheme="minorHAnsi"/>
          <w:bCs/>
        </w:rPr>
        <w:t>,</w:t>
      </w:r>
      <w:r w:rsidRPr="00005FFA">
        <w:rPr>
          <w:rFonts w:asciiTheme="minorHAnsi" w:hAnsiTheme="minorHAnsi" w:cstheme="minorHAnsi"/>
          <w:bCs/>
        </w:rPr>
        <w:t xml:space="preserve"> 140 indicators can be produced. This figure is likely to improve based on ongoing</w:t>
      </w:r>
      <w:r w:rsidR="00716F48">
        <w:rPr>
          <w:rFonts w:asciiTheme="minorHAnsi" w:hAnsiTheme="minorHAnsi" w:cstheme="minorHAnsi"/>
          <w:bCs/>
        </w:rPr>
        <w:t xml:space="preserve"> </w:t>
      </w:r>
      <w:r w:rsidRPr="00005FFA">
        <w:rPr>
          <w:rFonts w:asciiTheme="minorHAnsi" w:hAnsiTheme="minorHAnsi" w:cstheme="minorHAnsi"/>
          <w:bCs/>
        </w:rPr>
        <w:t>investigations that account for 22 percent of all data required.</w:t>
      </w:r>
    </w:p>
    <w:p w14:paraId="2D82FC36" w14:textId="77777777" w:rsidR="00716F48" w:rsidRDefault="00716F48" w:rsidP="00DE19C9">
      <w:pPr>
        <w:jc w:val="both"/>
        <w:rPr>
          <w:rFonts w:asciiTheme="minorHAnsi" w:hAnsiTheme="minorHAnsi" w:cstheme="minorHAnsi"/>
          <w:bCs/>
        </w:rPr>
      </w:pPr>
    </w:p>
    <w:p w14:paraId="0000007E" w14:textId="6EB0AB58" w:rsidR="006B72B0" w:rsidRPr="009C793F" w:rsidRDefault="00005FFA" w:rsidP="00C86F4B">
      <w:pPr>
        <w:jc w:val="center"/>
        <w:rPr>
          <w:rFonts w:asciiTheme="minorHAnsi" w:hAnsiTheme="minorHAnsi" w:cstheme="minorHAnsi"/>
          <w:b/>
        </w:rPr>
      </w:pPr>
      <w:r>
        <w:rPr>
          <w:rFonts w:asciiTheme="minorHAnsi" w:hAnsiTheme="minorHAnsi" w:cstheme="minorHAnsi"/>
          <w:b/>
          <w:noProof/>
        </w:rPr>
        <w:drawing>
          <wp:inline distT="0" distB="0" distL="0" distR="0" wp14:anchorId="1C002C07" wp14:editId="66DE069D">
            <wp:extent cx="4254500" cy="34925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54500" cy="3492500"/>
                    </a:xfrm>
                    <a:prstGeom prst="rect">
                      <a:avLst/>
                    </a:prstGeom>
                    <a:noFill/>
                  </pic:spPr>
                </pic:pic>
              </a:graphicData>
            </a:graphic>
          </wp:inline>
        </w:drawing>
      </w:r>
    </w:p>
    <w:p w14:paraId="0000007F" w14:textId="77777777" w:rsidR="006B72B0" w:rsidRPr="009C793F" w:rsidRDefault="006B72B0" w:rsidP="00DE19C9">
      <w:pPr>
        <w:jc w:val="both"/>
        <w:rPr>
          <w:rFonts w:asciiTheme="minorHAnsi" w:hAnsiTheme="minorHAnsi" w:cstheme="minorHAnsi"/>
          <w:b/>
        </w:rPr>
      </w:pPr>
    </w:p>
    <w:p w14:paraId="00000080" w14:textId="4F4E788C" w:rsidR="006B72B0" w:rsidRDefault="006B72B0" w:rsidP="00DE19C9">
      <w:pPr>
        <w:jc w:val="both"/>
        <w:rPr>
          <w:rFonts w:asciiTheme="minorHAnsi" w:hAnsiTheme="minorHAnsi" w:cstheme="minorHAnsi"/>
          <w:b/>
        </w:rPr>
      </w:pPr>
    </w:p>
    <w:p w14:paraId="1073807C" w14:textId="3A14BE8F" w:rsidR="00C86F4B" w:rsidRDefault="00C86F4B" w:rsidP="00DE19C9">
      <w:pPr>
        <w:jc w:val="both"/>
        <w:rPr>
          <w:rFonts w:asciiTheme="minorHAnsi" w:hAnsiTheme="minorHAnsi" w:cstheme="minorHAnsi"/>
          <w:b/>
        </w:rPr>
      </w:pPr>
    </w:p>
    <w:p w14:paraId="48DF3F8D" w14:textId="3795E8A1" w:rsidR="00C86F4B" w:rsidRDefault="00C86F4B" w:rsidP="00DE19C9">
      <w:pPr>
        <w:jc w:val="both"/>
        <w:rPr>
          <w:rFonts w:asciiTheme="minorHAnsi" w:hAnsiTheme="minorHAnsi" w:cstheme="minorHAnsi"/>
          <w:b/>
        </w:rPr>
      </w:pPr>
    </w:p>
    <w:p w14:paraId="0D0A2B41" w14:textId="77777777" w:rsidR="00C86F4B" w:rsidRPr="009C793F" w:rsidRDefault="00C86F4B" w:rsidP="00DE19C9">
      <w:pPr>
        <w:jc w:val="both"/>
        <w:rPr>
          <w:rFonts w:asciiTheme="minorHAnsi" w:hAnsiTheme="minorHAnsi" w:cstheme="minorHAnsi"/>
          <w:b/>
        </w:rPr>
      </w:pPr>
    </w:p>
    <w:p w14:paraId="5E7630F9" w14:textId="74C53B06" w:rsidR="003534AB" w:rsidRPr="009C793F" w:rsidRDefault="00845012" w:rsidP="00DE19C9">
      <w:pPr>
        <w:pStyle w:val="ListParagraph"/>
        <w:numPr>
          <w:ilvl w:val="0"/>
          <w:numId w:val="2"/>
        </w:numPr>
        <w:jc w:val="both"/>
        <w:rPr>
          <w:rFonts w:asciiTheme="minorHAnsi" w:hAnsiTheme="minorHAnsi" w:cstheme="minorHAnsi"/>
          <w:b/>
          <w:sz w:val="22"/>
          <w:szCs w:val="22"/>
        </w:rPr>
      </w:pPr>
      <w:r w:rsidRPr="009C793F">
        <w:rPr>
          <w:rFonts w:asciiTheme="minorHAnsi" w:hAnsiTheme="minorHAnsi" w:cstheme="minorHAnsi"/>
          <w:b/>
          <w:sz w:val="22"/>
          <w:szCs w:val="22"/>
        </w:rPr>
        <w:lastRenderedPageBreak/>
        <w:t xml:space="preserve">SDG Resource Allocation: </w:t>
      </w:r>
    </w:p>
    <w:p w14:paraId="19CF3E81" w14:textId="77777777" w:rsidR="00C86F4B" w:rsidRDefault="00C86F4B" w:rsidP="00C86F4B">
      <w:pPr>
        <w:jc w:val="both"/>
        <w:rPr>
          <w:rFonts w:asciiTheme="minorHAnsi" w:hAnsiTheme="minorHAnsi" w:cstheme="minorHAnsi"/>
        </w:rPr>
      </w:pPr>
    </w:p>
    <w:p w14:paraId="2AA08C8D" w14:textId="5A2A0A05" w:rsidR="00F74FC0" w:rsidRPr="009C793F" w:rsidRDefault="00845012" w:rsidP="00C86F4B">
      <w:pPr>
        <w:jc w:val="both"/>
        <w:rPr>
          <w:rFonts w:asciiTheme="minorHAnsi" w:hAnsiTheme="minorHAnsi" w:cstheme="minorHAnsi"/>
        </w:rPr>
      </w:pPr>
      <w:r w:rsidRPr="009C793F">
        <w:rPr>
          <w:rFonts w:asciiTheme="minorHAnsi" w:hAnsiTheme="minorHAnsi" w:cstheme="minorHAnsi"/>
        </w:rPr>
        <w:t xml:space="preserve">Pre-COVID-19, the Trinidad and Tobago Government’s </w:t>
      </w:r>
      <w:hyperlink r:id="rId18">
        <w:r w:rsidRPr="009C793F">
          <w:rPr>
            <w:rFonts w:asciiTheme="minorHAnsi" w:hAnsiTheme="minorHAnsi" w:cstheme="minorHAnsi"/>
          </w:rPr>
          <w:t>2020 Public Sector Investment Programme</w:t>
        </w:r>
      </w:hyperlink>
      <w:r w:rsidRPr="009C793F">
        <w:rPr>
          <w:rFonts w:asciiTheme="minorHAnsi" w:hAnsiTheme="minorHAnsi" w:cstheme="minorHAnsi"/>
        </w:rPr>
        <w:t xml:space="preserve"> (PSIP) stood at an estimated </w:t>
      </w:r>
      <w:hyperlink r:id="rId19">
        <w:r w:rsidRPr="009C793F">
          <w:rPr>
            <w:rFonts w:asciiTheme="minorHAnsi" w:hAnsiTheme="minorHAnsi" w:cstheme="minorHAnsi"/>
          </w:rPr>
          <w:t>US$781.5 million</w:t>
        </w:r>
      </w:hyperlink>
      <w:r w:rsidR="00F74FC0" w:rsidRPr="009C793F">
        <w:rPr>
          <w:rFonts w:asciiTheme="minorHAnsi" w:hAnsiTheme="minorHAnsi" w:cstheme="minorHAnsi"/>
        </w:rPr>
        <w:t>.</w:t>
      </w:r>
      <w:r w:rsidR="00F74FC0" w:rsidRPr="009C793F">
        <w:rPr>
          <w:rStyle w:val="FootnoteReference"/>
          <w:rFonts w:asciiTheme="minorHAnsi" w:hAnsiTheme="minorHAnsi" w:cstheme="minorHAnsi"/>
        </w:rPr>
        <w:footnoteReference w:id="10"/>
      </w:r>
      <w:r w:rsidRPr="009C793F">
        <w:rPr>
          <w:rFonts w:asciiTheme="minorHAnsi" w:hAnsiTheme="minorHAnsi" w:cstheme="minorHAnsi"/>
        </w:rPr>
        <w:t xml:space="preserve"> The PSIP was designed to be almost  95</w:t>
      </w:r>
      <w:sdt>
        <w:sdtPr>
          <w:rPr>
            <w:rFonts w:asciiTheme="minorHAnsi" w:hAnsiTheme="minorHAnsi" w:cstheme="minorHAnsi"/>
          </w:rPr>
          <w:tag w:val="goog_rdk_5"/>
          <w:id w:val="1883210247"/>
        </w:sdtPr>
        <w:sdtContent>
          <w:r w:rsidR="00E40CFF" w:rsidRPr="009C793F">
            <w:rPr>
              <w:rFonts w:asciiTheme="minorHAnsi" w:hAnsiTheme="minorHAnsi" w:cstheme="minorHAnsi"/>
            </w:rPr>
            <w:t xml:space="preserve"> per cent </w:t>
          </w:r>
        </w:sdtContent>
      </w:sdt>
      <w:hyperlink r:id="rId20">
        <w:r w:rsidRPr="009C793F">
          <w:rPr>
            <w:rFonts w:asciiTheme="minorHAnsi" w:hAnsiTheme="minorHAnsi" w:cstheme="minorHAnsi"/>
          </w:rPr>
          <w:t>financed through general revenues</w:t>
        </w:r>
      </w:hyperlink>
      <w:r w:rsidRPr="009C793F">
        <w:rPr>
          <w:rFonts w:asciiTheme="minorHAnsi" w:hAnsiTheme="minorHAnsi" w:cstheme="minorHAnsi"/>
        </w:rPr>
        <w:t xml:space="preserve">, with the remaining amount coming </w:t>
      </w:r>
      <w:hyperlink r:id="rId21">
        <w:r w:rsidRPr="009C793F">
          <w:rPr>
            <w:rFonts w:asciiTheme="minorHAnsi" w:hAnsiTheme="minorHAnsi" w:cstheme="minorHAnsi"/>
          </w:rPr>
          <w:t>from external sources such as loans and grants</w:t>
        </w:r>
      </w:hyperlink>
      <w:r w:rsidRPr="009C793F">
        <w:rPr>
          <w:rFonts w:asciiTheme="minorHAnsi" w:hAnsiTheme="minorHAnsi" w:cstheme="minorHAnsi"/>
        </w:rPr>
        <w:t xml:space="preserve">. The PSIP is divided into the five Development Themes of the Government’s </w:t>
      </w:r>
      <w:hyperlink r:id="rId22">
        <w:r w:rsidRPr="009C793F">
          <w:rPr>
            <w:rFonts w:asciiTheme="minorHAnsi" w:hAnsiTheme="minorHAnsi" w:cstheme="minorHAnsi"/>
          </w:rPr>
          <w:t>Vision 2030</w:t>
        </w:r>
      </w:hyperlink>
      <w:r w:rsidRPr="009C793F">
        <w:rPr>
          <w:rFonts w:asciiTheme="minorHAnsi" w:hAnsiTheme="minorHAnsi" w:cstheme="minorHAnsi"/>
        </w:rPr>
        <w:t xml:space="preserve">. The PSIP’s budget is apportioned among the Themes and SDGs as shown in Table </w:t>
      </w:r>
      <w:r w:rsidR="00005FFA">
        <w:rPr>
          <w:rFonts w:asciiTheme="minorHAnsi" w:hAnsiTheme="minorHAnsi" w:cstheme="minorHAnsi"/>
        </w:rPr>
        <w:t>2</w:t>
      </w:r>
      <w:r w:rsidRPr="009C793F">
        <w:rPr>
          <w:rFonts w:asciiTheme="minorHAnsi" w:hAnsiTheme="minorHAnsi" w:cstheme="minorHAnsi"/>
        </w:rPr>
        <w:t xml:space="preserve">. </w:t>
      </w:r>
    </w:p>
    <w:p w14:paraId="74303CB3" w14:textId="77777777" w:rsidR="00F74FC0" w:rsidRPr="009C793F" w:rsidRDefault="00F74FC0" w:rsidP="00DE19C9">
      <w:pPr>
        <w:jc w:val="both"/>
        <w:rPr>
          <w:rFonts w:asciiTheme="minorHAnsi" w:hAnsiTheme="minorHAnsi" w:cstheme="minorHAnsi"/>
        </w:rPr>
      </w:pPr>
    </w:p>
    <w:p w14:paraId="00000084" w14:textId="07419794" w:rsidR="006B72B0" w:rsidRPr="009C793F" w:rsidRDefault="00845012" w:rsidP="00DE19C9">
      <w:pPr>
        <w:jc w:val="both"/>
        <w:rPr>
          <w:rFonts w:asciiTheme="minorHAnsi" w:hAnsiTheme="minorHAnsi" w:cstheme="minorHAnsi"/>
          <w:i/>
        </w:rPr>
      </w:pPr>
      <w:r w:rsidRPr="009C793F">
        <w:rPr>
          <w:rFonts w:asciiTheme="minorHAnsi" w:hAnsiTheme="minorHAnsi" w:cstheme="minorHAnsi"/>
          <w:i/>
        </w:rPr>
        <w:t xml:space="preserve">Table </w:t>
      </w:r>
      <w:r w:rsidR="00005FFA">
        <w:rPr>
          <w:rFonts w:asciiTheme="minorHAnsi" w:hAnsiTheme="minorHAnsi" w:cstheme="minorHAnsi"/>
          <w:i/>
        </w:rPr>
        <w:t>2</w:t>
      </w:r>
      <w:r w:rsidRPr="009C793F">
        <w:rPr>
          <w:rFonts w:asciiTheme="minorHAnsi" w:hAnsiTheme="minorHAnsi" w:cstheme="minorHAnsi"/>
          <w:i/>
        </w:rPr>
        <w:t>. Division of the 2020 PSIP budget between Vision 2030 Themes and their related SDGs.</w:t>
      </w:r>
    </w:p>
    <w:p w14:paraId="00000085" w14:textId="77777777" w:rsidR="006B72B0" w:rsidRPr="009C793F" w:rsidRDefault="006B72B0" w:rsidP="00DE19C9">
      <w:pPr>
        <w:jc w:val="both"/>
        <w:rPr>
          <w:rFonts w:asciiTheme="minorHAnsi" w:hAnsiTheme="minorHAnsi" w:cstheme="minorHAnsi"/>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6"/>
        <w:gridCol w:w="3117"/>
        <w:gridCol w:w="3117"/>
      </w:tblGrid>
      <w:tr w:rsidR="006B72B0" w:rsidRPr="009C793F" w14:paraId="5240F84C" w14:textId="77777777">
        <w:tc>
          <w:tcPr>
            <w:tcW w:w="3116" w:type="dxa"/>
          </w:tcPr>
          <w:p w14:paraId="00000086"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Vision 2030 Theme</w:t>
            </w:r>
          </w:p>
        </w:tc>
        <w:tc>
          <w:tcPr>
            <w:tcW w:w="3117" w:type="dxa"/>
          </w:tcPr>
          <w:p w14:paraId="00000087"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Related SDGs</w:t>
            </w:r>
          </w:p>
        </w:tc>
        <w:tc>
          <w:tcPr>
            <w:tcW w:w="3117" w:type="dxa"/>
          </w:tcPr>
          <w:p w14:paraId="00000088" w14:textId="4CF039EF" w:rsidR="006B72B0" w:rsidRPr="009C793F" w:rsidRDefault="00E408E0" w:rsidP="00DE19C9">
            <w:pPr>
              <w:jc w:val="both"/>
              <w:rPr>
                <w:rFonts w:asciiTheme="minorHAnsi" w:hAnsiTheme="minorHAnsi" w:cstheme="minorHAnsi"/>
                <w:b/>
              </w:rPr>
            </w:pPr>
            <w:r w:rsidRPr="009C793F">
              <w:rPr>
                <w:rFonts w:asciiTheme="minorHAnsi" w:hAnsiTheme="minorHAnsi" w:cstheme="minorHAnsi"/>
                <w:b/>
              </w:rPr>
              <w:t>per cent</w:t>
            </w:r>
            <w:r w:rsidR="00845012" w:rsidRPr="009C793F">
              <w:rPr>
                <w:rFonts w:asciiTheme="minorHAnsi" w:hAnsiTheme="minorHAnsi" w:cstheme="minorHAnsi"/>
                <w:b/>
              </w:rPr>
              <w:t xml:space="preserve"> of PSIP Allocated</w:t>
            </w:r>
          </w:p>
        </w:tc>
      </w:tr>
      <w:tr w:rsidR="006B72B0" w:rsidRPr="009C793F" w14:paraId="21826902" w14:textId="77777777">
        <w:tc>
          <w:tcPr>
            <w:tcW w:w="3116" w:type="dxa"/>
          </w:tcPr>
          <w:p w14:paraId="0000008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Theme I—Putting People First</w:t>
            </w:r>
          </w:p>
        </w:tc>
        <w:tc>
          <w:tcPr>
            <w:tcW w:w="3117" w:type="dxa"/>
          </w:tcPr>
          <w:p w14:paraId="0000008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 2, 3, 4, 5, 6, 10 and 11</w:t>
            </w:r>
          </w:p>
        </w:tc>
        <w:tc>
          <w:tcPr>
            <w:tcW w:w="3117" w:type="dxa"/>
          </w:tcPr>
          <w:p w14:paraId="0000008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39.0</w:t>
            </w:r>
          </w:p>
        </w:tc>
      </w:tr>
      <w:tr w:rsidR="006B72B0" w:rsidRPr="009C793F" w14:paraId="23032CB2" w14:textId="77777777">
        <w:tc>
          <w:tcPr>
            <w:tcW w:w="3116" w:type="dxa"/>
          </w:tcPr>
          <w:p w14:paraId="0000008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Theme II—Delivering Good Governance and Service Excellence</w:t>
            </w:r>
          </w:p>
        </w:tc>
        <w:tc>
          <w:tcPr>
            <w:tcW w:w="3117" w:type="dxa"/>
          </w:tcPr>
          <w:p w14:paraId="0000008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10, 11, 16 and 17</w:t>
            </w:r>
          </w:p>
        </w:tc>
        <w:tc>
          <w:tcPr>
            <w:tcW w:w="3117" w:type="dxa"/>
          </w:tcPr>
          <w:p w14:paraId="0000008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19.0</w:t>
            </w:r>
          </w:p>
        </w:tc>
      </w:tr>
      <w:tr w:rsidR="006B72B0" w:rsidRPr="009C793F" w14:paraId="4BD680A1" w14:textId="77777777">
        <w:tc>
          <w:tcPr>
            <w:tcW w:w="3116" w:type="dxa"/>
          </w:tcPr>
          <w:p w14:paraId="0000008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Theme III—Improving Productivity through Quality Infrastructure and Transportation</w:t>
            </w:r>
          </w:p>
        </w:tc>
        <w:tc>
          <w:tcPr>
            <w:tcW w:w="3117" w:type="dxa"/>
          </w:tcPr>
          <w:p w14:paraId="0000009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6, 7, 9 and 11</w:t>
            </w:r>
          </w:p>
        </w:tc>
        <w:tc>
          <w:tcPr>
            <w:tcW w:w="3117" w:type="dxa"/>
          </w:tcPr>
          <w:p w14:paraId="0000009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36.0</w:t>
            </w:r>
          </w:p>
        </w:tc>
      </w:tr>
      <w:tr w:rsidR="006B72B0" w:rsidRPr="009C793F" w14:paraId="7F1183C4" w14:textId="77777777">
        <w:tc>
          <w:tcPr>
            <w:tcW w:w="3116" w:type="dxa"/>
          </w:tcPr>
          <w:p w14:paraId="0000009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Theme IV—Building Globally Competitive Businesses</w:t>
            </w:r>
          </w:p>
        </w:tc>
        <w:tc>
          <w:tcPr>
            <w:tcW w:w="3117" w:type="dxa"/>
          </w:tcPr>
          <w:p w14:paraId="0000009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8, 9 and 12</w:t>
            </w:r>
          </w:p>
        </w:tc>
        <w:tc>
          <w:tcPr>
            <w:tcW w:w="3117" w:type="dxa"/>
          </w:tcPr>
          <w:p w14:paraId="0000009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5.2</w:t>
            </w:r>
          </w:p>
        </w:tc>
      </w:tr>
      <w:tr w:rsidR="006B72B0" w:rsidRPr="009C793F" w14:paraId="5DF8E9E4" w14:textId="77777777">
        <w:tc>
          <w:tcPr>
            <w:tcW w:w="3116" w:type="dxa"/>
          </w:tcPr>
          <w:p w14:paraId="0000009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Theme V—Placing the Environment at the Centre of Social and Economic Development</w:t>
            </w:r>
          </w:p>
        </w:tc>
        <w:tc>
          <w:tcPr>
            <w:tcW w:w="3117" w:type="dxa"/>
          </w:tcPr>
          <w:p w14:paraId="0000009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3, 6, 7, 9, 11, 12, 13, 14 and 15</w:t>
            </w:r>
          </w:p>
        </w:tc>
        <w:tc>
          <w:tcPr>
            <w:tcW w:w="3117" w:type="dxa"/>
          </w:tcPr>
          <w:p w14:paraId="0000009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0.8</w:t>
            </w:r>
          </w:p>
        </w:tc>
      </w:tr>
    </w:tbl>
    <w:p w14:paraId="0000009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 </w:t>
      </w:r>
    </w:p>
    <w:p w14:paraId="00000099" w14:textId="518D7CEC"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 xml:space="preserve">(d)  Development patterns, gaps, and challenges towards </w:t>
      </w:r>
      <w:r w:rsidR="003534AB" w:rsidRPr="009C793F">
        <w:rPr>
          <w:rFonts w:asciiTheme="minorHAnsi" w:hAnsiTheme="minorHAnsi" w:cstheme="minorHAnsi"/>
          <w:b/>
        </w:rPr>
        <w:t>SDG achievement</w:t>
      </w:r>
      <w:r w:rsidRPr="009C793F">
        <w:rPr>
          <w:rFonts w:asciiTheme="minorHAnsi" w:hAnsiTheme="minorHAnsi" w:cstheme="minorHAnsi"/>
          <w:b/>
        </w:rPr>
        <w:t>:</w:t>
      </w:r>
    </w:p>
    <w:p w14:paraId="416123A0" w14:textId="77777777" w:rsidR="00C86F4B" w:rsidRDefault="00C86F4B" w:rsidP="00DE19C9">
      <w:pPr>
        <w:tabs>
          <w:tab w:val="left" w:pos="0"/>
        </w:tabs>
        <w:jc w:val="both"/>
        <w:rPr>
          <w:rFonts w:asciiTheme="minorHAnsi" w:hAnsiTheme="minorHAnsi" w:cstheme="minorHAnsi"/>
        </w:rPr>
      </w:pPr>
    </w:p>
    <w:p w14:paraId="0000009A" w14:textId="3E9DA8CA"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Trinidad and Tobago, like many other developing countries in the immediate post-independence period</w:t>
      </w:r>
      <w:r w:rsidR="00F74FC0" w:rsidRPr="009C793F">
        <w:rPr>
          <w:rFonts w:asciiTheme="minorHAnsi" w:hAnsiTheme="minorHAnsi" w:cstheme="minorHAnsi"/>
        </w:rPr>
        <w:t>,</w:t>
      </w:r>
      <w:r w:rsidRPr="009C793F">
        <w:rPr>
          <w:rFonts w:asciiTheme="minorHAnsi" w:hAnsiTheme="minorHAnsi" w:cstheme="minorHAnsi"/>
        </w:rPr>
        <w:t xml:space="preserve"> sought to advance development with the state playing an active role in </w:t>
      </w:r>
      <w:r w:rsidR="00C00F5F" w:rsidRPr="009C793F">
        <w:rPr>
          <w:rFonts w:asciiTheme="minorHAnsi" w:hAnsiTheme="minorHAnsi" w:cstheme="minorHAnsi"/>
        </w:rPr>
        <w:t xml:space="preserve">controlling </w:t>
      </w:r>
      <w:r w:rsidRPr="009C793F">
        <w:rPr>
          <w:rFonts w:asciiTheme="minorHAnsi" w:hAnsiTheme="minorHAnsi" w:cstheme="minorHAnsi"/>
        </w:rPr>
        <w:t xml:space="preserve">the “commanding heights of the economy”. As a result, the state became involved in business activity through </w:t>
      </w:r>
      <w:r w:rsidR="00660966" w:rsidRPr="009C793F">
        <w:rPr>
          <w:rFonts w:asciiTheme="minorHAnsi" w:hAnsiTheme="minorHAnsi" w:cstheme="minorHAnsi"/>
        </w:rPr>
        <w:t>the management</w:t>
      </w:r>
      <w:r w:rsidRPr="009C793F">
        <w:rPr>
          <w:rFonts w:asciiTheme="minorHAnsi" w:hAnsiTheme="minorHAnsi" w:cstheme="minorHAnsi"/>
        </w:rPr>
        <w:t xml:space="preserve"> of enterprises seen as critical for national economic success. This ranged from banking, to the energy sector to transport and communications. The state is still an active player in economic activity 58 years after independence. The role of the state as an enabler of economic activity as opposed to a business actor came up frequently in consultations with stakeholders throughout this CCA process. </w:t>
      </w:r>
    </w:p>
    <w:p w14:paraId="0000009B" w14:textId="77777777" w:rsidR="006B72B0" w:rsidRPr="009C793F" w:rsidRDefault="006B72B0" w:rsidP="00DE19C9">
      <w:pPr>
        <w:tabs>
          <w:tab w:val="left" w:pos="0"/>
        </w:tabs>
        <w:jc w:val="both"/>
        <w:rPr>
          <w:rFonts w:asciiTheme="minorHAnsi" w:hAnsiTheme="minorHAnsi" w:cstheme="minorHAnsi"/>
        </w:rPr>
      </w:pPr>
    </w:p>
    <w:p w14:paraId="0000009C" w14:textId="314ACEB2"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After expanding at an annual average rate of 7.8 </w:t>
      </w:r>
      <w:sdt>
        <w:sdtPr>
          <w:rPr>
            <w:rFonts w:asciiTheme="minorHAnsi" w:hAnsiTheme="minorHAnsi" w:cstheme="minorHAnsi"/>
          </w:rPr>
          <w:tag w:val="goog_rdk_6"/>
          <w:id w:val="1650702274"/>
        </w:sdtPr>
        <w:sdtContent/>
      </w:sdt>
      <w:r w:rsidRPr="009C793F">
        <w:rPr>
          <w:rFonts w:asciiTheme="minorHAnsi" w:hAnsiTheme="minorHAnsi" w:cstheme="minorHAnsi"/>
        </w:rPr>
        <w:t>per</w:t>
      </w:r>
      <w:sdt>
        <w:sdtPr>
          <w:rPr>
            <w:rFonts w:asciiTheme="minorHAnsi" w:hAnsiTheme="minorHAnsi" w:cstheme="minorHAnsi"/>
          </w:rPr>
          <w:tag w:val="goog_rdk_7"/>
          <w:id w:val="-84614248"/>
        </w:sdtPr>
        <w:sdtContent>
          <w:r w:rsidRPr="009C793F">
            <w:rPr>
              <w:rFonts w:asciiTheme="minorHAnsi" w:hAnsiTheme="minorHAnsi" w:cstheme="minorHAnsi"/>
            </w:rPr>
            <w:t xml:space="preserve"> </w:t>
          </w:r>
        </w:sdtContent>
      </w:sdt>
      <w:r w:rsidRPr="009C793F">
        <w:rPr>
          <w:rFonts w:asciiTheme="minorHAnsi" w:hAnsiTheme="minorHAnsi" w:cstheme="minorHAnsi"/>
        </w:rPr>
        <w:t>cent between 1995 and 2007, the country’s economy has been on the decline mainly because of the developments in the global energy sector. Real GDP contracted on average by 2.2 per</w:t>
      </w:r>
      <w:r w:rsidR="00BC566F" w:rsidRPr="009C793F">
        <w:rPr>
          <w:rFonts w:asciiTheme="minorHAnsi" w:hAnsiTheme="minorHAnsi" w:cstheme="minorHAnsi"/>
        </w:rPr>
        <w:t xml:space="preserve"> </w:t>
      </w:r>
      <w:r w:rsidRPr="009C793F">
        <w:rPr>
          <w:rFonts w:asciiTheme="minorHAnsi" w:hAnsiTheme="minorHAnsi" w:cstheme="minorHAnsi"/>
        </w:rPr>
        <w:t>cent between 2016 and 2019 and the economy is expected to decline in real terms by 6.8 per</w:t>
      </w:r>
      <w:r w:rsidR="00BC566F" w:rsidRPr="009C793F">
        <w:rPr>
          <w:rFonts w:asciiTheme="minorHAnsi" w:hAnsiTheme="minorHAnsi" w:cstheme="minorHAnsi"/>
        </w:rPr>
        <w:t xml:space="preserve"> </w:t>
      </w:r>
      <w:r w:rsidRPr="009C793F">
        <w:rPr>
          <w:rFonts w:asciiTheme="minorHAnsi" w:hAnsiTheme="minorHAnsi" w:cstheme="minorHAnsi"/>
        </w:rPr>
        <w:t>cent in 2020 largely because of COVID-1</w:t>
      </w:r>
      <w:r w:rsidR="00F74FC0" w:rsidRPr="009C793F">
        <w:rPr>
          <w:rFonts w:asciiTheme="minorHAnsi" w:hAnsiTheme="minorHAnsi" w:cstheme="minorHAnsi"/>
        </w:rPr>
        <w:t>9.</w:t>
      </w:r>
      <w:r w:rsidR="00F74FC0" w:rsidRPr="009C793F">
        <w:rPr>
          <w:rStyle w:val="FootnoteReference"/>
          <w:rFonts w:asciiTheme="minorHAnsi" w:hAnsiTheme="minorHAnsi" w:cstheme="minorHAnsi"/>
        </w:rPr>
        <w:footnoteReference w:id="11"/>
      </w:r>
    </w:p>
    <w:p w14:paraId="0000009D" w14:textId="77777777" w:rsidR="006B72B0" w:rsidRPr="009C793F" w:rsidRDefault="006B72B0" w:rsidP="00DE19C9">
      <w:pPr>
        <w:tabs>
          <w:tab w:val="left" w:pos="0"/>
        </w:tabs>
        <w:jc w:val="both"/>
        <w:rPr>
          <w:rFonts w:asciiTheme="minorHAnsi" w:hAnsiTheme="minorHAnsi" w:cstheme="minorHAnsi"/>
        </w:rPr>
      </w:pPr>
    </w:p>
    <w:p w14:paraId="462582BC" w14:textId="5FAC13AF" w:rsidR="00C00F5F" w:rsidRPr="009C793F" w:rsidRDefault="00845012" w:rsidP="00DE19C9">
      <w:pPr>
        <w:widowControl w:val="0"/>
        <w:jc w:val="both"/>
        <w:rPr>
          <w:rFonts w:asciiTheme="minorHAnsi" w:hAnsiTheme="minorHAnsi" w:cstheme="minorHAnsi"/>
        </w:rPr>
      </w:pPr>
      <w:r w:rsidRPr="009C793F">
        <w:rPr>
          <w:rFonts w:asciiTheme="minorHAnsi" w:hAnsiTheme="minorHAnsi" w:cstheme="minorHAnsi"/>
        </w:rPr>
        <w:t>In terms of food security, Trinidad and Tobago is a net importer of food and</w:t>
      </w:r>
      <w:sdt>
        <w:sdtPr>
          <w:rPr>
            <w:rFonts w:asciiTheme="minorHAnsi" w:hAnsiTheme="minorHAnsi" w:cstheme="minorHAnsi"/>
          </w:rPr>
          <w:tag w:val="goog_rdk_8"/>
          <w:id w:val="1974243422"/>
        </w:sdtPr>
        <w:sdtContent>
          <w:r w:rsidRPr="009C793F">
            <w:rPr>
              <w:rFonts w:asciiTheme="minorHAnsi" w:hAnsiTheme="minorHAnsi" w:cstheme="minorHAnsi"/>
            </w:rPr>
            <w:t xml:space="preserve"> is therefore considered </w:t>
          </w:r>
        </w:sdtContent>
      </w:sdt>
      <w:r w:rsidRPr="009C793F">
        <w:rPr>
          <w:rFonts w:asciiTheme="minorHAnsi" w:hAnsiTheme="minorHAnsi" w:cstheme="minorHAnsi"/>
        </w:rPr>
        <w:t xml:space="preserve"> </w:t>
      </w:r>
      <w:r w:rsidRPr="009C793F">
        <w:rPr>
          <w:rFonts w:asciiTheme="minorHAnsi" w:hAnsiTheme="minorHAnsi" w:cstheme="minorHAnsi"/>
          <w:b/>
          <w:bCs/>
        </w:rPr>
        <w:t>food insecure</w:t>
      </w:r>
      <w:r w:rsidRPr="009C793F">
        <w:rPr>
          <w:rFonts w:asciiTheme="minorHAnsi" w:hAnsiTheme="minorHAnsi" w:cstheme="minorHAnsi"/>
        </w:rPr>
        <w:t>. An estimated 80</w:t>
      </w:r>
      <w:r w:rsidR="00BC566F" w:rsidRPr="009C793F">
        <w:rPr>
          <w:rFonts w:asciiTheme="minorHAnsi" w:hAnsiTheme="minorHAnsi" w:cstheme="minorHAnsi"/>
        </w:rPr>
        <w:t xml:space="preserve"> per cent</w:t>
      </w:r>
      <w:r w:rsidRPr="009C793F">
        <w:rPr>
          <w:rFonts w:asciiTheme="minorHAnsi" w:hAnsiTheme="minorHAnsi" w:cstheme="minorHAnsi"/>
        </w:rPr>
        <w:t xml:space="preserve"> of the food demand is derived from imports with the 2019 food import </w:t>
      </w:r>
      <w:r w:rsidRPr="009C793F">
        <w:rPr>
          <w:rFonts w:asciiTheme="minorHAnsi" w:hAnsiTheme="minorHAnsi" w:cstheme="minorHAnsi"/>
        </w:rPr>
        <w:lastRenderedPageBreak/>
        <w:t>bill estimated at TT$4 billion</w:t>
      </w:r>
      <w:r w:rsidRPr="009C793F">
        <w:rPr>
          <w:rFonts w:asciiTheme="minorHAnsi" w:hAnsiTheme="minorHAnsi" w:cstheme="minorHAnsi"/>
          <w:vertAlign w:val="superscript"/>
        </w:rPr>
        <w:footnoteReference w:id="12"/>
      </w:r>
      <w:r w:rsidRPr="009C793F">
        <w:rPr>
          <w:rFonts w:asciiTheme="minorHAnsi" w:hAnsiTheme="minorHAnsi" w:cstheme="minorHAnsi"/>
        </w:rPr>
        <w:t>.  The high food import bill also represents a drain of foreign exchange.</w:t>
      </w:r>
    </w:p>
    <w:p w14:paraId="186492E1" w14:textId="77777777" w:rsidR="00C86F4B" w:rsidRDefault="00C86F4B" w:rsidP="00DE19C9">
      <w:pPr>
        <w:widowControl w:val="0"/>
        <w:jc w:val="both"/>
        <w:rPr>
          <w:rFonts w:asciiTheme="minorHAnsi" w:hAnsiTheme="minorHAnsi" w:cstheme="minorHAnsi"/>
          <w:b/>
        </w:rPr>
      </w:pPr>
    </w:p>
    <w:p w14:paraId="0000009E" w14:textId="46A08D96" w:rsidR="006B72B0" w:rsidRPr="009C793F" w:rsidRDefault="00845012" w:rsidP="00DE19C9">
      <w:pPr>
        <w:widowControl w:val="0"/>
        <w:jc w:val="both"/>
        <w:rPr>
          <w:rFonts w:asciiTheme="minorHAnsi" w:hAnsiTheme="minorHAnsi" w:cstheme="minorHAnsi"/>
        </w:rPr>
      </w:pPr>
      <w:r w:rsidRPr="009C793F">
        <w:rPr>
          <w:rFonts w:asciiTheme="minorHAnsi" w:hAnsiTheme="minorHAnsi" w:cstheme="minorHAnsi"/>
          <w:b/>
        </w:rPr>
        <w:t>Agriculture’s</w:t>
      </w:r>
      <w:r w:rsidRPr="009C793F">
        <w:rPr>
          <w:rFonts w:asciiTheme="minorHAnsi" w:hAnsiTheme="minorHAnsi" w:cstheme="minorHAnsi"/>
        </w:rPr>
        <w:t xml:space="preserve"> contribution to GDP over the last decade has been </w:t>
      </w:r>
      <w:r w:rsidR="00BC566F" w:rsidRPr="009C793F">
        <w:rPr>
          <w:rFonts w:asciiTheme="minorHAnsi" w:hAnsiTheme="minorHAnsi" w:cstheme="minorHAnsi"/>
        </w:rPr>
        <w:t xml:space="preserve">1 per cent </w:t>
      </w:r>
      <w:r w:rsidRPr="009C793F">
        <w:rPr>
          <w:rFonts w:asciiTheme="minorHAnsi" w:hAnsiTheme="minorHAnsi" w:cstheme="minorHAnsi"/>
        </w:rPr>
        <w:t>or less</w:t>
      </w:r>
      <w:r w:rsidRPr="009C793F">
        <w:rPr>
          <w:rFonts w:asciiTheme="minorHAnsi" w:hAnsiTheme="minorHAnsi" w:cstheme="minorHAnsi"/>
          <w:vertAlign w:val="superscript"/>
        </w:rPr>
        <w:footnoteReference w:id="13"/>
      </w:r>
      <w:r w:rsidRPr="009C793F">
        <w:rPr>
          <w:rFonts w:asciiTheme="minorHAnsi" w:hAnsiTheme="minorHAnsi" w:cstheme="minorHAnsi"/>
        </w:rPr>
        <w:t xml:space="preserve"> and its contribution to total employment was 3.</w:t>
      </w:r>
      <w:r w:rsidR="00BC566F" w:rsidRPr="009C793F">
        <w:rPr>
          <w:rFonts w:asciiTheme="minorHAnsi" w:hAnsiTheme="minorHAnsi" w:cstheme="minorHAnsi"/>
        </w:rPr>
        <w:t>4 per cent</w:t>
      </w:r>
      <w:r w:rsidRPr="009C793F">
        <w:rPr>
          <w:rFonts w:asciiTheme="minorHAnsi" w:hAnsiTheme="minorHAnsi" w:cstheme="minorHAnsi"/>
          <w:vertAlign w:val="superscript"/>
        </w:rPr>
        <w:footnoteReference w:id="14"/>
      </w:r>
      <w:r w:rsidRPr="009C793F">
        <w:rPr>
          <w:rFonts w:asciiTheme="minorHAnsi" w:hAnsiTheme="minorHAnsi" w:cstheme="minorHAnsi"/>
        </w:rPr>
        <w:t>. The Ministry of Agriculture</w:t>
      </w:r>
      <w:r w:rsidR="00BC566F" w:rsidRPr="009C793F">
        <w:rPr>
          <w:rFonts w:asciiTheme="minorHAnsi" w:hAnsiTheme="minorHAnsi" w:cstheme="minorHAnsi"/>
        </w:rPr>
        <w:t>, Land and Fisheries</w:t>
      </w:r>
      <w:r w:rsidRPr="009C793F">
        <w:rPr>
          <w:rFonts w:asciiTheme="minorHAnsi" w:hAnsiTheme="minorHAnsi" w:cstheme="minorHAnsi"/>
        </w:rPr>
        <w:t xml:space="preserve"> estimated the total farmer population to be 22,436 with 34.8</w:t>
      </w:r>
      <w:r w:rsidR="00BC566F" w:rsidRPr="009C793F">
        <w:rPr>
          <w:rFonts w:asciiTheme="minorHAnsi" w:hAnsiTheme="minorHAnsi" w:cstheme="minorHAnsi"/>
        </w:rPr>
        <w:t xml:space="preserve"> per cent</w:t>
      </w:r>
      <w:r w:rsidRPr="009C793F">
        <w:rPr>
          <w:rFonts w:asciiTheme="minorHAnsi" w:hAnsiTheme="minorHAnsi" w:cstheme="minorHAnsi"/>
        </w:rPr>
        <w:t xml:space="preserve"> of farms being less than 1 ha and 18 .</w:t>
      </w:r>
      <w:r w:rsidR="00660966" w:rsidRPr="009C793F">
        <w:rPr>
          <w:rFonts w:asciiTheme="minorHAnsi" w:hAnsiTheme="minorHAnsi" w:cstheme="minorHAnsi"/>
        </w:rPr>
        <w:t>2 per</w:t>
      </w:r>
      <w:r w:rsidR="00BC566F" w:rsidRPr="009C793F">
        <w:rPr>
          <w:rFonts w:asciiTheme="minorHAnsi" w:hAnsiTheme="minorHAnsi" w:cstheme="minorHAnsi"/>
        </w:rPr>
        <w:t xml:space="preserve"> cent </w:t>
      </w:r>
      <w:r w:rsidRPr="009C793F">
        <w:rPr>
          <w:rFonts w:asciiTheme="minorHAnsi" w:hAnsiTheme="minorHAnsi" w:cstheme="minorHAnsi"/>
        </w:rPr>
        <w:t>1 - 2 ha</w:t>
      </w:r>
      <w:r w:rsidRPr="009C793F">
        <w:rPr>
          <w:rFonts w:asciiTheme="minorHAnsi" w:hAnsiTheme="minorHAnsi" w:cstheme="minorHAnsi"/>
          <w:vertAlign w:val="superscript"/>
        </w:rPr>
        <w:footnoteReference w:id="15"/>
      </w:r>
      <w:r w:rsidRPr="009C793F">
        <w:rPr>
          <w:rFonts w:asciiTheme="minorHAnsi" w:hAnsiTheme="minorHAnsi" w:cstheme="minorHAnsi"/>
        </w:rPr>
        <w:t>. Limited and inadequate technology is used, and production is largely seasonal for most vegetable crops. The farming population is ageing with 1</w:t>
      </w:r>
      <w:r w:rsidR="00BC566F" w:rsidRPr="009C793F">
        <w:rPr>
          <w:rFonts w:asciiTheme="minorHAnsi" w:hAnsiTheme="minorHAnsi" w:cstheme="minorHAnsi"/>
        </w:rPr>
        <w:t>5 per cent</w:t>
      </w:r>
      <w:r w:rsidRPr="009C793F">
        <w:rPr>
          <w:rFonts w:asciiTheme="minorHAnsi" w:hAnsiTheme="minorHAnsi" w:cstheme="minorHAnsi"/>
        </w:rPr>
        <w:t xml:space="preserve"> over 65 years and 7</w:t>
      </w:r>
      <w:r w:rsidR="00BC566F" w:rsidRPr="009C793F">
        <w:rPr>
          <w:rFonts w:asciiTheme="minorHAnsi" w:hAnsiTheme="minorHAnsi" w:cstheme="minorHAnsi"/>
        </w:rPr>
        <w:t>2 per cent</w:t>
      </w:r>
      <w:r w:rsidRPr="009C793F">
        <w:rPr>
          <w:rFonts w:asciiTheme="minorHAnsi" w:hAnsiTheme="minorHAnsi" w:cstheme="minorHAnsi"/>
        </w:rPr>
        <w:t xml:space="preserve"> being 35 to 65 years.</w:t>
      </w:r>
    </w:p>
    <w:p w14:paraId="34E4E186" w14:textId="77777777" w:rsidR="00C86F4B" w:rsidRDefault="00C86F4B" w:rsidP="00DE19C9">
      <w:pPr>
        <w:widowControl w:val="0"/>
        <w:jc w:val="both"/>
        <w:rPr>
          <w:rFonts w:asciiTheme="minorHAnsi" w:hAnsiTheme="minorHAnsi" w:cstheme="minorHAnsi"/>
        </w:rPr>
      </w:pPr>
    </w:p>
    <w:p w14:paraId="0000009F" w14:textId="65637DFB" w:rsidR="006B72B0" w:rsidRPr="009C793F" w:rsidRDefault="00845012" w:rsidP="00DE19C9">
      <w:pPr>
        <w:widowControl w:val="0"/>
        <w:jc w:val="both"/>
        <w:rPr>
          <w:rFonts w:asciiTheme="minorHAnsi" w:hAnsiTheme="minorHAnsi" w:cstheme="minorHAnsi"/>
        </w:rPr>
      </w:pPr>
      <w:r w:rsidRPr="009C793F">
        <w:rPr>
          <w:rFonts w:asciiTheme="minorHAnsi" w:hAnsiTheme="minorHAnsi" w:cstheme="minorHAnsi"/>
        </w:rPr>
        <w:t xml:space="preserve">There are several challenges </w:t>
      </w:r>
      <w:r w:rsidRPr="009C793F">
        <w:rPr>
          <w:rFonts w:asciiTheme="minorHAnsi" w:hAnsiTheme="minorHAnsi" w:cstheme="minorHAnsi"/>
          <w:b/>
          <w:bCs/>
        </w:rPr>
        <w:t>confronting agriculture and food and nutrition security</w:t>
      </w:r>
      <w:r w:rsidRPr="009C793F">
        <w:rPr>
          <w:rFonts w:asciiTheme="minorHAnsi" w:hAnsiTheme="minorHAnsi" w:cstheme="minorHAnsi"/>
        </w:rPr>
        <w:t xml:space="preserve"> in Trinidad and Tobago amongst them are: climate change impacts including frequent flooding; drought; and increasing temperature are negatively affecting agriculture. The limited use of technology and innovation and constraints accessing finance are also major constraints as well as the absence of the enabling environment for the corporate private sector to engage fully in agriculture. These issues need to be addressed with strong public policy and legislation, engagement of the private sector, mobilization of financing for value chain development and a Centre of Excellence to drive food security. </w:t>
      </w:r>
    </w:p>
    <w:p w14:paraId="36E72566" w14:textId="77777777" w:rsidR="00C86F4B" w:rsidRDefault="00C86F4B" w:rsidP="00DE19C9">
      <w:pPr>
        <w:widowControl w:val="0"/>
        <w:jc w:val="both"/>
        <w:rPr>
          <w:rFonts w:asciiTheme="minorHAnsi" w:hAnsiTheme="minorHAnsi" w:cstheme="minorHAnsi"/>
        </w:rPr>
      </w:pPr>
    </w:p>
    <w:p w14:paraId="000000A0" w14:textId="4BAC9544" w:rsidR="006B72B0" w:rsidRPr="009C793F" w:rsidRDefault="00845012" w:rsidP="00DE19C9">
      <w:pPr>
        <w:widowControl w:val="0"/>
        <w:jc w:val="both"/>
        <w:rPr>
          <w:rFonts w:asciiTheme="minorHAnsi" w:hAnsiTheme="minorHAnsi" w:cstheme="minorHAnsi"/>
        </w:rPr>
      </w:pPr>
      <w:r w:rsidRPr="009C793F">
        <w:rPr>
          <w:rFonts w:asciiTheme="minorHAnsi" w:hAnsiTheme="minorHAnsi" w:cstheme="minorHAnsi"/>
        </w:rPr>
        <w:t xml:space="preserve">Trinidad and Tobago also has </w:t>
      </w:r>
      <w:r w:rsidRPr="009C793F">
        <w:rPr>
          <w:rFonts w:asciiTheme="minorHAnsi" w:hAnsiTheme="minorHAnsi" w:cstheme="minorHAnsi"/>
          <w:b/>
          <w:bCs/>
        </w:rPr>
        <w:t>challenges in terms of malnutrition</w:t>
      </w:r>
      <w:r w:rsidRPr="009C793F">
        <w:rPr>
          <w:rFonts w:asciiTheme="minorHAnsi" w:hAnsiTheme="minorHAnsi" w:cstheme="minorHAnsi"/>
        </w:rPr>
        <w:t>. With respect to children, about 1 out of every 10 under five are overweight</w:t>
      </w:r>
      <w:sdt>
        <w:sdtPr>
          <w:rPr>
            <w:rFonts w:asciiTheme="minorHAnsi" w:hAnsiTheme="minorHAnsi" w:cstheme="minorHAnsi"/>
          </w:rPr>
          <w:tag w:val="goog_rdk_9"/>
          <w:id w:val="720255274"/>
        </w:sdtPr>
        <w:sdtContent>
          <w:r w:rsidRPr="009C793F">
            <w:rPr>
              <w:rFonts w:asciiTheme="minorHAnsi" w:hAnsiTheme="minorHAnsi" w:cstheme="minorHAnsi"/>
              <w:vertAlign w:val="superscript"/>
            </w:rPr>
            <w:footnoteReference w:id="16"/>
          </w:r>
        </w:sdtContent>
      </w:sdt>
      <w:r w:rsidRPr="009C793F">
        <w:rPr>
          <w:rFonts w:asciiTheme="minorHAnsi" w:hAnsiTheme="minorHAnsi" w:cstheme="minorHAnsi"/>
        </w:rPr>
        <w:t>. By the age of 13-17 years, 1 out of 3 children (32 per cent) are overweight or obese</w:t>
      </w:r>
      <w:sdt>
        <w:sdtPr>
          <w:rPr>
            <w:rFonts w:asciiTheme="minorHAnsi" w:hAnsiTheme="minorHAnsi" w:cstheme="minorHAnsi"/>
          </w:rPr>
          <w:tag w:val="goog_rdk_10"/>
          <w:id w:val="-896661936"/>
        </w:sdtPr>
        <w:sdtContent>
          <w:r w:rsidRPr="009C793F">
            <w:rPr>
              <w:rFonts w:asciiTheme="minorHAnsi" w:hAnsiTheme="minorHAnsi" w:cstheme="minorHAnsi"/>
              <w:vertAlign w:val="superscript"/>
            </w:rPr>
            <w:footnoteReference w:id="17"/>
          </w:r>
        </w:sdtContent>
      </w:sdt>
      <w:r w:rsidRPr="009C793F">
        <w:rPr>
          <w:rFonts w:asciiTheme="minorHAnsi" w:hAnsiTheme="minorHAnsi" w:cstheme="minorHAnsi"/>
        </w:rPr>
        <w:t>. In the early years of life, efforts to prevent childhood obesity require investments in exclusive breastfeeding and early childhood development, as only 1 out of 5 infants (21 per cent) 0-5 months in Trinidad and Tobago are exclusively breastfed. Available data indicates that 54 per cent of adolescents drank carbonated soft drinks one or more times per day during the past 30 days, and half of them (52 per cent) spent three or more hours during a day doing sitting activities</w:t>
      </w:r>
      <w:sdt>
        <w:sdtPr>
          <w:rPr>
            <w:rFonts w:asciiTheme="minorHAnsi" w:hAnsiTheme="minorHAnsi" w:cstheme="minorHAnsi"/>
          </w:rPr>
          <w:tag w:val="goog_rdk_11"/>
          <w:id w:val="334731883"/>
        </w:sdtPr>
        <w:sdtContent>
          <w:r w:rsidRPr="009C793F">
            <w:rPr>
              <w:rFonts w:asciiTheme="minorHAnsi" w:hAnsiTheme="minorHAnsi" w:cstheme="minorHAnsi"/>
              <w:vertAlign w:val="superscript"/>
            </w:rPr>
            <w:footnoteReference w:id="18"/>
          </w:r>
        </w:sdtContent>
      </w:sdt>
      <w:r w:rsidRPr="009C793F">
        <w:rPr>
          <w:rFonts w:asciiTheme="minorHAnsi" w:hAnsiTheme="minorHAnsi" w:cstheme="minorHAnsi"/>
        </w:rPr>
        <w:t xml:space="preserve">. </w:t>
      </w:r>
    </w:p>
    <w:p w14:paraId="7DA270F9" w14:textId="77777777" w:rsidR="00C86F4B" w:rsidRDefault="00C86F4B" w:rsidP="00DE19C9">
      <w:pPr>
        <w:widowControl w:val="0"/>
        <w:jc w:val="both"/>
        <w:rPr>
          <w:rFonts w:asciiTheme="minorHAnsi" w:hAnsiTheme="minorHAnsi" w:cstheme="minorHAnsi"/>
        </w:rPr>
      </w:pPr>
    </w:p>
    <w:p w14:paraId="000000A1" w14:textId="5C928FC5" w:rsidR="006B72B0" w:rsidRPr="009C793F" w:rsidRDefault="00845012" w:rsidP="00DE19C9">
      <w:pPr>
        <w:widowControl w:val="0"/>
        <w:jc w:val="both"/>
        <w:rPr>
          <w:rFonts w:asciiTheme="minorHAnsi" w:hAnsiTheme="minorHAnsi" w:cstheme="minorHAnsi"/>
        </w:rPr>
      </w:pPr>
      <w:r w:rsidRPr="009C793F">
        <w:rPr>
          <w:rFonts w:asciiTheme="minorHAnsi" w:hAnsiTheme="minorHAnsi" w:cstheme="minorHAnsi"/>
        </w:rPr>
        <w:t>In 2016/17, there was a 5.5</w:t>
      </w:r>
      <w:r w:rsidR="00BC566F" w:rsidRPr="009C793F">
        <w:rPr>
          <w:rFonts w:asciiTheme="minorHAnsi" w:hAnsiTheme="minorHAnsi" w:cstheme="minorHAnsi"/>
        </w:rPr>
        <w:t xml:space="preserve"> per cent</w:t>
      </w:r>
      <w:r w:rsidRPr="009C793F">
        <w:rPr>
          <w:rFonts w:asciiTheme="minorHAnsi" w:hAnsiTheme="minorHAnsi" w:cstheme="minorHAnsi"/>
        </w:rPr>
        <w:t xml:space="preserve"> prevalence of malnutrition among the total population. Also, </w:t>
      </w:r>
      <w:r w:rsidRPr="009C793F">
        <w:rPr>
          <w:rFonts w:asciiTheme="minorHAnsi" w:hAnsiTheme="minorHAnsi" w:cstheme="minorHAnsi"/>
          <w:b/>
          <w:bCs/>
        </w:rPr>
        <w:t>18.6</w:t>
      </w:r>
      <w:r w:rsidR="00BC566F" w:rsidRPr="009C793F">
        <w:rPr>
          <w:rFonts w:asciiTheme="minorHAnsi" w:hAnsiTheme="minorHAnsi" w:cstheme="minorHAnsi"/>
          <w:b/>
          <w:bCs/>
        </w:rPr>
        <w:t xml:space="preserve"> per cent</w:t>
      </w:r>
      <w:r w:rsidRPr="009C793F">
        <w:rPr>
          <w:rFonts w:asciiTheme="minorHAnsi" w:hAnsiTheme="minorHAnsi" w:cstheme="minorHAnsi"/>
          <w:b/>
          <w:bCs/>
        </w:rPr>
        <w:t xml:space="preserve"> of the adult population suffers from obesity</w:t>
      </w:r>
      <w:r w:rsidRPr="009C793F">
        <w:rPr>
          <w:rFonts w:asciiTheme="minorHAnsi" w:hAnsiTheme="minorHAnsi" w:cstheme="minorHAnsi"/>
        </w:rPr>
        <w:t>, with women being 10 percentage points more obese than men</w:t>
      </w:r>
      <w:r w:rsidRPr="009C793F">
        <w:rPr>
          <w:rFonts w:asciiTheme="minorHAnsi" w:hAnsiTheme="minorHAnsi" w:cstheme="minorHAnsi"/>
          <w:vertAlign w:val="superscript"/>
        </w:rPr>
        <w:footnoteReference w:id="19"/>
      </w:r>
      <w:r w:rsidRPr="009C793F">
        <w:rPr>
          <w:rFonts w:asciiTheme="minorHAnsi" w:hAnsiTheme="minorHAnsi" w:cstheme="minorHAnsi"/>
        </w:rPr>
        <w:t>. In 2016, there was a prevalence of 22.5</w:t>
      </w:r>
      <w:r w:rsidR="00BC566F" w:rsidRPr="009C793F">
        <w:rPr>
          <w:rFonts w:asciiTheme="minorHAnsi" w:hAnsiTheme="minorHAnsi" w:cstheme="minorHAnsi"/>
        </w:rPr>
        <w:t xml:space="preserve"> per cent</w:t>
      </w:r>
      <w:r w:rsidRPr="009C793F">
        <w:rPr>
          <w:rFonts w:asciiTheme="minorHAnsi" w:hAnsiTheme="minorHAnsi" w:cstheme="minorHAnsi"/>
        </w:rPr>
        <w:t xml:space="preserve"> anaemia in women 15 to 49 years and 11.4</w:t>
      </w:r>
      <w:r w:rsidR="00BC566F" w:rsidRPr="009C793F">
        <w:rPr>
          <w:rFonts w:asciiTheme="minorHAnsi" w:hAnsiTheme="minorHAnsi" w:cstheme="minorHAnsi"/>
        </w:rPr>
        <w:t xml:space="preserve"> per cent</w:t>
      </w:r>
      <w:r w:rsidRPr="009C793F">
        <w:rPr>
          <w:rFonts w:asciiTheme="minorHAnsi" w:hAnsiTheme="minorHAnsi" w:cstheme="minorHAnsi"/>
        </w:rPr>
        <w:t xml:space="preserve"> prevalence in low birth weight</w:t>
      </w:r>
      <w:r w:rsidRPr="009C793F">
        <w:rPr>
          <w:rFonts w:asciiTheme="minorHAnsi" w:hAnsiTheme="minorHAnsi" w:cstheme="minorHAnsi"/>
          <w:vertAlign w:val="superscript"/>
        </w:rPr>
        <w:footnoteReference w:id="20"/>
      </w:r>
      <w:r w:rsidRPr="009C793F">
        <w:rPr>
          <w:rFonts w:asciiTheme="minorHAnsi" w:hAnsiTheme="minorHAnsi" w:cstheme="minorHAnsi"/>
        </w:rPr>
        <w:t xml:space="preserve">. These statistics demonstrate the need to prioritize the challenge of food and nutrition security if it is to achieve the </w:t>
      </w:r>
      <w:r w:rsidRPr="009C793F">
        <w:rPr>
          <w:rFonts w:asciiTheme="minorHAnsi" w:hAnsiTheme="minorHAnsi" w:cstheme="minorHAnsi"/>
          <w:b/>
          <w:bCs/>
        </w:rPr>
        <w:t>SDG 2</w:t>
      </w:r>
      <w:r w:rsidR="00575582" w:rsidRPr="009C793F">
        <w:rPr>
          <w:rFonts w:asciiTheme="minorHAnsi" w:hAnsiTheme="minorHAnsi" w:cstheme="minorHAnsi"/>
          <w:b/>
          <w:bCs/>
        </w:rPr>
        <w:t xml:space="preserve"> and SDG 3 </w:t>
      </w:r>
      <w:r w:rsidRPr="009C793F">
        <w:rPr>
          <w:rFonts w:asciiTheme="minorHAnsi" w:hAnsiTheme="minorHAnsi" w:cstheme="minorHAnsi"/>
        </w:rPr>
        <w:t>by 2030, a milestone that is already negatively impacted by the COVID-19 pandemic.</w:t>
      </w:r>
    </w:p>
    <w:p w14:paraId="14EECC13" w14:textId="77777777" w:rsidR="00C86F4B" w:rsidRDefault="00C86F4B" w:rsidP="00DE19C9">
      <w:pPr>
        <w:widowControl w:val="0"/>
        <w:jc w:val="both"/>
        <w:rPr>
          <w:rFonts w:asciiTheme="minorHAnsi" w:hAnsiTheme="minorHAnsi" w:cstheme="minorHAnsi"/>
        </w:rPr>
      </w:pPr>
    </w:p>
    <w:p w14:paraId="000000A2" w14:textId="5BD4FCB0" w:rsidR="006B72B0" w:rsidRPr="009C793F" w:rsidRDefault="00845012" w:rsidP="00DE19C9">
      <w:pPr>
        <w:widowControl w:val="0"/>
        <w:jc w:val="both"/>
        <w:rPr>
          <w:rFonts w:asciiTheme="minorHAnsi" w:hAnsiTheme="minorHAnsi" w:cstheme="minorHAnsi"/>
        </w:rPr>
      </w:pPr>
      <w:r w:rsidRPr="009C793F">
        <w:rPr>
          <w:rFonts w:asciiTheme="minorHAnsi" w:hAnsiTheme="minorHAnsi" w:cstheme="minorHAnsi"/>
        </w:rPr>
        <w:t xml:space="preserve">On the issue of </w:t>
      </w:r>
      <w:r w:rsidRPr="009C793F">
        <w:rPr>
          <w:rFonts w:asciiTheme="minorHAnsi" w:hAnsiTheme="minorHAnsi" w:cstheme="minorHAnsi"/>
          <w:b/>
        </w:rPr>
        <w:t>biodiversity</w:t>
      </w:r>
      <w:r w:rsidRPr="009C793F">
        <w:rPr>
          <w:rFonts w:asciiTheme="minorHAnsi" w:hAnsiTheme="minorHAnsi" w:cstheme="minorHAnsi"/>
        </w:rPr>
        <w:t xml:space="preserve">, Trinidad and Tobago is among the most biologically diverse countries in the Caribbean. The country is similarly endowed with a diverse marine environment occupied by a range of </w:t>
      </w:r>
      <w:r w:rsidRPr="009C793F">
        <w:rPr>
          <w:rFonts w:asciiTheme="minorHAnsi" w:hAnsiTheme="minorHAnsi" w:cstheme="minorHAnsi"/>
        </w:rPr>
        <w:lastRenderedPageBreak/>
        <w:t>communities including sea-grass beds, fringing coral reefs, and diverse marine substrates, within three global marine ecosystem types</w:t>
      </w:r>
      <w:r w:rsidRPr="009C793F">
        <w:rPr>
          <w:rFonts w:asciiTheme="minorHAnsi" w:hAnsiTheme="minorHAnsi" w:cstheme="minorHAnsi"/>
          <w:vertAlign w:val="superscript"/>
        </w:rPr>
        <w:footnoteReference w:id="21"/>
      </w:r>
      <w:r w:rsidRPr="009C793F">
        <w:rPr>
          <w:rFonts w:asciiTheme="minorHAnsi" w:hAnsiTheme="minorHAnsi" w:cstheme="minorHAnsi"/>
        </w:rPr>
        <w:t>. Many of these ecosystems remain areas of active biological exploration, while simultaneously being important areas of economic development</w:t>
      </w:r>
      <w:r w:rsidRPr="009C793F">
        <w:rPr>
          <w:rFonts w:asciiTheme="minorHAnsi" w:hAnsiTheme="minorHAnsi" w:cstheme="minorHAnsi"/>
          <w:vertAlign w:val="superscript"/>
        </w:rPr>
        <w:footnoteReference w:id="22"/>
      </w:r>
      <w:r w:rsidRPr="009C793F">
        <w:rPr>
          <w:rFonts w:asciiTheme="minorHAnsi" w:hAnsiTheme="minorHAnsi" w:cstheme="minorHAnsi"/>
        </w:rPr>
        <w:t xml:space="preserve">. Key ecosystems have become substantially degraded over time posing a serious threat to the achievement of </w:t>
      </w:r>
      <w:r w:rsidRPr="009C793F">
        <w:rPr>
          <w:rFonts w:asciiTheme="minorHAnsi" w:hAnsiTheme="minorHAnsi" w:cstheme="minorHAnsi"/>
          <w:b/>
          <w:bCs/>
        </w:rPr>
        <w:t>SDGs 11, 12, 13, 14 and 15</w:t>
      </w:r>
      <w:r w:rsidRPr="009C793F">
        <w:rPr>
          <w:rFonts w:asciiTheme="minorHAnsi" w:hAnsiTheme="minorHAnsi" w:cstheme="minorHAnsi"/>
        </w:rPr>
        <w:t xml:space="preserve">. </w:t>
      </w:r>
    </w:p>
    <w:p w14:paraId="2EE57FF0" w14:textId="77777777" w:rsidR="00C86F4B" w:rsidRDefault="00C86F4B" w:rsidP="00DE19C9">
      <w:pPr>
        <w:jc w:val="both"/>
        <w:rPr>
          <w:rFonts w:asciiTheme="minorHAnsi" w:hAnsiTheme="minorHAnsi" w:cstheme="minorHAnsi"/>
        </w:rPr>
      </w:pPr>
    </w:p>
    <w:p w14:paraId="000000A3" w14:textId="2817AA1A" w:rsidR="006B72B0" w:rsidRPr="009C793F" w:rsidRDefault="00E408E0" w:rsidP="00DE19C9">
      <w:pPr>
        <w:jc w:val="both"/>
        <w:rPr>
          <w:rFonts w:asciiTheme="minorHAnsi" w:hAnsiTheme="minorHAnsi" w:cstheme="minorHAnsi"/>
        </w:rPr>
      </w:pPr>
      <w:r w:rsidRPr="009C793F">
        <w:rPr>
          <w:rFonts w:asciiTheme="minorHAnsi" w:hAnsiTheme="minorHAnsi" w:cstheme="minorHAnsi"/>
        </w:rPr>
        <w:t>F</w:t>
      </w:r>
      <w:r w:rsidR="00845012" w:rsidRPr="009C793F">
        <w:rPr>
          <w:rFonts w:asciiTheme="minorHAnsi" w:hAnsiTheme="minorHAnsi" w:cstheme="minorHAnsi"/>
        </w:rPr>
        <w:t>orest cover on both islands is showing a downward trend</w:t>
      </w:r>
      <w:r w:rsidRPr="009C793F">
        <w:rPr>
          <w:rFonts w:asciiTheme="minorHAnsi" w:hAnsiTheme="minorHAnsi" w:cstheme="minorHAnsi"/>
        </w:rPr>
        <w:t>.</w:t>
      </w:r>
      <w:r w:rsidR="00845012" w:rsidRPr="009C793F">
        <w:rPr>
          <w:rFonts w:asciiTheme="minorHAnsi" w:hAnsiTheme="minorHAnsi" w:cstheme="minorHAnsi"/>
          <w:vertAlign w:val="superscript"/>
        </w:rPr>
        <w:footnoteReference w:id="23"/>
      </w:r>
      <w:r w:rsidR="00845012" w:rsidRPr="009C793F">
        <w:rPr>
          <w:rFonts w:asciiTheme="minorHAnsi" w:hAnsiTheme="minorHAnsi" w:cstheme="minorHAnsi"/>
        </w:rPr>
        <w:t xml:space="preserve"> In Trinidad, natural forest cover is estimated at approximately 45</w:t>
      </w:r>
      <w:r w:rsidRPr="009C793F">
        <w:rPr>
          <w:rFonts w:asciiTheme="minorHAnsi" w:hAnsiTheme="minorHAnsi" w:cstheme="minorHAnsi"/>
        </w:rPr>
        <w:t xml:space="preserve"> per cent</w:t>
      </w:r>
      <w:r w:rsidR="00845012" w:rsidRPr="009C793F">
        <w:rPr>
          <w:rFonts w:asciiTheme="minorHAnsi" w:hAnsiTheme="minorHAnsi" w:cstheme="minorHAnsi"/>
          <w:vertAlign w:val="superscript"/>
        </w:rPr>
        <w:footnoteReference w:id="24"/>
      </w:r>
      <w:r w:rsidR="00845012" w:rsidRPr="009C793F">
        <w:rPr>
          <w:rFonts w:asciiTheme="minorHAnsi" w:hAnsiTheme="minorHAnsi" w:cstheme="minorHAnsi"/>
        </w:rPr>
        <w:t>, while in Tobago, Helmer et al. (2012)</w:t>
      </w:r>
      <w:r w:rsidR="00845012" w:rsidRPr="009C793F">
        <w:rPr>
          <w:rFonts w:asciiTheme="minorHAnsi" w:hAnsiTheme="minorHAnsi" w:cstheme="minorHAnsi"/>
          <w:vertAlign w:val="superscript"/>
        </w:rPr>
        <w:footnoteReference w:id="25"/>
      </w:r>
      <w:r w:rsidR="00845012" w:rsidRPr="009C793F">
        <w:rPr>
          <w:rFonts w:asciiTheme="minorHAnsi" w:hAnsiTheme="minorHAnsi" w:cstheme="minorHAnsi"/>
        </w:rPr>
        <w:t xml:space="preserve"> estimated all forested areas to cover 85</w:t>
      </w:r>
      <w:r w:rsidRPr="009C793F">
        <w:rPr>
          <w:rFonts w:asciiTheme="minorHAnsi" w:hAnsiTheme="minorHAnsi" w:cstheme="minorHAnsi"/>
        </w:rPr>
        <w:t xml:space="preserve"> per cent</w:t>
      </w:r>
      <w:r w:rsidR="00845012" w:rsidRPr="009C793F">
        <w:rPr>
          <w:rFonts w:asciiTheme="minorHAnsi" w:hAnsiTheme="minorHAnsi" w:cstheme="minorHAnsi"/>
        </w:rPr>
        <w:t xml:space="preserve"> of the island. In Tobago, hard coral cover has declined by 33</w:t>
      </w:r>
      <w:r w:rsidRPr="009C793F">
        <w:rPr>
          <w:rFonts w:asciiTheme="minorHAnsi" w:hAnsiTheme="minorHAnsi" w:cstheme="minorHAnsi"/>
        </w:rPr>
        <w:t xml:space="preserve"> per cent</w:t>
      </w:r>
      <w:r w:rsidR="00845012" w:rsidRPr="009C793F">
        <w:rPr>
          <w:rFonts w:asciiTheme="minorHAnsi" w:hAnsiTheme="minorHAnsi" w:cstheme="minorHAnsi"/>
        </w:rPr>
        <w:t xml:space="preserve"> since the 1980s</w:t>
      </w:r>
      <w:r w:rsidR="00845012" w:rsidRPr="009C793F">
        <w:rPr>
          <w:rFonts w:asciiTheme="minorHAnsi" w:hAnsiTheme="minorHAnsi" w:cstheme="minorHAnsi"/>
          <w:vertAlign w:val="superscript"/>
        </w:rPr>
        <w:footnoteReference w:id="26"/>
      </w:r>
      <w:r w:rsidR="00845012" w:rsidRPr="009C793F">
        <w:rPr>
          <w:rFonts w:asciiTheme="minorHAnsi" w:hAnsiTheme="minorHAnsi" w:cstheme="minorHAnsi"/>
        </w:rPr>
        <w:t xml:space="preserve"> and in recent years, coral reefs have experienced the worst bleaching in 25 years, with over 85</w:t>
      </w:r>
      <w:r w:rsidRPr="009C793F">
        <w:rPr>
          <w:rFonts w:asciiTheme="minorHAnsi" w:hAnsiTheme="minorHAnsi" w:cstheme="minorHAnsi"/>
        </w:rPr>
        <w:t xml:space="preserve"> per cent</w:t>
      </w:r>
      <w:r w:rsidR="00845012" w:rsidRPr="009C793F">
        <w:rPr>
          <w:rFonts w:asciiTheme="minorHAnsi" w:hAnsiTheme="minorHAnsi" w:cstheme="minorHAnsi"/>
        </w:rPr>
        <w:t xml:space="preserve"> bleaching</w:t>
      </w:r>
      <w:r w:rsidR="00845012" w:rsidRPr="009C793F">
        <w:rPr>
          <w:rFonts w:asciiTheme="minorHAnsi" w:hAnsiTheme="minorHAnsi" w:cstheme="minorHAnsi"/>
          <w:vertAlign w:val="superscript"/>
        </w:rPr>
        <w:footnoteReference w:id="27"/>
      </w:r>
      <w:r w:rsidR="00845012" w:rsidRPr="009C793F">
        <w:rPr>
          <w:rFonts w:asciiTheme="minorHAnsi" w:hAnsiTheme="minorHAnsi" w:cstheme="minorHAnsi"/>
        </w:rPr>
        <w:t>. Similarly, the islands’ freshwater ecosystems have also been affected by anthropogenic impacts including point and diffuse chemical pollution, over-extraction of surface and groundwater, solid waste pollution, eutrophication, damming of stream flows and over harvesting of freshwater species for food and the aquarium trade</w:t>
      </w:r>
      <w:r w:rsidRPr="009C793F">
        <w:rPr>
          <w:rFonts w:asciiTheme="minorHAnsi" w:hAnsiTheme="minorHAnsi" w:cstheme="minorHAnsi"/>
        </w:rPr>
        <w:t>.</w:t>
      </w:r>
      <w:r w:rsidR="00845012" w:rsidRPr="009C793F">
        <w:rPr>
          <w:rFonts w:asciiTheme="minorHAnsi" w:hAnsiTheme="minorHAnsi" w:cstheme="minorHAnsi"/>
          <w:vertAlign w:val="superscript"/>
        </w:rPr>
        <w:footnoteReference w:id="28"/>
      </w:r>
    </w:p>
    <w:p w14:paraId="000000A4" w14:textId="77777777" w:rsidR="006B72B0" w:rsidRPr="009C793F" w:rsidRDefault="006B72B0" w:rsidP="00DE19C9">
      <w:pPr>
        <w:jc w:val="both"/>
        <w:rPr>
          <w:rFonts w:asciiTheme="minorHAnsi" w:hAnsiTheme="minorHAnsi" w:cstheme="minorHAnsi"/>
        </w:rPr>
      </w:pPr>
    </w:p>
    <w:p w14:paraId="000000A5" w14:textId="09DAC0A5"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Trinidad and Tobago </w:t>
      </w:r>
      <w:r w:rsidR="00BC566F" w:rsidRPr="009C793F">
        <w:rPr>
          <w:rFonts w:asciiTheme="minorHAnsi" w:hAnsiTheme="minorHAnsi" w:cstheme="minorHAnsi"/>
        </w:rPr>
        <w:t xml:space="preserve">also </w:t>
      </w:r>
      <w:r w:rsidRPr="009C793F">
        <w:rPr>
          <w:rFonts w:asciiTheme="minorHAnsi" w:hAnsiTheme="minorHAnsi" w:cstheme="minorHAnsi"/>
        </w:rPr>
        <w:t xml:space="preserve">faces </w:t>
      </w:r>
      <w:r w:rsidRPr="009C793F">
        <w:rPr>
          <w:rFonts w:asciiTheme="minorHAnsi" w:hAnsiTheme="minorHAnsi" w:cstheme="minorHAnsi"/>
          <w:b/>
          <w:bCs/>
        </w:rPr>
        <w:t>public sector governance issues</w:t>
      </w:r>
      <w:r w:rsidRPr="009C793F">
        <w:rPr>
          <w:rFonts w:asciiTheme="minorHAnsi" w:hAnsiTheme="minorHAnsi" w:cstheme="minorHAnsi"/>
        </w:rPr>
        <w:t xml:space="preserve">.  These include public sector management, tax and revenue policies, financial   sector   policies   that   reduce   competition and allocative inefficiencies in government expenditures. Associated with the constraints of public sector governance is the </w:t>
      </w:r>
      <w:r w:rsidRPr="009C793F">
        <w:rPr>
          <w:rFonts w:asciiTheme="minorHAnsi" w:hAnsiTheme="minorHAnsi" w:cstheme="minorHAnsi"/>
          <w:b/>
          <w:bCs/>
        </w:rPr>
        <w:t>implementation deficit</w:t>
      </w:r>
      <w:r w:rsidRPr="009C793F">
        <w:rPr>
          <w:rFonts w:asciiTheme="minorHAnsi" w:hAnsiTheme="minorHAnsi" w:cstheme="minorHAnsi"/>
        </w:rPr>
        <w:t xml:space="preserve">, which </w:t>
      </w:r>
      <w:r w:rsidR="00BC566F" w:rsidRPr="009C793F">
        <w:rPr>
          <w:rFonts w:asciiTheme="minorHAnsi" w:hAnsiTheme="minorHAnsi" w:cstheme="minorHAnsi"/>
        </w:rPr>
        <w:t>GORTT</w:t>
      </w:r>
      <w:r w:rsidRPr="009C793F">
        <w:rPr>
          <w:rFonts w:asciiTheme="minorHAnsi" w:hAnsiTheme="minorHAnsi" w:cstheme="minorHAnsi"/>
        </w:rPr>
        <w:t xml:space="preserve"> is keen to address. </w:t>
      </w:r>
      <w:r w:rsidR="00BC566F" w:rsidRPr="009C793F">
        <w:rPr>
          <w:rFonts w:asciiTheme="minorHAnsi" w:hAnsiTheme="minorHAnsi" w:cstheme="minorHAnsi"/>
        </w:rPr>
        <w:t>Lin</w:t>
      </w:r>
      <w:r w:rsidR="00E408E0" w:rsidRPr="009C793F">
        <w:rPr>
          <w:rFonts w:asciiTheme="minorHAnsi" w:hAnsiTheme="minorHAnsi" w:cstheme="minorHAnsi"/>
        </w:rPr>
        <w:t>k</w:t>
      </w:r>
      <w:r w:rsidR="00BC566F" w:rsidRPr="009C793F">
        <w:rPr>
          <w:rFonts w:asciiTheme="minorHAnsi" w:hAnsiTheme="minorHAnsi" w:cstheme="minorHAnsi"/>
        </w:rPr>
        <w:t>ed to this is the recognition by GORTT</w:t>
      </w:r>
      <w:r w:rsidRPr="009C793F">
        <w:rPr>
          <w:rFonts w:asciiTheme="minorHAnsi" w:hAnsiTheme="minorHAnsi" w:cstheme="minorHAnsi"/>
        </w:rPr>
        <w:t xml:space="preserve"> that capacity development, innovation and digital transformation are key to position the country for a more sustainable future.  </w:t>
      </w:r>
    </w:p>
    <w:p w14:paraId="000000A6" w14:textId="77777777" w:rsidR="006B72B0" w:rsidRPr="009C793F" w:rsidRDefault="006B72B0" w:rsidP="00DE19C9">
      <w:pPr>
        <w:tabs>
          <w:tab w:val="left" w:pos="0"/>
        </w:tabs>
        <w:jc w:val="both"/>
        <w:rPr>
          <w:rFonts w:asciiTheme="minorHAnsi" w:hAnsiTheme="minorHAnsi" w:cstheme="minorHAnsi"/>
        </w:rPr>
      </w:pPr>
    </w:p>
    <w:p w14:paraId="000000A7" w14:textId="5FE7694A"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With a Human Capital Index (HCI) Score</w:t>
      </w:r>
      <w:r w:rsidRPr="009C793F">
        <w:rPr>
          <w:rFonts w:asciiTheme="minorHAnsi" w:hAnsiTheme="minorHAnsi" w:cstheme="minorHAnsi"/>
          <w:vertAlign w:val="superscript"/>
        </w:rPr>
        <w:footnoteReference w:id="29"/>
      </w:r>
      <w:r w:rsidRPr="009C793F">
        <w:rPr>
          <w:rFonts w:asciiTheme="minorHAnsi" w:hAnsiTheme="minorHAnsi" w:cstheme="minorHAnsi"/>
        </w:rPr>
        <w:t xml:space="preserve"> of 0.61, Trinidad and Tobago ranks in the </w:t>
      </w:r>
      <w:r w:rsidRPr="009C793F">
        <w:rPr>
          <w:rFonts w:asciiTheme="minorHAnsi" w:hAnsiTheme="minorHAnsi" w:cstheme="minorHAnsi"/>
          <w:b/>
          <w:bCs/>
        </w:rPr>
        <w:t xml:space="preserve">second quartile of countries regarding its ability to mobilize the human capital potential of the country’s </w:t>
      </w:r>
      <w:r w:rsidR="00660966" w:rsidRPr="009C793F">
        <w:rPr>
          <w:rFonts w:asciiTheme="minorHAnsi" w:hAnsiTheme="minorHAnsi" w:cstheme="minorHAnsi"/>
          <w:b/>
          <w:bCs/>
        </w:rPr>
        <w:t>citizens</w:t>
      </w:r>
      <w:r w:rsidR="00660966" w:rsidRPr="009C793F">
        <w:rPr>
          <w:rFonts w:asciiTheme="minorHAnsi" w:hAnsiTheme="minorHAnsi" w:cstheme="minorHAnsi"/>
        </w:rPr>
        <w:t xml:space="preserve"> but</w:t>
      </w:r>
      <w:r w:rsidRPr="009C793F">
        <w:rPr>
          <w:rFonts w:asciiTheme="minorHAnsi" w:hAnsiTheme="minorHAnsi" w:cstheme="minorHAnsi"/>
        </w:rPr>
        <w:t xml:space="preserve"> has weaker health outcomes than comparably ranked countries. In comparison to countries with a similar HCI Score, Trinidad and Tobago performs well with respect to the number of learning-adjusted years of school that children complete (9.1 years) and harmonized test scores that students achieve. </w:t>
      </w:r>
    </w:p>
    <w:p w14:paraId="000000A8" w14:textId="77777777" w:rsidR="006B72B0" w:rsidRPr="009C793F" w:rsidRDefault="006B72B0" w:rsidP="00DE19C9">
      <w:pPr>
        <w:tabs>
          <w:tab w:val="left" w:pos="0"/>
        </w:tabs>
        <w:jc w:val="both"/>
        <w:rPr>
          <w:rFonts w:asciiTheme="minorHAnsi" w:hAnsiTheme="minorHAnsi" w:cstheme="minorHAnsi"/>
        </w:rPr>
      </w:pPr>
    </w:p>
    <w:p w14:paraId="000000A9" w14:textId="0A08BADF" w:rsidR="006B72B0" w:rsidRPr="009C793F" w:rsidRDefault="00845012" w:rsidP="00DE19C9">
      <w:pPr>
        <w:jc w:val="both"/>
        <w:rPr>
          <w:rFonts w:asciiTheme="minorHAnsi" w:hAnsiTheme="minorHAnsi" w:cstheme="minorHAnsi"/>
        </w:rPr>
      </w:pPr>
      <w:r w:rsidRPr="009C793F">
        <w:rPr>
          <w:rFonts w:asciiTheme="minorHAnsi" w:hAnsiTheme="minorHAnsi" w:cstheme="minorHAnsi"/>
        </w:rPr>
        <w:lastRenderedPageBreak/>
        <w:t xml:space="preserve">In terms of </w:t>
      </w:r>
      <w:r w:rsidRPr="009C793F">
        <w:rPr>
          <w:rFonts w:asciiTheme="minorHAnsi" w:hAnsiTheme="minorHAnsi" w:cstheme="minorHAnsi"/>
          <w:b/>
        </w:rPr>
        <w:t>gender</w:t>
      </w:r>
      <w:r w:rsidRPr="009C793F">
        <w:rPr>
          <w:rFonts w:asciiTheme="minorHAnsi" w:hAnsiTheme="minorHAnsi" w:cstheme="minorHAnsi"/>
        </w:rPr>
        <w:t xml:space="preserve">, the </w:t>
      </w:r>
      <w:r w:rsidRPr="009C793F">
        <w:rPr>
          <w:rFonts w:asciiTheme="minorHAnsi" w:hAnsiTheme="minorHAnsi" w:cstheme="minorHAnsi"/>
          <w:b/>
          <w:bCs/>
        </w:rPr>
        <w:t>equal rights of men and women are guaranteed under the constitution</w:t>
      </w:r>
      <w:r w:rsidRPr="009C793F">
        <w:rPr>
          <w:rFonts w:asciiTheme="minorHAnsi" w:hAnsiTheme="minorHAnsi" w:cstheme="minorHAnsi"/>
        </w:rPr>
        <w:t xml:space="preserve">.  Trinidad and Tobago has signed on to several landmark international instruments, including the Convention on </w:t>
      </w:r>
      <w:r w:rsidR="006509DB" w:rsidRPr="009C793F">
        <w:rPr>
          <w:rFonts w:asciiTheme="minorHAnsi" w:hAnsiTheme="minorHAnsi" w:cstheme="minorHAnsi"/>
        </w:rPr>
        <w:t>the Elimination</w:t>
      </w:r>
      <w:r w:rsidRPr="009C793F">
        <w:rPr>
          <w:rFonts w:asciiTheme="minorHAnsi" w:hAnsiTheme="minorHAnsi" w:cstheme="minorHAnsi"/>
        </w:rPr>
        <w:t xml:space="preserve"> of All Forms of Discrimination Against Women (CEDAW), the Beijing Platform for Action (1995) and the Declaration on the Elimination of Violence Against Women (1994). At the leadership levels, the President of the Republic, the President of the Senate, the Speaker of the House of Representatives and the Leader of the Opposition are all women. The level of female representation in Parliament in Trinidad and Tobago stands at approximately 31</w:t>
      </w:r>
      <w:r w:rsidR="00E408E0" w:rsidRPr="009C793F">
        <w:rPr>
          <w:rFonts w:asciiTheme="minorHAnsi" w:hAnsiTheme="minorHAnsi" w:cstheme="minorHAnsi"/>
        </w:rPr>
        <w:t xml:space="preserve"> per cent</w:t>
      </w:r>
      <w:r w:rsidRPr="009C793F">
        <w:rPr>
          <w:rFonts w:asciiTheme="minorHAnsi" w:hAnsiTheme="minorHAnsi" w:cstheme="minorHAnsi"/>
        </w:rPr>
        <w:t>, just above the overall average for Latin America and the Caribbean.</w:t>
      </w:r>
      <w:r w:rsidRPr="009C793F">
        <w:rPr>
          <w:rFonts w:asciiTheme="minorHAnsi" w:hAnsiTheme="minorHAnsi" w:cstheme="minorHAnsi"/>
          <w:vertAlign w:val="superscript"/>
        </w:rPr>
        <w:footnoteReference w:id="30"/>
      </w:r>
      <w:r w:rsidRPr="009C793F">
        <w:rPr>
          <w:rFonts w:asciiTheme="minorHAnsi" w:hAnsiTheme="minorHAnsi" w:cstheme="minorHAnsi"/>
        </w:rPr>
        <w:t xml:space="preserve">  In 2010, Trinidad and Tobago </w:t>
      </w:r>
      <w:r w:rsidR="00BC566F" w:rsidRPr="009C793F">
        <w:rPr>
          <w:rFonts w:asciiTheme="minorHAnsi" w:hAnsiTheme="minorHAnsi" w:cstheme="minorHAnsi"/>
        </w:rPr>
        <w:t xml:space="preserve">also had its first </w:t>
      </w:r>
      <w:r w:rsidRPr="009C793F">
        <w:rPr>
          <w:rFonts w:asciiTheme="minorHAnsi" w:hAnsiTheme="minorHAnsi" w:cstheme="minorHAnsi"/>
        </w:rPr>
        <w:t>female Prime Minister who served a term of five years.</w:t>
      </w:r>
    </w:p>
    <w:p w14:paraId="000000AA" w14:textId="77777777" w:rsidR="006B72B0" w:rsidRPr="009C793F" w:rsidRDefault="006B72B0" w:rsidP="00DE19C9">
      <w:pPr>
        <w:jc w:val="both"/>
        <w:rPr>
          <w:rFonts w:asciiTheme="minorHAnsi" w:hAnsiTheme="minorHAnsi" w:cstheme="minorHAnsi"/>
        </w:rPr>
      </w:pPr>
    </w:p>
    <w:p w14:paraId="000000AC" w14:textId="7AF28DC7" w:rsidR="006B72B0" w:rsidRPr="009C793F" w:rsidRDefault="00660966" w:rsidP="00DE19C9">
      <w:pPr>
        <w:jc w:val="both"/>
        <w:rPr>
          <w:rFonts w:asciiTheme="minorHAnsi" w:hAnsiTheme="minorHAnsi" w:cstheme="minorHAnsi"/>
        </w:rPr>
      </w:pPr>
      <w:r w:rsidRPr="009C793F">
        <w:rPr>
          <w:rFonts w:asciiTheme="minorHAnsi" w:hAnsiTheme="minorHAnsi" w:cstheme="minorHAnsi"/>
        </w:rPr>
        <w:t>The Equal Opportunity Act (2000)</w:t>
      </w:r>
      <w:r w:rsidR="00845012" w:rsidRPr="009C793F">
        <w:rPr>
          <w:rFonts w:asciiTheme="minorHAnsi" w:hAnsiTheme="minorHAnsi" w:cstheme="minorHAnsi"/>
        </w:rPr>
        <w:t xml:space="preserve"> promotes equality of opportunity and prohibits discrimination based on sex, race, ethnicity, origin, religion, marital status, or disability in employment, training and education. While the Equal Opportunity Act prohibits certain kinds of discrimination and is geared to promote equality of opportunity, gaps remain. For example, there is no standalone law pertaining to Sexual Harassment. A Draft National Policy on Gender and Development was developed in 2017 </w:t>
      </w:r>
      <w:r w:rsidR="00713BA2" w:rsidRPr="009C793F">
        <w:rPr>
          <w:rFonts w:asciiTheme="minorHAnsi" w:hAnsiTheme="minorHAnsi" w:cstheme="minorHAnsi"/>
        </w:rPr>
        <w:t>but it is</w:t>
      </w:r>
      <w:r w:rsidR="00845012" w:rsidRPr="009C793F">
        <w:rPr>
          <w:rFonts w:asciiTheme="minorHAnsi" w:hAnsiTheme="minorHAnsi" w:cstheme="minorHAnsi"/>
        </w:rPr>
        <w:t xml:space="preserve"> yet to be adopted.  </w:t>
      </w:r>
    </w:p>
    <w:p w14:paraId="000000AD" w14:textId="77777777" w:rsidR="006B72B0" w:rsidRPr="009C793F" w:rsidRDefault="006B72B0" w:rsidP="00DE19C9">
      <w:pPr>
        <w:jc w:val="both"/>
        <w:rPr>
          <w:rFonts w:asciiTheme="minorHAnsi" w:hAnsiTheme="minorHAnsi" w:cstheme="minorHAnsi"/>
        </w:rPr>
      </w:pPr>
    </w:p>
    <w:p w14:paraId="000000AE" w14:textId="212880D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On the issue of employment and </w:t>
      </w:r>
      <w:r w:rsidRPr="009C793F">
        <w:rPr>
          <w:rFonts w:asciiTheme="minorHAnsi" w:hAnsiTheme="minorHAnsi" w:cstheme="minorHAnsi"/>
          <w:b/>
        </w:rPr>
        <w:t>labour</w:t>
      </w:r>
      <w:r w:rsidRPr="009C793F">
        <w:rPr>
          <w:rFonts w:asciiTheme="minorHAnsi" w:hAnsiTheme="minorHAnsi" w:cstheme="minorHAnsi"/>
        </w:rPr>
        <w:t xml:space="preserve"> force participation,</w:t>
      </w:r>
      <w:r w:rsidRPr="009C793F">
        <w:rPr>
          <w:rFonts w:asciiTheme="minorHAnsi" w:hAnsiTheme="minorHAnsi" w:cstheme="minorHAnsi"/>
          <w:b/>
        </w:rPr>
        <w:t xml:space="preserve"> </w:t>
      </w:r>
      <w:r w:rsidRPr="009C793F">
        <w:rPr>
          <w:rFonts w:asciiTheme="minorHAnsi" w:hAnsiTheme="minorHAnsi" w:cstheme="minorHAnsi"/>
        </w:rPr>
        <w:t>approximately 67</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men are engaged in the labour market, as compared to only 45</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women. Disaggregated by age, 88</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men are employed over 50 years of age, whereas for women it is 44</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Women account for a smaller share of employers than men yet go on to account for a larger percentage of those who complete tertiary education (21</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versus 18</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w:t>
      </w:r>
      <w:r w:rsidR="00713BA2" w:rsidRPr="009C793F">
        <w:rPr>
          <w:rFonts w:asciiTheme="minorHAnsi" w:hAnsiTheme="minorHAnsi" w:cstheme="minorHAnsi"/>
        </w:rPr>
        <w:t>Women represent the majority of those employed i</w:t>
      </w:r>
      <w:r w:rsidRPr="009C793F">
        <w:rPr>
          <w:rFonts w:asciiTheme="minorHAnsi" w:hAnsiTheme="minorHAnsi" w:cstheme="minorHAnsi"/>
        </w:rPr>
        <w:t>n the service and retail sectors</w:t>
      </w:r>
      <w:r w:rsidR="00713BA2" w:rsidRPr="009C793F">
        <w:rPr>
          <w:rFonts w:asciiTheme="minorHAnsi" w:hAnsiTheme="minorHAnsi" w:cstheme="minorHAnsi"/>
        </w:rPr>
        <w:t>.</w:t>
      </w:r>
      <w:r w:rsidRPr="009C793F">
        <w:rPr>
          <w:rFonts w:asciiTheme="minorHAnsi" w:hAnsiTheme="minorHAnsi" w:cstheme="minorHAnsi"/>
        </w:rPr>
        <w:t xml:space="preserve"> Women earn approximately 88</w:t>
      </w:r>
      <w:r w:rsidR="00713BA2"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the hourly rate in comparison to men.  The plight of domestic workers continues to be one of concern, as they are not included under the definition of worker within the Industrial Relations Act.</w:t>
      </w:r>
      <w:r w:rsidRPr="009C793F">
        <w:rPr>
          <w:rFonts w:asciiTheme="minorHAnsi" w:hAnsiTheme="minorHAnsi" w:cstheme="minorHAnsi"/>
          <w:vertAlign w:val="superscript"/>
        </w:rPr>
        <w:footnoteReference w:id="31"/>
      </w:r>
      <w:r w:rsidRPr="009C793F">
        <w:rPr>
          <w:rFonts w:asciiTheme="minorHAnsi" w:hAnsiTheme="minorHAnsi" w:cstheme="minorHAnsi"/>
        </w:rPr>
        <w:t xml:space="preserve"> Trinidad and Tobago is yet to ratify the ILO </w:t>
      </w:r>
      <w:hyperlink r:id="rId23">
        <w:r w:rsidRPr="009C793F">
          <w:rPr>
            <w:rFonts w:asciiTheme="minorHAnsi" w:hAnsiTheme="minorHAnsi" w:cstheme="minorHAnsi"/>
          </w:rPr>
          <w:t> Domestic Workers Convention, 2011 (No. 189)</w:t>
        </w:r>
      </w:hyperlink>
      <w:r w:rsidRPr="009C793F">
        <w:rPr>
          <w:rFonts w:asciiTheme="minorHAnsi" w:hAnsiTheme="minorHAnsi" w:cstheme="minorHAnsi"/>
        </w:rPr>
        <w:t xml:space="preserve">, which seeks to protect the rights of domestic workers.  </w:t>
      </w:r>
    </w:p>
    <w:p w14:paraId="000000AF" w14:textId="77777777" w:rsidR="006B72B0" w:rsidRPr="009C793F" w:rsidRDefault="006B72B0" w:rsidP="00DE19C9">
      <w:pPr>
        <w:jc w:val="both"/>
        <w:rPr>
          <w:rFonts w:asciiTheme="minorHAnsi" w:hAnsiTheme="minorHAnsi" w:cstheme="minorHAnsi"/>
          <w:u w:val="single"/>
        </w:rPr>
      </w:pPr>
    </w:p>
    <w:p w14:paraId="000000B0" w14:textId="03D2F380" w:rsidR="006B72B0" w:rsidRPr="009C793F" w:rsidRDefault="00845012" w:rsidP="00DE19C9">
      <w:pPr>
        <w:jc w:val="both"/>
        <w:rPr>
          <w:rFonts w:asciiTheme="minorHAnsi" w:hAnsiTheme="minorHAnsi" w:cstheme="minorHAnsi"/>
        </w:rPr>
      </w:pPr>
      <w:r w:rsidRPr="009C793F">
        <w:rPr>
          <w:rFonts w:asciiTheme="minorHAnsi" w:hAnsiTheme="minorHAnsi" w:cstheme="minorHAnsi"/>
          <w:u w:val="single"/>
        </w:rPr>
        <w:t>Violence Against Women and Girls:</w:t>
      </w:r>
      <w:r w:rsidRPr="009C793F">
        <w:rPr>
          <w:rFonts w:asciiTheme="minorHAnsi" w:hAnsiTheme="minorHAnsi" w:cstheme="minorHAnsi"/>
          <w:b/>
        </w:rPr>
        <w:t xml:space="preserve"> </w:t>
      </w:r>
      <w:r w:rsidRPr="009C793F">
        <w:rPr>
          <w:rFonts w:asciiTheme="minorHAnsi" w:hAnsiTheme="minorHAnsi" w:cstheme="minorHAnsi"/>
        </w:rPr>
        <w:t>The National Women’s Health Survey (2017)</w:t>
      </w:r>
      <w:r w:rsidRPr="009C793F">
        <w:rPr>
          <w:rFonts w:asciiTheme="minorHAnsi" w:hAnsiTheme="minorHAnsi" w:cstheme="minorHAnsi"/>
          <w:vertAlign w:val="superscript"/>
        </w:rPr>
        <w:footnoteReference w:id="32"/>
      </w:r>
      <w:r w:rsidRPr="009C793F">
        <w:rPr>
          <w:rFonts w:asciiTheme="minorHAnsi" w:hAnsiTheme="minorHAnsi" w:cstheme="minorHAnsi"/>
        </w:rPr>
        <w:t xml:space="preserve"> reveals that in the 15 to 64-year-old age bracket, over 100,000 women have experienced one or more acts of physical and/or sexual violence perpetrated by male partners. The survey found that approximately 11,000 are likely to still be in abusive relationships. Further key findings include: 21 per cent have experienced non-partner sexual violence; 35 per cent of women have experienced emotional violence; and 7 per cent of women who have ever been pregnant have experienced physical intimate-partner violence during a pregnancy.</w:t>
      </w:r>
      <w:r w:rsidRPr="009C793F">
        <w:rPr>
          <w:rFonts w:asciiTheme="minorHAnsi" w:hAnsiTheme="minorHAnsi" w:cstheme="minorHAnsi"/>
          <w:vertAlign w:val="superscript"/>
        </w:rPr>
        <w:footnoteReference w:id="33"/>
      </w:r>
      <w:r w:rsidRPr="009C793F">
        <w:rPr>
          <w:rFonts w:asciiTheme="minorHAnsi" w:hAnsiTheme="minorHAnsi" w:cstheme="minorHAnsi"/>
        </w:rPr>
        <w:t xml:space="preserve"> </w:t>
      </w:r>
    </w:p>
    <w:p w14:paraId="4ED42321" w14:textId="77777777" w:rsidR="0079377B" w:rsidRPr="009C793F" w:rsidRDefault="0079377B" w:rsidP="00DE19C9">
      <w:pPr>
        <w:jc w:val="both"/>
        <w:rPr>
          <w:rFonts w:asciiTheme="minorHAnsi" w:hAnsiTheme="minorHAnsi" w:cstheme="minorHAnsi"/>
        </w:rPr>
      </w:pPr>
    </w:p>
    <w:p w14:paraId="000000B1" w14:textId="512723A5"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w:t>
      </w:r>
      <w:r w:rsidRPr="009C793F">
        <w:rPr>
          <w:rFonts w:asciiTheme="minorHAnsi" w:hAnsiTheme="minorHAnsi" w:cstheme="minorHAnsi"/>
          <w:b/>
          <w:bCs/>
        </w:rPr>
        <w:t>Domestic Violence Act 1999</w:t>
      </w:r>
      <w:r w:rsidRPr="009C793F">
        <w:rPr>
          <w:rFonts w:asciiTheme="minorHAnsi" w:hAnsiTheme="minorHAnsi" w:cstheme="minorHAnsi"/>
        </w:rPr>
        <w:t xml:space="preserve"> serves as the main law on domestic violence. The Act defines domestic violence as any type of physical, emotional, financial, or sexual abuse.  The Sexual Offences Act 1986 is another instrument which aims to provide protection. The Government has undertaken several initiatives aimed at preventing and reducing G</w:t>
      </w:r>
      <w:r w:rsidR="00BC566F" w:rsidRPr="009C793F">
        <w:rPr>
          <w:rFonts w:asciiTheme="minorHAnsi" w:hAnsiTheme="minorHAnsi" w:cstheme="minorHAnsi"/>
        </w:rPr>
        <w:t>ender-Based Violence (G</w:t>
      </w:r>
      <w:r w:rsidRPr="009C793F">
        <w:rPr>
          <w:rFonts w:asciiTheme="minorHAnsi" w:hAnsiTheme="minorHAnsi" w:cstheme="minorHAnsi"/>
        </w:rPr>
        <w:t>BV</w:t>
      </w:r>
      <w:r w:rsidR="00BC566F" w:rsidRPr="009C793F">
        <w:rPr>
          <w:rFonts w:asciiTheme="minorHAnsi" w:hAnsiTheme="minorHAnsi" w:cstheme="minorHAnsi"/>
        </w:rPr>
        <w:t>)</w:t>
      </w:r>
      <w:r w:rsidRPr="009C793F">
        <w:rPr>
          <w:rFonts w:asciiTheme="minorHAnsi" w:hAnsiTheme="minorHAnsi" w:cstheme="minorHAnsi"/>
        </w:rPr>
        <w:t xml:space="preserve">, such as the Central Registry on Domestic Violence and the provision of safe homes and shelters. In the second half of 2020, the Police Service </w:t>
      </w:r>
      <w:r w:rsidRPr="009C793F">
        <w:rPr>
          <w:rFonts w:asciiTheme="minorHAnsi" w:hAnsiTheme="minorHAnsi" w:cstheme="minorHAnsi"/>
        </w:rPr>
        <w:lastRenderedPageBreak/>
        <w:t xml:space="preserve">established a dedicated </w:t>
      </w:r>
      <w:r w:rsidR="00C00F5F" w:rsidRPr="009C793F">
        <w:rPr>
          <w:rFonts w:asciiTheme="minorHAnsi" w:hAnsiTheme="minorHAnsi" w:cstheme="minorHAnsi"/>
        </w:rPr>
        <w:t>GBV</w:t>
      </w:r>
      <w:r w:rsidRPr="009C793F">
        <w:rPr>
          <w:rFonts w:asciiTheme="minorHAnsi" w:hAnsiTheme="minorHAnsi" w:cstheme="minorHAnsi"/>
        </w:rPr>
        <w:t xml:space="preserve"> Unit. </w:t>
      </w:r>
      <w:r w:rsidR="0079377B" w:rsidRPr="009C793F">
        <w:rPr>
          <w:rFonts w:asciiTheme="minorHAnsi" w:hAnsiTheme="minorHAnsi" w:cstheme="minorHAnsi"/>
        </w:rPr>
        <w:t>GORTT</w:t>
      </w:r>
      <w:r w:rsidRPr="009C793F">
        <w:rPr>
          <w:rFonts w:asciiTheme="minorHAnsi" w:hAnsiTheme="minorHAnsi" w:cstheme="minorHAnsi"/>
        </w:rPr>
        <w:t xml:space="preserve"> has drafted a National Strategic Plan on Gender-Based and Sexual Violence in Trinidad and Tobago 2016–2020, though the Plan has not yet been </w:t>
      </w:r>
      <w:sdt>
        <w:sdtPr>
          <w:rPr>
            <w:rFonts w:asciiTheme="minorHAnsi" w:hAnsiTheme="minorHAnsi" w:cstheme="minorHAnsi"/>
          </w:rPr>
          <w:tag w:val="goog_rdk_13"/>
          <w:id w:val="990901778"/>
        </w:sdtPr>
        <w:sdtContent/>
      </w:sdt>
      <w:sdt>
        <w:sdtPr>
          <w:rPr>
            <w:rFonts w:asciiTheme="minorHAnsi" w:hAnsiTheme="minorHAnsi" w:cstheme="minorHAnsi"/>
          </w:rPr>
          <w:tag w:val="goog_rdk_14"/>
          <w:id w:val="1857388295"/>
        </w:sdtPr>
        <w:sdtContent/>
      </w:sdt>
      <w:r w:rsidRPr="009C793F">
        <w:rPr>
          <w:rFonts w:asciiTheme="minorHAnsi" w:hAnsiTheme="minorHAnsi" w:cstheme="minorHAnsi"/>
        </w:rPr>
        <w:t>adopted.</w:t>
      </w:r>
    </w:p>
    <w:p w14:paraId="000000B2" w14:textId="77777777" w:rsidR="006B72B0" w:rsidRPr="009C793F" w:rsidRDefault="006B72B0" w:rsidP="00DE19C9">
      <w:pPr>
        <w:jc w:val="both"/>
        <w:rPr>
          <w:rFonts w:asciiTheme="minorHAnsi" w:hAnsiTheme="minorHAnsi" w:cstheme="minorHAnsi"/>
        </w:rPr>
      </w:pPr>
    </w:p>
    <w:p w14:paraId="000000B3" w14:textId="522EE079"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2020, </w:t>
      </w:r>
      <w:r w:rsidRPr="009C793F">
        <w:rPr>
          <w:rFonts w:asciiTheme="minorHAnsi" w:hAnsiTheme="minorHAnsi" w:cstheme="minorHAnsi"/>
          <w:b/>
          <w:bCs/>
        </w:rPr>
        <w:t>the Spotlight Initiative</w:t>
      </w:r>
      <w:r w:rsidRPr="009C793F">
        <w:rPr>
          <w:rFonts w:asciiTheme="minorHAnsi" w:hAnsiTheme="minorHAnsi" w:cstheme="minorHAnsi"/>
        </w:rPr>
        <w:t xml:space="preserve">, a partnership between the European Union </w:t>
      </w:r>
      <w:r w:rsidR="00B772C6" w:rsidRPr="009C793F">
        <w:rPr>
          <w:rFonts w:asciiTheme="minorHAnsi" w:hAnsiTheme="minorHAnsi" w:cstheme="minorHAnsi"/>
        </w:rPr>
        <w:t xml:space="preserve">(EU) </w:t>
      </w:r>
      <w:r w:rsidRPr="009C793F">
        <w:rPr>
          <w:rFonts w:asciiTheme="minorHAnsi" w:hAnsiTheme="minorHAnsi" w:cstheme="minorHAnsi"/>
        </w:rPr>
        <w:t>and the U</w:t>
      </w:r>
      <w:r w:rsidR="007E3C32" w:rsidRPr="009C793F">
        <w:rPr>
          <w:rFonts w:asciiTheme="minorHAnsi" w:hAnsiTheme="minorHAnsi" w:cstheme="minorHAnsi"/>
        </w:rPr>
        <w:t>N</w:t>
      </w:r>
      <w:r w:rsidRPr="009C793F">
        <w:rPr>
          <w:rFonts w:asciiTheme="minorHAnsi" w:hAnsiTheme="minorHAnsi" w:cstheme="minorHAnsi"/>
        </w:rPr>
        <w:t xml:space="preserve"> was launched to establish a sustained and integrated approach to preventing family violence. </w:t>
      </w:r>
    </w:p>
    <w:p w14:paraId="000000B4" w14:textId="77777777" w:rsidR="006B72B0" w:rsidRPr="009C793F" w:rsidRDefault="006B72B0" w:rsidP="00DE19C9">
      <w:pPr>
        <w:jc w:val="both"/>
        <w:rPr>
          <w:rFonts w:asciiTheme="minorHAnsi" w:hAnsiTheme="minorHAnsi" w:cstheme="minorHAnsi"/>
        </w:rPr>
      </w:pPr>
    </w:p>
    <w:p w14:paraId="000000B5" w14:textId="126FEA88"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According to UNICEF, </w:t>
      </w:r>
      <w:r w:rsidRPr="009C793F">
        <w:rPr>
          <w:rFonts w:asciiTheme="minorHAnsi" w:hAnsiTheme="minorHAnsi" w:cstheme="minorHAnsi"/>
          <w:b/>
        </w:rPr>
        <w:t>children</w:t>
      </w:r>
      <w:r w:rsidRPr="009C793F">
        <w:rPr>
          <w:rFonts w:asciiTheme="minorHAnsi" w:hAnsiTheme="minorHAnsi" w:cstheme="minorHAnsi"/>
        </w:rPr>
        <w:t xml:space="preserve"> </w:t>
      </w:r>
      <w:r w:rsidRPr="009C793F">
        <w:rPr>
          <w:rFonts w:asciiTheme="minorHAnsi" w:hAnsiTheme="minorHAnsi" w:cstheme="minorHAnsi"/>
          <w:b/>
          <w:bCs/>
        </w:rPr>
        <w:t>account for a quarter (330,102) of the total population</w:t>
      </w:r>
      <w:r w:rsidR="003F4CC4" w:rsidRPr="009C793F">
        <w:rPr>
          <w:rFonts w:asciiTheme="minorHAnsi" w:hAnsiTheme="minorHAnsi" w:cstheme="minorHAnsi"/>
        </w:rPr>
        <w:t>.</w:t>
      </w:r>
      <w:r w:rsidRPr="009C793F">
        <w:rPr>
          <w:rFonts w:asciiTheme="minorHAnsi" w:hAnsiTheme="minorHAnsi" w:cstheme="minorHAnsi"/>
          <w:vertAlign w:val="superscript"/>
        </w:rPr>
        <w:footnoteReference w:id="34"/>
      </w:r>
      <w:r w:rsidRPr="009C793F">
        <w:rPr>
          <w:rFonts w:asciiTheme="minorHAnsi" w:hAnsiTheme="minorHAnsi" w:cstheme="minorHAnsi"/>
        </w:rPr>
        <w:t xml:space="preserve"> The National Child Policy approved by the Cabinet in 2019, provides an overall framework for the care, protection and development of children in Trinidad and Tobago, and serves to reaffirm the G</w:t>
      </w:r>
      <w:r w:rsidR="0079377B" w:rsidRPr="009C793F">
        <w:rPr>
          <w:rFonts w:asciiTheme="minorHAnsi" w:hAnsiTheme="minorHAnsi" w:cstheme="minorHAnsi"/>
        </w:rPr>
        <w:t>ORTT’s</w:t>
      </w:r>
      <w:r w:rsidRPr="009C793F">
        <w:rPr>
          <w:rFonts w:asciiTheme="minorHAnsi" w:hAnsiTheme="minorHAnsi" w:cstheme="minorHAnsi"/>
        </w:rPr>
        <w:t xml:space="preserve"> drive to Vision 2030, while fulfilling its obligations under the Convention on the Rights of the Child and the SDGs. Children face additional challenges. For example, 77</w:t>
      </w:r>
      <w:r w:rsidR="003F4CC4"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children under the age of 15 experience violent discipline at home. </w:t>
      </w:r>
      <w:r w:rsidR="003F4CC4" w:rsidRPr="009C793F">
        <w:rPr>
          <w:rFonts w:asciiTheme="minorHAnsi" w:hAnsiTheme="minorHAnsi" w:cstheme="minorHAnsi"/>
        </w:rPr>
        <w:t xml:space="preserve">Eleven </w:t>
      </w:r>
      <w:r w:rsidR="00E408E0" w:rsidRPr="009C793F">
        <w:rPr>
          <w:rFonts w:asciiTheme="minorHAnsi" w:hAnsiTheme="minorHAnsi" w:cstheme="minorHAnsi"/>
        </w:rPr>
        <w:t>per cent</w:t>
      </w:r>
      <w:r w:rsidRPr="009C793F">
        <w:rPr>
          <w:rFonts w:asciiTheme="minorHAnsi" w:hAnsiTheme="minorHAnsi" w:cstheme="minorHAnsi"/>
        </w:rPr>
        <w:t xml:space="preserve"> of children under the age of 5 are affected by chronic malnutrition and 12</w:t>
      </w:r>
      <w:r w:rsidR="003F4CC4"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children in the same age group are overweight</w:t>
      </w:r>
      <w:r w:rsidRPr="009C793F">
        <w:rPr>
          <w:rFonts w:asciiTheme="minorHAnsi" w:hAnsiTheme="minorHAnsi" w:cstheme="minorHAnsi"/>
          <w:vertAlign w:val="superscript"/>
        </w:rPr>
        <w:footnoteReference w:id="35"/>
      </w:r>
      <w:r w:rsidRPr="009C793F">
        <w:rPr>
          <w:rFonts w:asciiTheme="minorHAnsi" w:hAnsiTheme="minorHAnsi" w:cstheme="minorHAnsi"/>
        </w:rPr>
        <w:t xml:space="preserve">. In terms of </w:t>
      </w:r>
      <w:r w:rsidRPr="009C793F">
        <w:rPr>
          <w:rFonts w:asciiTheme="minorHAnsi" w:hAnsiTheme="minorHAnsi" w:cstheme="minorHAnsi"/>
          <w:b/>
          <w:bCs/>
        </w:rPr>
        <w:t>child marriage</w:t>
      </w:r>
      <w:r w:rsidRPr="009C793F">
        <w:rPr>
          <w:rFonts w:asciiTheme="minorHAnsi" w:hAnsiTheme="minorHAnsi" w:cstheme="minorHAnsi"/>
        </w:rPr>
        <w:t xml:space="preserve">, </w:t>
      </w:r>
      <w:r w:rsidR="003F4CC4" w:rsidRPr="009C793F">
        <w:rPr>
          <w:rFonts w:asciiTheme="minorHAnsi" w:hAnsiTheme="minorHAnsi" w:cstheme="minorHAnsi"/>
        </w:rPr>
        <w:t xml:space="preserve">in </w:t>
      </w:r>
      <w:r w:rsidRPr="009C793F">
        <w:rPr>
          <w:rFonts w:asciiTheme="minorHAnsi" w:hAnsiTheme="minorHAnsi" w:cstheme="minorHAnsi"/>
        </w:rPr>
        <w:t xml:space="preserve">2017, the country's </w:t>
      </w:r>
      <w:r w:rsidRPr="009C793F">
        <w:rPr>
          <w:rFonts w:asciiTheme="minorHAnsi" w:hAnsiTheme="minorHAnsi" w:cstheme="minorHAnsi"/>
          <w:b/>
          <w:bCs/>
        </w:rPr>
        <w:t>parliament passed legislation to outlaw the practice</w:t>
      </w:r>
      <w:r w:rsidRPr="009C793F">
        <w:rPr>
          <w:rFonts w:asciiTheme="minorHAnsi" w:hAnsiTheme="minorHAnsi" w:cstheme="minorHAnsi"/>
        </w:rPr>
        <w:t>, changing the legal marriage age to 18. It is important to have mechanisms in place to ensure that informal unions are not taking place for those who have not reached the age of ma</w:t>
      </w:r>
      <w:r w:rsidR="003F4CC4" w:rsidRPr="009C793F">
        <w:rPr>
          <w:rFonts w:asciiTheme="minorHAnsi" w:hAnsiTheme="minorHAnsi" w:cstheme="minorHAnsi"/>
        </w:rPr>
        <w:t>j</w:t>
      </w:r>
      <w:r w:rsidRPr="009C793F">
        <w:rPr>
          <w:rFonts w:asciiTheme="minorHAnsi" w:hAnsiTheme="minorHAnsi" w:cstheme="minorHAnsi"/>
        </w:rPr>
        <w:t xml:space="preserve">ority.  </w:t>
      </w:r>
    </w:p>
    <w:p w14:paraId="000000B6" w14:textId="77777777" w:rsidR="006B72B0" w:rsidRPr="009C793F" w:rsidRDefault="006B72B0" w:rsidP="00DE19C9">
      <w:pPr>
        <w:jc w:val="both"/>
        <w:rPr>
          <w:rFonts w:asciiTheme="minorHAnsi" w:hAnsiTheme="minorHAnsi" w:cstheme="minorHAnsi"/>
        </w:rPr>
      </w:pPr>
    </w:p>
    <w:p w14:paraId="000000B7" w14:textId="6A5E2A24" w:rsidR="006B72B0" w:rsidRPr="009C793F" w:rsidRDefault="00845012" w:rsidP="00DE19C9">
      <w:pPr>
        <w:jc w:val="both"/>
        <w:rPr>
          <w:rFonts w:asciiTheme="minorHAnsi" w:hAnsiTheme="minorHAnsi" w:cstheme="minorHAnsi"/>
          <w:highlight w:val="yellow"/>
        </w:rPr>
      </w:pPr>
      <w:r w:rsidRPr="009C793F">
        <w:rPr>
          <w:rFonts w:asciiTheme="minorHAnsi" w:hAnsiTheme="minorHAnsi" w:cstheme="minorHAnsi"/>
          <w:b/>
          <w:bCs/>
        </w:rPr>
        <w:t>Education</w:t>
      </w:r>
      <w:r w:rsidRPr="009C793F">
        <w:rPr>
          <w:rFonts w:asciiTheme="minorHAnsi" w:hAnsiTheme="minorHAnsi" w:cstheme="minorHAnsi"/>
        </w:rPr>
        <w:t xml:space="preserve"> has consistently been a high priority by successive administrations in Trinidad and Tobago. The 202</w:t>
      </w:r>
      <w:r w:rsidR="003F4CC4" w:rsidRPr="009C793F">
        <w:rPr>
          <w:rFonts w:asciiTheme="minorHAnsi" w:hAnsiTheme="minorHAnsi" w:cstheme="minorHAnsi"/>
        </w:rPr>
        <w:t>1</w:t>
      </w:r>
      <w:r w:rsidRPr="009C793F">
        <w:rPr>
          <w:rFonts w:asciiTheme="minorHAnsi" w:hAnsiTheme="minorHAnsi" w:cstheme="minorHAnsi"/>
        </w:rPr>
        <w:t xml:space="preserve"> national budget once more gave the largest single financial allocation to the education sector. Consequently, Trinidad and Tobago has made good progress on </w:t>
      </w:r>
      <w:r w:rsidR="006509DB" w:rsidRPr="009C793F">
        <w:rPr>
          <w:rFonts w:asciiTheme="minorHAnsi" w:hAnsiTheme="minorHAnsi" w:cstheme="minorHAnsi"/>
        </w:rPr>
        <w:t>several</w:t>
      </w:r>
      <w:r w:rsidRPr="009C793F">
        <w:rPr>
          <w:rFonts w:asciiTheme="minorHAnsi" w:hAnsiTheme="minorHAnsi" w:cstheme="minorHAnsi"/>
        </w:rPr>
        <w:t xml:space="preserve"> fronts pertaining to key SDG indicators. In terms of early childhood education in the 3-4 age group, there is an 85</w:t>
      </w:r>
      <w:sdt>
        <w:sdtPr>
          <w:rPr>
            <w:rFonts w:asciiTheme="minorHAnsi" w:hAnsiTheme="minorHAnsi" w:cstheme="minorHAnsi"/>
          </w:rPr>
          <w:tag w:val="goog_rdk_16"/>
          <w:id w:val="1557276999"/>
        </w:sdtPr>
        <w:sdtContent>
          <w:r w:rsidRPr="009C793F">
            <w:rPr>
              <w:rFonts w:asciiTheme="minorHAnsi" w:hAnsiTheme="minorHAnsi" w:cstheme="minorHAnsi"/>
            </w:rPr>
            <w:t xml:space="preserve"> per cent </w:t>
          </w:r>
        </w:sdtContent>
      </w:sdt>
      <w:sdt>
        <w:sdtPr>
          <w:rPr>
            <w:rFonts w:asciiTheme="minorHAnsi" w:hAnsiTheme="minorHAnsi" w:cstheme="minorHAnsi"/>
          </w:rPr>
          <w:tag w:val="goog_rdk_17"/>
          <w:id w:val="-898050971"/>
          <w:showingPlcHdr/>
        </w:sdtPr>
        <w:sdtContent>
          <w:r w:rsidR="0079377B" w:rsidRPr="009C793F">
            <w:rPr>
              <w:rFonts w:asciiTheme="minorHAnsi" w:hAnsiTheme="minorHAnsi" w:cstheme="minorHAnsi"/>
            </w:rPr>
            <w:t xml:space="preserve">     </w:t>
          </w:r>
        </w:sdtContent>
      </w:sdt>
      <w:r w:rsidRPr="009C793F">
        <w:rPr>
          <w:rFonts w:asciiTheme="minorHAnsi" w:hAnsiTheme="minorHAnsi" w:cstheme="minorHAnsi"/>
        </w:rPr>
        <w:t>enrolment. For primary age school children, 99</w:t>
      </w:r>
      <w:sdt>
        <w:sdtPr>
          <w:rPr>
            <w:rFonts w:asciiTheme="minorHAnsi" w:hAnsiTheme="minorHAnsi" w:cstheme="minorHAnsi"/>
          </w:rPr>
          <w:tag w:val="goog_rdk_19"/>
          <w:id w:val="1877044090"/>
        </w:sdtPr>
        <w:sdtContent>
          <w:r w:rsidRPr="009C793F">
            <w:rPr>
              <w:rFonts w:asciiTheme="minorHAnsi" w:hAnsiTheme="minorHAnsi" w:cstheme="minorHAnsi"/>
            </w:rPr>
            <w:t xml:space="preserve"> per cent</w:t>
          </w:r>
        </w:sdtContent>
      </w:sdt>
      <w:r w:rsidRPr="009C793F">
        <w:rPr>
          <w:rFonts w:asciiTheme="minorHAnsi" w:hAnsiTheme="minorHAnsi" w:cstheme="minorHAnsi"/>
        </w:rPr>
        <w:t xml:space="preserve"> are in schools whilst for secondary school, the enrolment figure is 88</w:t>
      </w:r>
      <w:sdt>
        <w:sdtPr>
          <w:rPr>
            <w:rFonts w:asciiTheme="minorHAnsi" w:hAnsiTheme="minorHAnsi" w:cstheme="minorHAnsi"/>
          </w:rPr>
          <w:tag w:val="goog_rdk_21"/>
          <w:id w:val="1022209619"/>
        </w:sdtPr>
        <w:sdtContent>
          <w:r w:rsidRPr="009C793F">
            <w:rPr>
              <w:rFonts w:asciiTheme="minorHAnsi" w:hAnsiTheme="minorHAnsi" w:cstheme="minorHAnsi"/>
            </w:rPr>
            <w:t xml:space="preserve"> per cent</w:t>
          </w:r>
        </w:sdtContent>
      </w:sdt>
      <w:r w:rsidRPr="009C793F">
        <w:rPr>
          <w:rFonts w:asciiTheme="minorHAnsi" w:hAnsiTheme="minorHAnsi" w:cstheme="minorHAnsi"/>
        </w:rPr>
        <w:t>. With respect to the education of migrant and refugee children, they are unable to attend public school under the existing policy</w:t>
      </w:r>
      <w:sdt>
        <w:sdtPr>
          <w:rPr>
            <w:rFonts w:asciiTheme="minorHAnsi" w:hAnsiTheme="minorHAnsi" w:cstheme="minorHAnsi"/>
          </w:rPr>
          <w:tag w:val="goog_rdk_23"/>
          <w:id w:val="-1330288272"/>
        </w:sdtPr>
        <w:sdtContent>
          <w:r w:rsidR="003F4CC4" w:rsidRPr="009C793F">
            <w:rPr>
              <w:rFonts w:asciiTheme="minorHAnsi" w:hAnsiTheme="minorHAnsi" w:cstheme="minorHAnsi"/>
            </w:rPr>
            <w:t>.</w:t>
          </w:r>
          <w:r w:rsidRPr="009C793F">
            <w:rPr>
              <w:rFonts w:asciiTheme="minorHAnsi" w:hAnsiTheme="minorHAnsi" w:cstheme="minorHAnsi"/>
              <w:vertAlign w:val="superscript"/>
            </w:rPr>
            <w:footnoteReference w:id="36"/>
          </w:r>
        </w:sdtContent>
      </w:sdt>
      <w:r w:rsidRPr="009C793F">
        <w:rPr>
          <w:rFonts w:asciiTheme="minorHAnsi" w:hAnsiTheme="minorHAnsi" w:cstheme="minorHAnsi"/>
        </w:rPr>
        <w:t xml:space="preserve">  </w:t>
      </w:r>
    </w:p>
    <w:p w14:paraId="000000B8" w14:textId="77777777" w:rsidR="006B72B0" w:rsidRPr="009C793F" w:rsidRDefault="006B72B0" w:rsidP="00DE19C9">
      <w:pPr>
        <w:jc w:val="both"/>
        <w:rPr>
          <w:rFonts w:asciiTheme="minorHAnsi" w:hAnsiTheme="minorHAnsi" w:cstheme="minorHAnsi"/>
          <w:highlight w:val="yellow"/>
        </w:rPr>
      </w:pPr>
    </w:p>
    <w:p w14:paraId="000000B9" w14:textId="149F7D49"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On the issue of sexual and reproductive health, the Ministry of Health offers family planning and sexual and reproductive health services to citizens free of charge. However, clear referral pathways and standard operating procedures need to be strengthened.  A Draft National Sexual and Reproductive Health Policy was developed </w:t>
      </w:r>
      <w:r w:rsidR="00111803">
        <w:rPr>
          <w:rFonts w:asciiTheme="minorHAnsi" w:hAnsiTheme="minorHAnsi" w:cstheme="minorHAnsi"/>
        </w:rPr>
        <w:t xml:space="preserve">and approved </w:t>
      </w:r>
      <w:r w:rsidRPr="009C793F">
        <w:rPr>
          <w:rFonts w:asciiTheme="minorHAnsi" w:hAnsiTheme="minorHAnsi" w:cstheme="minorHAnsi"/>
        </w:rPr>
        <w:t>in consultation with UNFPA/PAHO in 2016.</w:t>
      </w:r>
      <w:r w:rsidR="00111803">
        <w:rPr>
          <w:rStyle w:val="FootnoteReference"/>
          <w:rFonts w:asciiTheme="minorHAnsi" w:hAnsiTheme="minorHAnsi" w:cstheme="minorHAnsi"/>
        </w:rPr>
        <w:footnoteReference w:id="37"/>
      </w:r>
      <w:r w:rsidRPr="009C793F">
        <w:rPr>
          <w:rFonts w:asciiTheme="minorHAnsi" w:hAnsiTheme="minorHAnsi" w:cstheme="minorHAnsi"/>
        </w:rPr>
        <w:t xml:space="preserve"> The life expectancy at birth in Trinidad and Tobago has increased from 70 to 73 years from 1990 to 2017. Trinidad and Tobago has among the highest prevalence rates in L</w:t>
      </w:r>
      <w:r w:rsidR="003F4CC4" w:rsidRPr="009C793F">
        <w:rPr>
          <w:rFonts w:asciiTheme="minorHAnsi" w:hAnsiTheme="minorHAnsi" w:cstheme="minorHAnsi"/>
        </w:rPr>
        <w:t xml:space="preserve">atin American and the </w:t>
      </w:r>
      <w:r w:rsidRPr="009C793F">
        <w:rPr>
          <w:rFonts w:asciiTheme="minorHAnsi" w:hAnsiTheme="minorHAnsi" w:cstheme="minorHAnsi"/>
        </w:rPr>
        <w:t>C</w:t>
      </w:r>
      <w:r w:rsidR="003F4CC4" w:rsidRPr="009C793F">
        <w:rPr>
          <w:rFonts w:asciiTheme="minorHAnsi" w:hAnsiTheme="minorHAnsi" w:cstheme="minorHAnsi"/>
        </w:rPr>
        <w:t>aribbean (LAC)</w:t>
      </w:r>
      <w:r w:rsidRPr="009C793F">
        <w:rPr>
          <w:rFonts w:asciiTheme="minorHAnsi" w:hAnsiTheme="minorHAnsi" w:cstheme="minorHAnsi"/>
        </w:rPr>
        <w:t xml:space="preserve"> for many non-communicable diseases, including diabetes, hypertension, asthma and selected cancers</w:t>
      </w:r>
      <w:r w:rsidR="00941E0B" w:rsidRPr="009C793F">
        <w:rPr>
          <w:rStyle w:val="FootnoteReference"/>
          <w:rFonts w:asciiTheme="minorHAnsi" w:hAnsiTheme="minorHAnsi" w:cstheme="minorHAnsi"/>
        </w:rPr>
        <w:footnoteReference w:id="38"/>
      </w:r>
      <w:r w:rsidRPr="009C793F">
        <w:rPr>
          <w:rFonts w:asciiTheme="minorHAnsi" w:hAnsiTheme="minorHAnsi" w:cstheme="minorHAnsi"/>
        </w:rPr>
        <w:t xml:space="preserve">. </w:t>
      </w:r>
    </w:p>
    <w:p w14:paraId="000000BA" w14:textId="77777777" w:rsidR="006B72B0" w:rsidRPr="009C793F" w:rsidRDefault="006B72B0" w:rsidP="00DE19C9">
      <w:pPr>
        <w:tabs>
          <w:tab w:val="left" w:pos="0"/>
        </w:tabs>
        <w:jc w:val="both"/>
        <w:rPr>
          <w:rFonts w:asciiTheme="minorHAnsi" w:hAnsiTheme="minorHAnsi" w:cstheme="minorHAnsi"/>
        </w:rPr>
      </w:pPr>
    </w:p>
    <w:p w14:paraId="000000BB" w14:textId="263E3796"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The Survey of Living Conditions</w:t>
      </w:r>
      <w:r w:rsidRPr="009C793F">
        <w:rPr>
          <w:rFonts w:asciiTheme="minorHAnsi" w:hAnsiTheme="minorHAnsi" w:cstheme="minorHAnsi"/>
          <w:vertAlign w:val="superscript"/>
        </w:rPr>
        <w:footnoteReference w:id="39"/>
      </w:r>
      <w:r w:rsidRPr="009C793F">
        <w:rPr>
          <w:rFonts w:asciiTheme="minorHAnsi" w:hAnsiTheme="minorHAnsi" w:cstheme="minorHAnsi"/>
        </w:rPr>
        <w:t xml:space="preserve"> done in 20</w:t>
      </w:r>
      <w:r w:rsidR="003F4CC4" w:rsidRPr="009C793F">
        <w:rPr>
          <w:rFonts w:asciiTheme="minorHAnsi" w:hAnsiTheme="minorHAnsi" w:cstheme="minorHAnsi"/>
        </w:rPr>
        <w:t>14</w:t>
      </w:r>
      <w:r w:rsidRPr="009C793F">
        <w:rPr>
          <w:rFonts w:asciiTheme="minorHAnsi" w:hAnsiTheme="minorHAnsi" w:cstheme="minorHAnsi"/>
        </w:rPr>
        <w:t xml:space="preserve"> recorded the </w:t>
      </w:r>
      <w:r w:rsidRPr="009C793F">
        <w:rPr>
          <w:rFonts w:asciiTheme="minorHAnsi" w:hAnsiTheme="minorHAnsi" w:cstheme="minorHAnsi"/>
          <w:b/>
          <w:bCs/>
        </w:rPr>
        <w:t>poverty rate at 1</w:t>
      </w:r>
      <w:r w:rsidR="003F4CC4" w:rsidRPr="009C793F">
        <w:rPr>
          <w:rFonts w:asciiTheme="minorHAnsi" w:hAnsiTheme="minorHAnsi" w:cstheme="minorHAnsi"/>
          <w:b/>
          <w:bCs/>
        </w:rPr>
        <w:t>4</w:t>
      </w:r>
      <w:r w:rsidRPr="009C793F">
        <w:rPr>
          <w:rFonts w:asciiTheme="minorHAnsi" w:hAnsiTheme="minorHAnsi" w:cstheme="minorHAnsi"/>
          <w:b/>
          <w:bCs/>
        </w:rPr>
        <w:t>.7</w:t>
      </w:r>
      <w:r w:rsidR="007E3C32" w:rsidRPr="009C793F">
        <w:rPr>
          <w:rFonts w:asciiTheme="minorHAnsi" w:hAnsiTheme="minorHAnsi" w:cstheme="minorHAnsi"/>
          <w:b/>
          <w:bCs/>
        </w:rPr>
        <w:t xml:space="preserve"> per cent</w:t>
      </w:r>
      <w:r w:rsidRPr="009C793F">
        <w:rPr>
          <w:rFonts w:asciiTheme="minorHAnsi" w:hAnsiTheme="minorHAnsi" w:cstheme="minorHAnsi"/>
        </w:rPr>
        <w:t xml:space="preserve"> with indigence at 3.7</w:t>
      </w:r>
      <w:r w:rsidR="007E3C32" w:rsidRPr="009C793F">
        <w:rPr>
          <w:rFonts w:asciiTheme="minorHAnsi" w:hAnsiTheme="minorHAnsi" w:cstheme="minorHAnsi"/>
        </w:rPr>
        <w:t xml:space="preserve"> per cent</w:t>
      </w:r>
      <w:r w:rsidRPr="009C793F">
        <w:rPr>
          <w:rFonts w:asciiTheme="minorHAnsi" w:hAnsiTheme="minorHAnsi" w:cstheme="minorHAnsi"/>
        </w:rPr>
        <w:t xml:space="preserve"> and a Gini coefficient of 0.39. </w:t>
      </w:r>
      <w:r w:rsidR="00941E0B" w:rsidRPr="009C793F">
        <w:rPr>
          <w:rFonts w:asciiTheme="minorHAnsi" w:hAnsiTheme="minorHAnsi" w:cstheme="minorHAnsi"/>
        </w:rPr>
        <w:t>The</w:t>
      </w:r>
      <w:r w:rsidRPr="009C793F">
        <w:rPr>
          <w:rFonts w:asciiTheme="minorHAnsi" w:hAnsiTheme="minorHAnsi" w:cstheme="minorHAnsi"/>
        </w:rPr>
        <w:t xml:space="preserve"> </w:t>
      </w:r>
      <w:r w:rsidR="0079377B" w:rsidRPr="009C793F">
        <w:rPr>
          <w:rFonts w:asciiTheme="minorHAnsi" w:hAnsiTheme="minorHAnsi" w:cstheme="minorHAnsi"/>
        </w:rPr>
        <w:t>GORTT</w:t>
      </w:r>
      <w:r w:rsidRPr="009C793F">
        <w:rPr>
          <w:rFonts w:asciiTheme="minorHAnsi" w:hAnsiTheme="minorHAnsi" w:cstheme="minorHAnsi"/>
        </w:rPr>
        <w:t xml:space="preserve"> indicated that 200,000 persons </w:t>
      </w:r>
      <w:r w:rsidR="00941E0B" w:rsidRPr="009C793F">
        <w:rPr>
          <w:rFonts w:asciiTheme="minorHAnsi" w:hAnsiTheme="minorHAnsi" w:cstheme="minorHAnsi"/>
        </w:rPr>
        <w:t>benefitted from the enhanced</w:t>
      </w:r>
      <w:r w:rsidRPr="009C793F">
        <w:rPr>
          <w:rFonts w:asciiTheme="minorHAnsi" w:hAnsiTheme="minorHAnsi" w:cstheme="minorHAnsi"/>
        </w:rPr>
        <w:t xml:space="preserve"> social protection system </w:t>
      </w:r>
      <w:r w:rsidR="00941E0B" w:rsidRPr="009C793F">
        <w:rPr>
          <w:rFonts w:asciiTheme="minorHAnsi" w:hAnsiTheme="minorHAnsi" w:cstheme="minorHAnsi"/>
        </w:rPr>
        <w:t xml:space="preserve">in 2020, </w:t>
      </w:r>
      <w:r w:rsidRPr="009C793F">
        <w:rPr>
          <w:rFonts w:asciiTheme="minorHAnsi" w:hAnsiTheme="minorHAnsi" w:cstheme="minorHAnsi"/>
        </w:rPr>
        <w:t>which translates into 14 per</w:t>
      </w:r>
      <w:r w:rsidR="007E3C32" w:rsidRPr="009C793F">
        <w:rPr>
          <w:rFonts w:asciiTheme="minorHAnsi" w:hAnsiTheme="minorHAnsi" w:cstheme="minorHAnsi"/>
        </w:rPr>
        <w:t xml:space="preserve"> </w:t>
      </w:r>
      <w:r w:rsidRPr="009C793F">
        <w:rPr>
          <w:rFonts w:asciiTheme="minorHAnsi" w:hAnsiTheme="minorHAnsi" w:cstheme="minorHAnsi"/>
        </w:rPr>
        <w:t>cent of the population</w:t>
      </w:r>
      <w:r w:rsidR="004538F8" w:rsidRPr="009C793F">
        <w:rPr>
          <w:rFonts w:asciiTheme="minorHAnsi" w:hAnsiTheme="minorHAnsi" w:cstheme="minorHAnsi"/>
        </w:rPr>
        <w:t>.</w:t>
      </w:r>
      <w:r w:rsidR="00941E0B" w:rsidRPr="009C793F">
        <w:rPr>
          <w:rStyle w:val="FootnoteReference"/>
          <w:rFonts w:asciiTheme="minorHAnsi" w:hAnsiTheme="minorHAnsi" w:cstheme="minorHAnsi"/>
        </w:rPr>
        <w:footnoteReference w:id="40"/>
      </w:r>
      <w:r w:rsidRPr="009C793F">
        <w:rPr>
          <w:rFonts w:asciiTheme="minorHAnsi" w:hAnsiTheme="minorHAnsi" w:cstheme="minorHAnsi"/>
        </w:rPr>
        <w:t xml:space="preserve"> The COVID-19 Roadmap to Recovery Report</w:t>
      </w:r>
      <w:r w:rsidRPr="009C793F">
        <w:rPr>
          <w:rFonts w:asciiTheme="minorHAnsi" w:hAnsiTheme="minorHAnsi" w:cstheme="minorHAnsi"/>
          <w:vertAlign w:val="superscript"/>
        </w:rPr>
        <w:footnoteReference w:id="41"/>
      </w:r>
      <w:r w:rsidRPr="009C793F">
        <w:rPr>
          <w:rFonts w:asciiTheme="minorHAnsi" w:hAnsiTheme="minorHAnsi" w:cstheme="minorHAnsi"/>
        </w:rPr>
        <w:t xml:space="preserve"> stated that the current safety net consumes 6 per</w:t>
      </w:r>
      <w:r w:rsidR="007E3C32" w:rsidRPr="009C793F">
        <w:rPr>
          <w:rFonts w:asciiTheme="minorHAnsi" w:hAnsiTheme="minorHAnsi" w:cstheme="minorHAnsi"/>
        </w:rPr>
        <w:t xml:space="preserve"> </w:t>
      </w:r>
      <w:r w:rsidRPr="009C793F">
        <w:rPr>
          <w:rFonts w:asciiTheme="minorHAnsi" w:hAnsiTheme="minorHAnsi" w:cstheme="minorHAnsi"/>
        </w:rPr>
        <w:t>cent of the country’s income or TT $9 billion.</w:t>
      </w:r>
      <w:r w:rsidR="004538F8" w:rsidRPr="009C793F">
        <w:rPr>
          <w:rFonts w:asciiTheme="minorHAnsi" w:hAnsiTheme="minorHAnsi" w:cstheme="minorHAnsi"/>
        </w:rPr>
        <w:t xml:space="preserve"> </w:t>
      </w:r>
      <w:r w:rsidRPr="009C793F">
        <w:rPr>
          <w:rFonts w:asciiTheme="minorHAnsi" w:hAnsiTheme="minorHAnsi" w:cstheme="minorHAnsi"/>
        </w:rPr>
        <w:t>It further advanced that as the full impact of COVID-19 is felt, expenditure is projected to increase to between 7 per</w:t>
      </w:r>
      <w:r w:rsidR="007E3C32" w:rsidRPr="009C793F">
        <w:rPr>
          <w:rFonts w:asciiTheme="minorHAnsi" w:hAnsiTheme="minorHAnsi" w:cstheme="minorHAnsi"/>
        </w:rPr>
        <w:t xml:space="preserve"> </w:t>
      </w:r>
      <w:r w:rsidRPr="009C793F">
        <w:rPr>
          <w:rFonts w:asciiTheme="minorHAnsi" w:hAnsiTheme="minorHAnsi" w:cstheme="minorHAnsi"/>
        </w:rPr>
        <w:t>cent and 10 per</w:t>
      </w:r>
      <w:r w:rsidR="007E3C32" w:rsidRPr="009C793F">
        <w:rPr>
          <w:rFonts w:asciiTheme="minorHAnsi" w:hAnsiTheme="minorHAnsi" w:cstheme="minorHAnsi"/>
        </w:rPr>
        <w:t xml:space="preserve"> </w:t>
      </w:r>
      <w:r w:rsidRPr="009C793F">
        <w:rPr>
          <w:rFonts w:asciiTheme="minorHAnsi" w:hAnsiTheme="minorHAnsi" w:cstheme="minorHAnsi"/>
        </w:rPr>
        <w:t xml:space="preserve">cent of GDP in the short-term.  </w:t>
      </w:r>
      <w:r w:rsidR="004538F8" w:rsidRPr="009C793F">
        <w:rPr>
          <w:rFonts w:asciiTheme="minorHAnsi" w:hAnsiTheme="minorHAnsi" w:cstheme="minorHAnsi"/>
        </w:rPr>
        <w:lastRenderedPageBreak/>
        <w:t>Based on this, f</w:t>
      </w:r>
      <w:r w:rsidRPr="009C793F">
        <w:rPr>
          <w:rFonts w:asciiTheme="minorHAnsi" w:hAnsiTheme="minorHAnsi" w:cstheme="minorHAnsi"/>
        </w:rPr>
        <w:t>unding for the social safety net</w:t>
      </w:r>
      <w:r w:rsidR="004538F8" w:rsidRPr="009C793F">
        <w:rPr>
          <w:rFonts w:asciiTheme="minorHAnsi" w:hAnsiTheme="minorHAnsi" w:cstheme="minorHAnsi"/>
        </w:rPr>
        <w:t xml:space="preserve"> is forecasted</w:t>
      </w:r>
      <w:r w:rsidRPr="009C793F">
        <w:rPr>
          <w:rFonts w:asciiTheme="minorHAnsi" w:hAnsiTheme="minorHAnsi" w:cstheme="minorHAnsi"/>
        </w:rPr>
        <w:t xml:space="preserve"> to </w:t>
      </w:r>
      <w:r w:rsidR="004538F8" w:rsidRPr="009C793F">
        <w:rPr>
          <w:rFonts w:asciiTheme="minorHAnsi" w:hAnsiTheme="minorHAnsi" w:cstheme="minorHAnsi"/>
        </w:rPr>
        <w:t xml:space="preserve">reach </w:t>
      </w:r>
      <w:r w:rsidRPr="009C793F">
        <w:rPr>
          <w:rFonts w:asciiTheme="minorHAnsi" w:hAnsiTheme="minorHAnsi" w:cstheme="minorHAnsi"/>
        </w:rPr>
        <w:t xml:space="preserve">TT$11 billion by the end of 2020. It should be noted that the expenditure figures cited do not include support for the migrant and refugee population.  </w:t>
      </w:r>
    </w:p>
    <w:p w14:paraId="000000BC" w14:textId="77777777" w:rsidR="006B72B0" w:rsidRPr="009C793F" w:rsidRDefault="006B72B0" w:rsidP="00DE19C9">
      <w:pPr>
        <w:tabs>
          <w:tab w:val="left" w:pos="0"/>
        </w:tabs>
        <w:jc w:val="both"/>
        <w:rPr>
          <w:rFonts w:asciiTheme="minorHAnsi" w:hAnsiTheme="minorHAnsi" w:cstheme="minorHAnsi"/>
        </w:rPr>
      </w:pPr>
    </w:p>
    <w:p w14:paraId="000000BD" w14:textId="754B592C" w:rsidR="006B72B0" w:rsidRPr="009C793F" w:rsidRDefault="00845012" w:rsidP="00DE19C9">
      <w:pPr>
        <w:tabs>
          <w:tab w:val="left" w:pos="0"/>
        </w:tabs>
        <w:jc w:val="both"/>
        <w:rPr>
          <w:rFonts w:asciiTheme="minorHAnsi" w:hAnsiTheme="minorHAnsi" w:cstheme="minorHAnsi"/>
        </w:rPr>
      </w:pPr>
      <w:r w:rsidRPr="009C793F">
        <w:rPr>
          <w:rFonts w:asciiTheme="minorHAnsi" w:hAnsiTheme="minorHAnsi" w:cstheme="minorHAnsi"/>
        </w:rPr>
        <w:t xml:space="preserve">The other issue related to addressing poverty is the </w:t>
      </w:r>
      <w:r w:rsidRPr="009C793F">
        <w:rPr>
          <w:rFonts w:asciiTheme="minorHAnsi" w:hAnsiTheme="minorHAnsi" w:cstheme="minorHAnsi"/>
          <w:b/>
          <w:bCs/>
        </w:rPr>
        <w:t>fragmentation of the social protection system</w:t>
      </w:r>
      <w:r w:rsidRPr="009C793F">
        <w:rPr>
          <w:rFonts w:asciiTheme="minorHAnsi" w:hAnsiTheme="minorHAnsi" w:cstheme="minorHAnsi"/>
        </w:rPr>
        <w:t xml:space="preserve">. </w:t>
      </w:r>
      <w:r w:rsidR="00B772C6" w:rsidRPr="009C793F">
        <w:rPr>
          <w:rFonts w:asciiTheme="minorHAnsi" w:hAnsiTheme="minorHAnsi" w:cstheme="minorHAnsi"/>
        </w:rPr>
        <w:t>GORTT’s</w:t>
      </w:r>
      <w:r w:rsidRPr="009C793F">
        <w:rPr>
          <w:rFonts w:asciiTheme="minorHAnsi" w:hAnsiTheme="minorHAnsi" w:cstheme="minorHAnsi"/>
        </w:rPr>
        <w:t xml:space="preserve"> Social Sector Investment Programme (SSIP) 2016 identified 111 social programmes and initiatives. It is important to note that not all these programmes can be categorised as poverty reduction programmes. UNDP and UNICEF have been working with the Ministry of Social Development and </w:t>
      </w:r>
      <w:r w:rsidR="007E3C32" w:rsidRPr="009C793F">
        <w:rPr>
          <w:rFonts w:asciiTheme="minorHAnsi" w:hAnsiTheme="minorHAnsi" w:cstheme="minorHAnsi"/>
        </w:rPr>
        <w:t xml:space="preserve">Family Services and </w:t>
      </w:r>
      <w:r w:rsidR="00C00F5F" w:rsidRPr="009C793F">
        <w:rPr>
          <w:rFonts w:asciiTheme="minorHAnsi" w:hAnsiTheme="minorHAnsi" w:cstheme="minorHAnsi"/>
        </w:rPr>
        <w:t>UWI</w:t>
      </w:r>
      <w:r w:rsidRPr="009C793F">
        <w:rPr>
          <w:rFonts w:asciiTheme="minorHAnsi" w:hAnsiTheme="minorHAnsi" w:cstheme="minorHAnsi"/>
        </w:rPr>
        <w:t xml:space="preserve"> </w:t>
      </w:r>
      <w:r w:rsidR="00176771" w:rsidRPr="009C793F">
        <w:rPr>
          <w:rFonts w:asciiTheme="minorHAnsi" w:hAnsiTheme="minorHAnsi" w:cstheme="minorHAnsi"/>
        </w:rPr>
        <w:t>to develop the multi-dimensional poverty index</w:t>
      </w:r>
      <w:r w:rsidRPr="009C793F">
        <w:rPr>
          <w:rFonts w:asciiTheme="minorHAnsi" w:hAnsiTheme="minorHAnsi" w:cstheme="minorHAnsi"/>
        </w:rPr>
        <w:t xml:space="preserve"> </w:t>
      </w:r>
      <w:r w:rsidR="00176771" w:rsidRPr="009C793F">
        <w:rPr>
          <w:rFonts w:asciiTheme="minorHAnsi" w:hAnsiTheme="minorHAnsi" w:cstheme="minorHAnsi"/>
        </w:rPr>
        <w:t>(</w:t>
      </w:r>
      <w:r w:rsidRPr="009C793F">
        <w:rPr>
          <w:rFonts w:asciiTheme="minorHAnsi" w:hAnsiTheme="minorHAnsi" w:cstheme="minorHAnsi"/>
        </w:rPr>
        <w:t>MPI</w:t>
      </w:r>
      <w:r w:rsidR="00176771" w:rsidRPr="009C793F">
        <w:rPr>
          <w:rFonts w:asciiTheme="minorHAnsi" w:hAnsiTheme="minorHAnsi" w:cstheme="minorHAnsi"/>
        </w:rPr>
        <w:t xml:space="preserve">) which will be used as a measure to determine poverty levels in Trinidad and Tobago. </w:t>
      </w:r>
      <w:r w:rsidRPr="009C793F">
        <w:rPr>
          <w:rFonts w:asciiTheme="minorHAnsi" w:hAnsiTheme="minorHAnsi" w:cstheme="minorHAnsi"/>
        </w:rPr>
        <w:t xml:space="preserve"> Given the fiscal constraints facing </w:t>
      </w:r>
      <w:r w:rsidR="00176771" w:rsidRPr="009C793F">
        <w:rPr>
          <w:rFonts w:asciiTheme="minorHAnsi" w:hAnsiTheme="minorHAnsi" w:cstheme="minorHAnsi"/>
        </w:rPr>
        <w:t>the country</w:t>
      </w:r>
      <w:r w:rsidRPr="009C793F">
        <w:rPr>
          <w:rFonts w:asciiTheme="minorHAnsi" w:hAnsiTheme="minorHAnsi" w:cstheme="minorHAnsi"/>
        </w:rPr>
        <w:t xml:space="preserve">, there will be increased emphasis on coherence, alignment, and value for money in </w:t>
      </w:r>
      <w:r w:rsidR="00C00F5F" w:rsidRPr="009C793F">
        <w:rPr>
          <w:rFonts w:asciiTheme="minorHAnsi" w:hAnsiTheme="minorHAnsi" w:cstheme="minorHAnsi"/>
        </w:rPr>
        <w:t xml:space="preserve">its </w:t>
      </w:r>
      <w:r w:rsidRPr="009C793F">
        <w:rPr>
          <w:rFonts w:asciiTheme="minorHAnsi" w:hAnsiTheme="minorHAnsi" w:cstheme="minorHAnsi"/>
        </w:rPr>
        <w:t xml:space="preserve">social protection system. </w:t>
      </w:r>
    </w:p>
    <w:p w14:paraId="000000BE" w14:textId="77777777" w:rsidR="006B72B0" w:rsidRPr="009C793F" w:rsidRDefault="006B72B0" w:rsidP="00DE19C9">
      <w:pPr>
        <w:jc w:val="both"/>
        <w:rPr>
          <w:rFonts w:asciiTheme="minorHAnsi" w:hAnsiTheme="minorHAnsi" w:cstheme="minorHAnsi"/>
        </w:rPr>
      </w:pPr>
    </w:p>
    <w:p w14:paraId="000000BF" w14:textId="66A8E132"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As a high-income country ineligible for ODA financing and now suffering from sustained low global energy prices, business will have to play an increasingly important role in providing financing for SDG achievement. The role of investment both indigenous and external will be key going forward. </w:t>
      </w:r>
    </w:p>
    <w:p w14:paraId="000000C0" w14:textId="4459E927" w:rsidR="006B72B0" w:rsidRPr="009C793F" w:rsidRDefault="00176771" w:rsidP="00DE19C9">
      <w:pPr>
        <w:jc w:val="both"/>
        <w:rPr>
          <w:rFonts w:asciiTheme="minorHAnsi" w:hAnsiTheme="minorHAnsi" w:cstheme="minorHAnsi"/>
        </w:rPr>
      </w:pPr>
      <w:r w:rsidRPr="009C793F">
        <w:rPr>
          <w:rFonts w:asciiTheme="minorHAnsi" w:hAnsiTheme="minorHAnsi" w:cstheme="minorHAnsi"/>
        </w:rPr>
        <w:t xml:space="preserve">Net </w:t>
      </w:r>
      <w:r w:rsidR="007E3C32" w:rsidRPr="009C793F">
        <w:rPr>
          <w:rFonts w:asciiTheme="minorHAnsi" w:hAnsiTheme="minorHAnsi" w:cstheme="minorHAnsi"/>
        </w:rPr>
        <w:t>FDI</w:t>
      </w:r>
      <w:r w:rsidR="00845012" w:rsidRPr="009C793F">
        <w:rPr>
          <w:rFonts w:asciiTheme="minorHAnsi" w:hAnsiTheme="minorHAnsi" w:cstheme="minorHAnsi"/>
        </w:rPr>
        <w:t xml:space="preserve"> into Trinidad and Tobago rose to a five-year high of </w:t>
      </w:r>
      <w:hyperlink r:id="rId24">
        <w:r w:rsidR="00845012" w:rsidRPr="009C793F">
          <w:rPr>
            <w:rFonts w:asciiTheme="minorHAnsi" w:hAnsiTheme="minorHAnsi" w:cstheme="minorHAnsi"/>
          </w:rPr>
          <w:t>USD 230 million in 2019</w:t>
        </w:r>
      </w:hyperlink>
      <w:r w:rsidR="00845012" w:rsidRPr="009C793F">
        <w:rPr>
          <w:rFonts w:asciiTheme="minorHAnsi" w:hAnsiTheme="minorHAnsi" w:cstheme="minorHAnsi"/>
        </w:rPr>
        <w:t xml:space="preserve">, up from </w:t>
      </w:r>
      <w:hyperlink r:id="rId25">
        <w:r w:rsidR="00845012" w:rsidRPr="009C793F">
          <w:rPr>
            <w:rFonts w:asciiTheme="minorHAnsi" w:hAnsiTheme="minorHAnsi" w:cstheme="minorHAnsi"/>
          </w:rPr>
          <w:t>USD -702 million in 2018</w:t>
        </w:r>
      </w:hyperlink>
      <w:r w:rsidR="00845012" w:rsidRPr="009C793F">
        <w:rPr>
          <w:rFonts w:asciiTheme="minorHAnsi" w:hAnsiTheme="minorHAnsi" w:cstheme="minorHAnsi"/>
        </w:rPr>
        <w:t>. While the 2019 value was below that for 2014 (</w:t>
      </w:r>
      <w:hyperlink r:id="rId26">
        <w:r w:rsidR="00845012" w:rsidRPr="009C793F">
          <w:rPr>
            <w:rFonts w:asciiTheme="minorHAnsi" w:hAnsiTheme="minorHAnsi" w:cstheme="minorHAnsi"/>
          </w:rPr>
          <w:t>USD 661 million</w:t>
        </w:r>
      </w:hyperlink>
      <w:r w:rsidR="00845012" w:rsidRPr="009C793F">
        <w:rPr>
          <w:rFonts w:asciiTheme="minorHAnsi" w:hAnsiTheme="minorHAnsi" w:cstheme="minorHAnsi"/>
        </w:rPr>
        <w:t>), it suggests an upward trajectory.</w:t>
      </w:r>
      <w:r w:rsidRPr="009C793F">
        <w:rPr>
          <w:rStyle w:val="FootnoteReference"/>
          <w:rFonts w:asciiTheme="minorHAnsi" w:hAnsiTheme="minorHAnsi" w:cstheme="minorHAnsi"/>
        </w:rPr>
        <w:footnoteReference w:id="42"/>
      </w:r>
    </w:p>
    <w:p w14:paraId="000000C1" w14:textId="77777777" w:rsidR="006B72B0" w:rsidRPr="009C793F" w:rsidRDefault="006B72B0" w:rsidP="00DE19C9">
      <w:pPr>
        <w:jc w:val="both"/>
        <w:rPr>
          <w:rFonts w:asciiTheme="minorHAnsi" w:hAnsiTheme="minorHAnsi" w:cstheme="minorHAnsi"/>
        </w:rPr>
      </w:pPr>
    </w:p>
    <w:p w14:paraId="000000C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at a first glance has many features to make it </w:t>
      </w:r>
      <w:hyperlink r:id="rId27">
        <w:r w:rsidRPr="009C793F">
          <w:rPr>
            <w:rFonts w:asciiTheme="minorHAnsi" w:hAnsiTheme="minorHAnsi" w:cstheme="minorHAnsi"/>
          </w:rPr>
          <w:t>attractive to external investors</w:t>
        </w:r>
      </w:hyperlink>
      <w:r w:rsidRPr="009C793F">
        <w:rPr>
          <w:rFonts w:asciiTheme="minorHAnsi" w:hAnsiTheme="minorHAnsi" w:cstheme="minorHAnsi"/>
        </w:rPr>
        <w:t xml:space="preserve">, including a stable democratic political system, favourable geographical location and access to cheap energy. It has an educated workforce and property rights are well protected. The judiciary is independent, and there is established rule of law, respect for contracts, and enforcement of foreign arbitral awards. Accounting systems are generally transparent and consistent with international norms. Trinidad and Tobago has its own stock market and an established regulatory framework to encourage and facilitate portfolio investment.  The country has a dedicated agency, </w:t>
      </w:r>
      <w:hyperlink r:id="rId28">
        <w:r w:rsidRPr="009C793F">
          <w:rPr>
            <w:rFonts w:asciiTheme="minorHAnsi" w:hAnsiTheme="minorHAnsi" w:cstheme="minorHAnsi"/>
          </w:rPr>
          <w:t>InvesTT</w:t>
        </w:r>
      </w:hyperlink>
      <w:r w:rsidRPr="009C793F">
        <w:rPr>
          <w:rFonts w:asciiTheme="minorHAnsi" w:hAnsiTheme="minorHAnsi" w:cstheme="minorHAnsi"/>
        </w:rPr>
        <w:t>, to attract and facilitate FDI.</w:t>
      </w:r>
    </w:p>
    <w:p w14:paraId="24338D46" w14:textId="77777777" w:rsidR="00C86F4B" w:rsidRDefault="00C86F4B" w:rsidP="00DE19C9">
      <w:pPr>
        <w:tabs>
          <w:tab w:val="left" w:pos="1485"/>
        </w:tabs>
        <w:jc w:val="both"/>
        <w:rPr>
          <w:rFonts w:asciiTheme="minorHAnsi" w:hAnsiTheme="minorHAnsi" w:cstheme="minorHAnsi"/>
        </w:rPr>
      </w:pPr>
    </w:p>
    <w:p w14:paraId="000000C3" w14:textId="6F0815A7" w:rsidR="006B72B0" w:rsidRPr="009C793F" w:rsidRDefault="00845012" w:rsidP="00DE19C9">
      <w:pPr>
        <w:tabs>
          <w:tab w:val="left" w:pos="1485"/>
        </w:tabs>
        <w:jc w:val="both"/>
        <w:rPr>
          <w:rFonts w:asciiTheme="minorHAnsi" w:hAnsiTheme="minorHAnsi" w:cstheme="minorHAnsi"/>
        </w:rPr>
      </w:pPr>
      <w:r w:rsidRPr="009C793F">
        <w:rPr>
          <w:rFonts w:asciiTheme="minorHAnsi" w:hAnsiTheme="minorHAnsi" w:cstheme="minorHAnsi"/>
        </w:rPr>
        <w:t xml:space="preserve">However, there are </w:t>
      </w:r>
      <w:hyperlink r:id="rId29">
        <w:r w:rsidRPr="009C793F">
          <w:rPr>
            <w:rFonts w:asciiTheme="minorHAnsi" w:hAnsiTheme="minorHAnsi" w:cstheme="minorHAnsi"/>
          </w:rPr>
          <w:t>major issues</w:t>
        </w:r>
      </w:hyperlink>
      <w:r w:rsidRPr="009C793F">
        <w:rPr>
          <w:rFonts w:asciiTheme="minorHAnsi" w:hAnsiTheme="minorHAnsi" w:cstheme="minorHAnsi"/>
        </w:rPr>
        <w:t xml:space="preserve"> that </w:t>
      </w:r>
      <w:hyperlink r:id="rId30">
        <w:r w:rsidRPr="009C793F">
          <w:rPr>
            <w:rFonts w:asciiTheme="minorHAnsi" w:hAnsiTheme="minorHAnsi" w:cstheme="minorHAnsi"/>
          </w:rPr>
          <w:t>deter FDI</w:t>
        </w:r>
      </w:hyperlink>
      <w:r w:rsidRPr="009C793F">
        <w:rPr>
          <w:rFonts w:asciiTheme="minorHAnsi" w:hAnsiTheme="minorHAnsi" w:cstheme="minorHAnsi"/>
        </w:rPr>
        <w:t xml:space="preserve"> into Trinidad and Tobago. These have resulted in the country being ranked </w:t>
      </w:r>
      <w:hyperlink r:id="rId31">
        <w:r w:rsidRPr="009C793F">
          <w:rPr>
            <w:rFonts w:asciiTheme="minorHAnsi" w:hAnsiTheme="minorHAnsi" w:cstheme="minorHAnsi"/>
          </w:rPr>
          <w:t>105 out of 190 countries</w:t>
        </w:r>
      </w:hyperlink>
      <w:r w:rsidRPr="009C793F">
        <w:rPr>
          <w:rFonts w:asciiTheme="minorHAnsi" w:hAnsiTheme="minorHAnsi" w:cstheme="minorHAnsi"/>
        </w:rPr>
        <w:t xml:space="preserve"> in the World Bank's 2020 </w:t>
      </w:r>
      <w:hyperlink r:id="rId32">
        <w:r w:rsidRPr="009C793F">
          <w:rPr>
            <w:rFonts w:asciiTheme="minorHAnsi" w:hAnsiTheme="minorHAnsi" w:cstheme="minorHAnsi"/>
          </w:rPr>
          <w:t>Doing Business Report</w:t>
        </w:r>
      </w:hyperlink>
      <w:r w:rsidRPr="009C793F">
        <w:rPr>
          <w:rFonts w:asciiTheme="minorHAnsi" w:hAnsiTheme="minorHAnsi" w:cstheme="minorHAnsi"/>
          <w:vertAlign w:val="superscript"/>
        </w:rPr>
        <w:footnoteReference w:id="43"/>
      </w:r>
      <w:r w:rsidRPr="009C793F">
        <w:rPr>
          <w:rFonts w:asciiTheme="minorHAnsi" w:hAnsiTheme="minorHAnsi" w:cstheme="minorHAnsi"/>
        </w:rPr>
        <w:t xml:space="preserve">—down from a ranking of </w:t>
      </w:r>
      <w:hyperlink r:id="rId33">
        <w:r w:rsidRPr="009C793F">
          <w:rPr>
            <w:rFonts w:asciiTheme="minorHAnsi" w:hAnsiTheme="minorHAnsi" w:cstheme="minorHAnsi"/>
          </w:rPr>
          <w:t>63 in 2012</w:t>
        </w:r>
      </w:hyperlink>
      <w:r w:rsidRPr="009C793F">
        <w:rPr>
          <w:rFonts w:asciiTheme="minorHAnsi" w:hAnsiTheme="minorHAnsi" w:cstheme="minorHAnsi"/>
        </w:rPr>
        <w:t xml:space="preserve">. </w:t>
      </w:r>
      <w:hyperlink r:id="rId34">
        <w:r w:rsidRPr="009C793F">
          <w:rPr>
            <w:rFonts w:asciiTheme="minorHAnsi" w:hAnsiTheme="minorHAnsi" w:cstheme="minorHAnsi"/>
          </w:rPr>
          <w:t>Challenges</w:t>
        </w:r>
      </w:hyperlink>
      <w:r w:rsidRPr="009C793F">
        <w:rPr>
          <w:rFonts w:asciiTheme="minorHAnsi" w:hAnsiTheme="minorHAnsi" w:cstheme="minorHAnsi"/>
        </w:rPr>
        <w:t xml:space="preserve"> include crime and </w:t>
      </w:r>
      <w:r w:rsidR="00176771" w:rsidRPr="009C793F">
        <w:rPr>
          <w:rFonts w:asciiTheme="minorHAnsi" w:hAnsiTheme="minorHAnsi" w:cstheme="minorHAnsi"/>
        </w:rPr>
        <w:t>the perception</w:t>
      </w:r>
      <w:r w:rsidRPr="009C793F">
        <w:rPr>
          <w:rFonts w:asciiTheme="minorHAnsi" w:hAnsiTheme="minorHAnsi" w:cstheme="minorHAnsi"/>
        </w:rPr>
        <w:t xml:space="preserve"> of corruption.  The World Bank ranks Trinidad and Tobago 158 out of 190 countries for registering property, 174 out of 190 countries for enforcing contracts, and 166 out of 190 for payment of taxes. Going forward, SDG achievement will be closely linked to an improved environment for both foreign and local investors.</w:t>
      </w:r>
    </w:p>
    <w:p w14:paraId="140F26C8" w14:textId="77777777" w:rsidR="00C86F4B" w:rsidRDefault="00C86F4B" w:rsidP="00DE19C9">
      <w:pPr>
        <w:tabs>
          <w:tab w:val="left" w:pos="1485"/>
        </w:tabs>
        <w:jc w:val="both"/>
        <w:rPr>
          <w:rFonts w:asciiTheme="minorHAnsi" w:hAnsiTheme="minorHAnsi" w:cstheme="minorHAnsi"/>
        </w:rPr>
      </w:pPr>
    </w:p>
    <w:p w14:paraId="000000C4" w14:textId="68BF7598" w:rsidR="006B72B0" w:rsidRPr="009C793F" w:rsidRDefault="00845012" w:rsidP="00DE19C9">
      <w:pPr>
        <w:tabs>
          <w:tab w:val="left" w:pos="1485"/>
        </w:tabs>
        <w:jc w:val="both"/>
        <w:rPr>
          <w:rFonts w:asciiTheme="minorHAnsi" w:hAnsiTheme="minorHAnsi" w:cstheme="minorHAnsi"/>
        </w:rPr>
      </w:pPr>
      <w:r w:rsidRPr="009C793F">
        <w:rPr>
          <w:rFonts w:asciiTheme="minorHAnsi" w:hAnsiTheme="minorHAnsi" w:cstheme="minorHAnsi"/>
        </w:rPr>
        <w:t>Data remain</w:t>
      </w:r>
      <w:sdt>
        <w:sdtPr>
          <w:rPr>
            <w:rFonts w:asciiTheme="minorHAnsi" w:hAnsiTheme="minorHAnsi" w:cstheme="minorHAnsi"/>
          </w:rPr>
          <w:tag w:val="goog_rdk_24"/>
          <w:id w:val="-869684366"/>
        </w:sdtPr>
        <w:sdtContent>
          <w:r w:rsidRPr="009C793F">
            <w:rPr>
              <w:rFonts w:asciiTheme="minorHAnsi" w:hAnsiTheme="minorHAnsi" w:cstheme="minorHAnsi"/>
            </w:rPr>
            <w:t>s</w:t>
          </w:r>
        </w:sdtContent>
      </w:sdt>
      <w:r w:rsidRPr="009C793F">
        <w:rPr>
          <w:rFonts w:asciiTheme="minorHAnsi" w:hAnsiTheme="minorHAnsi" w:cstheme="minorHAnsi"/>
        </w:rPr>
        <w:t xml:space="preserve"> a challenge in Trinidad and Tobago including for the tracking and assessment of SDG performance. The lack of up-to-date, real-time data, and weak systems of data collection are an impediment to national planning and SDG achievement. Trinidad and Tobago ranks below the average for</w:t>
      </w:r>
      <w:sdt>
        <w:sdtPr>
          <w:rPr>
            <w:rFonts w:asciiTheme="minorHAnsi" w:hAnsiTheme="minorHAnsi" w:cstheme="minorHAnsi"/>
          </w:rPr>
          <w:tag w:val="goog_rdk_25"/>
          <w:id w:val="-2025623158"/>
        </w:sdtPr>
        <w:sdtContent>
          <w:r w:rsidRPr="009C793F">
            <w:rPr>
              <w:rFonts w:asciiTheme="minorHAnsi" w:hAnsiTheme="minorHAnsi" w:cstheme="minorHAnsi"/>
            </w:rPr>
            <w:t xml:space="preserve"> the</w:t>
          </w:r>
        </w:sdtContent>
      </w:sdt>
      <w:r w:rsidRPr="009C793F">
        <w:rPr>
          <w:rFonts w:asciiTheme="minorHAnsi" w:hAnsiTheme="minorHAnsi" w:cstheme="minorHAnsi"/>
        </w:rPr>
        <w:t xml:space="preserve"> LAC region in statistical capacity.  In 2016, the World Bank Statistical Capacity Indicator</w:t>
      </w:r>
      <w:r w:rsidRPr="009C793F">
        <w:rPr>
          <w:rFonts w:asciiTheme="minorHAnsi" w:hAnsiTheme="minorHAnsi" w:cstheme="minorHAnsi"/>
          <w:vertAlign w:val="superscript"/>
        </w:rPr>
        <w:footnoteReference w:id="44"/>
      </w:r>
      <w:r w:rsidRPr="009C793F">
        <w:rPr>
          <w:rFonts w:asciiTheme="minorHAnsi" w:hAnsiTheme="minorHAnsi" w:cstheme="minorHAnsi"/>
        </w:rPr>
        <w:t xml:space="preserve"> overall score for Trinidad and Tobago was 61.1 out of 100, and this continuously dropped to 47.7 in 2019.  Data-driven planning and decision making are key to ensuring that the most vulnerable are targeted and programmes have the maximum possible impact.   </w:t>
      </w:r>
    </w:p>
    <w:p w14:paraId="000000C5" w14:textId="244F82FA" w:rsidR="006B72B0" w:rsidRDefault="006B72B0" w:rsidP="00DE19C9">
      <w:pPr>
        <w:jc w:val="both"/>
        <w:rPr>
          <w:rFonts w:asciiTheme="minorHAnsi" w:hAnsiTheme="minorHAnsi" w:cstheme="minorHAnsi"/>
        </w:rPr>
      </w:pPr>
    </w:p>
    <w:p w14:paraId="19606CC4" w14:textId="23395AAB" w:rsidR="00C86F4B" w:rsidRDefault="00C86F4B" w:rsidP="00DE19C9">
      <w:pPr>
        <w:jc w:val="both"/>
        <w:rPr>
          <w:rFonts w:asciiTheme="minorHAnsi" w:hAnsiTheme="minorHAnsi" w:cstheme="minorHAnsi"/>
        </w:rPr>
      </w:pPr>
    </w:p>
    <w:p w14:paraId="6A582630" w14:textId="77777777" w:rsidR="00C86F4B" w:rsidRPr="009C793F" w:rsidRDefault="00C86F4B" w:rsidP="00DE19C9">
      <w:pPr>
        <w:jc w:val="both"/>
        <w:rPr>
          <w:rFonts w:asciiTheme="minorHAnsi" w:hAnsiTheme="minorHAnsi" w:cstheme="minorHAnsi"/>
        </w:rPr>
      </w:pPr>
    </w:p>
    <w:p w14:paraId="000000C6" w14:textId="348F93DB"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lastRenderedPageBreak/>
        <w:t>2.4 Socio-economic Impact of COVID-19</w:t>
      </w:r>
    </w:p>
    <w:p w14:paraId="16088F61" w14:textId="77777777" w:rsidR="00C86F4B" w:rsidRDefault="00C86F4B" w:rsidP="00DE19C9">
      <w:pPr>
        <w:widowControl w:val="0"/>
        <w:jc w:val="both"/>
        <w:rPr>
          <w:rFonts w:asciiTheme="minorHAnsi" w:hAnsiTheme="minorHAnsi" w:cstheme="minorHAnsi"/>
        </w:rPr>
      </w:pPr>
    </w:p>
    <w:p w14:paraId="000000C7" w14:textId="0BB76774" w:rsidR="006B72B0" w:rsidRPr="009C793F" w:rsidRDefault="00845012" w:rsidP="00DE19C9">
      <w:pPr>
        <w:widowControl w:val="0"/>
        <w:jc w:val="both"/>
        <w:rPr>
          <w:rFonts w:asciiTheme="minorHAnsi" w:hAnsiTheme="minorHAnsi" w:cstheme="minorHAnsi"/>
        </w:rPr>
      </w:pPr>
      <w:r w:rsidRPr="009C793F">
        <w:rPr>
          <w:rFonts w:asciiTheme="minorHAnsi" w:hAnsiTheme="minorHAnsi" w:cstheme="minorHAnsi"/>
        </w:rPr>
        <w:t>Trinidad and Tobago has not been spared from the onslaught of the COVID-19 global pandemic. The economic impact of the C</w:t>
      </w:r>
      <w:r w:rsidR="00B772C6" w:rsidRPr="009C793F">
        <w:rPr>
          <w:rFonts w:asciiTheme="minorHAnsi" w:hAnsiTheme="minorHAnsi" w:cstheme="minorHAnsi"/>
        </w:rPr>
        <w:t>OVID-</w:t>
      </w:r>
      <w:r w:rsidRPr="009C793F">
        <w:rPr>
          <w:rFonts w:asciiTheme="minorHAnsi" w:hAnsiTheme="minorHAnsi" w:cstheme="minorHAnsi"/>
        </w:rPr>
        <w:t xml:space="preserve">19 pandemic has been severe, with an estimated contraction of </w:t>
      </w:r>
      <w:r w:rsidR="00BD4A2F" w:rsidRPr="009C793F">
        <w:rPr>
          <w:rFonts w:asciiTheme="minorHAnsi" w:hAnsiTheme="minorHAnsi" w:cstheme="minorHAnsi"/>
        </w:rPr>
        <w:t>6.8</w:t>
      </w:r>
      <w:r w:rsidR="007E3C32" w:rsidRPr="009C793F">
        <w:rPr>
          <w:rFonts w:asciiTheme="minorHAnsi" w:hAnsiTheme="minorHAnsi" w:cstheme="minorHAnsi"/>
        </w:rPr>
        <w:t xml:space="preserve"> per cent</w:t>
      </w:r>
      <w:r w:rsidRPr="009C793F">
        <w:rPr>
          <w:rFonts w:asciiTheme="minorHAnsi" w:hAnsiTheme="minorHAnsi" w:cstheme="minorHAnsi"/>
        </w:rPr>
        <w:t xml:space="preserve"> of GDP in the first half of 2020</w:t>
      </w:r>
      <w:r w:rsidRPr="009C793F">
        <w:rPr>
          <w:rFonts w:asciiTheme="minorHAnsi" w:hAnsiTheme="minorHAnsi" w:cstheme="minorHAnsi"/>
          <w:vertAlign w:val="superscript"/>
        </w:rPr>
        <w:footnoteReference w:id="45"/>
      </w:r>
      <w:r w:rsidRPr="009C793F">
        <w:rPr>
          <w:rFonts w:asciiTheme="minorHAnsi" w:hAnsiTheme="minorHAnsi" w:cstheme="minorHAnsi"/>
        </w:rPr>
        <w:t>. Most of this</w:t>
      </w:r>
      <w:r w:rsidR="00542D98" w:rsidRPr="009C793F">
        <w:rPr>
          <w:rFonts w:asciiTheme="minorHAnsi" w:hAnsiTheme="minorHAnsi" w:cstheme="minorHAnsi"/>
        </w:rPr>
        <w:t xml:space="preserve"> reduction occu</w:t>
      </w:r>
      <w:r w:rsidRPr="009C793F">
        <w:rPr>
          <w:rFonts w:asciiTheme="minorHAnsi" w:hAnsiTheme="minorHAnsi" w:cstheme="minorHAnsi"/>
        </w:rPr>
        <w:t>rred during the second quarter of the year as more restrictive measures were enacted to control the spread of the coronavirus, with real economic activity declining by 10</w:t>
      </w:r>
      <w:r w:rsidR="007E3C32" w:rsidRPr="009C793F">
        <w:rPr>
          <w:rFonts w:asciiTheme="minorHAnsi" w:hAnsiTheme="minorHAnsi" w:cstheme="minorHAnsi"/>
        </w:rPr>
        <w:t xml:space="preserve"> per cent </w:t>
      </w:r>
      <w:r w:rsidRPr="009C793F">
        <w:rPr>
          <w:rFonts w:asciiTheme="minorHAnsi" w:hAnsiTheme="minorHAnsi" w:cstheme="minorHAnsi"/>
        </w:rPr>
        <w:t xml:space="preserve">during the second quarter of 2020. With major restructuring of State-owned energy companies already constraining the output of the Trinidad and Tobago energy sector, the reduced demand for energy products due to the global pandemic dealt a further blow to the already weakened energy sector, with an estimated </w:t>
      </w:r>
      <w:r w:rsidR="00A436F0" w:rsidRPr="009C793F">
        <w:rPr>
          <w:rFonts w:asciiTheme="minorHAnsi" w:hAnsiTheme="minorHAnsi" w:cstheme="minorHAnsi"/>
        </w:rPr>
        <w:t>6</w:t>
      </w:r>
      <w:r w:rsidR="007E3C32" w:rsidRPr="009C793F">
        <w:rPr>
          <w:rFonts w:asciiTheme="minorHAnsi" w:hAnsiTheme="minorHAnsi" w:cstheme="minorHAnsi"/>
        </w:rPr>
        <w:t xml:space="preserve"> per cent </w:t>
      </w:r>
      <w:r w:rsidRPr="009C793F">
        <w:rPr>
          <w:rFonts w:asciiTheme="minorHAnsi" w:hAnsiTheme="minorHAnsi" w:cstheme="minorHAnsi"/>
        </w:rPr>
        <w:t>contraction in energy production and downstream industries for the first half of 2020.</w:t>
      </w:r>
      <w:r w:rsidRPr="009C793F">
        <w:rPr>
          <w:rFonts w:asciiTheme="minorHAnsi" w:hAnsiTheme="minorHAnsi" w:cstheme="minorHAnsi"/>
          <w:vertAlign w:val="superscript"/>
        </w:rPr>
        <w:footnoteReference w:id="46"/>
      </w:r>
      <w:r w:rsidRPr="009C793F">
        <w:rPr>
          <w:rFonts w:asciiTheme="minorHAnsi" w:hAnsiTheme="minorHAnsi" w:cstheme="minorHAnsi"/>
        </w:rPr>
        <w:t xml:space="preserve"> </w:t>
      </w:r>
    </w:p>
    <w:p w14:paraId="4D772660" w14:textId="77777777" w:rsidR="00C86F4B" w:rsidRDefault="00C86F4B" w:rsidP="00DE19C9">
      <w:pPr>
        <w:pBdr>
          <w:top w:val="nil"/>
          <w:left w:val="nil"/>
          <w:bottom w:val="nil"/>
          <w:right w:val="nil"/>
          <w:between w:val="nil"/>
        </w:pBdr>
        <w:jc w:val="both"/>
        <w:rPr>
          <w:rFonts w:asciiTheme="minorHAnsi" w:hAnsiTheme="minorHAnsi" w:cstheme="minorHAnsi"/>
          <w:color w:val="000000"/>
        </w:rPr>
      </w:pPr>
    </w:p>
    <w:p w14:paraId="000000C8" w14:textId="39FD8229"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Government</w:t>
      </w:r>
      <w:r w:rsidR="00542D98" w:rsidRPr="009C793F">
        <w:rPr>
          <w:rFonts w:asciiTheme="minorHAnsi" w:hAnsiTheme="minorHAnsi" w:cstheme="minorHAnsi"/>
          <w:color w:val="000000"/>
        </w:rPr>
        <w:t xml:space="preserve">’s </w:t>
      </w:r>
      <w:r w:rsidRPr="009C793F">
        <w:rPr>
          <w:rFonts w:asciiTheme="minorHAnsi" w:hAnsiTheme="minorHAnsi" w:cstheme="minorHAnsi"/>
          <w:color w:val="000000"/>
        </w:rPr>
        <w:t xml:space="preserve">earnings </w:t>
      </w:r>
      <w:r w:rsidR="00542D98" w:rsidRPr="009C793F">
        <w:rPr>
          <w:rFonts w:asciiTheme="minorHAnsi" w:hAnsiTheme="minorHAnsi" w:cstheme="minorHAnsi"/>
          <w:color w:val="000000"/>
        </w:rPr>
        <w:t>from</w:t>
      </w:r>
      <w:r w:rsidRPr="009C793F">
        <w:rPr>
          <w:rFonts w:asciiTheme="minorHAnsi" w:hAnsiTheme="minorHAnsi" w:cstheme="minorHAnsi"/>
          <w:color w:val="000000"/>
        </w:rPr>
        <w:t xml:space="preserve"> state-owned energy companies</w:t>
      </w:r>
      <w:r w:rsidR="00542D98" w:rsidRPr="009C793F">
        <w:rPr>
          <w:rFonts w:asciiTheme="minorHAnsi" w:hAnsiTheme="minorHAnsi" w:cstheme="minorHAnsi"/>
          <w:color w:val="000000"/>
        </w:rPr>
        <w:t xml:space="preserve">, </w:t>
      </w:r>
      <w:r w:rsidRPr="009C793F">
        <w:rPr>
          <w:rFonts w:asciiTheme="minorHAnsi" w:hAnsiTheme="minorHAnsi" w:cstheme="minorHAnsi"/>
          <w:color w:val="000000"/>
        </w:rPr>
        <w:t xml:space="preserve">royalties and taxation </w:t>
      </w:r>
      <w:r w:rsidR="00542D98" w:rsidRPr="009C793F">
        <w:rPr>
          <w:rFonts w:asciiTheme="minorHAnsi" w:hAnsiTheme="minorHAnsi" w:cstheme="minorHAnsi"/>
          <w:color w:val="000000"/>
        </w:rPr>
        <w:t>from</w:t>
      </w:r>
      <w:r w:rsidRPr="009C793F">
        <w:rPr>
          <w:rFonts w:asciiTheme="minorHAnsi" w:hAnsiTheme="minorHAnsi" w:cstheme="minorHAnsi"/>
          <w:color w:val="000000"/>
        </w:rPr>
        <w:t xml:space="preserve"> private energy companies</w:t>
      </w:r>
      <w:r w:rsidR="00542D98" w:rsidRPr="009C793F">
        <w:rPr>
          <w:rFonts w:asciiTheme="minorHAnsi" w:hAnsiTheme="minorHAnsi" w:cstheme="minorHAnsi"/>
          <w:color w:val="000000"/>
        </w:rPr>
        <w:t xml:space="preserve"> all declined in Fiscal Year </w:t>
      </w:r>
      <w:r w:rsidRPr="009C793F">
        <w:rPr>
          <w:rFonts w:asciiTheme="minorHAnsi" w:hAnsiTheme="minorHAnsi" w:cstheme="minorHAnsi"/>
          <w:color w:val="000000"/>
        </w:rPr>
        <w:t>2020</w:t>
      </w:r>
      <w:r w:rsidR="00542D98" w:rsidRPr="009C793F">
        <w:rPr>
          <w:rFonts w:asciiTheme="minorHAnsi" w:hAnsiTheme="minorHAnsi" w:cstheme="minorHAnsi"/>
          <w:color w:val="000000"/>
        </w:rPr>
        <w:t xml:space="preserve">. Simultaneously, </w:t>
      </w:r>
      <w:r w:rsidRPr="009C793F">
        <w:rPr>
          <w:rFonts w:asciiTheme="minorHAnsi" w:hAnsiTheme="minorHAnsi" w:cstheme="minorHAnsi"/>
          <w:color w:val="000000"/>
        </w:rPr>
        <w:t xml:space="preserve">the myriad of support measures adopted by </w:t>
      </w:r>
      <w:r w:rsidR="00542D98" w:rsidRPr="009C793F">
        <w:rPr>
          <w:rFonts w:asciiTheme="minorHAnsi" w:hAnsiTheme="minorHAnsi" w:cstheme="minorHAnsi"/>
          <w:color w:val="000000"/>
        </w:rPr>
        <w:t>GORTT</w:t>
      </w:r>
      <w:r w:rsidRPr="009C793F">
        <w:rPr>
          <w:rFonts w:asciiTheme="minorHAnsi" w:hAnsiTheme="minorHAnsi" w:cstheme="minorHAnsi"/>
          <w:color w:val="000000"/>
        </w:rPr>
        <w:t xml:space="preserve"> to alleviate the impact of C</w:t>
      </w:r>
      <w:r w:rsidR="00BB4B59" w:rsidRPr="009C793F">
        <w:rPr>
          <w:rFonts w:asciiTheme="minorHAnsi" w:hAnsiTheme="minorHAnsi" w:cstheme="minorHAnsi"/>
          <w:color w:val="000000"/>
        </w:rPr>
        <w:t>OVID</w:t>
      </w:r>
      <w:r w:rsidRPr="009C793F">
        <w:rPr>
          <w:rFonts w:asciiTheme="minorHAnsi" w:hAnsiTheme="minorHAnsi" w:cstheme="minorHAnsi"/>
          <w:color w:val="000000"/>
        </w:rPr>
        <w:t>-19 restrictions is expected to increase fiscal expenditures by an estimated TT $6 billion</w:t>
      </w:r>
      <w:r w:rsidRPr="009C793F">
        <w:rPr>
          <w:rFonts w:asciiTheme="minorHAnsi" w:hAnsiTheme="minorHAnsi" w:cstheme="minorHAnsi"/>
          <w:color w:val="000000"/>
          <w:vertAlign w:val="superscript"/>
        </w:rPr>
        <w:footnoteReference w:id="47"/>
      </w:r>
      <w:r w:rsidRPr="009C793F">
        <w:rPr>
          <w:rFonts w:asciiTheme="minorHAnsi" w:hAnsiTheme="minorHAnsi" w:cstheme="minorHAnsi"/>
          <w:color w:val="000000"/>
        </w:rPr>
        <w:t>. The fiscal deficit for 2020, originally estimated to be 3.4</w:t>
      </w:r>
      <w:r w:rsidR="007E3C32" w:rsidRPr="009C793F">
        <w:rPr>
          <w:rFonts w:asciiTheme="minorHAnsi" w:hAnsiTheme="minorHAnsi" w:cstheme="minorHAnsi"/>
          <w:color w:val="000000"/>
        </w:rPr>
        <w:t xml:space="preserve"> per cent </w:t>
      </w:r>
      <w:r w:rsidRPr="009C793F">
        <w:rPr>
          <w:rFonts w:asciiTheme="minorHAnsi" w:hAnsiTheme="minorHAnsi" w:cstheme="minorHAnsi"/>
          <w:color w:val="000000"/>
        </w:rPr>
        <w:t>of GDP, is now expected to more than triple to 11</w:t>
      </w:r>
      <w:r w:rsidR="007E3C32"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of GDP</w:t>
      </w:r>
      <w:r w:rsidRPr="009C793F">
        <w:rPr>
          <w:rFonts w:asciiTheme="minorHAnsi" w:hAnsiTheme="minorHAnsi" w:cstheme="minorHAnsi"/>
          <w:color w:val="000000"/>
          <w:vertAlign w:val="superscript"/>
        </w:rPr>
        <w:footnoteReference w:id="48"/>
      </w:r>
      <w:r w:rsidRPr="009C793F">
        <w:rPr>
          <w:rFonts w:asciiTheme="minorHAnsi" w:hAnsiTheme="minorHAnsi" w:cstheme="minorHAnsi"/>
          <w:color w:val="000000"/>
        </w:rPr>
        <w:t xml:space="preserve">. </w:t>
      </w:r>
    </w:p>
    <w:p w14:paraId="000000C9" w14:textId="77777777" w:rsidR="006B72B0" w:rsidRPr="009C793F" w:rsidRDefault="006B72B0" w:rsidP="00DE19C9">
      <w:pPr>
        <w:pBdr>
          <w:top w:val="nil"/>
          <w:left w:val="nil"/>
          <w:bottom w:val="nil"/>
          <w:right w:val="nil"/>
          <w:between w:val="nil"/>
        </w:pBdr>
        <w:jc w:val="both"/>
        <w:rPr>
          <w:rFonts w:asciiTheme="minorHAnsi" w:hAnsiTheme="minorHAnsi" w:cstheme="minorHAnsi"/>
          <w:color w:val="000000"/>
        </w:rPr>
      </w:pPr>
    </w:p>
    <w:p w14:paraId="000000CA" w14:textId="4F93CD3B"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The fiscal deficit will further increase public sector debt, which stood at 66</w:t>
      </w:r>
      <w:r w:rsidR="007E3C32"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of GDP in 2019, to 81</w:t>
      </w:r>
      <w:r w:rsidR="007E3C32" w:rsidRPr="009C793F">
        <w:rPr>
          <w:rFonts w:asciiTheme="minorHAnsi" w:hAnsiTheme="minorHAnsi" w:cstheme="minorHAnsi"/>
          <w:color w:val="000000"/>
        </w:rPr>
        <w:t xml:space="preserve"> per cent </w:t>
      </w:r>
      <w:r w:rsidRPr="009C793F">
        <w:rPr>
          <w:rFonts w:asciiTheme="minorHAnsi" w:hAnsiTheme="minorHAnsi" w:cstheme="minorHAnsi"/>
          <w:color w:val="000000"/>
        </w:rPr>
        <w:t>of GDP in 2020. Although lower than many other comparator countries for example, Jamaica and Barbados both have public debt to GDP ratios over 100</w:t>
      </w:r>
      <w:r w:rsidR="00A436F0"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vertAlign w:val="superscript"/>
        </w:rPr>
        <w:footnoteReference w:id="49"/>
      </w:r>
      <w:r w:rsidRPr="009C793F">
        <w:rPr>
          <w:rFonts w:asciiTheme="minorHAnsi" w:hAnsiTheme="minorHAnsi" w:cstheme="minorHAnsi"/>
          <w:color w:val="000000"/>
        </w:rPr>
        <w:t>, the government expects that it will be able to return to a more manageable public debt level when the crisis is over.</w:t>
      </w:r>
    </w:p>
    <w:p w14:paraId="000000CB" w14:textId="77777777" w:rsidR="006B72B0" w:rsidRPr="009C793F" w:rsidRDefault="006B72B0" w:rsidP="00DE19C9">
      <w:pPr>
        <w:pBdr>
          <w:top w:val="nil"/>
          <w:left w:val="nil"/>
          <w:bottom w:val="nil"/>
          <w:right w:val="nil"/>
          <w:between w:val="nil"/>
        </w:pBdr>
        <w:jc w:val="both"/>
        <w:rPr>
          <w:rFonts w:asciiTheme="minorHAnsi" w:hAnsiTheme="minorHAnsi" w:cstheme="minorHAnsi"/>
          <w:color w:val="000000"/>
        </w:rPr>
      </w:pPr>
    </w:p>
    <w:p w14:paraId="000000CC" w14:textId="354DFED0"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The non-energy sector was also vulnerable to the economic impact of C</w:t>
      </w:r>
      <w:r w:rsidR="00B772C6" w:rsidRPr="009C793F">
        <w:rPr>
          <w:rFonts w:asciiTheme="minorHAnsi" w:hAnsiTheme="minorHAnsi" w:cstheme="minorHAnsi"/>
          <w:color w:val="000000"/>
        </w:rPr>
        <w:t>OVID</w:t>
      </w:r>
      <w:r w:rsidRPr="009C793F">
        <w:rPr>
          <w:rFonts w:asciiTheme="minorHAnsi" w:hAnsiTheme="minorHAnsi" w:cstheme="minorHAnsi"/>
          <w:color w:val="000000"/>
        </w:rPr>
        <w:t>-19, the manufacturing sector contracted by 5.8</w:t>
      </w:r>
      <w:r w:rsidR="00A436F0"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in the second quarter of 2020. The closure of Trinidad and Tobago borders to international travel had a telling effect on the tourism sector. The largest sectoral contraction occurred in the Transport and Storage sector which recorded a fall in real economic activity of 35.9</w:t>
      </w:r>
      <w:r w:rsidR="007E3C32"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in the second quarter of 2020. Accommodation and Food Services, another tourism-centric sector contracted by 20.3</w:t>
      </w:r>
      <w:r w:rsidR="007E3C32" w:rsidRPr="009C793F">
        <w:rPr>
          <w:rFonts w:asciiTheme="minorHAnsi" w:hAnsiTheme="minorHAnsi" w:cstheme="minorHAnsi"/>
          <w:color w:val="000000"/>
        </w:rPr>
        <w:t xml:space="preserve"> per cent </w:t>
      </w:r>
      <w:r w:rsidRPr="009C793F">
        <w:rPr>
          <w:rFonts w:asciiTheme="minorHAnsi" w:hAnsiTheme="minorHAnsi" w:cstheme="minorHAnsi"/>
          <w:color w:val="000000"/>
        </w:rPr>
        <w:t>in the second of quarter of 2020.</w:t>
      </w:r>
      <w:r w:rsidR="006A6D52" w:rsidRPr="009C793F">
        <w:rPr>
          <w:rStyle w:val="FootnoteReference"/>
          <w:rFonts w:asciiTheme="minorHAnsi" w:hAnsiTheme="minorHAnsi" w:cstheme="minorHAnsi"/>
          <w:color w:val="000000"/>
        </w:rPr>
        <w:footnoteReference w:id="50"/>
      </w:r>
    </w:p>
    <w:p w14:paraId="000000CD" w14:textId="77777777"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ab/>
      </w:r>
    </w:p>
    <w:p w14:paraId="000000CE" w14:textId="144BD667"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 xml:space="preserve">These non-energy sectors are important in that they are major employers of labour, in contrast to the energy sector which is capital intensive. The extent of job losses in Trinidad and Tobago is still to be assessed, with some estimates showing that a great many companies have cut employment, either through termination or furloughing. The sectors hardest </w:t>
      </w:r>
      <w:r w:rsidR="006A6D52" w:rsidRPr="009C793F">
        <w:rPr>
          <w:rFonts w:asciiTheme="minorHAnsi" w:hAnsiTheme="minorHAnsi" w:cstheme="minorHAnsi"/>
          <w:color w:val="000000"/>
        </w:rPr>
        <w:t>hit are</w:t>
      </w:r>
      <w:r w:rsidRPr="009C793F">
        <w:rPr>
          <w:rFonts w:asciiTheme="minorHAnsi" w:hAnsiTheme="minorHAnsi" w:cstheme="minorHAnsi"/>
          <w:color w:val="000000"/>
        </w:rPr>
        <w:t xml:space="preserve"> arts and entertainment, tourism and manufacturing.</w:t>
      </w:r>
      <w:r w:rsidRPr="009C793F">
        <w:rPr>
          <w:rFonts w:asciiTheme="minorHAnsi" w:hAnsiTheme="minorHAnsi" w:cstheme="minorHAnsi"/>
          <w:color w:val="000000"/>
          <w:vertAlign w:val="superscript"/>
        </w:rPr>
        <w:footnoteReference w:id="51"/>
      </w:r>
    </w:p>
    <w:p w14:paraId="000000CF" w14:textId="77777777" w:rsidR="006B72B0" w:rsidRPr="009C793F" w:rsidRDefault="006B72B0" w:rsidP="00DE19C9">
      <w:pPr>
        <w:pBdr>
          <w:top w:val="nil"/>
          <w:left w:val="nil"/>
          <w:bottom w:val="nil"/>
          <w:right w:val="nil"/>
          <w:between w:val="nil"/>
        </w:pBdr>
        <w:jc w:val="both"/>
        <w:rPr>
          <w:rFonts w:asciiTheme="minorHAnsi" w:hAnsiTheme="minorHAnsi" w:cstheme="minorHAnsi"/>
          <w:color w:val="000000"/>
        </w:rPr>
      </w:pPr>
    </w:p>
    <w:p w14:paraId="000000D0" w14:textId="12A8996C"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A recent survey conducted by I</w:t>
      </w:r>
      <w:r w:rsidR="00542D98" w:rsidRPr="009C793F">
        <w:rPr>
          <w:rFonts w:asciiTheme="minorHAnsi" w:hAnsiTheme="minorHAnsi" w:cstheme="minorHAnsi"/>
          <w:color w:val="000000"/>
        </w:rPr>
        <w:t>nter-American Development Bank (IADB)</w:t>
      </w:r>
      <w:r w:rsidRPr="009C793F">
        <w:rPr>
          <w:rFonts w:asciiTheme="minorHAnsi" w:hAnsiTheme="minorHAnsi" w:cstheme="minorHAnsi"/>
          <w:color w:val="000000"/>
          <w:vertAlign w:val="superscript"/>
        </w:rPr>
        <w:footnoteReference w:id="52"/>
      </w:r>
      <w:r w:rsidRPr="009C793F">
        <w:rPr>
          <w:rFonts w:asciiTheme="minorHAnsi" w:hAnsiTheme="minorHAnsi" w:cstheme="minorHAnsi"/>
          <w:color w:val="000000"/>
        </w:rPr>
        <w:t xml:space="preserve"> on the socio-economic impact of the COVID-19 pandemic on the Caribbean indicated that over 70</w:t>
      </w:r>
      <w:r w:rsidR="007E3C32"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of respondents suffered an </w:t>
      </w:r>
      <w:r w:rsidRPr="009C793F">
        <w:rPr>
          <w:rFonts w:asciiTheme="minorHAnsi" w:hAnsiTheme="minorHAnsi" w:cstheme="minorHAnsi"/>
          <w:color w:val="000000"/>
        </w:rPr>
        <w:lastRenderedPageBreak/>
        <w:t>income loss through business closure, job loss or loss of rental income. The poorest were hardest hit, with over 66</w:t>
      </w:r>
      <w:r w:rsidR="007E3C32"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of the lowest income earning households </w:t>
      </w:r>
      <w:r w:rsidR="006A6D52" w:rsidRPr="009C793F">
        <w:rPr>
          <w:rFonts w:asciiTheme="minorHAnsi" w:hAnsiTheme="minorHAnsi" w:cstheme="minorHAnsi"/>
          <w:color w:val="000000"/>
        </w:rPr>
        <w:t>experienced a loss of</w:t>
      </w:r>
      <w:r w:rsidRPr="009C793F">
        <w:rPr>
          <w:rFonts w:asciiTheme="minorHAnsi" w:hAnsiTheme="minorHAnsi" w:cstheme="minorHAnsi"/>
          <w:color w:val="000000"/>
        </w:rPr>
        <w:t xml:space="preserve"> employment</w:t>
      </w:r>
      <w:r w:rsidR="006A6D52" w:rsidRPr="009C793F">
        <w:rPr>
          <w:rFonts w:asciiTheme="minorHAnsi" w:hAnsiTheme="minorHAnsi" w:cstheme="minorHAnsi"/>
          <w:color w:val="000000"/>
        </w:rPr>
        <w:t>.</w:t>
      </w:r>
      <w:r w:rsidRPr="009C793F">
        <w:rPr>
          <w:rFonts w:asciiTheme="minorHAnsi" w:hAnsiTheme="minorHAnsi" w:cstheme="minorHAnsi"/>
          <w:color w:val="000000"/>
        </w:rPr>
        <w:t xml:space="preserve"> </w:t>
      </w:r>
      <w:r w:rsidR="006A6D52" w:rsidRPr="009C793F">
        <w:rPr>
          <w:rFonts w:asciiTheme="minorHAnsi" w:hAnsiTheme="minorHAnsi" w:cstheme="minorHAnsi"/>
          <w:color w:val="000000"/>
        </w:rPr>
        <w:t>H</w:t>
      </w:r>
      <w:r w:rsidRPr="009C793F">
        <w:rPr>
          <w:rFonts w:asciiTheme="minorHAnsi" w:hAnsiTheme="minorHAnsi" w:cstheme="minorHAnsi"/>
          <w:color w:val="000000"/>
        </w:rPr>
        <w:t>igh- and middle-income households also suffered employment losses but at lower rates, 23</w:t>
      </w:r>
      <w:r w:rsidR="007E3C32"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and 49</w:t>
      </w:r>
      <w:r w:rsidR="007E3C32" w:rsidRPr="009C793F">
        <w:rPr>
          <w:rFonts w:asciiTheme="minorHAnsi" w:hAnsiTheme="minorHAnsi" w:cstheme="minorHAnsi"/>
          <w:color w:val="000000"/>
        </w:rPr>
        <w:t xml:space="preserve"> per cent</w:t>
      </w:r>
      <w:r w:rsidR="00CB0576" w:rsidRPr="009C793F">
        <w:rPr>
          <w:rFonts w:asciiTheme="minorHAnsi" w:hAnsiTheme="minorHAnsi" w:cstheme="minorHAnsi"/>
          <w:color w:val="000000"/>
        </w:rPr>
        <w:t xml:space="preserve"> </w:t>
      </w:r>
      <w:r w:rsidRPr="009C793F">
        <w:rPr>
          <w:rFonts w:asciiTheme="minorHAnsi" w:hAnsiTheme="minorHAnsi" w:cstheme="minorHAnsi"/>
          <w:color w:val="000000"/>
        </w:rPr>
        <w:t>respectively. Low income households were also the least prepared, with only 1</w:t>
      </w:r>
      <w:r w:rsidR="00CB0576" w:rsidRPr="009C793F">
        <w:rPr>
          <w:rFonts w:asciiTheme="minorHAnsi" w:hAnsiTheme="minorHAnsi" w:cstheme="minorHAnsi"/>
          <w:color w:val="000000"/>
        </w:rPr>
        <w:t>9 per cent</w:t>
      </w:r>
      <w:r w:rsidRPr="009C793F">
        <w:rPr>
          <w:rFonts w:asciiTheme="minorHAnsi" w:hAnsiTheme="minorHAnsi" w:cstheme="minorHAnsi"/>
          <w:color w:val="000000"/>
        </w:rPr>
        <w:t xml:space="preserve"> having a savings buffer to cover essential expenses, compared to middle income (43</w:t>
      </w:r>
      <w:r w:rsidR="00CB0576" w:rsidRPr="009C793F">
        <w:rPr>
          <w:rFonts w:asciiTheme="minorHAnsi" w:hAnsiTheme="minorHAnsi" w:cstheme="minorHAnsi"/>
          <w:color w:val="000000"/>
        </w:rPr>
        <w:t xml:space="preserve"> per cent</w:t>
      </w:r>
      <w:r w:rsidRPr="009C793F">
        <w:rPr>
          <w:rFonts w:asciiTheme="minorHAnsi" w:hAnsiTheme="minorHAnsi" w:cstheme="minorHAnsi"/>
          <w:color w:val="000000"/>
        </w:rPr>
        <w:t>) and high income (89</w:t>
      </w:r>
      <w:r w:rsidR="00CB0576" w:rsidRPr="009C793F">
        <w:rPr>
          <w:rFonts w:asciiTheme="minorHAnsi" w:hAnsiTheme="minorHAnsi" w:cstheme="minorHAnsi"/>
          <w:color w:val="000000"/>
        </w:rPr>
        <w:t xml:space="preserve"> per cent</w:t>
      </w:r>
      <w:r w:rsidRPr="009C793F">
        <w:rPr>
          <w:rFonts w:asciiTheme="minorHAnsi" w:hAnsiTheme="minorHAnsi" w:cstheme="minorHAnsi"/>
          <w:color w:val="000000"/>
        </w:rPr>
        <w:t>) households.</w:t>
      </w:r>
      <w:sdt>
        <w:sdtPr>
          <w:rPr>
            <w:rFonts w:asciiTheme="minorHAnsi" w:hAnsiTheme="minorHAnsi" w:cstheme="minorHAnsi"/>
          </w:rPr>
          <w:tag w:val="goog_rdk_26"/>
          <w:id w:val="1553810301"/>
          <w:showingPlcHdr/>
        </w:sdtPr>
        <w:sdtContent>
          <w:r w:rsidR="00B772C6" w:rsidRPr="009C793F">
            <w:rPr>
              <w:rFonts w:asciiTheme="minorHAnsi" w:hAnsiTheme="minorHAnsi" w:cstheme="minorHAnsi"/>
            </w:rPr>
            <w:t xml:space="preserve">     </w:t>
          </w:r>
        </w:sdtContent>
      </w:sdt>
    </w:p>
    <w:p w14:paraId="000000D1" w14:textId="77777777" w:rsidR="006B72B0" w:rsidRPr="009C793F" w:rsidRDefault="006B72B0" w:rsidP="00DE19C9">
      <w:pPr>
        <w:pBdr>
          <w:top w:val="nil"/>
          <w:left w:val="nil"/>
          <w:bottom w:val="nil"/>
          <w:right w:val="nil"/>
          <w:between w:val="nil"/>
        </w:pBdr>
        <w:jc w:val="both"/>
        <w:rPr>
          <w:rFonts w:asciiTheme="minorHAnsi" w:hAnsiTheme="minorHAnsi" w:cstheme="minorHAnsi"/>
          <w:color w:val="000000"/>
        </w:rPr>
      </w:pPr>
    </w:p>
    <w:p w14:paraId="000000D2" w14:textId="58663EF2" w:rsidR="006B72B0" w:rsidRPr="009C793F" w:rsidRDefault="00845012" w:rsidP="00DE19C9">
      <w:p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GORTT’s response to mitigate the social and economic effects of the COVID-19 pandemic has been multifaceted. Utilising existing social programs such as food cards and creating some new ones such as rental assistance and grants to small businesses. As at the end of September 2020, over 2</w:t>
      </w:r>
      <w:r w:rsidR="006A6D52" w:rsidRPr="009C793F">
        <w:rPr>
          <w:rFonts w:asciiTheme="minorHAnsi" w:hAnsiTheme="minorHAnsi" w:cstheme="minorHAnsi"/>
          <w:color w:val="000000"/>
        </w:rPr>
        <w:t>0</w:t>
      </w:r>
      <w:r w:rsidRPr="009C793F">
        <w:rPr>
          <w:rFonts w:asciiTheme="minorHAnsi" w:hAnsiTheme="minorHAnsi" w:cstheme="minorHAnsi"/>
          <w:color w:val="000000"/>
        </w:rPr>
        <w:t>0,000 households had benefitted from 13 different social safety net programmes</w:t>
      </w:r>
      <w:r w:rsidR="006A6D52" w:rsidRPr="009C793F">
        <w:rPr>
          <w:rFonts w:asciiTheme="minorHAnsi" w:hAnsiTheme="minorHAnsi" w:cstheme="minorHAnsi"/>
          <w:color w:val="000000"/>
        </w:rPr>
        <w:t>.</w:t>
      </w:r>
      <w:r w:rsidRPr="009C793F">
        <w:rPr>
          <w:rFonts w:asciiTheme="minorHAnsi" w:hAnsiTheme="minorHAnsi" w:cstheme="minorHAnsi"/>
          <w:color w:val="000000"/>
          <w:vertAlign w:val="superscript"/>
        </w:rPr>
        <w:footnoteReference w:id="53"/>
      </w:r>
    </w:p>
    <w:p w14:paraId="000000D3" w14:textId="77777777" w:rsidR="006B72B0" w:rsidRPr="009C793F" w:rsidRDefault="006B72B0" w:rsidP="00DE19C9">
      <w:pPr>
        <w:jc w:val="both"/>
        <w:rPr>
          <w:rFonts w:asciiTheme="minorHAnsi" w:hAnsiTheme="minorHAnsi" w:cstheme="minorHAnsi"/>
        </w:rPr>
      </w:pPr>
    </w:p>
    <w:p w14:paraId="000000D4" w14:textId="0F82F35A" w:rsidR="006B72B0" w:rsidRPr="009C793F" w:rsidRDefault="006A6D52" w:rsidP="00DE19C9">
      <w:pPr>
        <w:jc w:val="both"/>
        <w:rPr>
          <w:rFonts w:asciiTheme="minorHAnsi" w:hAnsiTheme="minorHAnsi" w:cstheme="minorHAnsi"/>
        </w:rPr>
      </w:pPr>
      <w:r w:rsidRPr="009C793F">
        <w:rPr>
          <w:rFonts w:asciiTheme="minorHAnsi" w:hAnsiTheme="minorHAnsi" w:cstheme="minorHAnsi"/>
        </w:rPr>
        <w:t>T</w:t>
      </w:r>
      <w:r w:rsidR="00845012" w:rsidRPr="009C793F">
        <w:rPr>
          <w:rFonts w:asciiTheme="minorHAnsi" w:hAnsiTheme="minorHAnsi" w:cstheme="minorHAnsi"/>
        </w:rPr>
        <w:t xml:space="preserve">he continued closure of borders </w:t>
      </w:r>
      <w:r w:rsidRPr="009C793F">
        <w:rPr>
          <w:rFonts w:asciiTheme="minorHAnsi" w:hAnsiTheme="minorHAnsi" w:cstheme="minorHAnsi"/>
        </w:rPr>
        <w:t>to</w:t>
      </w:r>
      <w:r w:rsidR="00845012" w:rsidRPr="009C793F">
        <w:rPr>
          <w:rFonts w:asciiTheme="minorHAnsi" w:hAnsiTheme="minorHAnsi" w:cstheme="minorHAnsi"/>
        </w:rPr>
        <w:t xml:space="preserve"> international travel due to COVID-19 restrictions will have a</w:t>
      </w:r>
      <w:r w:rsidRPr="009C793F">
        <w:rPr>
          <w:rFonts w:asciiTheme="minorHAnsi" w:hAnsiTheme="minorHAnsi" w:cstheme="minorHAnsi"/>
        </w:rPr>
        <w:t xml:space="preserve"> disproportionate</w:t>
      </w:r>
      <w:r w:rsidR="00845012" w:rsidRPr="009C793F">
        <w:rPr>
          <w:rFonts w:asciiTheme="minorHAnsi" w:hAnsiTheme="minorHAnsi" w:cstheme="minorHAnsi"/>
        </w:rPr>
        <w:t xml:space="preserve"> impact on </w:t>
      </w:r>
      <w:r w:rsidR="00CB0576" w:rsidRPr="009C793F">
        <w:rPr>
          <w:rFonts w:asciiTheme="minorHAnsi" w:hAnsiTheme="minorHAnsi" w:cstheme="minorHAnsi"/>
        </w:rPr>
        <w:t>Tobago’s economy which relies on tourism as the main economic sector. Additionally, given</w:t>
      </w:r>
      <w:r w:rsidR="00845012" w:rsidRPr="009C793F">
        <w:rPr>
          <w:rFonts w:asciiTheme="minorHAnsi" w:hAnsiTheme="minorHAnsi" w:cstheme="minorHAnsi"/>
        </w:rPr>
        <w:t xml:space="preserve"> the importance of domestic tourism </w:t>
      </w:r>
      <w:r w:rsidR="00CB0576" w:rsidRPr="009C793F">
        <w:rPr>
          <w:rFonts w:asciiTheme="minorHAnsi" w:hAnsiTheme="minorHAnsi" w:cstheme="minorHAnsi"/>
        </w:rPr>
        <w:t xml:space="preserve">to </w:t>
      </w:r>
      <w:r w:rsidR="00845012" w:rsidRPr="009C793F">
        <w:rPr>
          <w:rFonts w:asciiTheme="minorHAnsi" w:hAnsiTheme="minorHAnsi" w:cstheme="minorHAnsi"/>
        </w:rPr>
        <w:t xml:space="preserve">the Tobago economy, COVID-19 continues to have a deleterious impact on the flow of tourists from Trinidad to Tobago due to travel restrictions. The tourism sector is expected to see further losses into 2021 with the cancellation of the country’s flagship cultural event, Carnival 2021. </w:t>
      </w:r>
    </w:p>
    <w:p w14:paraId="000000D5" w14:textId="77777777" w:rsidR="006B72B0" w:rsidRPr="009C793F" w:rsidRDefault="006B72B0" w:rsidP="00DE19C9">
      <w:pPr>
        <w:jc w:val="both"/>
        <w:rPr>
          <w:rFonts w:asciiTheme="minorHAnsi" w:hAnsiTheme="minorHAnsi" w:cstheme="minorHAnsi"/>
        </w:rPr>
      </w:pPr>
    </w:p>
    <w:p w14:paraId="000000D6" w14:textId="57CBF513"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Notwithstanding the challenges posed by COVID-19, it has also spurred new thinking and re-emphasised the importance of diversification. Government has </w:t>
      </w:r>
      <w:r w:rsidR="00542D98" w:rsidRPr="009C793F">
        <w:rPr>
          <w:rFonts w:asciiTheme="minorHAnsi" w:hAnsiTheme="minorHAnsi" w:cstheme="minorHAnsi"/>
        </w:rPr>
        <w:t>signaled</w:t>
      </w:r>
      <w:r w:rsidRPr="009C793F">
        <w:rPr>
          <w:rFonts w:asciiTheme="minorHAnsi" w:hAnsiTheme="minorHAnsi" w:cstheme="minorHAnsi"/>
        </w:rPr>
        <w:t xml:space="preserve"> its intention to digital transformation and food security and diversification with a stimulus package for agriculture and addressing multi-dimensional poverty with a generous social safety net and a data management system to capture the 200,000 vulnerable persons to ensure no one is left behind. </w:t>
      </w:r>
    </w:p>
    <w:p w14:paraId="000000D7" w14:textId="77777777" w:rsidR="006B72B0" w:rsidRPr="009C793F" w:rsidRDefault="006B72B0" w:rsidP="00DE19C9">
      <w:pPr>
        <w:jc w:val="both"/>
        <w:rPr>
          <w:rFonts w:asciiTheme="minorHAnsi" w:hAnsiTheme="minorHAnsi" w:cstheme="minorHAnsi"/>
        </w:rPr>
      </w:pPr>
    </w:p>
    <w:p w14:paraId="000000D8" w14:textId="61714597" w:rsidR="006B72B0" w:rsidRDefault="00845012" w:rsidP="00DE19C9">
      <w:pPr>
        <w:jc w:val="both"/>
        <w:rPr>
          <w:rFonts w:asciiTheme="minorHAnsi" w:hAnsiTheme="minorHAnsi" w:cstheme="minorHAnsi"/>
          <w:b/>
        </w:rPr>
      </w:pPr>
      <w:r w:rsidRPr="009C793F">
        <w:rPr>
          <w:rFonts w:asciiTheme="minorHAnsi" w:hAnsiTheme="minorHAnsi" w:cstheme="minorHAnsi"/>
          <w:b/>
        </w:rPr>
        <w:t xml:space="preserve">2.5 </w:t>
      </w:r>
      <w:r w:rsidR="003534AB" w:rsidRPr="009C793F">
        <w:rPr>
          <w:rFonts w:asciiTheme="minorHAnsi" w:hAnsiTheme="minorHAnsi" w:cstheme="minorHAnsi"/>
          <w:b/>
        </w:rPr>
        <w:t>Financing Landscape and Opportunities</w:t>
      </w:r>
    </w:p>
    <w:p w14:paraId="5187AB63" w14:textId="77777777" w:rsidR="00C86F4B" w:rsidRPr="009C793F" w:rsidRDefault="00C86F4B" w:rsidP="00DE19C9">
      <w:pPr>
        <w:jc w:val="both"/>
        <w:rPr>
          <w:rFonts w:asciiTheme="minorHAnsi" w:hAnsiTheme="minorHAnsi" w:cstheme="minorHAnsi"/>
          <w:b/>
        </w:rPr>
      </w:pPr>
    </w:p>
    <w:p w14:paraId="000000D9" w14:textId="72A82B50"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Tobago’s first </w:t>
      </w:r>
      <w:hyperlink r:id="rId35">
        <w:r w:rsidRPr="009C793F">
          <w:rPr>
            <w:rFonts w:asciiTheme="minorHAnsi" w:hAnsiTheme="minorHAnsi" w:cstheme="minorHAnsi"/>
          </w:rPr>
          <w:t>Voluntary National Review</w:t>
        </w:r>
      </w:hyperlink>
      <w:r w:rsidRPr="009C793F">
        <w:rPr>
          <w:rFonts w:asciiTheme="minorHAnsi" w:hAnsiTheme="minorHAnsi" w:cstheme="minorHAnsi"/>
        </w:rPr>
        <w:t xml:space="preserve"> </w:t>
      </w:r>
      <w:r w:rsidR="00B772C6" w:rsidRPr="009C793F">
        <w:rPr>
          <w:rFonts w:asciiTheme="minorHAnsi" w:hAnsiTheme="minorHAnsi" w:cstheme="minorHAnsi"/>
        </w:rPr>
        <w:t>2020 (VNR)</w:t>
      </w:r>
      <w:r w:rsidRPr="009C793F">
        <w:rPr>
          <w:rFonts w:asciiTheme="minorHAnsi" w:hAnsiTheme="minorHAnsi" w:cstheme="minorHAnsi"/>
          <w:vertAlign w:val="superscript"/>
        </w:rPr>
        <w:footnoteReference w:id="54"/>
      </w:r>
      <w:r w:rsidRPr="009C793F">
        <w:rPr>
          <w:rFonts w:asciiTheme="minorHAnsi" w:hAnsiTheme="minorHAnsi" w:cstheme="minorHAnsi"/>
        </w:rPr>
        <w:t xml:space="preserve"> on its progress toward achieving the SDGs acknowledges that, as a high-income country, the primary source of financing for Agenda 2030 implementation </w:t>
      </w:r>
      <w:hyperlink r:id="rId36">
        <w:r w:rsidRPr="009C793F">
          <w:rPr>
            <w:rFonts w:asciiTheme="minorHAnsi" w:hAnsiTheme="minorHAnsi" w:cstheme="minorHAnsi"/>
          </w:rPr>
          <w:t>is the Government</w:t>
        </w:r>
      </w:hyperlink>
      <w:r w:rsidRPr="009C793F">
        <w:rPr>
          <w:rFonts w:asciiTheme="minorHAnsi" w:hAnsiTheme="minorHAnsi" w:cstheme="minorHAnsi"/>
        </w:rPr>
        <w:t xml:space="preserve">. However, with the </w:t>
      </w:r>
      <w:hyperlink r:id="rId37">
        <w:r w:rsidRPr="009C793F">
          <w:rPr>
            <w:rFonts w:asciiTheme="minorHAnsi" w:hAnsiTheme="minorHAnsi" w:cstheme="minorHAnsi"/>
          </w:rPr>
          <w:t>collapse in world energy prices</w:t>
        </w:r>
      </w:hyperlink>
      <w:r w:rsidRPr="009C793F">
        <w:rPr>
          <w:rFonts w:asciiTheme="minorHAnsi" w:hAnsiTheme="minorHAnsi" w:cstheme="minorHAnsi"/>
        </w:rPr>
        <w:t xml:space="preserve">, support from other sources, such as </w:t>
      </w:r>
      <w:r w:rsidR="00CB0576" w:rsidRPr="009C793F">
        <w:rPr>
          <w:rFonts w:asciiTheme="minorHAnsi" w:hAnsiTheme="minorHAnsi" w:cstheme="minorHAnsi"/>
        </w:rPr>
        <w:t>International Financial Institutions (IFIs)</w:t>
      </w:r>
      <w:r w:rsidRPr="009C793F">
        <w:rPr>
          <w:rFonts w:asciiTheme="minorHAnsi" w:hAnsiTheme="minorHAnsi" w:cstheme="minorHAnsi"/>
        </w:rPr>
        <w:t xml:space="preserve"> and the private sector, </w:t>
      </w:r>
      <w:hyperlink r:id="rId38">
        <w:r w:rsidRPr="009C793F">
          <w:rPr>
            <w:rFonts w:asciiTheme="minorHAnsi" w:hAnsiTheme="minorHAnsi" w:cstheme="minorHAnsi"/>
          </w:rPr>
          <w:t>will be needed</w:t>
        </w:r>
      </w:hyperlink>
      <w:r w:rsidRPr="009C793F">
        <w:rPr>
          <w:rFonts w:asciiTheme="minorHAnsi" w:hAnsiTheme="minorHAnsi" w:cstheme="minorHAnsi"/>
        </w:rPr>
        <w:t xml:space="preserve">. </w:t>
      </w:r>
    </w:p>
    <w:p w14:paraId="000000DB" w14:textId="20DAAB69" w:rsidR="006B72B0" w:rsidRPr="009C793F" w:rsidRDefault="00AF03FE" w:rsidP="00DE19C9">
      <w:pPr>
        <w:jc w:val="both"/>
        <w:rPr>
          <w:rFonts w:asciiTheme="minorHAnsi" w:hAnsiTheme="minorHAnsi" w:cstheme="minorHAnsi"/>
        </w:rPr>
      </w:pPr>
      <w:r w:rsidRPr="009C793F">
        <w:rPr>
          <w:rFonts w:asciiTheme="minorHAnsi" w:hAnsiTheme="minorHAnsi" w:cstheme="minorHAnsi"/>
        </w:rPr>
        <w:t>This has now become even more important given the impact of COVID-19. With an already tight fiscal situation ther</w:t>
      </w:r>
      <w:r w:rsidR="00845012" w:rsidRPr="009C793F">
        <w:rPr>
          <w:rFonts w:asciiTheme="minorHAnsi" w:hAnsiTheme="minorHAnsi" w:cstheme="minorHAnsi"/>
        </w:rPr>
        <w:t xml:space="preserve">e will be pressure to reallocate resources. </w:t>
      </w:r>
    </w:p>
    <w:p w14:paraId="000000DC" w14:textId="77777777" w:rsidR="006B72B0" w:rsidRPr="009C793F" w:rsidRDefault="006B72B0" w:rsidP="00DE19C9">
      <w:pPr>
        <w:jc w:val="both"/>
        <w:rPr>
          <w:rFonts w:asciiTheme="minorHAnsi" w:hAnsiTheme="minorHAnsi" w:cstheme="minorHAnsi"/>
        </w:rPr>
      </w:pPr>
    </w:p>
    <w:p w14:paraId="000000DD" w14:textId="5CC6E6A1" w:rsidR="006B72B0" w:rsidRDefault="00845012" w:rsidP="00DE19C9">
      <w:pPr>
        <w:jc w:val="both"/>
        <w:rPr>
          <w:rFonts w:asciiTheme="minorHAnsi" w:hAnsiTheme="minorHAnsi" w:cstheme="minorHAnsi"/>
          <w:b/>
        </w:rPr>
      </w:pPr>
      <w:r w:rsidRPr="009C793F">
        <w:rPr>
          <w:rFonts w:asciiTheme="minorHAnsi" w:hAnsiTheme="minorHAnsi" w:cstheme="minorHAnsi"/>
          <w:b/>
        </w:rPr>
        <w:t>External, Public Funds</w:t>
      </w:r>
    </w:p>
    <w:p w14:paraId="558A9D62" w14:textId="77777777" w:rsidR="00C86F4B" w:rsidRPr="009C793F" w:rsidRDefault="00C86F4B" w:rsidP="00DE19C9">
      <w:pPr>
        <w:jc w:val="both"/>
        <w:rPr>
          <w:rFonts w:asciiTheme="minorHAnsi" w:hAnsiTheme="minorHAnsi" w:cstheme="minorHAnsi"/>
          <w:b/>
        </w:rPr>
      </w:pPr>
    </w:p>
    <w:p w14:paraId="000000DE" w14:textId="145C2F6B"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As noted earlier, Trinidad and Tobago’s </w:t>
      </w:r>
      <w:hyperlink r:id="rId39">
        <w:r w:rsidRPr="009C793F">
          <w:rPr>
            <w:rFonts w:asciiTheme="minorHAnsi" w:hAnsiTheme="minorHAnsi" w:cstheme="minorHAnsi"/>
          </w:rPr>
          <w:t>high-income status</w:t>
        </w:r>
      </w:hyperlink>
      <w:r w:rsidRPr="009C793F">
        <w:rPr>
          <w:rFonts w:asciiTheme="minorHAnsi" w:hAnsiTheme="minorHAnsi" w:cstheme="minorHAnsi"/>
        </w:rPr>
        <w:t xml:space="preserve"> mean</w:t>
      </w:r>
      <w:r w:rsidR="00995E75" w:rsidRPr="009C793F">
        <w:rPr>
          <w:rFonts w:asciiTheme="minorHAnsi" w:hAnsiTheme="minorHAnsi" w:cstheme="minorHAnsi"/>
        </w:rPr>
        <w:t>s</w:t>
      </w:r>
      <w:r w:rsidRPr="009C793F">
        <w:rPr>
          <w:rFonts w:asciiTheme="minorHAnsi" w:hAnsiTheme="minorHAnsi" w:cstheme="minorHAnsi"/>
        </w:rPr>
        <w:t xml:space="preserve"> the country </w:t>
      </w:r>
      <w:r w:rsidR="00995E75" w:rsidRPr="009C793F">
        <w:rPr>
          <w:rFonts w:asciiTheme="minorHAnsi" w:hAnsiTheme="minorHAnsi" w:cstheme="minorHAnsi"/>
        </w:rPr>
        <w:t>is not eligible to receive</w:t>
      </w:r>
      <w:r w:rsidRPr="009C793F">
        <w:rPr>
          <w:rFonts w:asciiTheme="minorHAnsi" w:hAnsiTheme="minorHAnsi" w:cstheme="minorHAnsi"/>
        </w:rPr>
        <w:t xml:space="preserve"> ODA. China is seeking a stronger relationship with Trinidad and Tobago an</w:t>
      </w:r>
      <w:r w:rsidR="00995E75" w:rsidRPr="009C793F">
        <w:rPr>
          <w:rFonts w:asciiTheme="minorHAnsi" w:hAnsiTheme="minorHAnsi" w:cstheme="minorHAnsi"/>
        </w:rPr>
        <w:t>d</w:t>
      </w:r>
      <w:r w:rsidRPr="009C793F">
        <w:rPr>
          <w:rFonts w:asciiTheme="minorHAnsi" w:hAnsiTheme="minorHAnsi" w:cstheme="minorHAnsi"/>
        </w:rPr>
        <w:t xml:space="preserve"> </w:t>
      </w:r>
      <w:r w:rsidR="00CB0576" w:rsidRPr="009C793F">
        <w:rPr>
          <w:rFonts w:asciiTheme="minorHAnsi" w:hAnsiTheme="minorHAnsi" w:cstheme="minorHAnsi"/>
        </w:rPr>
        <w:t>China’s</w:t>
      </w:r>
      <w:r w:rsidRPr="009C793F">
        <w:rPr>
          <w:rFonts w:asciiTheme="minorHAnsi" w:hAnsiTheme="minorHAnsi" w:cstheme="minorHAnsi"/>
        </w:rPr>
        <w:t xml:space="preserve"> Embassy in the country is the </w:t>
      </w:r>
      <w:hyperlink r:id="rId40">
        <w:r w:rsidRPr="009C793F">
          <w:rPr>
            <w:rFonts w:asciiTheme="minorHAnsi" w:hAnsiTheme="minorHAnsi" w:cstheme="minorHAnsi"/>
          </w:rPr>
          <w:t>largest in the English-speaking Caribbean</w:t>
        </w:r>
      </w:hyperlink>
      <w:r w:rsidRPr="009C793F">
        <w:rPr>
          <w:rFonts w:asciiTheme="minorHAnsi" w:hAnsiTheme="minorHAnsi" w:cstheme="minorHAnsi"/>
        </w:rPr>
        <w:t xml:space="preserve">. India is  another country that also makes </w:t>
      </w:r>
      <w:hyperlink r:id="rId41" w:anchor=":~:text=The%20India%2DUN%20Development%20Partnership%20Fund%20has%20already%20supported%2059,by%20the%20Government%20of%20India.&amp;text=The%20Fund%20now%20encompasses%2036,Nations%20agencies%20in%2037%20countries.">
        <w:r w:rsidRPr="009C793F">
          <w:rPr>
            <w:rFonts w:asciiTheme="minorHAnsi" w:hAnsiTheme="minorHAnsi" w:cstheme="minorHAnsi"/>
          </w:rPr>
          <w:t>ODA available to Trinidad and Tobago</w:t>
        </w:r>
      </w:hyperlink>
      <w:r w:rsidRPr="009C793F">
        <w:rPr>
          <w:rFonts w:asciiTheme="minorHAnsi" w:hAnsiTheme="minorHAnsi" w:cstheme="minorHAnsi"/>
        </w:rPr>
        <w:t xml:space="preserve">. </w:t>
      </w:r>
      <w:r w:rsidR="00542D98" w:rsidRPr="009C793F">
        <w:rPr>
          <w:rFonts w:asciiTheme="minorHAnsi" w:hAnsiTheme="minorHAnsi" w:cstheme="minorHAnsi"/>
        </w:rPr>
        <w:t>In the future,</w:t>
      </w:r>
      <w:r w:rsidRPr="009C793F">
        <w:rPr>
          <w:rFonts w:asciiTheme="minorHAnsi" w:hAnsiTheme="minorHAnsi" w:cstheme="minorHAnsi"/>
        </w:rPr>
        <w:t xml:space="preserve"> mechanisms to promote South-South and </w:t>
      </w:r>
      <w:r w:rsidR="00CB0576" w:rsidRPr="009C793F">
        <w:rPr>
          <w:rFonts w:asciiTheme="minorHAnsi" w:hAnsiTheme="minorHAnsi" w:cstheme="minorHAnsi"/>
        </w:rPr>
        <w:t>Triangular Cooperation</w:t>
      </w:r>
      <w:r w:rsidRPr="009C793F">
        <w:rPr>
          <w:rFonts w:asciiTheme="minorHAnsi" w:hAnsiTheme="minorHAnsi" w:cstheme="minorHAnsi"/>
        </w:rPr>
        <w:t xml:space="preserve"> especially with new partners in </w:t>
      </w:r>
      <w:r w:rsidR="00660966" w:rsidRPr="009C793F">
        <w:rPr>
          <w:rFonts w:asciiTheme="minorHAnsi" w:hAnsiTheme="minorHAnsi" w:cstheme="minorHAnsi"/>
        </w:rPr>
        <w:t>Africa, Asia</w:t>
      </w:r>
      <w:r w:rsidR="00CB0576" w:rsidRPr="009C793F">
        <w:rPr>
          <w:rFonts w:asciiTheme="minorHAnsi" w:hAnsiTheme="minorHAnsi" w:cstheme="minorHAnsi"/>
        </w:rPr>
        <w:t xml:space="preserve"> and the Pacific</w:t>
      </w:r>
      <w:r w:rsidRPr="009C793F">
        <w:rPr>
          <w:rFonts w:asciiTheme="minorHAnsi" w:hAnsiTheme="minorHAnsi" w:cstheme="minorHAnsi"/>
        </w:rPr>
        <w:t xml:space="preserve"> will be important. </w:t>
      </w:r>
    </w:p>
    <w:p w14:paraId="000000DF" w14:textId="77777777" w:rsidR="006B72B0" w:rsidRPr="009C793F" w:rsidRDefault="006B72B0" w:rsidP="00DE19C9">
      <w:pPr>
        <w:jc w:val="both"/>
        <w:rPr>
          <w:rFonts w:asciiTheme="minorHAnsi" w:hAnsiTheme="minorHAnsi" w:cstheme="minorHAnsi"/>
        </w:rPr>
      </w:pPr>
    </w:p>
    <w:p w14:paraId="000000E0" w14:textId="1A7B4201" w:rsidR="006B72B0" w:rsidRPr="009C793F" w:rsidRDefault="00845012" w:rsidP="00DE19C9">
      <w:pPr>
        <w:jc w:val="both"/>
        <w:rPr>
          <w:rFonts w:asciiTheme="minorHAnsi" w:hAnsiTheme="minorHAnsi" w:cstheme="minorHAnsi"/>
        </w:rPr>
      </w:pPr>
      <w:r w:rsidRPr="009C793F">
        <w:rPr>
          <w:rFonts w:asciiTheme="minorHAnsi" w:hAnsiTheme="minorHAnsi" w:cstheme="minorHAnsi"/>
        </w:rPr>
        <w:lastRenderedPageBreak/>
        <w:t xml:space="preserve">The </w:t>
      </w:r>
      <w:r w:rsidR="00CB0576" w:rsidRPr="009C793F">
        <w:rPr>
          <w:rFonts w:asciiTheme="minorHAnsi" w:hAnsiTheme="minorHAnsi" w:cstheme="minorHAnsi"/>
        </w:rPr>
        <w:t>IFIs</w:t>
      </w:r>
      <w:r w:rsidRPr="009C793F">
        <w:rPr>
          <w:rFonts w:asciiTheme="minorHAnsi" w:hAnsiTheme="minorHAnsi" w:cstheme="minorHAnsi"/>
        </w:rPr>
        <w:t xml:space="preserve"> and partners such as the</w:t>
      </w:r>
      <w:r w:rsidR="00BB4B59" w:rsidRPr="009C793F">
        <w:rPr>
          <w:rFonts w:asciiTheme="minorHAnsi" w:hAnsiTheme="minorHAnsi" w:cstheme="minorHAnsi"/>
        </w:rPr>
        <w:t xml:space="preserve"> EU</w:t>
      </w:r>
      <w:r w:rsidRPr="009C793F">
        <w:rPr>
          <w:rFonts w:asciiTheme="minorHAnsi" w:hAnsiTheme="minorHAnsi" w:cstheme="minorHAnsi"/>
        </w:rPr>
        <w:t xml:space="preserve"> also provide non-reimbursable grants. </w:t>
      </w:r>
      <w:r w:rsidR="00BB4B59" w:rsidRPr="009C793F">
        <w:rPr>
          <w:rFonts w:asciiTheme="minorHAnsi" w:hAnsiTheme="minorHAnsi" w:cstheme="minorHAnsi"/>
        </w:rPr>
        <w:t>IADB</w:t>
      </w:r>
      <w:r w:rsidRPr="009C793F">
        <w:rPr>
          <w:rFonts w:asciiTheme="minorHAnsi" w:hAnsiTheme="minorHAnsi" w:cstheme="minorHAnsi"/>
        </w:rPr>
        <w:t xml:space="preserve"> has approved or disbursed </w:t>
      </w:r>
      <w:hyperlink r:id="rId42">
        <w:r w:rsidRPr="009C793F">
          <w:rPr>
            <w:rFonts w:asciiTheme="minorHAnsi" w:hAnsiTheme="minorHAnsi" w:cstheme="minorHAnsi"/>
          </w:rPr>
          <w:t>USD 251.7 million to projects in Trinidad and Tobago since 2016</w:t>
        </w:r>
      </w:hyperlink>
      <w:r w:rsidRPr="009C793F">
        <w:rPr>
          <w:rFonts w:asciiTheme="minorHAnsi" w:hAnsiTheme="minorHAnsi" w:cstheme="minorHAnsi"/>
        </w:rPr>
        <w:t>,</w:t>
      </w:r>
      <w:r w:rsidR="00995E75" w:rsidRPr="009C793F">
        <w:rPr>
          <w:rFonts w:asciiTheme="minorHAnsi" w:hAnsiTheme="minorHAnsi" w:cstheme="minorHAnsi"/>
        </w:rPr>
        <w:t xml:space="preserve"> with</w:t>
      </w:r>
      <w:r w:rsidRPr="009C793F">
        <w:rPr>
          <w:rFonts w:asciiTheme="minorHAnsi" w:hAnsiTheme="minorHAnsi" w:cstheme="minorHAnsi"/>
        </w:rPr>
        <w:t xml:space="preserve"> non-reimbursable grants</w:t>
      </w:r>
      <w:r w:rsidR="00995E75" w:rsidRPr="009C793F">
        <w:rPr>
          <w:rFonts w:asciiTheme="minorHAnsi" w:hAnsiTheme="minorHAnsi" w:cstheme="minorHAnsi"/>
        </w:rPr>
        <w:t xml:space="preserve"> accounting for</w:t>
      </w:r>
      <w:r w:rsidRPr="009C793F">
        <w:rPr>
          <w:rFonts w:asciiTheme="minorHAnsi" w:hAnsiTheme="minorHAnsi" w:cstheme="minorHAnsi"/>
        </w:rPr>
        <w:t xml:space="preserve"> </w:t>
      </w:r>
      <w:hyperlink r:id="rId43">
        <w:r w:rsidRPr="009C793F">
          <w:rPr>
            <w:rFonts w:asciiTheme="minorHAnsi" w:hAnsiTheme="minorHAnsi" w:cstheme="minorHAnsi"/>
          </w:rPr>
          <w:t>USD 8.4 million of this total</w:t>
        </w:r>
      </w:hyperlink>
      <w:r w:rsidRPr="009C793F">
        <w:rPr>
          <w:rFonts w:asciiTheme="minorHAnsi" w:hAnsiTheme="minorHAnsi" w:cstheme="minorHAnsi"/>
        </w:rPr>
        <w:t>.</w:t>
      </w:r>
      <w:r w:rsidR="00995E75" w:rsidRPr="009C793F">
        <w:rPr>
          <w:rStyle w:val="FootnoteReference"/>
          <w:rFonts w:asciiTheme="minorHAnsi" w:hAnsiTheme="minorHAnsi" w:cstheme="minorHAnsi"/>
        </w:rPr>
        <w:footnoteReference w:id="55"/>
      </w:r>
      <w:r w:rsidRPr="009C793F">
        <w:rPr>
          <w:rFonts w:asciiTheme="minorHAnsi" w:hAnsiTheme="minorHAnsi" w:cstheme="minorHAnsi"/>
        </w:rPr>
        <w:t xml:space="preserve"> Given its enhanced emphasis on renewable energy, GORTT has indicated its intention to seek financial support from the Green Climate Fund </w:t>
      </w:r>
      <w:r w:rsidR="00BB4B59" w:rsidRPr="009C793F">
        <w:rPr>
          <w:rFonts w:asciiTheme="minorHAnsi" w:hAnsiTheme="minorHAnsi" w:cstheme="minorHAnsi"/>
        </w:rPr>
        <w:t xml:space="preserve">(GCF) </w:t>
      </w:r>
      <w:r w:rsidRPr="009C793F">
        <w:rPr>
          <w:rFonts w:asciiTheme="minorHAnsi" w:hAnsiTheme="minorHAnsi" w:cstheme="minorHAnsi"/>
        </w:rPr>
        <w:t>to help finance the US$2 billion estimated cost of emission reductions by 2030</w:t>
      </w:r>
      <w:r w:rsidRPr="009C793F">
        <w:rPr>
          <w:rFonts w:asciiTheme="minorHAnsi" w:hAnsiTheme="minorHAnsi" w:cstheme="minorHAnsi"/>
          <w:vertAlign w:val="superscript"/>
        </w:rPr>
        <w:footnoteReference w:id="56"/>
      </w:r>
      <w:r w:rsidRPr="009C793F">
        <w:rPr>
          <w:rFonts w:asciiTheme="minorHAnsi" w:hAnsiTheme="minorHAnsi" w:cstheme="minorHAnsi"/>
        </w:rPr>
        <w:t xml:space="preserve">. It should be noted that the UN has been supporting Trinidad and Tobago in accessing funding from the GCF as case with FAO which assisted in helping to access a US$163,000 readiness grant to improve data gathering and analysis. </w:t>
      </w:r>
    </w:p>
    <w:p w14:paraId="000000E1" w14:textId="77777777" w:rsidR="006B72B0" w:rsidRPr="009C793F" w:rsidRDefault="006B72B0" w:rsidP="00DE19C9">
      <w:pPr>
        <w:jc w:val="both"/>
        <w:rPr>
          <w:rFonts w:asciiTheme="minorHAnsi" w:hAnsiTheme="minorHAnsi" w:cstheme="minorHAnsi"/>
        </w:rPr>
      </w:pPr>
    </w:p>
    <w:p w14:paraId="000000E2" w14:textId="41C48BD9" w:rsidR="006B72B0" w:rsidRDefault="00845012" w:rsidP="00DE19C9">
      <w:pPr>
        <w:jc w:val="both"/>
        <w:rPr>
          <w:rFonts w:asciiTheme="minorHAnsi" w:hAnsiTheme="minorHAnsi" w:cstheme="minorHAnsi"/>
          <w:b/>
        </w:rPr>
      </w:pPr>
      <w:r w:rsidRPr="009C793F">
        <w:rPr>
          <w:rFonts w:asciiTheme="minorHAnsi" w:hAnsiTheme="minorHAnsi" w:cstheme="minorHAnsi"/>
          <w:b/>
        </w:rPr>
        <w:t>Domestic, Public Funds</w:t>
      </w:r>
    </w:p>
    <w:p w14:paraId="2C35D61B" w14:textId="77777777" w:rsidR="00C86F4B" w:rsidRPr="009C793F" w:rsidRDefault="00C86F4B" w:rsidP="00DE19C9">
      <w:pPr>
        <w:jc w:val="both"/>
        <w:rPr>
          <w:rFonts w:asciiTheme="minorHAnsi" w:hAnsiTheme="minorHAnsi" w:cstheme="minorHAnsi"/>
          <w:b/>
        </w:rPr>
      </w:pPr>
    </w:p>
    <w:p w14:paraId="000000E3" w14:textId="7091E92D"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the past, </w:t>
      </w:r>
      <w:r w:rsidR="00542D98" w:rsidRPr="009C793F">
        <w:rPr>
          <w:rFonts w:asciiTheme="minorHAnsi" w:hAnsiTheme="minorHAnsi" w:cstheme="minorHAnsi"/>
        </w:rPr>
        <w:t>GORTT</w:t>
      </w:r>
      <w:r w:rsidRPr="009C793F">
        <w:rPr>
          <w:rFonts w:asciiTheme="minorHAnsi" w:hAnsiTheme="minorHAnsi" w:cstheme="minorHAnsi"/>
        </w:rPr>
        <w:t xml:space="preserve"> met most of its financing needs from domestic funding sources, which have covered around</w:t>
      </w:r>
      <w:r w:rsidR="00CB0576" w:rsidRPr="009C793F">
        <w:rPr>
          <w:rFonts w:asciiTheme="minorHAnsi" w:hAnsiTheme="minorHAnsi" w:cstheme="minorHAnsi"/>
        </w:rPr>
        <w:t xml:space="preserve"> 80 per cent</w:t>
      </w:r>
      <w:r w:rsidRPr="009C793F">
        <w:rPr>
          <w:rFonts w:asciiTheme="minorHAnsi" w:hAnsiTheme="minorHAnsi" w:cstheme="minorHAnsi"/>
        </w:rPr>
        <w:t xml:space="preserve"> of its total needs. </w:t>
      </w:r>
      <w:r w:rsidRPr="009C793F">
        <w:rPr>
          <w:rFonts w:asciiTheme="minorHAnsi" w:hAnsiTheme="minorHAnsi" w:cstheme="minorHAnsi"/>
          <w:b/>
        </w:rPr>
        <w:t>Tax revenue</w:t>
      </w:r>
      <w:r w:rsidRPr="009C793F">
        <w:rPr>
          <w:rFonts w:asciiTheme="minorHAnsi" w:hAnsiTheme="minorHAnsi" w:cstheme="minorHAnsi"/>
        </w:rPr>
        <w:t xml:space="preserve"> is the main form of domestic public resources and the largest source of development finance. The tax-to-GDP ratio in Trinidad and Tobago increased from </w:t>
      </w:r>
      <w:hyperlink r:id="rId44">
        <w:r w:rsidRPr="009C793F">
          <w:rPr>
            <w:rFonts w:asciiTheme="minorHAnsi" w:hAnsiTheme="minorHAnsi" w:cstheme="minorHAnsi"/>
          </w:rPr>
          <w:t>20.9</w:t>
        </w:r>
        <w:r w:rsidR="00CB0576" w:rsidRPr="009C793F">
          <w:rPr>
            <w:rFonts w:asciiTheme="minorHAnsi" w:hAnsiTheme="minorHAnsi" w:cstheme="minorHAnsi"/>
          </w:rPr>
          <w:t xml:space="preserve"> per cent </w:t>
        </w:r>
        <w:r w:rsidRPr="009C793F">
          <w:rPr>
            <w:rFonts w:asciiTheme="minorHAnsi" w:hAnsiTheme="minorHAnsi" w:cstheme="minorHAnsi"/>
          </w:rPr>
          <w:t>in 2017</w:t>
        </w:r>
      </w:hyperlink>
      <w:r w:rsidRPr="009C793F">
        <w:rPr>
          <w:rFonts w:asciiTheme="minorHAnsi" w:hAnsiTheme="minorHAnsi" w:cstheme="minorHAnsi"/>
        </w:rPr>
        <w:t xml:space="preserve"> to </w:t>
      </w:r>
      <w:hyperlink r:id="rId45">
        <w:r w:rsidRPr="009C793F">
          <w:rPr>
            <w:rFonts w:asciiTheme="minorHAnsi" w:hAnsiTheme="minorHAnsi" w:cstheme="minorHAnsi"/>
          </w:rPr>
          <w:t>24.2</w:t>
        </w:r>
        <w:r w:rsidR="00CB0576" w:rsidRPr="009C793F">
          <w:rPr>
            <w:rFonts w:asciiTheme="minorHAnsi" w:hAnsiTheme="minorHAnsi" w:cstheme="minorHAnsi"/>
          </w:rPr>
          <w:t xml:space="preserve"> per cent </w:t>
        </w:r>
        <w:r w:rsidRPr="009C793F">
          <w:rPr>
            <w:rFonts w:asciiTheme="minorHAnsi" w:hAnsiTheme="minorHAnsi" w:cstheme="minorHAnsi"/>
          </w:rPr>
          <w:t>in 2018</w:t>
        </w:r>
      </w:hyperlink>
      <w:r w:rsidRPr="009C793F">
        <w:rPr>
          <w:rFonts w:asciiTheme="minorHAnsi" w:hAnsiTheme="minorHAnsi" w:cstheme="minorHAnsi"/>
        </w:rPr>
        <w:t>—above the L</w:t>
      </w:r>
      <w:r w:rsidR="002B25CD" w:rsidRPr="009C793F">
        <w:rPr>
          <w:rFonts w:asciiTheme="minorHAnsi" w:hAnsiTheme="minorHAnsi" w:cstheme="minorHAnsi"/>
        </w:rPr>
        <w:t>AC</w:t>
      </w:r>
      <w:r w:rsidRPr="009C793F">
        <w:rPr>
          <w:rFonts w:asciiTheme="minorHAnsi" w:hAnsiTheme="minorHAnsi" w:cstheme="minorHAnsi"/>
        </w:rPr>
        <w:t xml:space="preserve"> average of</w:t>
      </w:r>
      <w:r w:rsidR="00CB0576" w:rsidRPr="009C793F">
        <w:rPr>
          <w:rFonts w:asciiTheme="minorHAnsi" w:hAnsiTheme="minorHAnsi" w:cstheme="minorHAnsi"/>
        </w:rPr>
        <w:t xml:space="preserve"> 23.1 per cent</w:t>
      </w:r>
      <w:r w:rsidRPr="009C793F">
        <w:rPr>
          <w:rFonts w:asciiTheme="minorHAnsi" w:hAnsiTheme="minorHAnsi" w:cstheme="minorHAnsi"/>
        </w:rPr>
        <w:t xml:space="preserve">. The highest share of tax revenues in Trinidad and Tobago in 2018 came from </w:t>
      </w:r>
      <w:hyperlink r:id="rId46">
        <w:r w:rsidRPr="009C793F">
          <w:rPr>
            <w:rFonts w:asciiTheme="minorHAnsi" w:hAnsiTheme="minorHAnsi" w:cstheme="minorHAnsi"/>
          </w:rPr>
          <w:t>corporate income tax (7.7</w:t>
        </w:r>
        <w:r w:rsidR="00CB0576" w:rsidRPr="009C793F">
          <w:rPr>
            <w:rFonts w:asciiTheme="minorHAnsi" w:hAnsiTheme="minorHAnsi" w:cstheme="minorHAnsi"/>
          </w:rPr>
          <w:t xml:space="preserve"> per cent</w:t>
        </w:r>
        <w:r w:rsidRPr="009C793F">
          <w:rPr>
            <w:rFonts w:asciiTheme="minorHAnsi" w:hAnsiTheme="minorHAnsi" w:cstheme="minorHAnsi"/>
          </w:rPr>
          <w:t xml:space="preserve"> of GDP)</w:t>
        </w:r>
      </w:hyperlink>
      <w:r w:rsidRPr="009C793F">
        <w:rPr>
          <w:rFonts w:asciiTheme="minorHAnsi" w:hAnsiTheme="minorHAnsi" w:cstheme="minorHAnsi"/>
        </w:rPr>
        <w:t xml:space="preserve">. The second and third highest shares were derived from </w:t>
      </w:r>
      <w:hyperlink r:id="rId47">
        <w:r w:rsidRPr="009C793F">
          <w:rPr>
            <w:rFonts w:asciiTheme="minorHAnsi" w:hAnsiTheme="minorHAnsi" w:cstheme="minorHAnsi"/>
          </w:rPr>
          <w:t>value added taxes</w:t>
        </w:r>
      </w:hyperlink>
      <w:r w:rsidRPr="009C793F">
        <w:rPr>
          <w:rFonts w:asciiTheme="minorHAnsi" w:hAnsiTheme="minorHAnsi" w:cstheme="minorHAnsi"/>
        </w:rPr>
        <w:t xml:space="preserve"> and </w:t>
      </w:r>
      <w:hyperlink r:id="rId48">
        <w:r w:rsidRPr="009C793F">
          <w:rPr>
            <w:rFonts w:asciiTheme="minorHAnsi" w:hAnsiTheme="minorHAnsi" w:cstheme="minorHAnsi"/>
          </w:rPr>
          <w:t>goods and services taxes (4.8</w:t>
        </w:r>
        <w:r w:rsidR="00CB0576" w:rsidRPr="009C793F">
          <w:rPr>
            <w:rFonts w:asciiTheme="minorHAnsi" w:hAnsiTheme="minorHAnsi" w:cstheme="minorHAnsi"/>
          </w:rPr>
          <w:t xml:space="preserve"> per cent</w:t>
        </w:r>
        <w:r w:rsidRPr="009C793F">
          <w:rPr>
            <w:rFonts w:asciiTheme="minorHAnsi" w:hAnsiTheme="minorHAnsi" w:cstheme="minorHAnsi"/>
          </w:rPr>
          <w:t xml:space="preserve"> of GDP)</w:t>
        </w:r>
      </w:hyperlink>
      <w:r w:rsidRPr="009C793F">
        <w:rPr>
          <w:rFonts w:asciiTheme="minorHAnsi" w:hAnsiTheme="minorHAnsi" w:cstheme="minorHAnsi"/>
        </w:rPr>
        <w:t xml:space="preserve">, and </w:t>
      </w:r>
      <w:hyperlink r:id="rId49">
        <w:r w:rsidRPr="009C793F">
          <w:rPr>
            <w:rFonts w:asciiTheme="minorHAnsi" w:hAnsiTheme="minorHAnsi" w:cstheme="minorHAnsi"/>
          </w:rPr>
          <w:t>personal income and gains taxes (4.5</w:t>
        </w:r>
        <w:r w:rsidR="00CB0576" w:rsidRPr="009C793F">
          <w:rPr>
            <w:rFonts w:asciiTheme="minorHAnsi" w:hAnsiTheme="minorHAnsi" w:cstheme="minorHAnsi"/>
          </w:rPr>
          <w:t xml:space="preserve"> per cent </w:t>
        </w:r>
        <w:r w:rsidRPr="009C793F">
          <w:rPr>
            <w:rFonts w:asciiTheme="minorHAnsi" w:hAnsiTheme="minorHAnsi" w:cstheme="minorHAnsi"/>
          </w:rPr>
          <w:t>of GDP)</w:t>
        </w:r>
      </w:hyperlink>
      <w:r w:rsidR="002B25CD" w:rsidRPr="009C793F">
        <w:rPr>
          <w:rFonts w:asciiTheme="minorHAnsi" w:hAnsiTheme="minorHAnsi" w:cstheme="minorHAnsi"/>
        </w:rPr>
        <w:t>.</w:t>
      </w:r>
      <w:r w:rsidR="002B25CD" w:rsidRPr="009C793F">
        <w:rPr>
          <w:rStyle w:val="FootnoteReference"/>
          <w:rFonts w:asciiTheme="minorHAnsi" w:hAnsiTheme="minorHAnsi" w:cstheme="minorHAnsi"/>
        </w:rPr>
        <w:footnoteReference w:id="57"/>
      </w:r>
    </w:p>
    <w:p w14:paraId="000000E4" w14:textId="77777777" w:rsidR="006B72B0" w:rsidRPr="009C793F" w:rsidRDefault="006B72B0" w:rsidP="00DE19C9">
      <w:pPr>
        <w:jc w:val="both"/>
        <w:rPr>
          <w:rFonts w:asciiTheme="minorHAnsi" w:hAnsiTheme="minorHAnsi" w:cstheme="minorHAnsi"/>
        </w:rPr>
      </w:pPr>
    </w:p>
    <w:p w14:paraId="000000E5" w14:textId="5C2C47FF"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There are special taxes to earn revenue for specific aspects of development—the most prominent being the Green Fund Levy, a tax of 0.05</w:t>
      </w:r>
      <w:r w:rsidR="00E408E0" w:rsidRPr="009C793F">
        <w:rPr>
          <w:rFonts w:asciiTheme="minorHAnsi" w:hAnsiTheme="minorHAnsi" w:cstheme="minorHAnsi"/>
        </w:rPr>
        <w:t>per cent</w:t>
      </w:r>
      <w:r w:rsidRPr="009C793F">
        <w:rPr>
          <w:rFonts w:asciiTheme="minorHAnsi" w:hAnsiTheme="minorHAnsi" w:cstheme="minorHAnsi"/>
        </w:rPr>
        <w:t xml:space="preserve"> on the gross revenue of all companies introduced in September 2000. The Fund’s purpose to provide financial assistance to organisations and community groups for implementing activities to remediation, reforestation, and conservation of the environment.  By July 2020, the Green Fund had in excess of </w:t>
      </w:r>
      <w:hyperlink r:id="rId50">
        <w:r w:rsidRPr="009C793F">
          <w:rPr>
            <w:rFonts w:asciiTheme="minorHAnsi" w:hAnsiTheme="minorHAnsi" w:cstheme="minorHAnsi"/>
          </w:rPr>
          <w:t>US$ 1 billion</w:t>
        </w:r>
      </w:hyperlink>
      <w:r w:rsidRPr="009C793F">
        <w:rPr>
          <w:rFonts w:asciiTheme="minorHAnsi" w:hAnsiTheme="minorHAnsi" w:cstheme="minorHAnsi"/>
        </w:rPr>
        <w:t>; though at June 2019 less than 15</w:t>
      </w:r>
      <w:r w:rsidR="00E408E0" w:rsidRPr="009C793F">
        <w:rPr>
          <w:rFonts w:asciiTheme="minorHAnsi" w:hAnsiTheme="minorHAnsi" w:cstheme="minorHAnsi"/>
        </w:rPr>
        <w:t>per cent</w:t>
      </w:r>
      <w:r w:rsidRPr="009C793F">
        <w:rPr>
          <w:rFonts w:asciiTheme="minorHAnsi" w:hAnsiTheme="minorHAnsi" w:cstheme="minorHAnsi"/>
        </w:rPr>
        <w:t xml:space="preserve"> of the funds had been committed to environmental sustainability initiatives.</w:t>
      </w:r>
      <w:r w:rsidR="002B25CD" w:rsidRPr="009C793F">
        <w:rPr>
          <w:rStyle w:val="FootnoteReference"/>
          <w:rFonts w:asciiTheme="minorHAnsi" w:hAnsiTheme="minorHAnsi" w:cstheme="minorHAnsi"/>
        </w:rPr>
        <w:footnoteReference w:id="58"/>
      </w:r>
    </w:p>
    <w:p w14:paraId="000000E6" w14:textId="77777777" w:rsidR="006B72B0" w:rsidRPr="009C793F" w:rsidRDefault="006B72B0" w:rsidP="00DE19C9">
      <w:pPr>
        <w:jc w:val="both"/>
        <w:rPr>
          <w:rFonts w:asciiTheme="minorHAnsi" w:hAnsiTheme="minorHAnsi" w:cstheme="minorHAnsi"/>
        </w:rPr>
      </w:pPr>
    </w:p>
    <w:p w14:paraId="000000E7" w14:textId="29D2D98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Tobago's Government's </w:t>
      </w:r>
      <w:hyperlink r:id="rId51">
        <w:r w:rsidRPr="009C793F">
          <w:rPr>
            <w:rFonts w:asciiTheme="minorHAnsi" w:hAnsiTheme="minorHAnsi" w:cstheme="minorHAnsi"/>
          </w:rPr>
          <w:t>balance sheet has weakened</w:t>
        </w:r>
      </w:hyperlink>
      <w:r w:rsidRPr="009C793F">
        <w:rPr>
          <w:rFonts w:asciiTheme="minorHAnsi" w:hAnsiTheme="minorHAnsi" w:cstheme="minorHAnsi"/>
        </w:rPr>
        <w:t xml:space="preserve"> since the 2015 oil and gas price shock, reducing revenue, and leaving the sovereign's credit profile </w:t>
      </w:r>
      <w:hyperlink r:id="rId52">
        <w:r w:rsidRPr="009C793F">
          <w:rPr>
            <w:rFonts w:asciiTheme="minorHAnsi" w:hAnsiTheme="minorHAnsi" w:cstheme="minorHAnsi"/>
          </w:rPr>
          <w:t>exposed</w:t>
        </w:r>
      </w:hyperlink>
      <w:r w:rsidRPr="009C793F">
        <w:rPr>
          <w:rFonts w:asciiTheme="minorHAnsi" w:hAnsiTheme="minorHAnsi" w:cstheme="minorHAnsi"/>
        </w:rPr>
        <w:t xml:space="preserve"> to a further prolonged period of depressed oil and gas prices or lower-than-expected investment in the energy sector. Government annual </w:t>
      </w:r>
      <w:hyperlink r:id="rId53">
        <w:r w:rsidRPr="009C793F">
          <w:rPr>
            <w:rFonts w:asciiTheme="minorHAnsi" w:hAnsiTheme="minorHAnsi" w:cstheme="minorHAnsi"/>
          </w:rPr>
          <w:t>spending has exceeded annual earnings</w:t>
        </w:r>
      </w:hyperlink>
      <w:r w:rsidRPr="009C793F">
        <w:rPr>
          <w:rFonts w:asciiTheme="minorHAnsi" w:hAnsiTheme="minorHAnsi" w:cstheme="minorHAnsi"/>
        </w:rPr>
        <w:t xml:space="preserve"> since 2009.</w:t>
      </w:r>
      <w:r w:rsidR="00CB0576" w:rsidRPr="009C793F">
        <w:rPr>
          <w:rFonts w:asciiTheme="minorHAnsi" w:hAnsiTheme="minorHAnsi" w:cstheme="minorHAnsi"/>
        </w:rPr>
        <w:t xml:space="preserve"> GORTT </w:t>
      </w:r>
      <w:r w:rsidRPr="009C793F">
        <w:rPr>
          <w:rFonts w:asciiTheme="minorHAnsi" w:hAnsiTheme="minorHAnsi" w:cstheme="minorHAnsi"/>
        </w:rPr>
        <w:t xml:space="preserve">is addressing this on the revenue side </w:t>
      </w:r>
      <w:r w:rsidR="00CB0576" w:rsidRPr="009C793F">
        <w:rPr>
          <w:rFonts w:asciiTheme="minorHAnsi" w:hAnsiTheme="minorHAnsi" w:cstheme="minorHAnsi"/>
        </w:rPr>
        <w:t>via</w:t>
      </w:r>
      <w:r w:rsidRPr="009C793F">
        <w:rPr>
          <w:rFonts w:asciiTheme="minorHAnsi" w:hAnsiTheme="minorHAnsi" w:cstheme="minorHAnsi"/>
        </w:rPr>
        <w:t xml:space="preserve"> </w:t>
      </w:r>
      <w:hyperlink r:id="rId54">
        <w:r w:rsidRPr="009C793F">
          <w:rPr>
            <w:rFonts w:asciiTheme="minorHAnsi" w:hAnsiTheme="minorHAnsi" w:cstheme="minorHAnsi"/>
          </w:rPr>
          <w:t>tax reforms</w:t>
        </w:r>
      </w:hyperlink>
      <w:r w:rsidR="00CB0576" w:rsidRPr="009C793F">
        <w:rPr>
          <w:rFonts w:asciiTheme="minorHAnsi" w:hAnsiTheme="minorHAnsi" w:cstheme="minorHAnsi"/>
        </w:rPr>
        <w:t xml:space="preserve">. It is also is also </w:t>
      </w:r>
      <w:r w:rsidRPr="009C793F">
        <w:rPr>
          <w:rFonts w:asciiTheme="minorHAnsi" w:hAnsiTheme="minorHAnsi" w:cstheme="minorHAnsi"/>
        </w:rPr>
        <w:t xml:space="preserve">in the process of establishing a </w:t>
      </w:r>
      <w:hyperlink r:id="rId55">
        <w:r w:rsidRPr="009C793F">
          <w:rPr>
            <w:rFonts w:asciiTheme="minorHAnsi" w:hAnsiTheme="minorHAnsi" w:cstheme="minorHAnsi"/>
          </w:rPr>
          <w:t>Revenue Authority</w:t>
        </w:r>
      </w:hyperlink>
      <w:r w:rsidRPr="009C793F">
        <w:rPr>
          <w:rFonts w:asciiTheme="minorHAnsi" w:hAnsiTheme="minorHAnsi" w:cstheme="minorHAnsi"/>
        </w:rPr>
        <w:t xml:space="preserve"> to address weaknesses in tax administration and compliance to </w:t>
      </w:r>
      <w:hyperlink r:id="rId56">
        <w:r w:rsidRPr="009C793F">
          <w:rPr>
            <w:rFonts w:asciiTheme="minorHAnsi" w:hAnsiTheme="minorHAnsi" w:cstheme="minorHAnsi"/>
          </w:rPr>
          <w:t>enhance revenue collection</w:t>
        </w:r>
      </w:hyperlink>
      <w:r w:rsidRPr="009C793F">
        <w:rPr>
          <w:rFonts w:asciiTheme="minorHAnsi" w:hAnsiTheme="minorHAnsi" w:cstheme="minorHAnsi"/>
        </w:rPr>
        <w:t xml:space="preserve">. The imbalance between Government revenue and expenditure is being exacerbated by the pandemic which has caused a marked reduction in economic activity which will in turn have a direct impact on tax revenues. </w:t>
      </w:r>
    </w:p>
    <w:p w14:paraId="000000E8" w14:textId="77777777" w:rsidR="006B72B0" w:rsidRPr="009C793F" w:rsidRDefault="006B72B0" w:rsidP="00DE19C9">
      <w:pPr>
        <w:jc w:val="both"/>
        <w:rPr>
          <w:rFonts w:asciiTheme="minorHAnsi" w:hAnsiTheme="minorHAnsi" w:cstheme="minorHAnsi"/>
        </w:rPr>
      </w:pPr>
    </w:p>
    <w:p w14:paraId="000000E9" w14:textId="75AE4BC1"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established a </w:t>
      </w:r>
      <w:r w:rsidRPr="009C793F">
        <w:rPr>
          <w:rFonts w:asciiTheme="minorHAnsi" w:hAnsiTheme="minorHAnsi" w:cstheme="minorHAnsi"/>
          <w:b/>
        </w:rPr>
        <w:t>sovereign wealth fund</w:t>
      </w:r>
      <w:r w:rsidRPr="009C793F">
        <w:rPr>
          <w:rFonts w:asciiTheme="minorHAnsi" w:hAnsiTheme="minorHAnsi" w:cstheme="minorHAnsi"/>
        </w:rPr>
        <w:t xml:space="preserve">, the </w:t>
      </w:r>
      <w:hyperlink r:id="rId57">
        <w:r w:rsidRPr="009C793F">
          <w:rPr>
            <w:rFonts w:asciiTheme="minorHAnsi" w:hAnsiTheme="minorHAnsi" w:cstheme="minorHAnsi"/>
          </w:rPr>
          <w:t>Heritage and Stabilization Fund (HSF)</w:t>
        </w:r>
      </w:hyperlink>
      <w:r w:rsidRPr="009C793F">
        <w:rPr>
          <w:rFonts w:asciiTheme="minorHAnsi" w:hAnsiTheme="minorHAnsi" w:cstheme="minorHAnsi"/>
        </w:rPr>
        <w:t xml:space="preserve">, in 2007. The fund is denominated in US dollars, and </w:t>
      </w:r>
      <w:hyperlink r:id="rId58">
        <w:r w:rsidRPr="009C793F">
          <w:rPr>
            <w:rFonts w:asciiTheme="minorHAnsi" w:hAnsiTheme="minorHAnsi" w:cstheme="minorHAnsi"/>
          </w:rPr>
          <w:t>invests</w:t>
        </w:r>
      </w:hyperlink>
      <w:r w:rsidRPr="009C793F">
        <w:rPr>
          <w:rFonts w:asciiTheme="minorHAnsi" w:hAnsiTheme="minorHAnsi" w:cstheme="minorHAnsi"/>
        </w:rPr>
        <w:t xml:space="preserve"> in a variety of US and international equities. In April 2020, the HSF stood at </w:t>
      </w:r>
      <w:hyperlink r:id="rId59">
        <w:r w:rsidRPr="009C793F">
          <w:rPr>
            <w:rFonts w:asciiTheme="minorHAnsi" w:hAnsiTheme="minorHAnsi" w:cstheme="minorHAnsi"/>
          </w:rPr>
          <w:t>USD 6.25 billion</w:t>
        </w:r>
      </w:hyperlink>
      <w:r w:rsidRPr="009C793F">
        <w:rPr>
          <w:rFonts w:asciiTheme="minorHAnsi" w:hAnsiTheme="minorHAnsi" w:cstheme="minorHAnsi"/>
        </w:rPr>
        <w:t>. Due to the coronavirus pandemic, in May 2020 the Government withdrew USD400 million for budgetary support, and the authorities have secured legislative authorization to withdraw up to USD 1.5 billion (or 6</w:t>
      </w:r>
      <w:r w:rsidR="002B25CD"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2019 GDP) to </w:t>
      </w:r>
      <w:hyperlink r:id="rId60">
        <w:r w:rsidRPr="009C793F">
          <w:rPr>
            <w:rFonts w:asciiTheme="minorHAnsi" w:hAnsiTheme="minorHAnsi" w:cstheme="minorHAnsi"/>
          </w:rPr>
          <w:t>cover part of 2020's fiscal deficit</w:t>
        </w:r>
      </w:hyperlink>
      <w:r w:rsidRPr="009C793F">
        <w:rPr>
          <w:rFonts w:asciiTheme="minorHAnsi" w:hAnsiTheme="minorHAnsi" w:cstheme="minorHAnsi"/>
        </w:rPr>
        <w:t xml:space="preserve">. While Trinidad and Tobago’s international reserves and HSF provide significant financial buffers, and </w:t>
      </w:r>
      <w:hyperlink r:id="rId61">
        <w:r w:rsidRPr="009C793F">
          <w:rPr>
            <w:rFonts w:asciiTheme="minorHAnsi" w:hAnsiTheme="minorHAnsi" w:cstheme="minorHAnsi"/>
          </w:rPr>
          <w:t>approximately eight months of import cover</w:t>
        </w:r>
      </w:hyperlink>
      <w:r w:rsidRPr="009C793F">
        <w:rPr>
          <w:rFonts w:asciiTheme="minorHAnsi" w:hAnsiTheme="minorHAnsi" w:cstheme="minorHAnsi"/>
        </w:rPr>
        <w:t xml:space="preserve">, Moody's Investors Service expects the HSF to </w:t>
      </w:r>
      <w:hyperlink r:id="rId62">
        <w:r w:rsidRPr="009C793F">
          <w:rPr>
            <w:rFonts w:asciiTheme="minorHAnsi" w:hAnsiTheme="minorHAnsi" w:cstheme="minorHAnsi"/>
          </w:rPr>
          <w:t>decline to 20</w:t>
        </w:r>
        <w:r w:rsidR="002B25CD"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GDP</w:t>
        </w:r>
      </w:hyperlink>
      <w:r w:rsidRPr="009C793F">
        <w:rPr>
          <w:rFonts w:asciiTheme="minorHAnsi" w:hAnsiTheme="minorHAnsi" w:cstheme="minorHAnsi"/>
        </w:rPr>
        <w:t xml:space="preserve"> by the end of 2021.</w:t>
      </w:r>
      <w:r w:rsidR="002B25CD" w:rsidRPr="009C793F">
        <w:rPr>
          <w:rStyle w:val="FootnoteReference"/>
          <w:rFonts w:asciiTheme="minorHAnsi" w:hAnsiTheme="minorHAnsi" w:cstheme="minorHAnsi"/>
        </w:rPr>
        <w:footnoteReference w:id="59"/>
      </w:r>
    </w:p>
    <w:p w14:paraId="000000EA" w14:textId="77777777" w:rsidR="006B72B0" w:rsidRPr="009C793F" w:rsidRDefault="006B72B0" w:rsidP="00DE19C9">
      <w:pPr>
        <w:jc w:val="both"/>
        <w:rPr>
          <w:rFonts w:asciiTheme="minorHAnsi" w:hAnsiTheme="minorHAnsi" w:cstheme="minorHAnsi"/>
        </w:rPr>
      </w:pPr>
    </w:p>
    <w:p w14:paraId="000000EC" w14:textId="227C4821" w:rsidR="006B72B0" w:rsidRDefault="00845012" w:rsidP="00DE19C9">
      <w:pPr>
        <w:jc w:val="both"/>
        <w:rPr>
          <w:rFonts w:asciiTheme="minorHAnsi" w:hAnsiTheme="minorHAnsi" w:cstheme="minorHAnsi"/>
          <w:b/>
        </w:rPr>
      </w:pPr>
      <w:r w:rsidRPr="009C793F">
        <w:rPr>
          <w:rFonts w:asciiTheme="minorHAnsi" w:hAnsiTheme="minorHAnsi" w:cstheme="minorHAnsi"/>
          <w:b/>
        </w:rPr>
        <w:t>Domestic, Private Funds</w:t>
      </w:r>
    </w:p>
    <w:p w14:paraId="14E7DE40" w14:textId="77777777" w:rsidR="00C86F4B" w:rsidRPr="009C793F" w:rsidRDefault="00C86F4B" w:rsidP="00DE19C9">
      <w:pPr>
        <w:jc w:val="both"/>
        <w:rPr>
          <w:rFonts w:asciiTheme="minorHAnsi" w:hAnsiTheme="minorHAnsi" w:cstheme="minorHAnsi"/>
          <w:b/>
        </w:rPr>
      </w:pPr>
    </w:p>
    <w:p w14:paraId="000000ED" w14:textId="71ACE36B"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SDGs have significant resource implications, especially for developing countries like Trinidad and Tobago. Estimates for the investment needs in just developing countries range from </w:t>
      </w:r>
      <w:hyperlink r:id="rId63">
        <w:r w:rsidRPr="009C793F">
          <w:rPr>
            <w:rFonts w:asciiTheme="minorHAnsi" w:hAnsiTheme="minorHAnsi" w:cstheme="minorHAnsi"/>
          </w:rPr>
          <w:t>USD 3.3 trillion to USD 4.5 trillion per year</w:t>
        </w:r>
      </w:hyperlink>
      <w:r w:rsidRPr="009C793F">
        <w:rPr>
          <w:rFonts w:asciiTheme="minorHAnsi" w:hAnsiTheme="minorHAnsi" w:cstheme="minorHAnsi"/>
        </w:rPr>
        <w:t>.</w:t>
      </w:r>
      <w:r w:rsidR="002B25CD" w:rsidRPr="009C793F">
        <w:rPr>
          <w:rStyle w:val="FootnoteReference"/>
          <w:rFonts w:asciiTheme="minorHAnsi" w:hAnsiTheme="minorHAnsi" w:cstheme="minorHAnsi"/>
        </w:rPr>
        <w:footnoteReference w:id="60"/>
      </w:r>
      <w:r w:rsidRPr="009C793F">
        <w:rPr>
          <w:rFonts w:asciiTheme="minorHAnsi" w:hAnsiTheme="minorHAnsi" w:cstheme="minorHAnsi"/>
        </w:rPr>
        <w:t xml:space="preserve"> Bridging the gap in Trinidad and Tobago and other developing countries is </w:t>
      </w:r>
      <w:hyperlink r:id="rId64">
        <w:r w:rsidRPr="009C793F">
          <w:rPr>
            <w:rFonts w:asciiTheme="minorHAnsi" w:hAnsiTheme="minorHAnsi" w:cstheme="minorHAnsi"/>
          </w:rPr>
          <w:t>possible only with private investment</w:t>
        </w:r>
      </w:hyperlink>
      <w:r w:rsidRPr="009C793F">
        <w:rPr>
          <w:rFonts w:asciiTheme="minorHAnsi" w:hAnsiTheme="minorHAnsi" w:cstheme="minorHAnsi"/>
        </w:rPr>
        <w:t xml:space="preserve">, but SDG-related private financing </w:t>
      </w:r>
      <w:hyperlink r:id="rId65">
        <w:r w:rsidRPr="009C793F">
          <w:rPr>
            <w:rFonts w:asciiTheme="minorHAnsi" w:hAnsiTheme="minorHAnsi" w:cstheme="minorHAnsi"/>
          </w:rPr>
          <w:t>remains low</w:t>
        </w:r>
      </w:hyperlink>
      <w:r w:rsidRPr="009C793F">
        <w:rPr>
          <w:rFonts w:asciiTheme="minorHAnsi" w:hAnsiTheme="minorHAnsi" w:cstheme="minorHAnsi"/>
        </w:rPr>
        <w:t>.</w:t>
      </w:r>
    </w:p>
    <w:p w14:paraId="000000EE" w14:textId="77777777" w:rsidR="006B72B0" w:rsidRPr="009C793F" w:rsidRDefault="006B72B0" w:rsidP="00DE19C9">
      <w:pPr>
        <w:jc w:val="both"/>
        <w:rPr>
          <w:rFonts w:asciiTheme="minorHAnsi" w:hAnsiTheme="minorHAnsi" w:cstheme="minorHAnsi"/>
        </w:rPr>
      </w:pPr>
    </w:p>
    <w:p w14:paraId="000000EF" w14:textId="3B362DB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Whilst the SDGs are </w:t>
      </w:r>
      <w:r w:rsidR="00CB0576" w:rsidRPr="009C793F">
        <w:rPr>
          <w:rFonts w:asciiTheme="minorHAnsi" w:hAnsiTheme="minorHAnsi" w:cstheme="minorHAnsi"/>
        </w:rPr>
        <w:t>fully reflected in the NDS</w:t>
      </w:r>
      <w:r w:rsidRPr="009C793F">
        <w:rPr>
          <w:rFonts w:asciiTheme="minorHAnsi" w:hAnsiTheme="minorHAnsi" w:cstheme="minorHAnsi"/>
        </w:rPr>
        <w:t xml:space="preserve">, there is no specific policy to encourage companies and investors to integrate the SDGs into their operations and portfolios. Greater sensitization is required to advance the SDGs in the business community. The SDGs have the </w:t>
      </w:r>
      <w:hyperlink r:id="rId66" w:anchor=":~:text=At%20least%20US%2412%20trillion,and%20health%20and%20well%2Dbeing.">
        <w:r w:rsidRPr="009C793F">
          <w:rPr>
            <w:rFonts w:asciiTheme="minorHAnsi" w:hAnsiTheme="minorHAnsi" w:cstheme="minorHAnsi"/>
          </w:rPr>
          <w:t>potential to unleash innovation and growth in businesses</w:t>
        </w:r>
      </w:hyperlink>
      <w:r w:rsidRPr="009C793F">
        <w:rPr>
          <w:rFonts w:asciiTheme="minorHAnsi" w:hAnsiTheme="minorHAnsi" w:cstheme="minorHAnsi"/>
        </w:rPr>
        <w:t xml:space="preserve"> that integrate them into their strategies and operations. </w:t>
      </w:r>
    </w:p>
    <w:p w14:paraId="000000F0" w14:textId="77777777" w:rsidR="006B72B0" w:rsidRPr="009C793F" w:rsidRDefault="006B72B0" w:rsidP="00DE19C9">
      <w:pPr>
        <w:jc w:val="both"/>
        <w:rPr>
          <w:rFonts w:asciiTheme="minorHAnsi" w:hAnsiTheme="minorHAnsi" w:cstheme="minorHAnsi"/>
        </w:rPr>
      </w:pPr>
    </w:p>
    <w:p w14:paraId="000000F1" w14:textId="5B2C8935"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Since 2014, depressed energy prices have constrained Government resources and decreased capital expenditure and have led GORTT to look at alternative sources of financing. Indeed, in its efforts to reduce expenditure, the Government has removed subsidies for petrol and shut down the existing oil refinery (PETROTRIN).  There is an increased focus on Public-Private Partnerships (PPPs).  In 2019, the CDB identified </w:t>
      </w:r>
      <w:hyperlink r:id="rId67">
        <w:r w:rsidRPr="009C793F">
          <w:rPr>
            <w:rFonts w:asciiTheme="minorHAnsi" w:hAnsiTheme="minorHAnsi" w:cstheme="minorHAnsi"/>
          </w:rPr>
          <w:t>seven PPP projects</w:t>
        </w:r>
      </w:hyperlink>
      <w:r w:rsidRPr="009C793F">
        <w:rPr>
          <w:rFonts w:asciiTheme="minorHAnsi" w:hAnsiTheme="minorHAnsi" w:cstheme="minorHAnsi"/>
        </w:rPr>
        <w:t xml:space="preserve"> in Trinidad and Tobago.  These include the Tobago International Airport, the new wing of the Port of Spain General Hospital, </w:t>
      </w:r>
      <w:r w:rsidR="003534AB" w:rsidRPr="009C793F">
        <w:rPr>
          <w:rFonts w:asciiTheme="minorHAnsi" w:hAnsiTheme="minorHAnsi" w:cstheme="minorHAnsi"/>
        </w:rPr>
        <w:t>w</w:t>
      </w:r>
      <w:r w:rsidRPr="009C793F">
        <w:rPr>
          <w:rFonts w:asciiTheme="minorHAnsi" w:hAnsiTheme="minorHAnsi" w:cstheme="minorHAnsi"/>
        </w:rPr>
        <w:t xml:space="preserve">ind and </w:t>
      </w:r>
      <w:r w:rsidR="003534AB" w:rsidRPr="009C793F">
        <w:rPr>
          <w:rFonts w:asciiTheme="minorHAnsi" w:hAnsiTheme="minorHAnsi" w:cstheme="minorHAnsi"/>
        </w:rPr>
        <w:t>s</w:t>
      </w:r>
      <w:r w:rsidRPr="009C793F">
        <w:rPr>
          <w:rFonts w:asciiTheme="minorHAnsi" w:hAnsiTheme="minorHAnsi" w:cstheme="minorHAnsi"/>
        </w:rPr>
        <w:t xml:space="preserve">olar </w:t>
      </w:r>
      <w:r w:rsidR="003534AB" w:rsidRPr="009C793F">
        <w:rPr>
          <w:rFonts w:asciiTheme="minorHAnsi" w:hAnsiTheme="minorHAnsi" w:cstheme="minorHAnsi"/>
        </w:rPr>
        <w:t>p</w:t>
      </w:r>
      <w:r w:rsidRPr="009C793F">
        <w:rPr>
          <w:rFonts w:asciiTheme="minorHAnsi" w:hAnsiTheme="minorHAnsi" w:cstheme="minorHAnsi"/>
        </w:rPr>
        <w:t xml:space="preserve">ower </w:t>
      </w:r>
      <w:r w:rsidR="003534AB" w:rsidRPr="009C793F">
        <w:rPr>
          <w:rFonts w:asciiTheme="minorHAnsi" w:hAnsiTheme="minorHAnsi" w:cstheme="minorHAnsi"/>
        </w:rPr>
        <w:t>p</w:t>
      </w:r>
      <w:r w:rsidRPr="009C793F">
        <w:rPr>
          <w:rFonts w:asciiTheme="minorHAnsi" w:hAnsiTheme="minorHAnsi" w:cstheme="minorHAnsi"/>
        </w:rPr>
        <w:t xml:space="preserve">roduction projects, an integrated solid waste system, and a waste-to-energy Project. The cost for these seven projects amounts to </w:t>
      </w:r>
      <w:hyperlink r:id="rId68">
        <w:r w:rsidRPr="009C793F">
          <w:rPr>
            <w:rFonts w:asciiTheme="minorHAnsi" w:hAnsiTheme="minorHAnsi" w:cstheme="minorHAnsi"/>
          </w:rPr>
          <w:t>USD 750 million</w:t>
        </w:r>
      </w:hyperlink>
      <w:r w:rsidRPr="009C793F">
        <w:rPr>
          <w:rFonts w:asciiTheme="minorHAnsi" w:hAnsiTheme="minorHAnsi" w:cstheme="minorHAnsi"/>
          <w:vertAlign w:val="superscript"/>
        </w:rPr>
        <w:footnoteReference w:id="61"/>
      </w:r>
      <w:r w:rsidRPr="009C793F">
        <w:rPr>
          <w:rFonts w:asciiTheme="minorHAnsi" w:hAnsiTheme="minorHAnsi" w:cstheme="minorHAnsi"/>
        </w:rPr>
        <w:t>. In its efforts to rehabilitate the city of Port of Spain, GORTT in November 2020</w:t>
      </w:r>
      <w:r w:rsidRPr="009C793F">
        <w:rPr>
          <w:rFonts w:asciiTheme="minorHAnsi" w:hAnsiTheme="minorHAnsi" w:cstheme="minorHAnsi"/>
          <w:vertAlign w:val="superscript"/>
        </w:rPr>
        <w:footnoteReference w:id="62"/>
      </w:r>
      <w:r w:rsidRPr="009C793F">
        <w:rPr>
          <w:rFonts w:asciiTheme="minorHAnsi" w:hAnsiTheme="minorHAnsi" w:cstheme="minorHAnsi"/>
        </w:rPr>
        <w:t xml:space="preserve"> announced that PPPs will be the financing model utilised to access the requisite resources.</w:t>
      </w:r>
    </w:p>
    <w:p w14:paraId="000000F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 </w:t>
      </w:r>
    </w:p>
    <w:p w14:paraId="000000F3" w14:textId="719BE0A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Government is also raising its own finance through mechanisms such as the  issue of </w:t>
      </w:r>
      <w:hyperlink r:id="rId69">
        <w:r w:rsidRPr="009C793F">
          <w:rPr>
            <w:rFonts w:asciiTheme="minorHAnsi" w:hAnsiTheme="minorHAnsi" w:cstheme="minorHAnsi"/>
          </w:rPr>
          <w:t>treasury bills and notes and savings and sovereign bonds</w:t>
        </w:r>
      </w:hyperlink>
      <w:r w:rsidRPr="009C793F">
        <w:rPr>
          <w:rFonts w:asciiTheme="minorHAnsi" w:hAnsiTheme="minorHAnsi" w:cstheme="minorHAnsi"/>
        </w:rPr>
        <w:t xml:space="preserve">.  There have been </w:t>
      </w:r>
      <w:hyperlink r:id="rId70">
        <w:r w:rsidRPr="009C793F">
          <w:rPr>
            <w:rFonts w:asciiTheme="minorHAnsi" w:hAnsiTheme="minorHAnsi" w:cstheme="minorHAnsi"/>
          </w:rPr>
          <w:t>at least four dozen</w:t>
        </w:r>
      </w:hyperlink>
      <w:r w:rsidRPr="009C793F">
        <w:rPr>
          <w:rFonts w:asciiTheme="minorHAnsi" w:hAnsiTheme="minorHAnsi" w:cstheme="minorHAnsi"/>
        </w:rPr>
        <w:t xml:space="preserve"> primary bond market issuances since 2013. Trinidad and Tobago’s most recent sovereign bond issue occurred in June 2020, with a ten-year, 4.75</w:t>
      </w:r>
      <w:r w:rsidR="00FB1AA5"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w:t>
      </w:r>
      <w:hyperlink r:id="rId71">
        <w:r w:rsidRPr="009C793F">
          <w:rPr>
            <w:rFonts w:asciiTheme="minorHAnsi" w:hAnsiTheme="minorHAnsi" w:cstheme="minorHAnsi"/>
          </w:rPr>
          <w:t>USD 500-million</w:t>
        </w:r>
        <w:r w:rsidR="00FB1AA5" w:rsidRPr="009C793F">
          <w:rPr>
            <w:rStyle w:val="FootnoteReference"/>
            <w:rFonts w:asciiTheme="minorHAnsi" w:hAnsiTheme="minorHAnsi" w:cstheme="minorHAnsi"/>
          </w:rPr>
          <w:footnoteReference w:id="63"/>
        </w:r>
        <w:r w:rsidRPr="009C793F">
          <w:rPr>
            <w:rFonts w:asciiTheme="minorHAnsi" w:hAnsiTheme="minorHAnsi" w:cstheme="minorHAnsi"/>
          </w:rPr>
          <w:t xml:space="preserve"> instrument</w:t>
        </w:r>
      </w:hyperlink>
      <w:r w:rsidRPr="009C793F">
        <w:rPr>
          <w:rFonts w:asciiTheme="minorHAnsi" w:hAnsiTheme="minorHAnsi" w:cstheme="minorHAnsi"/>
        </w:rPr>
        <w:t xml:space="preserve"> that was fully subscribed on its day of issue on the New York Stock Exchange—suggesting that international private investors </w:t>
      </w:r>
      <w:hyperlink r:id="rId72">
        <w:r w:rsidRPr="009C793F">
          <w:rPr>
            <w:rFonts w:asciiTheme="minorHAnsi" w:hAnsiTheme="minorHAnsi" w:cstheme="minorHAnsi"/>
          </w:rPr>
          <w:t>still favourably view</w:t>
        </w:r>
      </w:hyperlink>
      <w:r w:rsidRPr="009C793F">
        <w:rPr>
          <w:rFonts w:asciiTheme="minorHAnsi" w:hAnsiTheme="minorHAnsi" w:cstheme="minorHAnsi"/>
        </w:rPr>
        <w:t xml:space="preserve"> </w:t>
      </w:r>
      <w:r w:rsidR="00542D98" w:rsidRPr="009C793F">
        <w:rPr>
          <w:rFonts w:asciiTheme="minorHAnsi" w:hAnsiTheme="minorHAnsi" w:cstheme="minorHAnsi"/>
        </w:rPr>
        <w:t>GORTT’s debt</w:t>
      </w:r>
      <w:r w:rsidRPr="009C793F">
        <w:rPr>
          <w:rFonts w:asciiTheme="minorHAnsi" w:hAnsiTheme="minorHAnsi" w:cstheme="minorHAnsi"/>
        </w:rPr>
        <w:t xml:space="preserve">. </w:t>
      </w:r>
      <w:r w:rsidR="00542D98" w:rsidRPr="009C793F">
        <w:rPr>
          <w:rFonts w:asciiTheme="minorHAnsi" w:hAnsiTheme="minorHAnsi" w:cstheme="minorHAnsi"/>
        </w:rPr>
        <w:t xml:space="preserve">In terms of other </w:t>
      </w:r>
      <w:r w:rsidR="00660966" w:rsidRPr="009C793F">
        <w:rPr>
          <w:rFonts w:asciiTheme="minorHAnsi" w:hAnsiTheme="minorHAnsi" w:cstheme="minorHAnsi"/>
        </w:rPr>
        <w:t>options, Trinidad</w:t>
      </w:r>
      <w:r w:rsidR="003534AB" w:rsidRPr="009C793F">
        <w:rPr>
          <w:rFonts w:asciiTheme="minorHAnsi" w:hAnsiTheme="minorHAnsi" w:cstheme="minorHAnsi"/>
        </w:rPr>
        <w:t xml:space="preserve"> and Tobago </w:t>
      </w:r>
      <w:r w:rsidR="00542D98" w:rsidRPr="009C793F">
        <w:rPr>
          <w:rFonts w:asciiTheme="minorHAnsi" w:hAnsiTheme="minorHAnsi" w:cstheme="minorHAnsi"/>
        </w:rPr>
        <w:t>should</w:t>
      </w:r>
      <w:r w:rsidRPr="009C793F">
        <w:rPr>
          <w:rFonts w:asciiTheme="minorHAnsi" w:hAnsiTheme="minorHAnsi" w:cstheme="minorHAnsi"/>
        </w:rPr>
        <w:t xml:space="preserve"> consider innovative financing instruments that are SDG-aligned including green, blue bonds and social impact bonds.  </w:t>
      </w:r>
    </w:p>
    <w:p w14:paraId="000000F4" w14:textId="77777777" w:rsidR="006B72B0" w:rsidRPr="009C793F" w:rsidRDefault="006B72B0" w:rsidP="00DE19C9">
      <w:pPr>
        <w:jc w:val="both"/>
        <w:rPr>
          <w:rFonts w:asciiTheme="minorHAnsi" w:hAnsiTheme="minorHAnsi" w:cstheme="minorHAnsi"/>
        </w:rPr>
      </w:pPr>
    </w:p>
    <w:p w14:paraId="000000F5" w14:textId="49A2BEB8"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Philanthropy and </w:t>
      </w:r>
      <w:r w:rsidRPr="009C793F">
        <w:rPr>
          <w:rFonts w:asciiTheme="minorHAnsi" w:hAnsiTheme="minorHAnsi" w:cstheme="minorHAnsi"/>
          <w:b/>
        </w:rPr>
        <w:t>Corporate Social Responsibility (CSR)</w:t>
      </w:r>
      <w:r w:rsidRPr="009C793F">
        <w:rPr>
          <w:rFonts w:asciiTheme="minorHAnsi" w:hAnsiTheme="minorHAnsi" w:cstheme="minorHAnsi"/>
        </w:rPr>
        <w:t xml:space="preserve"> also allow for private finance to flow toward development. TTO’s companies are spending </w:t>
      </w:r>
      <w:hyperlink r:id="rId73">
        <w:r w:rsidRPr="009C793F">
          <w:rPr>
            <w:rFonts w:asciiTheme="minorHAnsi" w:hAnsiTheme="minorHAnsi" w:cstheme="minorHAnsi"/>
          </w:rPr>
          <w:t>2-4</w:t>
        </w:r>
        <w:r w:rsidR="00E408E0" w:rsidRPr="009C793F">
          <w:rPr>
            <w:rFonts w:asciiTheme="minorHAnsi" w:hAnsiTheme="minorHAnsi" w:cstheme="minorHAnsi"/>
          </w:rPr>
          <w:t>per cent</w:t>
        </w:r>
        <w:r w:rsidRPr="009C793F">
          <w:rPr>
            <w:rFonts w:asciiTheme="minorHAnsi" w:hAnsiTheme="minorHAnsi" w:cstheme="minorHAnsi"/>
          </w:rPr>
          <w:t xml:space="preserve"> of their annual expenditure</w:t>
        </w:r>
      </w:hyperlink>
      <w:r w:rsidRPr="009C793F">
        <w:rPr>
          <w:rFonts w:asciiTheme="minorHAnsi" w:hAnsiTheme="minorHAnsi" w:cstheme="minorHAnsi"/>
        </w:rPr>
        <w:t xml:space="preserve"> on CSR</w:t>
      </w:r>
      <w:r w:rsidR="00FB1AA5" w:rsidRPr="009C793F">
        <w:rPr>
          <w:rFonts w:asciiTheme="minorHAnsi" w:hAnsiTheme="minorHAnsi" w:cstheme="minorHAnsi"/>
        </w:rPr>
        <w:t>.</w:t>
      </w:r>
      <w:r w:rsidR="00FB1AA5" w:rsidRPr="009C793F">
        <w:rPr>
          <w:rStyle w:val="FootnoteReference"/>
          <w:rFonts w:asciiTheme="minorHAnsi" w:hAnsiTheme="minorHAnsi" w:cstheme="minorHAnsi"/>
        </w:rPr>
        <w:footnoteReference w:id="64"/>
      </w:r>
      <w:r w:rsidRPr="009C793F">
        <w:rPr>
          <w:rFonts w:asciiTheme="minorHAnsi" w:hAnsiTheme="minorHAnsi" w:cstheme="minorHAnsi"/>
        </w:rPr>
        <w:t xml:space="preserve">  Energy companies alone give about </w:t>
      </w:r>
      <w:hyperlink r:id="rId74">
        <w:r w:rsidRPr="009C793F">
          <w:rPr>
            <w:rFonts w:asciiTheme="minorHAnsi" w:hAnsiTheme="minorHAnsi" w:cstheme="minorHAnsi"/>
          </w:rPr>
          <w:t>USD 12 million a year</w:t>
        </w:r>
      </w:hyperlink>
      <w:r w:rsidRPr="009C793F">
        <w:rPr>
          <w:rFonts w:asciiTheme="minorHAnsi" w:hAnsiTheme="minorHAnsi" w:cstheme="minorHAnsi"/>
        </w:rPr>
        <w:t xml:space="preserve">. In comparison, the Ministry of Social Development and Family Service’s allocation for social programmes is </w:t>
      </w:r>
      <w:hyperlink r:id="rId75">
        <w:r w:rsidRPr="009C793F">
          <w:rPr>
            <w:rFonts w:asciiTheme="minorHAnsi" w:hAnsiTheme="minorHAnsi" w:cstheme="minorHAnsi"/>
          </w:rPr>
          <w:t>about USD 4 million</w:t>
        </w:r>
      </w:hyperlink>
      <w:r w:rsidRPr="009C793F">
        <w:rPr>
          <w:rFonts w:asciiTheme="minorHAnsi" w:hAnsiTheme="minorHAnsi" w:cstheme="minorHAnsi"/>
        </w:rPr>
        <w:t xml:space="preserve">. While CSR is considerable, most companies describe their giving as charity to needy causes and sponsorship of events that boost the firms’ reputation. In other words, CSR is </w:t>
      </w:r>
      <w:hyperlink r:id="rId76">
        <w:r w:rsidRPr="009C793F">
          <w:rPr>
            <w:rFonts w:asciiTheme="minorHAnsi" w:hAnsiTheme="minorHAnsi" w:cstheme="minorHAnsi"/>
          </w:rPr>
          <w:t>inadequately aligned</w:t>
        </w:r>
      </w:hyperlink>
      <w:r w:rsidRPr="009C793F">
        <w:rPr>
          <w:rFonts w:asciiTheme="minorHAnsi" w:hAnsiTheme="minorHAnsi" w:cstheme="minorHAnsi"/>
        </w:rPr>
        <w:t xml:space="preserve"> with the SDGs and national development goals.  </w:t>
      </w:r>
    </w:p>
    <w:p w14:paraId="000000F6" w14:textId="77777777" w:rsidR="006B72B0" w:rsidRPr="009C793F" w:rsidRDefault="006B72B0" w:rsidP="00DE19C9">
      <w:pPr>
        <w:jc w:val="both"/>
        <w:rPr>
          <w:rFonts w:asciiTheme="minorHAnsi" w:hAnsiTheme="minorHAnsi" w:cstheme="minorHAnsi"/>
        </w:rPr>
      </w:pPr>
    </w:p>
    <w:p w14:paraId="000000F7" w14:textId="03BFDE2A" w:rsidR="006B72B0" w:rsidRPr="009C793F" w:rsidRDefault="00845012" w:rsidP="00DE19C9">
      <w:pPr>
        <w:jc w:val="both"/>
        <w:rPr>
          <w:rFonts w:asciiTheme="minorHAnsi" w:hAnsiTheme="minorHAnsi" w:cstheme="minorHAnsi"/>
        </w:rPr>
      </w:pPr>
      <w:r w:rsidRPr="009C793F">
        <w:rPr>
          <w:rFonts w:asciiTheme="minorHAnsi" w:hAnsiTheme="minorHAnsi" w:cstheme="minorHAnsi"/>
        </w:rPr>
        <w:lastRenderedPageBreak/>
        <w:t xml:space="preserve">Additionally, while the socioeconomic fallout from the COVID-19 pandemic led the Government to scale up its social protection support, the country will </w:t>
      </w:r>
      <w:r w:rsidR="00BB4B59" w:rsidRPr="009C793F">
        <w:rPr>
          <w:rFonts w:asciiTheme="minorHAnsi" w:hAnsiTheme="minorHAnsi" w:cstheme="minorHAnsi"/>
        </w:rPr>
        <w:t xml:space="preserve">continue to need </w:t>
      </w:r>
      <w:r w:rsidRPr="009C793F">
        <w:rPr>
          <w:rFonts w:asciiTheme="minorHAnsi" w:hAnsiTheme="minorHAnsi" w:cstheme="minorHAnsi"/>
        </w:rPr>
        <w:t xml:space="preserve">resources to cover the needs of those left furthest behind. Corporate funding and philanthropy might </w:t>
      </w:r>
      <w:r w:rsidR="003534AB" w:rsidRPr="009C793F">
        <w:rPr>
          <w:rFonts w:asciiTheme="minorHAnsi" w:hAnsiTheme="minorHAnsi" w:cstheme="minorHAnsi"/>
        </w:rPr>
        <w:t xml:space="preserve">also </w:t>
      </w:r>
      <w:r w:rsidRPr="009C793F">
        <w:rPr>
          <w:rFonts w:asciiTheme="minorHAnsi" w:hAnsiTheme="minorHAnsi" w:cstheme="minorHAnsi"/>
        </w:rPr>
        <w:t>fill some of the gaps in</w:t>
      </w:r>
      <w:r w:rsidR="003534AB" w:rsidRPr="009C793F">
        <w:rPr>
          <w:rFonts w:asciiTheme="minorHAnsi" w:hAnsiTheme="minorHAnsi" w:cstheme="minorHAnsi"/>
        </w:rPr>
        <w:t xml:space="preserve"> the </w:t>
      </w:r>
      <w:r w:rsidRPr="009C793F">
        <w:rPr>
          <w:rFonts w:asciiTheme="minorHAnsi" w:hAnsiTheme="minorHAnsi" w:cstheme="minorHAnsi"/>
        </w:rPr>
        <w:t>social protection system</w:t>
      </w:r>
      <w:r w:rsidR="00BB4B59" w:rsidRPr="009C793F">
        <w:rPr>
          <w:rFonts w:asciiTheme="minorHAnsi" w:hAnsiTheme="minorHAnsi" w:cstheme="minorHAnsi"/>
        </w:rPr>
        <w:t xml:space="preserve"> and on which the UNCT is engaging the corporate community</w:t>
      </w:r>
      <w:r w:rsidRPr="009C793F">
        <w:rPr>
          <w:rFonts w:asciiTheme="minorHAnsi" w:hAnsiTheme="minorHAnsi" w:cstheme="minorHAnsi"/>
        </w:rPr>
        <w:t xml:space="preserve">. </w:t>
      </w:r>
      <w:r w:rsidR="00BB4B59" w:rsidRPr="009C793F">
        <w:rPr>
          <w:rFonts w:asciiTheme="minorHAnsi" w:hAnsiTheme="minorHAnsi" w:cstheme="minorHAnsi"/>
        </w:rPr>
        <w:t xml:space="preserve">CSR will be an important pillar in terms of funding SDG achievement but to access the resources on the scale required without increasing debt, innovative finance and accessing resources from non-traditional partners and South-South collaboration will be vital. </w:t>
      </w:r>
      <w:r w:rsidRPr="009C793F">
        <w:rPr>
          <w:rFonts w:asciiTheme="minorHAnsi" w:hAnsiTheme="minorHAnsi" w:cstheme="minorHAnsi"/>
        </w:rPr>
        <w:t xml:space="preserve"> </w:t>
      </w:r>
    </w:p>
    <w:p w14:paraId="7B464960" w14:textId="5279D259" w:rsidR="006B72B0" w:rsidRPr="009C793F" w:rsidRDefault="003534AB" w:rsidP="00DE19C9">
      <w:pPr>
        <w:jc w:val="both"/>
        <w:rPr>
          <w:rFonts w:asciiTheme="minorHAnsi" w:hAnsiTheme="minorHAnsi" w:cstheme="minorHAnsi"/>
        </w:rPr>
      </w:pPr>
      <w:r w:rsidRPr="009C793F">
        <w:rPr>
          <w:rFonts w:asciiTheme="minorHAnsi" w:hAnsiTheme="minorHAnsi" w:cstheme="minorHAnsi"/>
        </w:rPr>
        <w:br w:type="page"/>
      </w:r>
    </w:p>
    <w:p w14:paraId="7EEB61D0" w14:textId="77777777" w:rsidR="00C86F4B" w:rsidRDefault="0053010E" w:rsidP="00DE19C9">
      <w:pPr>
        <w:jc w:val="both"/>
        <w:rPr>
          <w:rFonts w:asciiTheme="minorHAnsi" w:hAnsiTheme="minorHAnsi" w:cstheme="minorHAnsi"/>
          <w:b/>
        </w:rPr>
      </w:pPr>
      <w:r w:rsidRPr="009C793F">
        <w:rPr>
          <w:rFonts w:asciiTheme="minorHAnsi" w:hAnsiTheme="minorHAnsi" w:cstheme="minorHAnsi"/>
          <w:b/>
        </w:rPr>
        <w:lastRenderedPageBreak/>
        <w:t>CHAPTER THREE</w:t>
      </w:r>
      <w:r w:rsidRPr="009C793F">
        <w:rPr>
          <w:rFonts w:asciiTheme="minorHAnsi" w:hAnsiTheme="minorHAnsi" w:cstheme="minorHAnsi"/>
          <w:b/>
        </w:rPr>
        <w:tab/>
      </w:r>
    </w:p>
    <w:p w14:paraId="545A6081" w14:textId="77777777" w:rsidR="00C86F4B" w:rsidRDefault="00C86F4B" w:rsidP="00DE19C9">
      <w:pPr>
        <w:jc w:val="both"/>
        <w:rPr>
          <w:rFonts w:asciiTheme="minorHAnsi" w:hAnsiTheme="minorHAnsi" w:cstheme="minorHAnsi"/>
          <w:b/>
        </w:rPr>
      </w:pPr>
    </w:p>
    <w:p w14:paraId="3DDF174D" w14:textId="27146459" w:rsidR="0053010E" w:rsidRPr="009C793F" w:rsidRDefault="0053010E" w:rsidP="00DE19C9">
      <w:pPr>
        <w:jc w:val="both"/>
        <w:rPr>
          <w:rFonts w:asciiTheme="minorHAnsi" w:hAnsiTheme="minorHAnsi" w:cstheme="minorHAnsi"/>
          <w:b/>
        </w:rPr>
      </w:pPr>
      <w:r w:rsidRPr="009C793F">
        <w:rPr>
          <w:rFonts w:asciiTheme="minorHAnsi" w:hAnsiTheme="minorHAnsi" w:cstheme="minorHAnsi"/>
          <w:b/>
        </w:rPr>
        <w:t>ECONOMIC DEVELOPMENT AND COUNTRY ASSESSMENT</w:t>
      </w:r>
    </w:p>
    <w:p w14:paraId="5261EB77" w14:textId="77777777" w:rsidR="00C86F4B" w:rsidRDefault="00C86F4B" w:rsidP="00DE19C9">
      <w:pPr>
        <w:jc w:val="both"/>
        <w:rPr>
          <w:rFonts w:asciiTheme="minorHAnsi" w:hAnsiTheme="minorHAnsi" w:cstheme="minorHAnsi"/>
          <w:b/>
        </w:rPr>
      </w:pPr>
    </w:p>
    <w:p w14:paraId="000000FA" w14:textId="2A351B38" w:rsidR="006B72B0" w:rsidRPr="009C793F" w:rsidRDefault="00845012" w:rsidP="00DE19C9">
      <w:pPr>
        <w:jc w:val="both"/>
        <w:rPr>
          <w:rFonts w:asciiTheme="minorHAnsi" w:hAnsiTheme="minorHAnsi" w:cstheme="minorHAnsi"/>
          <w:b/>
          <w:color w:val="C00000"/>
        </w:rPr>
      </w:pPr>
      <w:r w:rsidRPr="009C793F">
        <w:rPr>
          <w:rFonts w:asciiTheme="minorHAnsi" w:hAnsiTheme="minorHAnsi" w:cstheme="minorHAnsi"/>
          <w:b/>
        </w:rPr>
        <w:t>3.1</w:t>
      </w:r>
      <w:r w:rsidRPr="009C793F">
        <w:rPr>
          <w:rFonts w:asciiTheme="minorHAnsi" w:hAnsiTheme="minorHAnsi" w:cstheme="minorHAnsi"/>
          <w:b/>
        </w:rPr>
        <w:tab/>
        <w:t xml:space="preserve">Economic Outlook </w:t>
      </w:r>
    </w:p>
    <w:p w14:paraId="51D776FA" w14:textId="77777777" w:rsidR="00C86F4B" w:rsidRDefault="00C86F4B" w:rsidP="00DE19C9">
      <w:pPr>
        <w:tabs>
          <w:tab w:val="left" w:pos="700"/>
        </w:tabs>
        <w:jc w:val="both"/>
        <w:rPr>
          <w:rFonts w:asciiTheme="minorHAnsi" w:hAnsiTheme="minorHAnsi" w:cstheme="minorHAnsi"/>
        </w:rPr>
      </w:pPr>
    </w:p>
    <w:p w14:paraId="000000FB" w14:textId="11930FF2"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 xml:space="preserve">As a small open, energy export-oriented economy, Trinidad </w:t>
      </w:r>
      <w:r w:rsidR="00801E14" w:rsidRPr="009C793F">
        <w:rPr>
          <w:rFonts w:asciiTheme="minorHAnsi" w:hAnsiTheme="minorHAnsi" w:cstheme="minorHAnsi"/>
        </w:rPr>
        <w:t>and</w:t>
      </w:r>
      <w:r w:rsidRPr="009C793F">
        <w:rPr>
          <w:rFonts w:asciiTheme="minorHAnsi" w:hAnsiTheme="minorHAnsi" w:cstheme="minorHAnsi"/>
        </w:rPr>
        <w:t xml:space="preserve"> Tobago’s economic performance has been influenced by external economic factors</w:t>
      </w:r>
      <w:r w:rsidR="004A00EE" w:rsidRPr="009C793F">
        <w:rPr>
          <w:rFonts w:asciiTheme="minorHAnsi" w:hAnsiTheme="minorHAnsi" w:cstheme="minorHAnsi"/>
        </w:rPr>
        <w:t xml:space="preserve"> and shocks. </w:t>
      </w:r>
      <w:r w:rsidRPr="009C793F">
        <w:rPr>
          <w:rFonts w:asciiTheme="minorHAnsi" w:hAnsiTheme="minorHAnsi" w:cstheme="minorHAnsi"/>
        </w:rPr>
        <w:t xml:space="preserve">The economy is expected to decline by </w:t>
      </w:r>
      <w:sdt>
        <w:sdtPr>
          <w:rPr>
            <w:rFonts w:asciiTheme="minorHAnsi" w:hAnsiTheme="minorHAnsi" w:cstheme="minorHAnsi"/>
          </w:rPr>
          <w:tag w:val="goog_rdk_27"/>
          <w:id w:val="560525391"/>
        </w:sdtPr>
        <w:sdtContent/>
      </w:sdt>
      <w:r w:rsidRPr="009C793F">
        <w:rPr>
          <w:rFonts w:asciiTheme="minorHAnsi" w:hAnsiTheme="minorHAnsi" w:cstheme="minorHAnsi"/>
        </w:rPr>
        <w:t>6.8 percent in 2020</w:t>
      </w:r>
      <w:r w:rsidRPr="009C793F">
        <w:rPr>
          <w:rFonts w:asciiTheme="minorHAnsi" w:hAnsiTheme="minorHAnsi" w:cstheme="minorHAnsi"/>
          <w:vertAlign w:val="superscript"/>
        </w:rPr>
        <w:footnoteReference w:id="65"/>
      </w:r>
      <w:r w:rsidRPr="009C793F">
        <w:rPr>
          <w:rFonts w:asciiTheme="minorHAnsi" w:hAnsiTheme="minorHAnsi" w:cstheme="minorHAnsi"/>
        </w:rPr>
        <w:t xml:space="preserve"> due to depressed global energy prices</w:t>
      </w:r>
      <w:r w:rsidRPr="009C793F">
        <w:rPr>
          <w:rFonts w:asciiTheme="minorHAnsi" w:hAnsiTheme="minorHAnsi" w:cstheme="minorHAnsi"/>
          <w:vertAlign w:val="superscript"/>
        </w:rPr>
        <w:footnoteReference w:id="66"/>
      </w:r>
      <w:r w:rsidRPr="009C793F">
        <w:rPr>
          <w:rFonts w:asciiTheme="minorHAnsi" w:hAnsiTheme="minorHAnsi" w:cstheme="minorHAnsi"/>
        </w:rPr>
        <w:t xml:space="preserve"> and local public health measures instituted to mitigate the impact of COVID-19. The latter resulted in a prolonged closure of businesses with associated economic losses and increased unemployment. </w:t>
      </w:r>
    </w:p>
    <w:p w14:paraId="54546705" w14:textId="77777777" w:rsidR="00C86F4B" w:rsidRDefault="00C86F4B" w:rsidP="00DE19C9">
      <w:pPr>
        <w:tabs>
          <w:tab w:val="left" w:pos="700"/>
        </w:tabs>
        <w:jc w:val="both"/>
        <w:rPr>
          <w:rFonts w:asciiTheme="minorHAnsi" w:hAnsiTheme="minorHAnsi" w:cstheme="minorHAnsi"/>
        </w:rPr>
      </w:pPr>
    </w:p>
    <w:p w14:paraId="000000FC" w14:textId="51FC3A46"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Given the massive effect of COVID-19, government has taken measures</w:t>
      </w:r>
      <w:r w:rsidRPr="009C793F">
        <w:rPr>
          <w:rFonts w:asciiTheme="minorHAnsi" w:hAnsiTheme="minorHAnsi" w:cstheme="minorHAnsi"/>
          <w:vertAlign w:val="superscript"/>
        </w:rPr>
        <w:footnoteReference w:id="67"/>
      </w:r>
      <w:r w:rsidRPr="009C793F">
        <w:rPr>
          <w:rFonts w:asciiTheme="minorHAnsi" w:hAnsiTheme="minorHAnsi" w:cstheme="minorHAnsi"/>
        </w:rPr>
        <w:t xml:space="preserve"> to resuscitate the economy including through food support and income support programmes; fuel relief grants for taxi operators; and grants for micro-enterprises. An enhanced package of the support to Tobago was put in place, especially for the tourism sector. </w:t>
      </w:r>
    </w:p>
    <w:p w14:paraId="550DBC54" w14:textId="77777777" w:rsidR="00C86F4B" w:rsidRDefault="00C86F4B" w:rsidP="00DE19C9">
      <w:pPr>
        <w:tabs>
          <w:tab w:val="left" w:pos="700"/>
        </w:tabs>
        <w:jc w:val="both"/>
        <w:rPr>
          <w:rFonts w:asciiTheme="minorHAnsi" w:hAnsiTheme="minorHAnsi" w:cstheme="minorHAnsi"/>
        </w:rPr>
      </w:pPr>
    </w:p>
    <w:p w14:paraId="000000FD" w14:textId="4501119E"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Looking ahead,  government envisages an economic recovery by 2022, led by an emerging digital economy, stabilisation of government finances with reduction of fiscal deficits to around 2 percent of GDP (by 2023), projected reduction in Debt to GDP to around 65 percent (by 2023/2024 fiscal year) and  increasing energy exports (by 2022).</w:t>
      </w:r>
      <w:r w:rsidR="005B4E56" w:rsidRPr="009C793F">
        <w:rPr>
          <w:rStyle w:val="FootnoteReference"/>
          <w:rFonts w:asciiTheme="minorHAnsi" w:hAnsiTheme="minorHAnsi" w:cstheme="minorHAnsi"/>
        </w:rPr>
        <w:footnoteReference w:id="68"/>
      </w:r>
      <w:r w:rsidRPr="009C793F">
        <w:rPr>
          <w:rFonts w:asciiTheme="minorHAnsi" w:hAnsiTheme="minorHAnsi" w:cstheme="minorHAnsi"/>
        </w:rPr>
        <w:t xml:space="preserve"> The International Monetary Fund (IMF) predicts the economy to return to positive economic growth in 2021 and in the medium term (i.e. 2025)</w:t>
      </w:r>
      <w:r w:rsidRPr="009C793F">
        <w:rPr>
          <w:rFonts w:asciiTheme="minorHAnsi" w:hAnsiTheme="minorHAnsi" w:cstheme="minorHAnsi"/>
          <w:vertAlign w:val="superscript"/>
        </w:rPr>
        <w:footnoteReference w:id="69"/>
      </w:r>
      <w:r w:rsidRPr="009C793F">
        <w:rPr>
          <w:rFonts w:asciiTheme="minorHAnsi" w:hAnsiTheme="minorHAnsi" w:cstheme="minorHAnsi"/>
        </w:rPr>
        <w:t xml:space="preserve">. </w:t>
      </w:r>
    </w:p>
    <w:p w14:paraId="6BDFC5F5" w14:textId="77777777" w:rsidR="00C86F4B" w:rsidRDefault="00C86F4B" w:rsidP="00DE19C9">
      <w:pPr>
        <w:tabs>
          <w:tab w:val="left" w:pos="700"/>
        </w:tabs>
        <w:jc w:val="both"/>
        <w:rPr>
          <w:rFonts w:asciiTheme="minorHAnsi" w:hAnsiTheme="minorHAnsi" w:cstheme="minorHAnsi"/>
          <w:b/>
        </w:rPr>
      </w:pPr>
    </w:p>
    <w:p w14:paraId="000000FE" w14:textId="0AFECBDE" w:rsidR="006B72B0" w:rsidRPr="009C793F" w:rsidRDefault="00845012" w:rsidP="00DE19C9">
      <w:pPr>
        <w:tabs>
          <w:tab w:val="left" w:pos="700"/>
        </w:tabs>
        <w:jc w:val="both"/>
        <w:rPr>
          <w:rFonts w:asciiTheme="minorHAnsi" w:hAnsiTheme="minorHAnsi" w:cstheme="minorHAnsi"/>
          <w:b/>
        </w:rPr>
      </w:pPr>
      <w:r w:rsidRPr="009C793F">
        <w:rPr>
          <w:rFonts w:asciiTheme="minorHAnsi" w:hAnsiTheme="minorHAnsi" w:cstheme="minorHAnsi"/>
          <w:b/>
        </w:rPr>
        <w:t>3.2</w:t>
      </w:r>
      <w:r w:rsidRPr="009C793F">
        <w:rPr>
          <w:rFonts w:asciiTheme="minorHAnsi" w:hAnsiTheme="minorHAnsi" w:cstheme="minorHAnsi"/>
          <w:b/>
        </w:rPr>
        <w:tab/>
        <w:t>Monetary and Fiscal Policy</w:t>
      </w:r>
    </w:p>
    <w:p w14:paraId="3E03DB5A" w14:textId="77777777" w:rsidR="00C86F4B" w:rsidRDefault="00C86F4B" w:rsidP="00DE19C9">
      <w:pPr>
        <w:tabs>
          <w:tab w:val="left" w:pos="700"/>
        </w:tabs>
        <w:jc w:val="both"/>
        <w:rPr>
          <w:rFonts w:asciiTheme="minorHAnsi" w:hAnsiTheme="minorHAnsi" w:cstheme="minorHAnsi"/>
        </w:rPr>
      </w:pPr>
    </w:p>
    <w:p w14:paraId="000000FF" w14:textId="02BA3EB2"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 xml:space="preserve">The pegged exchange rate arrangement of TT$6.79 to US$1 remains the anchor for monetary policy. The reduction in export earnings has been accompanied by limited availability of foreign exchange and the emergence of a nascent black market. In June 2020, the </w:t>
      </w:r>
      <w:r w:rsidR="005B4E56" w:rsidRPr="009C793F">
        <w:rPr>
          <w:rFonts w:asciiTheme="minorHAnsi" w:hAnsiTheme="minorHAnsi" w:cstheme="minorHAnsi"/>
        </w:rPr>
        <w:t>Central Bank</w:t>
      </w:r>
      <w:r w:rsidRPr="009C793F">
        <w:rPr>
          <w:rFonts w:asciiTheme="minorHAnsi" w:hAnsiTheme="minorHAnsi" w:cstheme="minorHAnsi"/>
        </w:rPr>
        <w:t xml:space="preserve"> has maintained the repo rate at 3.5 per</w:t>
      </w:r>
      <w:r w:rsidR="005B4E56" w:rsidRPr="009C793F">
        <w:rPr>
          <w:rFonts w:asciiTheme="minorHAnsi" w:hAnsiTheme="minorHAnsi" w:cstheme="minorHAnsi"/>
        </w:rPr>
        <w:t xml:space="preserve"> </w:t>
      </w:r>
      <w:r w:rsidRPr="009C793F">
        <w:rPr>
          <w:rFonts w:asciiTheme="minorHAnsi" w:hAnsiTheme="minorHAnsi" w:cstheme="minorHAnsi"/>
        </w:rPr>
        <w:t>cent after a 150-basis points reduction in March 2020</w:t>
      </w:r>
      <w:r w:rsidRPr="009C793F">
        <w:rPr>
          <w:rFonts w:asciiTheme="minorHAnsi" w:hAnsiTheme="minorHAnsi" w:cstheme="minorHAnsi"/>
          <w:vertAlign w:val="superscript"/>
        </w:rPr>
        <w:footnoteReference w:id="70"/>
      </w:r>
      <w:r w:rsidRPr="009C793F">
        <w:rPr>
          <w:rFonts w:asciiTheme="minorHAnsi" w:hAnsiTheme="minorHAnsi" w:cstheme="minorHAnsi"/>
        </w:rPr>
        <w:t xml:space="preserve">. Given the current </w:t>
      </w:r>
      <w:r w:rsidR="005B4E56" w:rsidRPr="009C793F">
        <w:rPr>
          <w:rFonts w:asciiTheme="minorHAnsi" w:hAnsiTheme="minorHAnsi" w:cstheme="minorHAnsi"/>
        </w:rPr>
        <w:t>Central Bank</w:t>
      </w:r>
      <w:r w:rsidRPr="009C793F">
        <w:rPr>
          <w:rFonts w:asciiTheme="minorHAnsi" w:hAnsiTheme="minorHAnsi" w:cstheme="minorHAnsi"/>
        </w:rPr>
        <w:t xml:space="preserve"> interest rates and low US interest rates, the interest rate differentials between the TT-US 91-day treasury bills was around 86 basis points at the end of August 2020</w:t>
      </w:r>
      <w:r w:rsidRPr="009C793F">
        <w:rPr>
          <w:rFonts w:asciiTheme="minorHAnsi" w:hAnsiTheme="minorHAnsi" w:cstheme="minorHAnsi"/>
          <w:vertAlign w:val="superscript"/>
        </w:rPr>
        <w:footnoteReference w:id="71"/>
      </w:r>
      <w:r w:rsidRPr="009C793F">
        <w:rPr>
          <w:rFonts w:asciiTheme="minorHAnsi" w:hAnsiTheme="minorHAnsi" w:cstheme="minorHAnsi"/>
        </w:rPr>
        <w:t xml:space="preserve">. </w:t>
      </w:r>
    </w:p>
    <w:p w14:paraId="490D59E3" w14:textId="77777777" w:rsidR="00C86F4B" w:rsidRDefault="00C86F4B" w:rsidP="00DE19C9">
      <w:pPr>
        <w:tabs>
          <w:tab w:val="left" w:pos="700"/>
        </w:tabs>
        <w:jc w:val="both"/>
        <w:rPr>
          <w:rFonts w:asciiTheme="minorHAnsi" w:hAnsiTheme="minorHAnsi" w:cstheme="minorHAnsi"/>
        </w:rPr>
      </w:pPr>
    </w:p>
    <w:p w14:paraId="00000100" w14:textId="3502D760"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Furthermore, the accommodative monetary policy coupled with expansionary fiscal policy (where the government has been actively borrowing from the local and international market coupled with legislated drawdowns from the HSF to finance the fiscal deficits) has contributed to excess banking sector liquidity. As a result, liquidity has remained significant averaging about TT$7</w:t>
      </w:r>
      <w:r w:rsidR="005B4E56" w:rsidRPr="009C793F">
        <w:rPr>
          <w:rFonts w:asciiTheme="minorHAnsi" w:hAnsiTheme="minorHAnsi" w:cstheme="minorHAnsi"/>
        </w:rPr>
        <w:t>.</w:t>
      </w:r>
      <w:r w:rsidRPr="009C793F">
        <w:rPr>
          <w:rFonts w:asciiTheme="minorHAnsi" w:hAnsiTheme="minorHAnsi" w:cstheme="minorHAnsi"/>
        </w:rPr>
        <w:t>3</w:t>
      </w:r>
      <w:r w:rsidR="005B4E56" w:rsidRPr="009C793F">
        <w:rPr>
          <w:rFonts w:asciiTheme="minorHAnsi" w:hAnsiTheme="minorHAnsi" w:cstheme="minorHAnsi"/>
        </w:rPr>
        <w:t xml:space="preserve"> b</w:t>
      </w:r>
      <w:r w:rsidRPr="009C793F">
        <w:rPr>
          <w:rFonts w:asciiTheme="minorHAnsi" w:hAnsiTheme="minorHAnsi" w:cstheme="minorHAnsi"/>
        </w:rPr>
        <w:t>illion in the year to August 2020, compared to TT$3</w:t>
      </w:r>
      <w:r w:rsidR="005B4E56" w:rsidRPr="009C793F">
        <w:rPr>
          <w:rFonts w:asciiTheme="minorHAnsi" w:hAnsiTheme="minorHAnsi" w:cstheme="minorHAnsi"/>
        </w:rPr>
        <w:t>.4 b</w:t>
      </w:r>
      <w:r w:rsidRPr="009C793F">
        <w:rPr>
          <w:rFonts w:asciiTheme="minorHAnsi" w:hAnsiTheme="minorHAnsi" w:cstheme="minorHAnsi"/>
        </w:rPr>
        <w:t>illion over the same period in 2019</w:t>
      </w:r>
      <w:r w:rsidRPr="009C793F">
        <w:rPr>
          <w:rFonts w:asciiTheme="minorHAnsi" w:hAnsiTheme="minorHAnsi" w:cstheme="minorHAnsi"/>
          <w:vertAlign w:val="superscript"/>
        </w:rPr>
        <w:footnoteReference w:id="72"/>
      </w:r>
      <w:r w:rsidRPr="009C793F">
        <w:rPr>
          <w:rFonts w:asciiTheme="minorHAnsi" w:hAnsiTheme="minorHAnsi" w:cstheme="minorHAnsi"/>
        </w:rPr>
        <w:t xml:space="preserve">. </w:t>
      </w:r>
    </w:p>
    <w:p w14:paraId="00000101" w14:textId="77777777"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b/>
        </w:rPr>
        <w:lastRenderedPageBreak/>
        <w:t>Fiscal Policy:</w:t>
      </w:r>
      <w:r w:rsidRPr="009C793F">
        <w:rPr>
          <w:rFonts w:asciiTheme="minorHAnsi" w:hAnsiTheme="minorHAnsi" w:cstheme="minorHAnsi"/>
        </w:rPr>
        <w:t xml:space="preserve"> The fiscal situation remains closely intertwined with global crude oil and natural gas prices with the energy sector dominating fiscal revenues. The fiscal deficit</w:t>
      </w:r>
      <w:r w:rsidRPr="009C793F">
        <w:rPr>
          <w:rFonts w:asciiTheme="minorHAnsi" w:hAnsiTheme="minorHAnsi" w:cstheme="minorHAnsi"/>
          <w:vertAlign w:val="superscript"/>
        </w:rPr>
        <w:footnoteReference w:id="73"/>
      </w:r>
      <w:r w:rsidRPr="009C793F">
        <w:rPr>
          <w:rFonts w:asciiTheme="minorHAnsi" w:hAnsiTheme="minorHAnsi" w:cstheme="minorHAnsi"/>
        </w:rPr>
        <w:t xml:space="preserve"> for 2020 is forecasted at TT$16.8 billion (or around 11 percent of GDP) compared to pre-COVID projection at TT$5.3 billion (or 3.4 percent of GDP). This is attributable to the collapse of crude oil and gas revenues</w:t>
      </w:r>
      <w:r w:rsidRPr="009C793F">
        <w:rPr>
          <w:rFonts w:asciiTheme="minorHAnsi" w:hAnsiTheme="minorHAnsi" w:cstheme="minorHAnsi"/>
          <w:vertAlign w:val="superscript"/>
        </w:rPr>
        <w:footnoteReference w:id="74"/>
      </w:r>
      <w:r w:rsidRPr="009C793F">
        <w:rPr>
          <w:rFonts w:asciiTheme="minorHAnsi" w:hAnsiTheme="minorHAnsi" w:cstheme="minorHAnsi"/>
        </w:rPr>
        <w:t xml:space="preserve"> and increased expenditures due to COVID-19. The higher deficit is expected to be financed from a combination of domestic</w:t>
      </w:r>
      <w:r w:rsidRPr="009C793F">
        <w:rPr>
          <w:rFonts w:asciiTheme="minorHAnsi" w:hAnsiTheme="minorHAnsi" w:cstheme="minorHAnsi"/>
          <w:vertAlign w:val="superscript"/>
        </w:rPr>
        <w:footnoteReference w:id="75"/>
      </w:r>
      <w:r w:rsidRPr="009C793F">
        <w:rPr>
          <w:rFonts w:asciiTheme="minorHAnsi" w:hAnsiTheme="minorHAnsi" w:cstheme="minorHAnsi"/>
        </w:rPr>
        <w:t xml:space="preserve"> and external borrowings</w:t>
      </w:r>
      <w:r w:rsidRPr="009C793F">
        <w:rPr>
          <w:rFonts w:asciiTheme="minorHAnsi" w:hAnsiTheme="minorHAnsi" w:cstheme="minorHAnsi"/>
          <w:vertAlign w:val="superscript"/>
        </w:rPr>
        <w:footnoteReference w:id="76"/>
      </w:r>
      <w:r w:rsidRPr="009C793F">
        <w:rPr>
          <w:rFonts w:asciiTheme="minorHAnsi" w:hAnsiTheme="minorHAnsi" w:cstheme="minorHAnsi"/>
        </w:rPr>
        <w:t>, as well as withdrawals from the HSF</w:t>
      </w:r>
      <w:r w:rsidRPr="009C793F">
        <w:rPr>
          <w:rFonts w:asciiTheme="minorHAnsi" w:hAnsiTheme="minorHAnsi" w:cstheme="minorHAnsi"/>
          <w:vertAlign w:val="superscript"/>
        </w:rPr>
        <w:footnoteReference w:id="77"/>
      </w:r>
      <w:r w:rsidRPr="009C793F">
        <w:rPr>
          <w:rFonts w:asciiTheme="minorHAnsi" w:hAnsiTheme="minorHAnsi" w:cstheme="minorHAnsi"/>
        </w:rPr>
        <w:t xml:space="preserve">. </w:t>
      </w:r>
    </w:p>
    <w:p w14:paraId="0D938564" w14:textId="77777777" w:rsidR="00C86F4B" w:rsidRDefault="00C86F4B" w:rsidP="00DE19C9">
      <w:pPr>
        <w:tabs>
          <w:tab w:val="left" w:pos="700"/>
        </w:tabs>
        <w:jc w:val="both"/>
        <w:rPr>
          <w:rFonts w:asciiTheme="minorHAnsi" w:hAnsiTheme="minorHAnsi" w:cstheme="minorHAnsi"/>
        </w:rPr>
      </w:pPr>
    </w:p>
    <w:p w14:paraId="00000102" w14:textId="203E3567"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 xml:space="preserve">The Net Public Sector Debt Stock is anticipated to be at </w:t>
      </w:r>
      <w:r w:rsidR="00AF03FE" w:rsidRPr="009C793F">
        <w:rPr>
          <w:rFonts w:asciiTheme="minorHAnsi" w:hAnsiTheme="minorHAnsi" w:cstheme="minorHAnsi"/>
        </w:rPr>
        <w:t>TT</w:t>
      </w:r>
      <w:r w:rsidRPr="009C793F">
        <w:rPr>
          <w:rFonts w:asciiTheme="minorHAnsi" w:hAnsiTheme="minorHAnsi" w:cstheme="minorHAnsi"/>
        </w:rPr>
        <w:t>$121.1 billion (80.7 per</w:t>
      </w:r>
      <w:r w:rsidR="004A00EE" w:rsidRPr="009C793F">
        <w:rPr>
          <w:rFonts w:asciiTheme="minorHAnsi" w:hAnsiTheme="minorHAnsi" w:cstheme="minorHAnsi"/>
        </w:rPr>
        <w:t xml:space="preserve"> </w:t>
      </w:r>
      <w:r w:rsidRPr="009C793F">
        <w:rPr>
          <w:rFonts w:asciiTheme="minorHAnsi" w:hAnsiTheme="minorHAnsi" w:cstheme="minorHAnsi"/>
        </w:rPr>
        <w:t xml:space="preserve">cent of GDP) at the end of fiscal 2020 from </w:t>
      </w:r>
      <w:r w:rsidR="00AF03FE" w:rsidRPr="009C793F">
        <w:rPr>
          <w:rFonts w:asciiTheme="minorHAnsi" w:hAnsiTheme="minorHAnsi" w:cstheme="minorHAnsi"/>
        </w:rPr>
        <w:t>TT</w:t>
      </w:r>
      <w:r w:rsidRPr="009C793F">
        <w:rPr>
          <w:rFonts w:asciiTheme="minorHAnsi" w:hAnsiTheme="minorHAnsi" w:cstheme="minorHAnsi"/>
        </w:rPr>
        <w:t>$103.2 billion (65.5 percent of GDP) in 2019</w:t>
      </w:r>
      <w:r w:rsidRPr="009C793F">
        <w:rPr>
          <w:rFonts w:asciiTheme="minorHAnsi" w:hAnsiTheme="minorHAnsi" w:cstheme="minorHAnsi"/>
          <w:vertAlign w:val="superscript"/>
        </w:rPr>
        <w:footnoteReference w:id="78"/>
      </w:r>
      <w:r w:rsidRPr="009C793F">
        <w:rPr>
          <w:rFonts w:asciiTheme="minorHAnsi" w:hAnsiTheme="minorHAnsi" w:cstheme="minorHAnsi"/>
        </w:rPr>
        <w:t xml:space="preserve">. This </w:t>
      </w:r>
      <w:r w:rsidR="005B4E56" w:rsidRPr="009C793F">
        <w:rPr>
          <w:rFonts w:asciiTheme="minorHAnsi" w:hAnsiTheme="minorHAnsi" w:cstheme="minorHAnsi"/>
        </w:rPr>
        <w:t>rise</w:t>
      </w:r>
      <w:r w:rsidRPr="009C793F">
        <w:rPr>
          <w:rFonts w:asciiTheme="minorHAnsi" w:hAnsiTheme="minorHAnsi" w:cstheme="minorHAnsi"/>
        </w:rPr>
        <w:t xml:space="preserve"> in net public sector debt is accompanied by a 33.6 percent</w:t>
      </w:r>
      <w:r w:rsidR="005B4E56" w:rsidRPr="009C793F">
        <w:rPr>
          <w:rFonts w:asciiTheme="minorHAnsi" w:hAnsiTheme="minorHAnsi" w:cstheme="minorHAnsi"/>
        </w:rPr>
        <w:t xml:space="preserve"> increase</w:t>
      </w:r>
      <w:r w:rsidRPr="009C793F">
        <w:rPr>
          <w:rFonts w:asciiTheme="minorHAnsi" w:hAnsiTheme="minorHAnsi" w:cstheme="minorHAnsi"/>
        </w:rPr>
        <w:t xml:space="preserve"> in central government debt service to </w:t>
      </w:r>
      <w:r w:rsidR="00AF03FE" w:rsidRPr="009C793F">
        <w:rPr>
          <w:rFonts w:asciiTheme="minorHAnsi" w:hAnsiTheme="minorHAnsi" w:cstheme="minorHAnsi"/>
        </w:rPr>
        <w:t>TT</w:t>
      </w:r>
      <w:r w:rsidRPr="009C793F">
        <w:rPr>
          <w:rFonts w:asciiTheme="minorHAnsi" w:hAnsiTheme="minorHAnsi" w:cstheme="minorHAnsi"/>
        </w:rPr>
        <w:t>$11.4 billion in 2020 fiscal year</w:t>
      </w:r>
      <w:r w:rsidRPr="009C793F">
        <w:rPr>
          <w:rFonts w:asciiTheme="minorHAnsi" w:hAnsiTheme="minorHAnsi" w:cstheme="minorHAnsi"/>
          <w:vertAlign w:val="superscript"/>
        </w:rPr>
        <w:footnoteReference w:id="79"/>
      </w:r>
      <w:r w:rsidRPr="009C793F">
        <w:rPr>
          <w:rFonts w:asciiTheme="minorHAnsi" w:hAnsiTheme="minorHAnsi" w:cstheme="minorHAnsi"/>
        </w:rPr>
        <w:t xml:space="preserve">. </w:t>
      </w:r>
    </w:p>
    <w:p w14:paraId="5D1BF1CD" w14:textId="77777777" w:rsidR="00C86F4B" w:rsidRDefault="00C86F4B" w:rsidP="00DE19C9">
      <w:pPr>
        <w:tabs>
          <w:tab w:val="left" w:pos="700"/>
        </w:tabs>
        <w:jc w:val="both"/>
        <w:rPr>
          <w:rFonts w:asciiTheme="minorHAnsi" w:hAnsiTheme="minorHAnsi" w:cstheme="minorHAnsi"/>
        </w:rPr>
      </w:pPr>
    </w:p>
    <w:p w14:paraId="00000103" w14:textId="6F71000D"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 xml:space="preserve">In the 2021 fiscal budget, the Government announced </w:t>
      </w:r>
      <w:r w:rsidR="005B4E56" w:rsidRPr="009C793F">
        <w:rPr>
          <w:rFonts w:asciiTheme="minorHAnsi" w:hAnsiTheme="minorHAnsi" w:cstheme="minorHAnsi"/>
        </w:rPr>
        <w:t xml:space="preserve">several </w:t>
      </w:r>
      <w:r w:rsidRPr="009C793F">
        <w:rPr>
          <w:rFonts w:asciiTheme="minorHAnsi" w:hAnsiTheme="minorHAnsi" w:cstheme="minorHAnsi"/>
        </w:rPr>
        <w:t>expenditure measures to boost economic sectors and reduce the cost of doing business to ignite medium-term recovery. The key sectors that have benefited include education and training</w:t>
      </w:r>
      <w:r w:rsidR="006557A9" w:rsidRPr="009C793F">
        <w:rPr>
          <w:rFonts w:asciiTheme="minorHAnsi" w:hAnsiTheme="minorHAnsi" w:cstheme="minorHAnsi"/>
        </w:rPr>
        <w:t>,</w:t>
      </w:r>
      <w:r w:rsidRPr="009C793F">
        <w:rPr>
          <w:rFonts w:asciiTheme="minorHAnsi" w:hAnsiTheme="minorHAnsi" w:cstheme="minorHAnsi"/>
        </w:rPr>
        <w:t xml:space="preserve"> </w:t>
      </w:r>
      <w:r w:rsidR="006557A9" w:rsidRPr="009C793F">
        <w:rPr>
          <w:rFonts w:asciiTheme="minorHAnsi" w:hAnsiTheme="minorHAnsi" w:cstheme="minorHAnsi"/>
        </w:rPr>
        <w:t>which is set</w:t>
      </w:r>
      <w:r w:rsidRPr="009C793F">
        <w:rPr>
          <w:rFonts w:asciiTheme="minorHAnsi" w:hAnsiTheme="minorHAnsi" w:cstheme="minorHAnsi"/>
        </w:rPr>
        <w:t xml:space="preserve"> to benefit from a major thrust into </w:t>
      </w:r>
      <w:r w:rsidR="006557A9" w:rsidRPr="009C793F">
        <w:rPr>
          <w:rFonts w:asciiTheme="minorHAnsi" w:hAnsiTheme="minorHAnsi" w:cstheme="minorHAnsi"/>
        </w:rPr>
        <w:t>digitalization,</w:t>
      </w:r>
      <w:r w:rsidRPr="009C793F">
        <w:rPr>
          <w:rFonts w:asciiTheme="minorHAnsi" w:hAnsiTheme="minorHAnsi" w:cstheme="minorHAnsi"/>
        </w:rPr>
        <w:t xml:space="preserve"> and agriculture. On the revenue side, </w:t>
      </w:r>
      <w:sdt>
        <w:sdtPr>
          <w:rPr>
            <w:rFonts w:asciiTheme="minorHAnsi" w:hAnsiTheme="minorHAnsi" w:cstheme="minorHAnsi"/>
          </w:rPr>
          <w:tag w:val="goog_rdk_28"/>
          <w:id w:val="1596208025"/>
        </w:sdtPr>
        <w:sdtContent>
          <w:r w:rsidRPr="009C793F">
            <w:rPr>
              <w:rFonts w:asciiTheme="minorHAnsi" w:hAnsiTheme="minorHAnsi" w:cstheme="minorHAnsi"/>
            </w:rPr>
            <w:t xml:space="preserve">the </w:t>
          </w:r>
        </w:sdtContent>
      </w:sdt>
      <w:r w:rsidRPr="009C793F">
        <w:rPr>
          <w:rFonts w:asciiTheme="minorHAnsi" w:hAnsiTheme="minorHAnsi" w:cstheme="minorHAnsi"/>
        </w:rPr>
        <w:t xml:space="preserve">government has listed </w:t>
      </w:r>
      <w:r w:rsidR="006509DB" w:rsidRPr="009C793F">
        <w:rPr>
          <w:rFonts w:asciiTheme="minorHAnsi" w:hAnsiTheme="minorHAnsi" w:cstheme="minorHAnsi"/>
        </w:rPr>
        <w:t>several</w:t>
      </w:r>
      <w:r w:rsidRPr="009C793F">
        <w:rPr>
          <w:rFonts w:asciiTheme="minorHAnsi" w:hAnsiTheme="minorHAnsi" w:cstheme="minorHAnsi"/>
        </w:rPr>
        <w:t xml:space="preserve"> initiatives including the introduction of property tax; improving tax collection through greater compliance; digitalisation of government services which is expected to increase efficiency of revenue collection; and increases in value added tax on imported luxury items.</w:t>
      </w:r>
    </w:p>
    <w:p w14:paraId="7CD20D98" w14:textId="77777777" w:rsidR="00C86F4B" w:rsidRDefault="00C86F4B" w:rsidP="00DE19C9">
      <w:pPr>
        <w:tabs>
          <w:tab w:val="left" w:pos="700"/>
        </w:tabs>
        <w:jc w:val="both"/>
        <w:rPr>
          <w:rFonts w:asciiTheme="minorHAnsi" w:hAnsiTheme="minorHAnsi" w:cstheme="minorHAnsi"/>
        </w:rPr>
      </w:pPr>
    </w:p>
    <w:p w14:paraId="00000104" w14:textId="141821B6" w:rsidR="006B72B0" w:rsidRPr="009C793F" w:rsidRDefault="00845012" w:rsidP="00DE19C9">
      <w:pPr>
        <w:tabs>
          <w:tab w:val="left" w:pos="700"/>
        </w:tabs>
        <w:jc w:val="both"/>
        <w:rPr>
          <w:rFonts w:asciiTheme="minorHAnsi" w:hAnsiTheme="minorHAnsi" w:cstheme="minorHAnsi"/>
        </w:rPr>
      </w:pPr>
      <w:r w:rsidRPr="009C793F">
        <w:rPr>
          <w:rFonts w:asciiTheme="minorHAnsi" w:hAnsiTheme="minorHAnsi" w:cstheme="minorHAnsi"/>
        </w:rPr>
        <w:t>The Budget deficit is expected to be around TT$8.2 billion (or 5.6 percent of GDP) in fiscal year 2021, with revenue and expenditure forecasted to be at an estimated TT$41.4 billion</w:t>
      </w:r>
      <w:r w:rsidRPr="009C793F">
        <w:rPr>
          <w:rFonts w:asciiTheme="minorHAnsi" w:hAnsiTheme="minorHAnsi" w:cstheme="minorHAnsi"/>
          <w:vertAlign w:val="superscript"/>
        </w:rPr>
        <w:footnoteReference w:id="80"/>
      </w:r>
      <w:r w:rsidRPr="009C793F">
        <w:rPr>
          <w:rFonts w:asciiTheme="minorHAnsi" w:hAnsiTheme="minorHAnsi" w:cstheme="minorHAnsi"/>
        </w:rPr>
        <w:t xml:space="preserve"> and TT$49.6 billion</w:t>
      </w:r>
      <w:r w:rsidRPr="009C793F">
        <w:rPr>
          <w:rFonts w:asciiTheme="minorHAnsi" w:hAnsiTheme="minorHAnsi" w:cstheme="minorHAnsi"/>
          <w:vertAlign w:val="superscript"/>
        </w:rPr>
        <w:footnoteReference w:id="81"/>
      </w:r>
      <w:r w:rsidRPr="009C793F">
        <w:rPr>
          <w:rFonts w:asciiTheme="minorHAnsi" w:hAnsiTheme="minorHAnsi" w:cstheme="minorHAnsi"/>
        </w:rPr>
        <w:t>, respectively. In the medium term, government is gearing towards a reduction of the primary fiscal deficit (which excludes government debt service payments) to around 5.5 percent of GDP in 2021 and aim to reduce this further to 2.0 percent of GDP by 2023</w:t>
      </w:r>
      <w:r w:rsidRPr="009C793F">
        <w:rPr>
          <w:rFonts w:asciiTheme="minorHAnsi" w:hAnsiTheme="minorHAnsi" w:cstheme="minorHAnsi"/>
          <w:vertAlign w:val="superscript"/>
        </w:rPr>
        <w:footnoteReference w:id="82"/>
      </w:r>
      <w:r w:rsidRPr="009C793F">
        <w:rPr>
          <w:rFonts w:asciiTheme="minorHAnsi" w:hAnsiTheme="minorHAnsi" w:cstheme="minorHAnsi"/>
        </w:rPr>
        <w:t xml:space="preserve">. The HSF continues to provide a fiscal buffer with its net asset value at an estimated US$5.7 billion at the end of September 2020. </w:t>
      </w:r>
    </w:p>
    <w:p w14:paraId="7A1DBB8F" w14:textId="77777777" w:rsidR="004D5E11" w:rsidRPr="009C793F" w:rsidRDefault="004D5E11" w:rsidP="00DE19C9">
      <w:pPr>
        <w:jc w:val="both"/>
        <w:rPr>
          <w:rFonts w:asciiTheme="minorHAnsi" w:hAnsiTheme="minorHAnsi" w:cstheme="minorHAnsi"/>
          <w:b/>
        </w:rPr>
      </w:pPr>
    </w:p>
    <w:p w14:paraId="0B965EBB" w14:textId="77777777" w:rsidR="00C86F4B" w:rsidRDefault="00C86F4B" w:rsidP="00DE19C9">
      <w:pPr>
        <w:jc w:val="both"/>
        <w:rPr>
          <w:rFonts w:asciiTheme="minorHAnsi" w:hAnsiTheme="minorHAnsi" w:cstheme="minorHAnsi"/>
          <w:b/>
        </w:rPr>
      </w:pPr>
    </w:p>
    <w:p w14:paraId="421E78F7" w14:textId="77777777" w:rsidR="00C86F4B" w:rsidRDefault="00C86F4B" w:rsidP="00DE19C9">
      <w:pPr>
        <w:jc w:val="both"/>
        <w:rPr>
          <w:rFonts w:asciiTheme="minorHAnsi" w:hAnsiTheme="minorHAnsi" w:cstheme="minorHAnsi"/>
          <w:b/>
        </w:rPr>
      </w:pPr>
    </w:p>
    <w:p w14:paraId="522AE3E0" w14:textId="77777777" w:rsidR="00C86F4B" w:rsidRDefault="00C86F4B" w:rsidP="00DE19C9">
      <w:pPr>
        <w:jc w:val="both"/>
        <w:rPr>
          <w:rFonts w:asciiTheme="minorHAnsi" w:hAnsiTheme="minorHAnsi" w:cstheme="minorHAnsi"/>
          <w:b/>
        </w:rPr>
      </w:pPr>
    </w:p>
    <w:p w14:paraId="76681EFA" w14:textId="26136C35" w:rsidR="004D5E11" w:rsidRPr="009C793F" w:rsidRDefault="00845012" w:rsidP="00DE19C9">
      <w:pPr>
        <w:jc w:val="both"/>
        <w:rPr>
          <w:rFonts w:asciiTheme="minorHAnsi" w:hAnsiTheme="minorHAnsi" w:cstheme="minorHAnsi"/>
          <w:b/>
        </w:rPr>
      </w:pPr>
      <w:r w:rsidRPr="009C793F">
        <w:rPr>
          <w:rFonts w:asciiTheme="minorHAnsi" w:hAnsiTheme="minorHAnsi" w:cstheme="minorHAnsi"/>
          <w:b/>
        </w:rPr>
        <w:lastRenderedPageBreak/>
        <w:t>3.3</w:t>
      </w:r>
      <w:r w:rsidRPr="009C793F">
        <w:rPr>
          <w:rFonts w:asciiTheme="minorHAnsi" w:hAnsiTheme="minorHAnsi" w:cstheme="minorHAnsi"/>
          <w:b/>
        </w:rPr>
        <w:tab/>
        <w:t xml:space="preserve">Sectoral Analyses </w:t>
      </w:r>
    </w:p>
    <w:p w14:paraId="6B7B6E1B" w14:textId="77777777" w:rsidR="00C86F4B" w:rsidRDefault="00C86F4B" w:rsidP="00DE19C9">
      <w:pPr>
        <w:jc w:val="both"/>
        <w:rPr>
          <w:rFonts w:asciiTheme="minorHAnsi" w:hAnsiTheme="minorHAnsi" w:cstheme="minorHAnsi"/>
        </w:rPr>
      </w:pPr>
    </w:p>
    <w:p w14:paraId="00000106" w14:textId="5274F22C"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w:t>
      </w:r>
      <w:r w:rsidRPr="009C793F">
        <w:rPr>
          <w:rFonts w:asciiTheme="minorHAnsi" w:hAnsiTheme="minorHAnsi" w:cstheme="minorHAnsi"/>
          <w:b/>
        </w:rPr>
        <w:t>Energy Sector</w:t>
      </w:r>
      <w:r w:rsidRPr="009C793F">
        <w:rPr>
          <w:rFonts w:asciiTheme="minorHAnsi" w:hAnsiTheme="minorHAnsi" w:cstheme="minorHAnsi"/>
        </w:rPr>
        <w:t xml:space="preserve"> is the mainstay of the TT economy accounting for 24 – 36 percent of GDP since 2015.  An independent assessment of the crude oil and natural gas audit (as at 2018) indicate reserves of 220.1 million barrels and 10.53 trillion cubic feet, respectively</w:t>
      </w:r>
      <w:r w:rsidR="006557A9" w:rsidRPr="009C793F">
        <w:rPr>
          <w:rFonts w:asciiTheme="minorHAnsi" w:hAnsiTheme="minorHAnsi" w:cstheme="minorHAnsi"/>
        </w:rPr>
        <w:t>.</w:t>
      </w:r>
      <w:r w:rsidRPr="009C793F">
        <w:rPr>
          <w:rFonts w:asciiTheme="minorHAnsi" w:hAnsiTheme="minorHAnsi" w:cstheme="minorHAnsi"/>
          <w:vertAlign w:val="superscript"/>
        </w:rPr>
        <w:footnoteReference w:id="83"/>
      </w:r>
      <w:r w:rsidRPr="009C793F">
        <w:rPr>
          <w:rFonts w:asciiTheme="minorHAnsi" w:hAnsiTheme="minorHAnsi" w:cstheme="minorHAnsi"/>
        </w:rPr>
        <w:t xml:space="preserve"> </w:t>
      </w:r>
    </w:p>
    <w:p w14:paraId="09045A04" w14:textId="77777777" w:rsidR="00C86F4B" w:rsidRDefault="00C86F4B" w:rsidP="00DE19C9">
      <w:pPr>
        <w:jc w:val="both"/>
        <w:rPr>
          <w:rFonts w:asciiTheme="minorHAnsi" w:hAnsiTheme="minorHAnsi" w:cstheme="minorHAnsi"/>
        </w:rPr>
      </w:pPr>
    </w:p>
    <w:p w14:paraId="00000107" w14:textId="793BDFC4"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energy sector contracted by 4.5 percent in 2019 and it is expected to contract further by 5.9 percent in 2020, largely attributed to the impact of the COVID-19 on the global demand for oil and gas. Based on the provisional estimates for the first two quarters of 2020, almost all aspects of the energy sub-industry/sector contracted, this included: natural gas exploration and extraction (-5.2 per</w:t>
      </w:r>
      <w:r w:rsidR="006557A9" w:rsidRPr="009C793F">
        <w:rPr>
          <w:rFonts w:asciiTheme="minorHAnsi" w:hAnsiTheme="minorHAnsi" w:cstheme="minorHAnsi"/>
        </w:rPr>
        <w:t xml:space="preserve"> </w:t>
      </w:r>
      <w:r w:rsidRPr="009C793F">
        <w:rPr>
          <w:rFonts w:asciiTheme="minorHAnsi" w:hAnsiTheme="minorHAnsi" w:cstheme="minorHAnsi"/>
        </w:rPr>
        <w:t>cent); manufacture of petrochemicals (-2.6 per</w:t>
      </w:r>
      <w:r w:rsidR="006557A9" w:rsidRPr="009C793F">
        <w:rPr>
          <w:rFonts w:asciiTheme="minorHAnsi" w:hAnsiTheme="minorHAnsi" w:cstheme="minorHAnsi"/>
        </w:rPr>
        <w:t xml:space="preserve"> </w:t>
      </w:r>
      <w:r w:rsidRPr="009C793F">
        <w:rPr>
          <w:rFonts w:asciiTheme="minorHAnsi" w:hAnsiTheme="minorHAnsi" w:cstheme="minorHAnsi"/>
        </w:rPr>
        <w:t>cent); crude oil exploration and extraction (-2.2 per</w:t>
      </w:r>
      <w:r w:rsidR="006557A9" w:rsidRPr="009C793F">
        <w:rPr>
          <w:rFonts w:asciiTheme="minorHAnsi" w:hAnsiTheme="minorHAnsi" w:cstheme="minorHAnsi"/>
        </w:rPr>
        <w:t xml:space="preserve"> </w:t>
      </w:r>
      <w:r w:rsidRPr="009C793F">
        <w:rPr>
          <w:rFonts w:asciiTheme="minorHAnsi" w:hAnsiTheme="minorHAnsi" w:cstheme="minorHAnsi"/>
        </w:rPr>
        <w:t>cent); and  refining (-4.8 per</w:t>
      </w:r>
      <w:r w:rsidR="006557A9" w:rsidRPr="009C793F">
        <w:rPr>
          <w:rFonts w:asciiTheme="minorHAnsi" w:hAnsiTheme="minorHAnsi" w:cstheme="minorHAnsi"/>
        </w:rPr>
        <w:t xml:space="preserve"> </w:t>
      </w:r>
      <w:r w:rsidRPr="009C793F">
        <w:rPr>
          <w:rFonts w:asciiTheme="minorHAnsi" w:hAnsiTheme="minorHAnsi" w:cstheme="minorHAnsi"/>
        </w:rPr>
        <w:t>cent).</w:t>
      </w:r>
      <w:r w:rsidR="006557A9" w:rsidRPr="009C793F">
        <w:rPr>
          <w:rStyle w:val="FootnoteReference"/>
          <w:rFonts w:asciiTheme="minorHAnsi" w:hAnsiTheme="minorHAnsi" w:cstheme="minorHAnsi"/>
        </w:rPr>
        <w:footnoteReference w:id="84"/>
      </w:r>
      <w:r w:rsidRPr="009C793F">
        <w:rPr>
          <w:rFonts w:asciiTheme="minorHAnsi" w:hAnsiTheme="minorHAnsi" w:cstheme="minorHAnsi"/>
        </w:rPr>
        <w:t xml:space="preserve"> Substantial exploration and development of the oil and gas fields by large companies (such as BHP, BPTT, Shell, CEBL and Primera) have either scaled down operations in 2020 or delayed substantial investments to Fiscal Year 2021.      </w:t>
      </w:r>
    </w:p>
    <w:p w14:paraId="5BB924A5" w14:textId="77777777" w:rsidR="00C86F4B" w:rsidRDefault="00C86F4B" w:rsidP="00DE19C9">
      <w:pPr>
        <w:jc w:val="both"/>
        <w:rPr>
          <w:rFonts w:asciiTheme="minorHAnsi" w:hAnsiTheme="minorHAnsi" w:cstheme="minorHAnsi"/>
        </w:rPr>
      </w:pPr>
    </w:p>
    <w:p w14:paraId="00000108" w14:textId="06FE100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w:t>
      </w:r>
      <w:r w:rsidRPr="009C793F">
        <w:rPr>
          <w:rFonts w:asciiTheme="minorHAnsi" w:hAnsiTheme="minorHAnsi" w:cstheme="minorHAnsi"/>
          <w:b/>
        </w:rPr>
        <w:t>Non-Energy Sector</w:t>
      </w:r>
      <w:r w:rsidRPr="009C793F">
        <w:rPr>
          <w:rFonts w:asciiTheme="minorHAnsi" w:hAnsiTheme="minorHAnsi" w:cstheme="minorHAnsi"/>
        </w:rPr>
        <w:t xml:space="preserve"> contributed around 65 per</w:t>
      </w:r>
      <w:r w:rsidR="006557A9" w:rsidRPr="009C793F">
        <w:rPr>
          <w:rFonts w:asciiTheme="minorHAnsi" w:hAnsiTheme="minorHAnsi" w:cstheme="minorHAnsi"/>
        </w:rPr>
        <w:t xml:space="preserve"> </w:t>
      </w:r>
      <w:r w:rsidRPr="009C793F">
        <w:rPr>
          <w:rFonts w:asciiTheme="minorHAnsi" w:hAnsiTheme="minorHAnsi" w:cstheme="minorHAnsi"/>
        </w:rPr>
        <w:t xml:space="preserve">cent to the GDP and is expected to be slightly higher in 2020. </w:t>
      </w:r>
      <w:r w:rsidRPr="009C793F">
        <w:rPr>
          <w:rFonts w:asciiTheme="minorHAnsi" w:hAnsiTheme="minorHAnsi" w:cstheme="minorHAnsi"/>
          <w:b/>
        </w:rPr>
        <w:t>Agriculture, Forestry and Fisheries</w:t>
      </w:r>
      <w:r w:rsidRPr="009C793F">
        <w:rPr>
          <w:rFonts w:asciiTheme="minorHAnsi" w:hAnsiTheme="minorHAnsi" w:cstheme="minorHAnsi"/>
        </w:rPr>
        <w:t xml:space="preserve"> contribution is estimated at 1</w:t>
      </w:r>
      <w:r w:rsidR="006557A9"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to GDP (as of June 2020 up from 0.8 per</w:t>
      </w:r>
      <w:r w:rsidR="003257A7" w:rsidRPr="009C793F">
        <w:rPr>
          <w:rFonts w:asciiTheme="minorHAnsi" w:hAnsiTheme="minorHAnsi" w:cstheme="minorHAnsi"/>
        </w:rPr>
        <w:t xml:space="preserve"> </w:t>
      </w:r>
      <w:r w:rsidRPr="009C793F">
        <w:rPr>
          <w:rFonts w:asciiTheme="minorHAnsi" w:hAnsiTheme="minorHAnsi" w:cstheme="minorHAnsi"/>
        </w:rPr>
        <w:t>cent in 2019) and employed around 3.7</w:t>
      </w:r>
      <w:r w:rsidR="006557A9"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TT’s total employment (equivalent to around 22,800 persons</w:t>
      </w:r>
      <w:r w:rsidRPr="009C793F">
        <w:rPr>
          <w:rFonts w:asciiTheme="minorHAnsi" w:hAnsiTheme="minorHAnsi" w:cstheme="minorHAnsi"/>
          <w:vertAlign w:val="superscript"/>
        </w:rPr>
        <w:footnoteReference w:id="85"/>
      </w:r>
      <w:r w:rsidRPr="009C793F">
        <w:rPr>
          <w:rFonts w:asciiTheme="minorHAnsi" w:hAnsiTheme="minorHAnsi" w:cstheme="minorHAnsi"/>
        </w:rPr>
        <w:t>). The agriculture sector is dominated by products such as root crops, vegetables, pulses, fruits, poultry, small ruminants</w:t>
      </w:r>
      <w:r w:rsidR="003257A7" w:rsidRPr="009C793F">
        <w:rPr>
          <w:rFonts w:asciiTheme="minorHAnsi" w:hAnsiTheme="minorHAnsi" w:cstheme="minorHAnsi"/>
        </w:rPr>
        <w:t>,</w:t>
      </w:r>
      <w:r w:rsidRPr="009C793F">
        <w:rPr>
          <w:rFonts w:asciiTheme="minorHAnsi" w:hAnsiTheme="minorHAnsi" w:cstheme="minorHAnsi"/>
        </w:rPr>
        <w:t xml:space="preserve"> pigs and dairy. Cocoa remains a high value export commodity recording a growth in fiscal year 2020 due to favourable weather conditions</w:t>
      </w:r>
      <w:r w:rsidR="008664AE" w:rsidRPr="009C793F">
        <w:rPr>
          <w:rFonts w:asciiTheme="minorHAnsi" w:hAnsiTheme="minorHAnsi" w:cstheme="minorHAnsi"/>
        </w:rPr>
        <w:t>.</w:t>
      </w:r>
      <w:r w:rsidRPr="009C793F">
        <w:rPr>
          <w:rFonts w:asciiTheme="minorHAnsi" w:hAnsiTheme="minorHAnsi" w:cstheme="minorHAnsi"/>
        </w:rPr>
        <w:t xml:space="preserve"> </w:t>
      </w:r>
      <w:r w:rsidR="008664AE" w:rsidRPr="009C793F">
        <w:rPr>
          <w:rFonts w:asciiTheme="minorHAnsi" w:hAnsiTheme="minorHAnsi" w:cstheme="minorHAnsi"/>
        </w:rPr>
        <w:t>C</w:t>
      </w:r>
      <w:r w:rsidRPr="009C793F">
        <w:rPr>
          <w:rFonts w:asciiTheme="minorHAnsi" w:hAnsiTheme="minorHAnsi" w:cstheme="minorHAnsi"/>
        </w:rPr>
        <w:t xml:space="preserve">offee is also on the rebound.      </w:t>
      </w:r>
    </w:p>
    <w:p w14:paraId="1E6E947B" w14:textId="77777777" w:rsidR="00C86F4B" w:rsidRDefault="00C86F4B" w:rsidP="00DE19C9">
      <w:pPr>
        <w:jc w:val="both"/>
        <w:rPr>
          <w:rFonts w:asciiTheme="minorHAnsi" w:hAnsiTheme="minorHAnsi" w:cstheme="minorHAnsi"/>
        </w:rPr>
      </w:pPr>
    </w:p>
    <w:p w14:paraId="00000109" w14:textId="68BFBACF"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Apiculture is increasing in importance and the forestry sector showed an increase due mainly to increased harvesting and utilization of teak and pine material for furniture, supported by forestry regeneration activities by the extension and incentive services forestry assistance programme. The fisheries sector remains dominated by small-scale fisherfolk and the sector is being modernized through new legislation and institutional strengthening. </w:t>
      </w:r>
    </w:p>
    <w:p w14:paraId="0C8F5603" w14:textId="77777777" w:rsidR="00C86F4B" w:rsidRDefault="00C86F4B" w:rsidP="00DE19C9">
      <w:pPr>
        <w:jc w:val="both"/>
        <w:rPr>
          <w:rFonts w:asciiTheme="minorHAnsi" w:hAnsiTheme="minorHAnsi" w:cstheme="minorHAnsi"/>
        </w:rPr>
      </w:pPr>
    </w:p>
    <w:p w14:paraId="0000010A" w14:textId="13430123"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the 2021 National Budget, the Government has taken significant steps to provide additional support to all aspects of agriculture development, production, value chain strengthening, logistics, marketing and exports. This will provide much-needed funding. Going forward, as the Government seeks to strengthen existing and forge new partnerships with private sector and development partners, there will be the need for strengthening existing production practices, bringing new farmers into the sector, engagement of private sector, leveraging innovation, technology and investments will be crucial to resuscitating and building a resilient and sustainable food system and agriculture.   </w:t>
      </w:r>
    </w:p>
    <w:p w14:paraId="3D678B66" w14:textId="77777777" w:rsidR="00C86F4B" w:rsidRDefault="00C86F4B" w:rsidP="00DE19C9">
      <w:pPr>
        <w:jc w:val="both"/>
        <w:rPr>
          <w:rFonts w:asciiTheme="minorHAnsi" w:hAnsiTheme="minorHAnsi" w:cstheme="minorHAnsi"/>
        </w:rPr>
      </w:pPr>
    </w:p>
    <w:p w14:paraId="0000010B" w14:textId="71E370B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w:t>
      </w:r>
      <w:r w:rsidRPr="009C793F">
        <w:rPr>
          <w:rFonts w:asciiTheme="minorHAnsi" w:hAnsiTheme="minorHAnsi" w:cstheme="minorHAnsi"/>
          <w:b/>
        </w:rPr>
        <w:t>manufacturing</w:t>
      </w:r>
      <w:r w:rsidRPr="009C793F">
        <w:rPr>
          <w:rFonts w:asciiTheme="minorHAnsi" w:hAnsiTheme="minorHAnsi" w:cstheme="minorHAnsi"/>
        </w:rPr>
        <w:t xml:space="preserve"> industry’s contribution to GDP remained at around 21</w:t>
      </w:r>
      <w:r w:rsidR="004A00EE" w:rsidRPr="009C793F">
        <w:rPr>
          <w:rFonts w:asciiTheme="minorHAnsi" w:hAnsiTheme="minorHAnsi" w:cstheme="minorHAnsi"/>
        </w:rPr>
        <w:t xml:space="preserve"> per cent </w:t>
      </w:r>
      <w:r w:rsidRPr="009C793F">
        <w:rPr>
          <w:rFonts w:asciiTheme="minorHAnsi" w:hAnsiTheme="minorHAnsi" w:cstheme="minorHAnsi"/>
        </w:rPr>
        <w:t>in the year to June 2020. It also registered declines of 1.5</w:t>
      </w:r>
      <w:r w:rsidR="004A00EE" w:rsidRPr="009C793F">
        <w:rPr>
          <w:rFonts w:asciiTheme="minorHAnsi" w:hAnsiTheme="minorHAnsi" w:cstheme="minorHAnsi"/>
        </w:rPr>
        <w:t xml:space="preserve"> per cent </w:t>
      </w:r>
      <w:r w:rsidRPr="009C793F">
        <w:rPr>
          <w:rFonts w:asciiTheme="minorHAnsi" w:hAnsiTheme="minorHAnsi" w:cstheme="minorHAnsi"/>
        </w:rPr>
        <w:t>and 5.</w:t>
      </w:r>
      <w:r w:rsidR="004A00EE" w:rsidRPr="009C793F">
        <w:rPr>
          <w:rFonts w:asciiTheme="minorHAnsi" w:hAnsiTheme="minorHAnsi" w:cstheme="minorHAnsi"/>
        </w:rPr>
        <w:t>8 per cent</w:t>
      </w:r>
      <w:r w:rsidRPr="009C793F">
        <w:rPr>
          <w:rFonts w:asciiTheme="minorHAnsi" w:hAnsiTheme="minorHAnsi" w:cstheme="minorHAnsi"/>
        </w:rPr>
        <w:t xml:space="preserve"> in the first two quarters of 2020</w:t>
      </w:r>
      <w:r w:rsidR="00B67047" w:rsidRPr="009C793F">
        <w:rPr>
          <w:rFonts w:asciiTheme="minorHAnsi" w:hAnsiTheme="minorHAnsi" w:cstheme="minorHAnsi"/>
        </w:rPr>
        <w:t>.</w:t>
      </w:r>
      <w:r w:rsidR="00F85C5C" w:rsidRPr="009C793F">
        <w:rPr>
          <w:rStyle w:val="FootnoteReference"/>
          <w:rFonts w:asciiTheme="minorHAnsi" w:hAnsiTheme="minorHAnsi" w:cstheme="minorHAnsi"/>
        </w:rPr>
        <w:footnoteReference w:id="86"/>
      </w:r>
      <w:r w:rsidRPr="009C793F">
        <w:rPr>
          <w:rFonts w:asciiTheme="minorHAnsi" w:hAnsiTheme="minorHAnsi" w:cstheme="minorHAnsi"/>
        </w:rPr>
        <w:t xml:space="preserve"> Economic contraction and lockdown measures initiated by the response to COVID-19 were key factors contributing to the slowdown in this sector. The key sub industries recorded declines in </w:t>
      </w:r>
      <w:r w:rsidR="004A00EE" w:rsidRPr="009C793F">
        <w:rPr>
          <w:rFonts w:asciiTheme="minorHAnsi" w:hAnsiTheme="minorHAnsi" w:cstheme="minorHAnsi"/>
        </w:rPr>
        <w:t>the second quarter of 2020 included inter-alia:</w:t>
      </w:r>
      <w:r w:rsidRPr="009C793F">
        <w:rPr>
          <w:rFonts w:asciiTheme="minorHAnsi" w:hAnsiTheme="minorHAnsi" w:cstheme="minorHAnsi"/>
        </w:rPr>
        <w:t xml:space="preserve"> food, beverages and tobacco products (-4.9 pe</w:t>
      </w:r>
      <w:r w:rsidR="004A00EE" w:rsidRPr="009C793F">
        <w:rPr>
          <w:rFonts w:asciiTheme="minorHAnsi" w:hAnsiTheme="minorHAnsi" w:cstheme="minorHAnsi"/>
        </w:rPr>
        <w:t xml:space="preserve">r </w:t>
      </w:r>
      <w:r w:rsidRPr="009C793F">
        <w:rPr>
          <w:rFonts w:asciiTheme="minorHAnsi" w:hAnsiTheme="minorHAnsi" w:cstheme="minorHAnsi"/>
        </w:rPr>
        <w:t xml:space="preserve">cent); </w:t>
      </w:r>
      <w:r w:rsidR="004A00EE" w:rsidRPr="009C793F">
        <w:rPr>
          <w:rFonts w:asciiTheme="minorHAnsi" w:hAnsiTheme="minorHAnsi" w:cstheme="minorHAnsi"/>
        </w:rPr>
        <w:t>t</w:t>
      </w:r>
      <w:r w:rsidRPr="009C793F">
        <w:rPr>
          <w:rFonts w:asciiTheme="minorHAnsi" w:hAnsiTheme="minorHAnsi" w:cstheme="minorHAnsi"/>
        </w:rPr>
        <w:t>e</w:t>
      </w:r>
      <w:r w:rsidR="004A00EE" w:rsidRPr="009C793F">
        <w:rPr>
          <w:rFonts w:asciiTheme="minorHAnsi" w:hAnsiTheme="minorHAnsi" w:cstheme="minorHAnsi"/>
        </w:rPr>
        <w:t>xtiles</w:t>
      </w:r>
      <w:r w:rsidRPr="009C793F">
        <w:rPr>
          <w:rFonts w:asciiTheme="minorHAnsi" w:hAnsiTheme="minorHAnsi" w:cstheme="minorHAnsi"/>
        </w:rPr>
        <w:t xml:space="preserve">, clothing, </w:t>
      </w:r>
      <w:r w:rsidRPr="009C793F">
        <w:rPr>
          <w:rFonts w:asciiTheme="minorHAnsi" w:hAnsiTheme="minorHAnsi" w:cstheme="minorHAnsi"/>
        </w:rPr>
        <w:lastRenderedPageBreak/>
        <w:t>leatherwood, paper and printing (-11.6 per</w:t>
      </w:r>
      <w:r w:rsidR="004A00EE" w:rsidRPr="009C793F">
        <w:rPr>
          <w:rFonts w:asciiTheme="minorHAnsi" w:hAnsiTheme="minorHAnsi" w:cstheme="minorHAnsi"/>
        </w:rPr>
        <w:t xml:space="preserve"> </w:t>
      </w:r>
      <w:r w:rsidRPr="009C793F">
        <w:rPr>
          <w:rFonts w:asciiTheme="minorHAnsi" w:hAnsiTheme="minorHAnsi" w:cstheme="minorHAnsi"/>
        </w:rPr>
        <w:t>cent); and other manufactured products (-12.0 per</w:t>
      </w:r>
      <w:r w:rsidR="004A00EE" w:rsidRPr="009C793F">
        <w:rPr>
          <w:rFonts w:asciiTheme="minorHAnsi" w:hAnsiTheme="minorHAnsi" w:cstheme="minorHAnsi"/>
        </w:rPr>
        <w:t xml:space="preserve"> </w:t>
      </w:r>
      <w:r w:rsidRPr="009C793F">
        <w:rPr>
          <w:rFonts w:asciiTheme="minorHAnsi" w:hAnsiTheme="minorHAnsi" w:cstheme="minorHAnsi"/>
        </w:rPr>
        <w:t>cent).</w:t>
      </w:r>
      <w:r w:rsidR="00B67047" w:rsidRPr="009C793F">
        <w:rPr>
          <w:rStyle w:val="FootnoteReference"/>
          <w:rFonts w:asciiTheme="minorHAnsi" w:hAnsiTheme="minorHAnsi" w:cstheme="minorHAnsi"/>
        </w:rPr>
        <w:footnoteReference w:id="87"/>
      </w:r>
      <w:r w:rsidRPr="009C793F">
        <w:rPr>
          <w:rFonts w:asciiTheme="minorHAnsi" w:hAnsiTheme="minorHAnsi" w:cstheme="minorHAnsi"/>
        </w:rPr>
        <w:t xml:space="preserve"> Given the imperative of diversification away from oil and gas, the government continues to emphasise the importance of supporting the expansion of the manufacturing sector. This is evident in the food sector where the policy shift is to link domestic producers with agro processors to develop sustainable supply chains </w:t>
      </w:r>
      <w:r w:rsidR="006509DB" w:rsidRPr="009C793F">
        <w:rPr>
          <w:rFonts w:asciiTheme="minorHAnsi" w:hAnsiTheme="minorHAnsi" w:cstheme="minorHAnsi"/>
        </w:rPr>
        <w:t>and</w:t>
      </w:r>
      <w:r w:rsidRPr="009C793F">
        <w:rPr>
          <w:rFonts w:asciiTheme="minorHAnsi" w:hAnsiTheme="minorHAnsi" w:cstheme="minorHAnsi"/>
        </w:rPr>
        <w:t xml:space="preserve"> to engage regional food supply chains</w:t>
      </w:r>
      <w:r w:rsidRPr="009C793F">
        <w:rPr>
          <w:rFonts w:asciiTheme="minorHAnsi" w:hAnsiTheme="minorHAnsi" w:cstheme="minorHAnsi"/>
          <w:vertAlign w:val="superscript"/>
        </w:rPr>
        <w:footnoteReference w:id="88"/>
      </w:r>
      <w:r w:rsidRPr="009C793F">
        <w:rPr>
          <w:rFonts w:asciiTheme="minorHAnsi" w:hAnsiTheme="minorHAnsi" w:cstheme="minorHAnsi"/>
        </w:rPr>
        <w:t>.</w:t>
      </w:r>
    </w:p>
    <w:p w14:paraId="3CD809DB" w14:textId="77777777" w:rsidR="00C86F4B" w:rsidRDefault="00C86F4B" w:rsidP="00DE19C9">
      <w:pPr>
        <w:jc w:val="both"/>
        <w:rPr>
          <w:rFonts w:asciiTheme="minorHAnsi" w:hAnsiTheme="minorHAnsi" w:cstheme="minorHAnsi"/>
        </w:rPr>
      </w:pPr>
    </w:p>
    <w:p w14:paraId="0000010C" w14:textId="7BFD3B4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w:t>
      </w:r>
      <w:r w:rsidRPr="009C793F">
        <w:rPr>
          <w:rFonts w:asciiTheme="minorHAnsi" w:hAnsiTheme="minorHAnsi" w:cstheme="minorHAnsi"/>
          <w:b/>
        </w:rPr>
        <w:t>construction</w:t>
      </w:r>
      <w:r w:rsidRPr="009C793F">
        <w:rPr>
          <w:rFonts w:asciiTheme="minorHAnsi" w:hAnsiTheme="minorHAnsi" w:cstheme="minorHAnsi"/>
        </w:rPr>
        <w:t xml:space="preserve"> industry went through a roller-coaster growth this year as the first quarter growth of 7.1</w:t>
      </w:r>
      <w:r w:rsidR="00B67047"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turned into a decline of almost the same magnitude in the second quarter of the year.</w:t>
      </w:r>
      <w:r w:rsidR="00B67047" w:rsidRPr="009C793F">
        <w:rPr>
          <w:rStyle w:val="FootnoteReference"/>
          <w:rFonts w:asciiTheme="minorHAnsi" w:hAnsiTheme="minorHAnsi" w:cstheme="minorHAnsi"/>
        </w:rPr>
        <w:footnoteReference w:id="89"/>
      </w:r>
      <w:r w:rsidR="00B67047" w:rsidRPr="009C793F">
        <w:rPr>
          <w:rFonts w:asciiTheme="minorHAnsi" w:hAnsiTheme="minorHAnsi" w:cstheme="minorHAnsi"/>
        </w:rPr>
        <w:t xml:space="preserve"> </w:t>
      </w:r>
      <w:r w:rsidRPr="009C793F">
        <w:rPr>
          <w:rFonts w:asciiTheme="minorHAnsi" w:hAnsiTheme="minorHAnsi" w:cstheme="minorHAnsi"/>
        </w:rPr>
        <w:t xml:space="preserve">Additionally, supply chain bottlenecks as a result COVID-19 and funding constraints due to reallocation of funding to essential services also impacted the construction industry. </w:t>
      </w:r>
    </w:p>
    <w:p w14:paraId="3B37234D" w14:textId="77777777" w:rsidR="00C86F4B" w:rsidRDefault="00C86F4B" w:rsidP="00DE19C9">
      <w:pPr>
        <w:jc w:val="both"/>
        <w:rPr>
          <w:rFonts w:asciiTheme="minorHAnsi" w:hAnsiTheme="minorHAnsi" w:cstheme="minorHAnsi"/>
        </w:rPr>
      </w:pPr>
    </w:p>
    <w:p w14:paraId="3F651A87" w14:textId="46FEE229" w:rsidR="004A00EE" w:rsidRPr="009C793F" w:rsidRDefault="00845012" w:rsidP="00DE19C9">
      <w:pPr>
        <w:jc w:val="both"/>
        <w:rPr>
          <w:rFonts w:asciiTheme="minorHAnsi" w:hAnsiTheme="minorHAnsi" w:cstheme="minorHAnsi"/>
        </w:rPr>
      </w:pPr>
      <w:r w:rsidRPr="009C793F">
        <w:rPr>
          <w:rFonts w:asciiTheme="minorHAnsi" w:hAnsiTheme="minorHAnsi" w:cstheme="minorHAnsi"/>
        </w:rPr>
        <w:t>Tourism, though not the main driver of the economy in Trinidad, is of crucial importance to Tobago. The contribution of tourism to GDP and employment stood at 8</w:t>
      </w:r>
      <w:r w:rsidR="00B67047"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and 10</w:t>
      </w:r>
      <w:r w:rsidR="00B67047"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respectively over the period 2014 - 2018</w:t>
      </w:r>
      <w:r w:rsidRPr="009C793F">
        <w:rPr>
          <w:rFonts w:asciiTheme="minorHAnsi" w:hAnsiTheme="minorHAnsi" w:cstheme="minorHAnsi"/>
          <w:vertAlign w:val="superscript"/>
        </w:rPr>
        <w:footnoteReference w:id="90"/>
      </w:r>
      <w:r w:rsidRPr="009C793F">
        <w:rPr>
          <w:rFonts w:asciiTheme="minorHAnsi" w:hAnsiTheme="minorHAnsi" w:cstheme="minorHAnsi"/>
        </w:rPr>
        <w:t>. Like the rest of the Region, tourism was heavily impacted due to the border closures since March 2020.  In the year to May 2020, total visitor arrivals were 137,466, representing a decline of 41</w:t>
      </w:r>
      <w:r w:rsidR="00B67047"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from comparable period last year.</w:t>
      </w:r>
      <w:r w:rsidR="00B67047" w:rsidRPr="009C793F">
        <w:rPr>
          <w:rStyle w:val="FootnoteReference"/>
          <w:rFonts w:asciiTheme="minorHAnsi" w:hAnsiTheme="minorHAnsi" w:cstheme="minorHAnsi"/>
        </w:rPr>
        <w:footnoteReference w:id="91"/>
      </w:r>
      <w:r w:rsidRPr="009C793F">
        <w:rPr>
          <w:rFonts w:asciiTheme="minorHAnsi" w:hAnsiTheme="minorHAnsi" w:cstheme="minorHAnsi"/>
        </w:rPr>
        <w:t xml:space="preserve"> </w:t>
      </w:r>
    </w:p>
    <w:p w14:paraId="5E661711" w14:textId="77777777" w:rsidR="00C86F4B" w:rsidRDefault="00C86F4B" w:rsidP="00DE19C9">
      <w:pPr>
        <w:jc w:val="both"/>
        <w:rPr>
          <w:rFonts w:asciiTheme="minorHAnsi" w:hAnsiTheme="minorHAnsi" w:cstheme="minorHAnsi"/>
        </w:rPr>
      </w:pPr>
    </w:p>
    <w:p w14:paraId="0000010D" w14:textId="4D5203BC"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concessions for the tourism sector in the 2021 budget included accommodation grant relief, relief business grants and loans (including a 4-year soft loan with 2-year moratorium). This will assist in the support tourism dependent Tobago economy. Looking ahead, the cancellation of Carnival 2021 due to the coronavirus will further negatively impact on the tourism sector.   Also included in the</w:t>
      </w:r>
      <w:r w:rsidR="00B67047" w:rsidRPr="009C793F">
        <w:rPr>
          <w:rFonts w:asciiTheme="minorHAnsi" w:hAnsiTheme="minorHAnsi" w:cstheme="minorHAnsi"/>
        </w:rPr>
        <w:t xml:space="preserve"> tourism</w:t>
      </w:r>
      <w:r w:rsidRPr="009C793F">
        <w:rPr>
          <w:rFonts w:asciiTheme="minorHAnsi" w:hAnsiTheme="minorHAnsi" w:cstheme="minorHAnsi"/>
        </w:rPr>
        <w:t xml:space="preserve"> initiative to To</w:t>
      </w:r>
      <w:r w:rsidR="00B67047" w:rsidRPr="009C793F">
        <w:rPr>
          <w:rFonts w:asciiTheme="minorHAnsi" w:hAnsiTheme="minorHAnsi" w:cstheme="minorHAnsi"/>
        </w:rPr>
        <w:t>bago</w:t>
      </w:r>
      <w:r w:rsidRPr="009C793F">
        <w:rPr>
          <w:rFonts w:asciiTheme="minorHAnsi" w:hAnsiTheme="minorHAnsi" w:cstheme="minorHAnsi"/>
        </w:rPr>
        <w:t xml:space="preserve"> is a strengthened food production system using technology and innovation linked to the hospitality industry.</w:t>
      </w:r>
    </w:p>
    <w:p w14:paraId="5F59C336" w14:textId="77777777" w:rsidR="00C86F4B" w:rsidRDefault="00C86F4B" w:rsidP="00DE19C9">
      <w:pPr>
        <w:jc w:val="both"/>
        <w:rPr>
          <w:rFonts w:asciiTheme="minorHAnsi" w:hAnsiTheme="minorHAnsi" w:cstheme="minorHAnsi"/>
          <w:b/>
        </w:rPr>
      </w:pPr>
    </w:p>
    <w:p w14:paraId="0000010E" w14:textId="0D8FC3DE"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3.4</w:t>
      </w:r>
      <w:r w:rsidRPr="009C793F">
        <w:rPr>
          <w:rFonts w:asciiTheme="minorHAnsi" w:hAnsiTheme="minorHAnsi" w:cstheme="minorHAnsi"/>
          <w:b/>
        </w:rPr>
        <w:tab/>
        <w:t>Private Sector Development</w:t>
      </w:r>
      <w:r w:rsidR="00844ACB" w:rsidRPr="009C793F">
        <w:rPr>
          <w:rFonts w:asciiTheme="minorHAnsi" w:hAnsiTheme="minorHAnsi" w:cstheme="minorHAnsi"/>
          <w:b/>
        </w:rPr>
        <w:t xml:space="preserve"> an</w:t>
      </w:r>
      <w:r w:rsidRPr="009C793F">
        <w:rPr>
          <w:rFonts w:asciiTheme="minorHAnsi" w:hAnsiTheme="minorHAnsi" w:cstheme="minorHAnsi"/>
          <w:b/>
        </w:rPr>
        <w:t xml:space="preserve">d Economic Competitiveness </w:t>
      </w:r>
    </w:p>
    <w:p w14:paraId="2C670863" w14:textId="77777777" w:rsidR="00C86F4B" w:rsidRDefault="00C86F4B" w:rsidP="00DE19C9">
      <w:pPr>
        <w:jc w:val="both"/>
        <w:rPr>
          <w:rFonts w:asciiTheme="minorHAnsi" w:hAnsiTheme="minorHAnsi" w:cstheme="minorHAnsi"/>
        </w:rPr>
      </w:pPr>
    </w:p>
    <w:p w14:paraId="0000010F" w14:textId="11A2C4DD" w:rsidR="006B72B0" w:rsidRPr="009C793F" w:rsidRDefault="00845012" w:rsidP="00DE19C9">
      <w:pPr>
        <w:jc w:val="both"/>
        <w:rPr>
          <w:rFonts w:asciiTheme="minorHAnsi" w:hAnsiTheme="minorHAnsi" w:cstheme="minorHAnsi"/>
        </w:rPr>
      </w:pPr>
      <w:r w:rsidRPr="009C793F">
        <w:rPr>
          <w:rFonts w:asciiTheme="minorHAnsi" w:hAnsiTheme="minorHAnsi" w:cstheme="minorHAnsi"/>
        </w:rPr>
        <w:t>Trinidad and Tobago’s economy is driven both by state enterprises and the private sector. Given it that it lags in the second tier of the World Bank’s Ease of Doing Business Index 2020</w:t>
      </w:r>
      <w:r w:rsidRPr="009C793F">
        <w:rPr>
          <w:rFonts w:asciiTheme="minorHAnsi" w:hAnsiTheme="minorHAnsi" w:cstheme="minorHAnsi"/>
          <w:vertAlign w:val="superscript"/>
        </w:rPr>
        <w:footnoteReference w:id="92"/>
      </w:r>
      <w:r w:rsidRPr="009C793F">
        <w:rPr>
          <w:rFonts w:asciiTheme="minorHAnsi" w:hAnsiTheme="minorHAnsi" w:cstheme="minorHAnsi"/>
        </w:rPr>
        <w:t xml:space="preserve"> , the long-term development of business will require the building of competitiveness, including improving the ease of doing business.  Part of these hurdles are regulatory, and others related to high security costs as indicated by extensive studies by the </w:t>
      </w:r>
      <w:r w:rsidR="00AF03FE" w:rsidRPr="009C793F">
        <w:rPr>
          <w:rFonts w:asciiTheme="minorHAnsi" w:hAnsiTheme="minorHAnsi" w:cstheme="minorHAnsi"/>
        </w:rPr>
        <w:t>IADB</w:t>
      </w:r>
      <w:r w:rsidRPr="009C793F">
        <w:rPr>
          <w:rFonts w:asciiTheme="minorHAnsi" w:hAnsiTheme="minorHAnsi" w:cstheme="minorHAnsi"/>
        </w:rPr>
        <w:t>.  IADB studies</w:t>
      </w:r>
      <w:r w:rsidRPr="009C793F">
        <w:rPr>
          <w:rFonts w:asciiTheme="minorHAnsi" w:hAnsiTheme="minorHAnsi" w:cstheme="minorHAnsi"/>
          <w:vertAlign w:val="superscript"/>
        </w:rPr>
        <w:footnoteReference w:id="93"/>
      </w:r>
      <w:r w:rsidRPr="009C793F">
        <w:rPr>
          <w:rFonts w:asciiTheme="minorHAnsi" w:hAnsiTheme="minorHAnsi" w:cstheme="minorHAnsi"/>
        </w:rPr>
        <w:t xml:space="preserve"> show that the costs of crime weigh negatively on the economy and private sector development. These costs are estimated at 3.5 percent of the nominal GDP,</w:t>
      </w:r>
      <w:r w:rsidRPr="009C793F">
        <w:rPr>
          <w:rFonts w:asciiTheme="minorHAnsi" w:hAnsiTheme="minorHAnsi" w:cstheme="minorHAnsi"/>
          <w:vertAlign w:val="superscript"/>
        </w:rPr>
        <w:footnoteReference w:id="94"/>
      </w:r>
      <w:r w:rsidRPr="009C793F">
        <w:rPr>
          <w:rFonts w:asciiTheme="minorHAnsi" w:hAnsiTheme="minorHAnsi" w:cstheme="minorHAnsi"/>
        </w:rPr>
        <w:t xml:space="preserve"> in the form of high public and private spending on policing and security, medical expenses, judicial procedures and opportunity cost of forgone income. </w:t>
      </w:r>
    </w:p>
    <w:p w14:paraId="71168426" w14:textId="77777777" w:rsidR="00C86F4B" w:rsidRDefault="00C86F4B" w:rsidP="00DE19C9">
      <w:pPr>
        <w:jc w:val="both"/>
        <w:rPr>
          <w:rFonts w:asciiTheme="minorHAnsi" w:hAnsiTheme="minorHAnsi" w:cstheme="minorHAnsi"/>
        </w:rPr>
      </w:pPr>
    </w:p>
    <w:p w14:paraId="00000110" w14:textId="07B976FD"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Government’s initiative to develop the 2020-25 National Manufacturing Policy together with Manufacturing Export Strategic Plan 2020-2025 of the </w:t>
      </w:r>
      <w:r w:rsidR="00AF03FE" w:rsidRPr="009C793F">
        <w:rPr>
          <w:rFonts w:asciiTheme="minorHAnsi" w:hAnsiTheme="minorHAnsi" w:cstheme="minorHAnsi"/>
        </w:rPr>
        <w:t xml:space="preserve">Trinidad and Tobago Manufacturers </w:t>
      </w:r>
      <w:r w:rsidR="00660966" w:rsidRPr="009C793F">
        <w:rPr>
          <w:rFonts w:asciiTheme="minorHAnsi" w:hAnsiTheme="minorHAnsi" w:cstheme="minorHAnsi"/>
        </w:rPr>
        <w:t>Association provide</w:t>
      </w:r>
      <w:r w:rsidRPr="009C793F">
        <w:rPr>
          <w:rFonts w:asciiTheme="minorHAnsi" w:hAnsiTheme="minorHAnsi" w:cstheme="minorHAnsi"/>
        </w:rPr>
        <w:t xml:space="preserve"> opportunities to improving and expanding the manufacturing sector. These frameworks are </w:t>
      </w:r>
      <w:r w:rsidRPr="009C793F">
        <w:rPr>
          <w:rFonts w:asciiTheme="minorHAnsi" w:hAnsiTheme="minorHAnsi" w:cstheme="minorHAnsi"/>
        </w:rPr>
        <w:lastRenderedPageBreak/>
        <w:t xml:space="preserve">expected to help: (1) export-oriented growth with knowledge-intensive industries; (2) increase local value-adding across products; (3) enhance human capital development and capacity through target sector interventions; (4) improve productive capacity of key viable sectors (like agriculture) through research and development; (5) improve access to finance for Micro-and-SMEs; and (6) provide consistent conducive regulatory support for businesses. Government though its recently established Ministry of Youth Development and National Service is also keen to advance youth entrepreneurship. </w:t>
      </w:r>
    </w:p>
    <w:p w14:paraId="1D9EE9E4" w14:textId="77777777" w:rsidR="00C86F4B" w:rsidRDefault="00C86F4B" w:rsidP="00DE19C9">
      <w:pPr>
        <w:jc w:val="both"/>
        <w:rPr>
          <w:rFonts w:asciiTheme="minorHAnsi" w:hAnsiTheme="minorHAnsi" w:cstheme="minorHAnsi"/>
          <w:b/>
        </w:rPr>
      </w:pPr>
    </w:p>
    <w:p w14:paraId="5AFCB795" w14:textId="68FDB5DD" w:rsidR="00C86F4B" w:rsidRDefault="00845012" w:rsidP="00DE19C9">
      <w:pPr>
        <w:jc w:val="both"/>
        <w:rPr>
          <w:rFonts w:asciiTheme="minorHAnsi" w:hAnsiTheme="minorHAnsi" w:cstheme="minorHAnsi"/>
          <w:b/>
        </w:rPr>
      </w:pPr>
      <w:r w:rsidRPr="009C793F">
        <w:rPr>
          <w:rFonts w:asciiTheme="minorHAnsi" w:hAnsiTheme="minorHAnsi" w:cstheme="minorHAnsi"/>
          <w:b/>
        </w:rPr>
        <w:t>3.5 The Labour Environment</w:t>
      </w:r>
    </w:p>
    <w:p w14:paraId="40D40E3A" w14:textId="77777777" w:rsidR="00C86F4B" w:rsidRDefault="00C86F4B" w:rsidP="00DE19C9">
      <w:pPr>
        <w:jc w:val="both"/>
        <w:rPr>
          <w:rFonts w:asciiTheme="minorHAnsi" w:hAnsiTheme="minorHAnsi" w:cstheme="minorHAnsi"/>
          <w:b/>
        </w:rPr>
      </w:pPr>
    </w:p>
    <w:p w14:paraId="00000111" w14:textId="2C1BC7FD" w:rsidR="006B72B0" w:rsidRPr="009C793F" w:rsidRDefault="00845012" w:rsidP="00DE19C9">
      <w:pPr>
        <w:jc w:val="both"/>
        <w:rPr>
          <w:rFonts w:asciiTheme="minorHAnsi" w:hAnsiTheme="minorHAnsi" w:cstheme="minorHAnsi"/>
          <w:highlight w:val="white"/>
        </w:rPr>
      </w:pPr>
      <w:r w:rsidRPr="009C793F">
        <w:rPr>
          <w:rFonts w:asciiTheme="minorHAnsi" w:hAnsiTheme="minorHAnsi" w:cstheme="minorHAnsi"/>
        </w:rPr>
        <w:t>T</w:t>
      </w:r>
      <w:r w:rsidRPr="009C793F">
        <w:rPr>
          <w:rFonts w:asciiTheme="minorHAnsi" w:hAnsiTheme="minorHAnsi" w:cstheme="minorHAnsi"/>
          <w:highlight w:val="white"/>
        </w:rPr>
        <w:t>he Constitution of Trinidad and Tobago guarantees the right to freedom of association and assembly. This right translates into the right of a person to form and join a trade union or association. The </w:t>
      </w:r>
      <w:r w:rsidRPr="009C793F">
        <w:rPr>
          <w:rFonts w:asciiTheme="minorHAnsi" w:hAnsiTheme="minorHAnsi" w:cstheme="minorHAnsi"/>
          <w:color w:val="0000FF"/>
          <w:highlight w:val="white"/>
          <w:u w:val="single"/>
        </w:rPr>
        <w:t>Industrial Relations Act</w:t>
      </w:r>
      <w:r w:rsidRPr="009C793F">
        <w:rPr>
          <w:rFonts w:asciiTheme="minorHAnsi" w:hAnsiTheme="minorHAnsi" w:cstheme="minorHAnsi"/>
          <w:highlight w:val="white"/>
        </w:rPr>
        <w:t> (IRA) make provisions for collective bargaining between employers and workers and allows industrial action.  Trinidad and Tobago has also been pursuing labour law reform. Work on the amendment of the Industrial Relations Act and the Retrenchment and Severance Act has reached the most advanced stage with papers the policies on amending these Acts have been submitted to the Cabinet.  Another vital issue in this area is the need to recognise the new labour environment comprising recently arrived Venezuelan nationals who are currently already working or seeking employment.</w:t>
      </w:r>
    </w:p>
    <w:p w14:paraId="088AFC65" w14:textId="77777777" w:rsidR="00C86F4B" w:rsidRDefault="00C86F4B" w:rsidP="00DE19C9">
      <w:pPr>
        <w:jc w:val="both"/>
        <w:rPr>
          <w:rFonts w:asciiTheme="minorHAnsi" w:hAnsiTheme="minorHAnsi" w:cstheme="minorHAnsi"/>
          <w:b/>
          <w:highlight w:val="white"/>
        </w:rPr>
      </w:pPr>
    </w:p>
    <w:p w14:paraId="00000112" w14:textId="22328E54" w:rsidR="006B72B0" w:rsidRPr="009C793F" w:rsidRDefault="00845012" w:rsidP="00DE19C9">
      <w:pPr>
        <w:jc w:val="both"/>
        <w:rPr>
          <w:rFonts w:asciiTheme="minorHAnsi" w:hAnsiTheme="minorHAnsi" w:cstheme="minorHAnsi"/>
          <w:b/>
          <w:highlight w:val="white"/>
        </w:rPr>
      </w:pPr>
      <w:r w:rsidRPr="009C793F">
        <w:rPr>
          <w:rFonts w:asciiTheme="minorHAnsi" w:hAnsiTheme="minorHAnsi" w:cstheme="minorHAnsi"/>
          <w:b/>
          <w:highlight w:val="white"/>
        </w:rPr>
        <w:t xml:space="preserve">In terms of stakeholder consultations, </w:t>
      </w:r>
      <w:r w:rsidRPr="009C793F">
        <w:rPr>
          <w:rFonts w:asciiTheme="minorHAnsi" w:hAnsiTheme="minorHAnsi" w:cstheme="minorHAnsi"/>
          <w:highlight w:val="white"/>
        </w:rPr>
        <w:t xml:space="preserve">Trinidad and Tobago has devised mechanisms for systematic stakeholder consultation on labour matters. At the technical level, the so called “144 Tripartite Committee” meets regularly. The Committee comprises </w:t>
      </w:r>
      <w:r w:rsidR="006509DB" w:rsidRPr="009C793F">
        <w:rPr>
          <w:rFonts w:asciiTheme="minorHAnsi" w:hAnsiTheme="minorHAnsi" w:cstheme="minorHAnsi"/>
          <w:highlight w:val="white"/>
        </w:rPr>
        <w:t>all</w:t>
      </w:r>
      <w:r w:rsidRPr="009C793F">
        <w:rPr>
          <w:rFonts w:asciiTheme="minorHAnsi" w:hAnsiTheme="minorHAnsi" w:cstheme="minorHAnsi"/>
          <w:highlight w:val="white"/>
        </w:rPr>
        <w:t xml:space="preserve"> the social partners, namely trade unions, employers, and Government. It is responsible for considering and recommending the ratification of ILO Conventions, as required under Convention No. 144. It also examines the desirability for new labour laws or amending existing ones. At a higher level, a</w:t>
      </w:r>
      <w:r w:rsidRPr="009C793F">
        <w:rPr>
          <w:rFonts w:asciiTheme="minorHAnsi" w:hAnsiTheme="minorHAnsi" w:cstheme="minorHAnsi"/>
        </w:rPr>
        <w:t xml:space="preserve"> National Tripartite Advisory Council</w:t>
      </w:r>
      <w:r w:rsidR="00AF03FE" w:rsidRPr="009C793F">
        <w:rPr>
          <w:rFonts w:asciiTheme="minorHAnsi" w:hAnsiTheme="minorHAnsi" w:cstheme="minorHAnsi"/>
        </w:rPr>
        <w:t>,</w:t>
      </w:r>
      <w:r w:rsidRPr="009C793F">
        <w:rPr>
          <w:rFonts w:asciiTheme="minorHAnsi" w:hAnsiTheme="minorHAnsi" w:cstheme="minorHAnsi"/>
        </w:rPr>
        <w:t xml:space="preserve"> with a wider membership including ministries, trade unions, employers, and industry and other associations, meets to discuss wide-ranging matters including legislative ones. </w:t>
      </w:r>
    </w:p>
    <w:p w14:paraId="00000113" w14:textId="77777777" w:rsidR="006B72B0" w:rsidRPr="009C793F" w:rsidRDefault="006B72B0" w:rsidP="00DE19C9">
      <w:pPr>
        <w:jc w:val="both"/>
        <w:rPr>
          <w:rFonts w:asciiTheme="minorHAnsi" w:hAnsiTheme="minorHAnsi" w:cstheme="minorHAnsi"/>
          <w:b/>
          <w:highlight w:val="white"/>
        </w:rPr>
      </w:pPr>
    </w:p>
    <w:p w14:paraId="18B337EB" w14:textId="4A0C0958" w:rsidR="00C86F4B" w:rsidRDefault="00845012" w:rsidP="00DE19C9">
      <w:pPr>
        <w:jc w:val="both"/>
        <w:rPr>
          <w:rFonts w:asciiTheme="minorHAnsi" w:hAnsiTheme="minorHAnsi" w:cstheme="minorHAnsi"/>
          <w:b/>
          <w:highlight w:val="white"/>
        </w:rPr>
      </w:pPr>
      <w:r w:rsidRPr="009C793F">
        <w:rPr>
          <w:rFonts w:asciiTheme="minorHAnsi" w:hAnsiTheme="minorHAnsi" w:cstheme="minorHAnsi"/>
          <w:b/>
          <w:highlight w:val="white"/>
        </w:rPr>
        <w:t>Commitment to international standard</w:t>
      </w:r>
      <w:r w:rsidR="00C86F4B">
        <w:rPr>
          <w:rFonts w:asciiTheme="minorHAnsi" w:hAnsiTheme="minorHAnsi" w:cstheme="minorHAnsi"/>
          <w:b/>
          <w:highlight w:val="white"/>
        </w:rPr>
        <w:t>s</w:t>
      </w:r>
    </w:p>
    <w:p w14:paraId="560FC297" w14:textId="77777777" w:rsidR="00C86F4B" w:rsidRDefault="00C86F4B" w:rsidP="00DE19C9">
      <w:pPr>
        <w:jc w:val="both"/>
        <w:rPr>
          <w:rFonts w:asciiTheme="minorHAnsi" w:hAnsiTheme="minorHAnsi" w:cstheme="minorHAnsi"/>
          <w:b/>
          <w:highlight w:val="white"/>
        </w:rPr>
      </w:pPr>
    </w:p>
    <w:p w14:paraId="00000114" w14:textId="2E74E8B2"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highlight w:val="white"/>
        </w:rPr>
        <w:t>Trinidad and Tobago has ratified all 8 “fundamental Conventions” of the ILO. The fundamental Conventions are identified in line with the ILO Declaration on Fundamental Principles and Rights at Work, adopted in 1998</w:t>
      </w:r>
      <w:r w:rsidRPr="009C793F">
        <w:rPr>
          <w:rFonts w:asciiTheme="minorHAnsi" w:hAnsiTheme="minorHAnsi" w:cstheme="minorHAnsi"/>
          <w:highlight w:val="white"/>
          <w:vertAlign w:val="superscript"/>
        </w:rPr>
        <w:footnoteReference w:id="95"/>
      </w:r>
      <w:r w:rsidRPr="009C793F">
        <w:rPr>
          <w:rFonts w:asciiTheme="minorHAnsi" w:hAnsiTheme="minorHAnsi" w:cstheme="minorHAnsi"/>
          <w:highlight w:val="white"/>
        </w:rPr>
        <w:t xml:space="preserve">. Given the country’s ratification of these conventions, it is under an obligation to implement them, and to report their progress. </w:t>
      </w:r>
      <w:r w:rsidRPr="009C793F">
        <w:rPr>
          <w:rFonts w:asciiTheme="minorHAnsi" w:hAnsiTheme="minorHAnsi" w:cstheme="minorHAnsi"/>
          <w:highlight w:val="white"/>
          <w:vertAlign w:val="superscript"/>
        </w:rPr>
        <w:footnoteReference w:id="96"/>
      </w:r>
      <w:r w:rsidRPr="009C793F">
        <w:rPr>
          <w:rFonts w:asciiTheme="minorHAnsi" w:hAnsiTheme="minorHAnsi" w:cstheme="minorHAnsi"/>
          <w:color w:val="000000"/>
        </w:rPr>
        <w:t xml:space="preserve"> </w:t>
      </w:r>
    </w:p>
    <w:p w14:paraId="00000115" w14:textId="77777777" w:rsidR="006B72B0" w:rsidRPr="009C793F" w:rsidRDefault="006B72B0" w:rsidP="00DE19C9">
      <w:pPr>
        <w:jc w:val="both"/>
        <w:rPr>
          <w:rFonts w:asciiTheme="minorHAnsi" w:hAnsiTheme="minorHAnsi" w:cstheme="minorHAnsi"/>
          <w:color w:val="000000"/>
        </w:rPr>
      </w:pPr>
    </w:p>
    <w:p w14:paraId="14B98638" w14:textId="77777777" w:rsidR="00C86F4B" w:rsidRDefault="00845012" w:rsidP="00DE19C9">
      <w:pPr>
        <w:shd w:val="clear" w:color="auto" w:fill="FFFFFF"/>
        <w:jc w:val="both"/>
        <w:rPr>
          <w:rFonts w:asciiTheme="minorHAnsi" w:hAnsiTheme="minorHAnsi" w:cstheme="minorHAnsi"/>
          <w:b/>
          <w:color w:val="000000"/>
        </w:rPr>
      </w:pPr>
      <w:r w:rsidRPr="009C793F">
        <w:rPr>
          <w:rFonts w:asciiTheme="minorHAnsi" w:hAnsiTheme="minorHAnsi" w:cstheme="minorHAnsi"/>
          <w:b/>
          <w:color w:val="000000"/>
        </w:rPr>
        <w:t xml:space="preserve">Minimum Age and Protection of Children and Young Workers </w:t>
      </w:r>
    </w:p>
    <w:p w14:paraId="4A39C213" w14:textId="77777777" w:rsidR="00C86F4B" w:rsidRDefault="00C86F4B" w:rsidP="00DE19C9">
      <w:pPr>
        <w:shd w:val="clear" w:color="auto" w:fill="FFFFFF"/>
        <w:jc w:val="both"/>
        <w:rPr>
          <w:rFonts w:asciiTheme="minorHAnsi" w:hAnsiTheme="minorHAnsi" w:cstheme="minorHAnsi"/>
          <w:b/>
          <w:color w:val="000000"/>
        </w:rPr>
      </w:pPr>
    </w:p>
    <w:p w14:paraId="00000116" w14:textId="2C5EC1B3" w:rsidR="006B72B0" w:rsidRPr="009C793F" w:rsidRDefault="00845012" w:rsidP="00DE19C9">
      <w:pPr>
        <w:shd w:val="clear" w:color="auto" w:fill="FFFFFF"/>
        <w:jc w:val="both"/>
        <w:rPr>
          <w:rFonts w:asciiTheme="minorHAnsi" w:hAnsiTheme="minorHAnsi" w:cstheme="minorHAnsi"/>
          <w:color w:val="000000"/>
        </w:rPr>
      </w:pPr>
      <w:r w:rsidRPr="009C793F">
        <w:rPr>
          <w:rFonts w:asciiTheme="minorHAnsi" w:hAnsiTheme="minorHAnsi" w:cstheme="minorHAnsi"/>
          <w:b/>
          <w:color w:val="000000"/>
        </w:rPr>
        <w:t xml:space="preserve">The </w:t>
      </w:r>
      <w:r w:rsidRPr="009C793F">
        <w:rPr>
          <w:rFonts w:asciiTheme="minorHAnsi" w:hAnsiTheme="minorHAnsi" w:cstheme="minorHAnsi"/>
          <w:color w:val="000000"/>
        </w:rPr>
        <w:t xml:space="preserve">Children’s Act, 2012 which came into </w:t>
      </w:r>
      <w:r w:rsidR="006509DB" w:rsidRPr="009C793F">
        <w:rPr>
          <w:rFonts w:asciiTheme="minorHAnsi" w:hAnsiTheme="minorHAnsi" w:cstheme="minorHAnsi"/>
          <w:color w:val="000000"/>
        </w:rPr>
        <w:t>force on</w:t>
      </w:r>
      <w:r w:rsidRPr="009C793F">
        <w:rPr>
          <w:rFonts w:asciiTheme="minorHAnsi" w:hAnsiTheme="minorHAnsi" w:cstheme="minorHAnsi"/>
          <w:color w:val="000000"/>
        </w:rPr>
        <w:t xml:space="preserve"> 15 May 2015 asserts that a child under the age of sixteen years shall not be employed or work in any public or private undertaking other than an undertaking, owned and controlled by members of the same family. To employ a child other than as the act provides is an offence. The act also explicitly prohibits the worst forms of child labour and determines penalties and liabilities in case of noncompliance. The country, however, still has not made official the list of occupations deemed hazardous to children. Labour inspectors are required to monitor child labour and the employment of young people through inspection visits. </w:t>
      </w:r>
    </w:p>
    <w:p w14:paraId="00000117" w14:textId="24D728C6" w:rsidR="006B72B0" w:rsidRDefault="00845012" w:rsidP="00DE19C9">
      <w:pPr>
        <w:jc w:val="both"/>
        <w:rPr>
          <w:rFonts w:asciiTheme="minorHAnsi" w:hAnsiTheme="minorHAnsi" w:cstheme="minorHAnsi"/>
          <w:b/>
        </w:rPr>
      </w:pPr>
      <w:r w:rsidRPr="009C793F">
        <w:rPr>
          <w:rFonts w:asciiTheme="minorHAnsi" w:hAnsiTheme="minorHAnsi" w:cstheme="minorHAnsi"/>
          <w:b/>
        </w:rPr>
        <w:lastRenderedPageBreak/>
        <w:t>3.5</w:t>
      </w:r>
      <w:r w:rsidR="00844ACB" w:rsidRPr="009C793F">
        <w:rPr>
          <w:rFonts w:asciiTheme="minorHAnsi" w:hAnsiTheme="minorHAnsi" w:cstheme="minorHAnsi"/>
          <w:b/>
        </w:rPr>
        <w:t xml:space="preserve"> Politics, Governance and Institutional Structures</w:t>
      </w:r>
    </w:p>
    <w:p w14:paraId="6D43ED8C" w14:textId="77777777" w:rsidR="00C86F4B" w:rsidRPr="009C793F" w:rsidRDefault="00C86F4B" w:rsidP="00DE19C9">
      <w:pPr>
        <w:jc w:val="both"/>
        <w:rPr>
          <w:rFonts w:asciiTheme="minorHAnsi" w:hAnsiTheme="minorHAnsi" w:cstheme="minorHAnsi"/>
          <w:b/>
        </w:rPr>
      </w:pPr>
    </w:p>
    <w:p w14:paraId="2E73B142" w14:textId="77777777" w:rsidR="00C86F4B" w:rsidRDefault="00845012" w:rsidP="00DE19C9">
      <w:pPr>
        <w:jc w:val="both"/>
        <w:rPr>
          <w:rFonts w:asciiTheme="minorHAnsi" w:hAnsiTheme="minorHAnsi" w:cstheme="minorHAnsi"/>
          <w:b/>
        </w:rPr>
      </w:pPr>
      <w:r w:rsidRPr="009C793F">
        <w:rPr>
          <w:rFonts w:asciiTheme="minorHAnsi" w:hAnsiTheme="minorHAnsi" w:cstheme="minorHAnsi"/>
          <w:b/>
        </w:rPr>
        <w:t xml:space="preserve">3.5.1 Context </w:t>
      </w:r>
    </w:p>
    <w:p w14:paraId="449AFE9D" w14:textId="77777777" w:rsidR="00C86F4B" w:rsidRDefault="00C86F4B" w:rsidP="00DE19C9">
      <w:pPr>
        <w:jc w:val="both"/>
        <w:rPr>
          <w:rFonts w:asciiTheme="minorHAnsi" w:hAnsiTheme="minorHAnsi" w:cstheme="minorHAnsi"/>
          <w:b/>
        </w:rPr>
      </w:pPr>
    </w:p>
    <w:p w14:paraId="00000118" w14:textId="27640EDD"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has two main political parties competing for political power. These parties get their main support along ethnic lines drawn from the two largest ethnic groups.  The country has a Republican style of government with a President as the Head of State and an executive Prime Minister. There is a bicameral legislature. The lower house or house of representatives has a total of 41 seats with membership determined through national elections. The Senate has 31 seats with 16 Government Senators appointed by the Prime Minister; 9 Independent Senators appointed by the President; and 6 Opposition Senators appointed by the Leader of the Opposition.  Since independence in 1962, the country has had a tradition of free and fair elections. The last general elections took place on 10 August 2020 with the then ruling party </w:t>
      </w:r>
      <w:r w:rsidR="006065A1" w:rsidRPr="009C793F">
        <w:rPr>
          <w:rFonts w:asciiTheme="minorHAnsi" w:hAnsiTheme="minorHAnsi" w:cstheme="minorHAnsi"/>
        </w:rPr>
        <w:t xml:space="preserve">People’s National Movement (PNM) </w:t>
      </w:r>
      <w:r w:rsidRPr="009C793F">
        <w:rPr>
          <w:rFonts w:asciiTheme="minorHAnsi" w:hAnsiTheme="minorHAnsi" w:cstheme="minorHAnsi"/>
        </w:rPr>
        <w:t>returning to government with 22 parliamentary seats and the opposition</w:t>
      </w:r>
      <w:r w:rsidR="006065A1" w:rsidRPr="009C793F">
        <w:rPr>
          <w:rFonts w:asciiTheme="minorHAnsi" w:hAnsiTheme="minorHAnsi" w:cstheme="minorHAnsi"/>
        </w:rPr>
        <w:t xml:space="preserve"> United National Congress (UNC)</w:t>
      </w:r>
      <w:r w:rsidRPr="009C793F">
        <w:rPr>
          <w:rFonts w:asciiTheme="minorHAnsi" w:hAnsiTheme="minorHAnsi" w:cstheme="minorHAnsi"/>
        </w:rPr>
        <w:t xml:space="preserve"> obtaining 19 seats. </w:t>
      </w:r>
    </w:p>
    <w:p w14:paraId="00000119" w14:textId="77777777" w:rsidR="006B72B0" w:rsidRPr="009C793F" w:rsidRDefault="006B72B0" w:rsidP="00DE19C9">
      <w:pPr>
        <w:jc w:val="both"/>
        <w:rPr>
          <w:rFonts w:asciiTheme="minorHAnsi" w:hAnsiTheme="minorHAnsi" w:cstheme="minorHAnsi"/>
        </w:rPr>
      </w:pPr>
    </w:p>
    <w:p w14:paraId="0000011A" w14:textId="7AD318AA"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governance objectives of Trinidad and Tobago a</w:t>
      </w:r>
      <w:r w:rsidR="003B2601" w:rsidRPr="009C793F">
        <w:rPr>
          <w:rFonts w:asciiTheme="minorHAnsi" w:hAnsiTheme="minorHAnsi" w:cstheme="minorHAnsi"/>
        </w:rPr>
        <w:t>s</w:t>
      </w:r>
      <w:r w:rsidRPr="009C793F">
        <w:rPr>
          <w:rFonts w:asciiTheme="minorHAnsi" w:hAnsiTheme="minorHAnsi" w:cstheme="minorHAnsi"/>
        </w:rPr>
        <w:t xml:space="preserve"> encapsulated in the Vision 2030 Document a</w:t>
      </w:r>
      <w:r w:rsidR="003B2601" w:rsidRPr="009C793F">
        <w:rPr>
          <w:rFonts w:asciiTheme="minorHAnsi" w:hAnsiTheme="minorHAnsi" w:cstheme="minorHAnsi"/>
        </w:rPr>
        <w:t xml:space="preserve">re - </w:t>
      </w:r>
      <w:r w:rsidRPr="009C793F">
        <w:rPr>
          <w:rFonts w:asciiTheme="minorHAnsi" w:hAnsiTheme="minorHAnsi" w:cstheme="minorHAnsi"/>
        </w:rPr>
        <w:t xml:space="preserve"> implementation of constitutional and institutional reform, ensuring effective and efficient public service delivery, implementation of development interventions, and measurement of results.</w:t>
      </w:r>
      <w:r w:rsidRPr="009C793F">
        <w:rPr>
          <w:rFonts w:asciiTheme="minorHAnsi" w:hAnsiTheme="minorHAnsi" w:cstheme="minorHAnsi"/>
          <w:vertAlign w:val="superscript"/>
        </w:rPr>
        <w:footnoteReference w:id="97"/>
      </w:r>
      <w:r w:rsidRPr="009C793F">
        <w:rPr>
          <w:rFonts w:asciiTheme="minorHAnsi" w:hAnsiTheme="minorHAnsi" w:cstheme="minorHAnsi"/>
        </w:rPr>
        <w:t xml:space="preserve"> Trinidad and Tobago has </w:t>
      </w:r>
      <w:r w:rsidRPr="009C793F">
        <w:rPr>
          <w:rFonts w:asciiTheme="minorHAnsi" w:hAnsiTheme="minorHAnsi" w:cstheme="minorHAnsi"/>
          <w:b/>
          <w:bCs/>
        </w:rPr>
        <w:t>consistently improved on the quality of democratic practices</w:t>
      </w:r>
      <w:r w:rsidRPr="009C793F">
        <w:rPr>
          <w:rFonts w:asciiTheme="minorHAnsi" w:hAnsiTheme="minorHAnsi" w:cstheme="minorHAnsi"/>
        </w:rPr>
        <w:t xml:space="preserve"> and has been ranked among the ‘free’ countries of the world, with a score of 82/100 in Freedom House Index for 2019. It also scored the maximum possible points in the transparency and credibility of the electoral process, freedom of expression and belief, and basic human rights. </w:t>
      </w:r>
    </w:p>
    <w:p w14:paraId="0000011B" w14:textId="77777777" w:rsidR="006B72B0" w:rsidRPr="009C793F" w:rsidRDefault="006B72B0" w:rsidP="00DE19C9">
      <w:pPr>
        <w:jc w:val="both"/>
        <w:rPr>
          <w:rFonts w:asciiTheme="minorHAnsi" w:hAnsiTheme="minorHAnsi" w:cstheme="minorHAnsi"/>
        </w:rPr>
      </w:pPr>
    </w:p>
    <w:p w14:paraId="0000011C" w14:textId="0A7C8BAF" w:rsidR="006B72B0" w:rsidRPr="009C793F" w:rsidRDefault="00845012" w:rsidP="00DE19C9">
      <w:pPr>
        <w:jc w:val="both"/>
        <w:rPr>
          <w:rFonts w:asciiTheme="minorHAnsi" w:hAnsiTheme="minorHAnsi" w:cstheme="minorHAnsi"/>
        </w:rPr>
      </w:pPr>
      <w:r w:rsidRPr="009C793F">
        <w:rPr>
          <w:rFonts w:asciiTheme="minorHAnsi" w:hAnsiTheme="minorHAnsi" w:cstheme="minorHAnsi"/>
        </w:rPr>
        <w:t>In terms of information and communication technology (ICTs),  its  contribution to GDP has grown from 2.</w:t>
      </w:r>
      <w:r w:rsidR="004A00EE" w:rsidRPr="009C793F">
        <w:rPr>
          <w:rFonts w:asciiTheme="minorHAnsi" w:hAnsiTheme="minorHAnsi" w:cstheme="minorHAnsi"/>
        </w:rPr>
        <w:t>7 per cent</w:t>
      </w:r>
      <w:r w:rsidRPr="009C793F">
        <w:rPr>
          <w:rFonts w:asciiTheme="minorHAnsi" w:hAnsiTheme="minorHAnsi" w:cstheme="minorHAnsi"/>
        </w:rPr>
        <w:t xml:space="preserve"> in 2011 to 3.7</w:t>
      </w:r>
      <w:r w:rsidR="004A00EE" w:rsidRPr="009C793F">
        <w:rPr>
          <w:rFonts w:asciiTheme="minorHAnsi" w:hAnsiTheme="minorHAnsi" w:cstheme="minorHAnsi"/>
        </w:rPr>
        <w:t xml:space="preserve"> per cent </w:t>
      </w:r>
      <w:r w:rsidRPr="009C793F">
        <w:rPr>
          <w:rFonts w:asciiTheme="minorHAnsi" w:hAnsiTheme="minorHAnsi" w:cstheme="minorHAnsi"/>
        </w:rPr>
        <w:t>in 2018, with T</w:t>
      </w:r>
      <w:r w:rsidR="00A6700F" w:rsidRPr="009C793F">
        <w:rPr>
          <w:rFonts w:asciiTheme="minorHAnsi" w:hAnsiTheme="minorHAnsi" w:cstheme="minorHAnsi"/>
        </w:rPr>
        <w:t>rinidad and Tobago</w:t>
      </w:r>
      <w:r w:rsidRPr="009C793F">
        <w:rPr>
          <w:rFonts w:asciiTheme="minorHAnsi" w:hAnsiTheme="minorHAnsi" w:cstheme="minorHAnsi"/>
        </w:rPr>
        <w:t xml:space="preserve"> emerging as having the best ICT infrastructure, and</w:t>
      </w:r>
      <w:r w:rsidR="00A6700F" w:rsidRPr="009C793F">
        <w:rPr>
          <w:rFonts w:asciiTheme="minorHAnsi" w:hAnsiTheme="minorHAnsi" w:cstheme="minorHAnsi"/>
        </w:rPr>
        <w:t xml:space="preserve"> ranking</w:t>
      </w:r>
      <w:r w:rsidRPr="009C793F">
        <w:rPr>
          <w:rFonts w:asciiTheme="minorHAnsi" w:hAnsiTheme="minorHAnsi" w:cstheme="minorHAnsi"/>
        </w:rPr>
        <w:t xml:space="preserve"> second in ICT skills-readiness in the LAC.</w:t>
      </w:r>
      <w:r w:rsidRPr="009C793F">
        <w:rPr>
          <w:rFonts w:asciiTheme="minorHAnsi" w:hAnsiTheme="minorHAnsi" w:cstheme="minorHAnsi"/>
          <w:vertAlign w:val="superscript"/>
        </w:rPr>
        <w:footnoteReference w:id="98"/>
      </w:r>
      <w:r w:rsidRPr="009C793F">
        <w:rPr>
          <w:rFonts w:asciiTheme="minorHAnsi" w:hAnsiTheme="minorHAnsi" w:cstheme="minorHAnsi"/>
        </w:rPr>
        <w:t xml:space="preserve"> With an estimated 450,556 or 34.2</w:t>
      </w:r>
      <w:r w:rsidR="004A00EE" w:rsidRPr="009C793F">
        <w:rPr>
          <w:rFonts w:asciiTheme="minorHAnsi" w:hAnsiTheme="minorHAnsi" w:cstheme="minorHAnsi"/>
        </w:rPr>
        <w:t xml:space="preserve"> per cent</w:t>
      </w:r>
      <w:r w:rsidRPr="009C793F">
        <w:rPr>
          <w:rFonts w:asciiTheme="minorHAnsi" w:hAnsiTheme="minorHAnsi" w:cstheme="minorHAnsi"/>
        </w:rPr>
        <w:t xml:space="preserve"> of the population are estimated to be between the ages of 12 and 29, the decision to prioritize digitalisation  in the post COVID-19 phase could provide more job opportunities for citizens</w:t>
      </w:r>
      <w:r w:rsidR="00A6700F" w:rsidRPr="009C793F">
        <w:rPr>
          <w:rFonts w:asciiTheme="minorHAnsi" w:hAnsiTheme="minorHAnsi" w:cstheme="minorHAnsi"/>
        </w:rPr>
        <w:t xml:space="preserve"> in a </w:t>
      </w:r>
      <w:r w:rsidR="00A6700F" w:rsidRPr="009C793F">
        <w:rPr>
          <w:rFonts w:asciiTheme="minorHAnsi" w:hAnsiTheme="minorHAnsi" w:cstheme="minorHAnsi"/>
          <w:b/>
          <w:bCs/>
        </w:rPr>
        <w:t>new knowledge economy</w:t>
      </w:r>
      <w:r w:rsidRPr="009C793F">
        <w:rPr>
          <w:rFonts w:asciiTheme="minorHAnsi" w:hAnsiTheme="minorHAnsi" w:cstheme="minorHAnsi"/>
        </w:rPr>
        <w:t>.</w:t>
      </w:r>
      <w:r w:rsidRPr="009C793F">
        <w:rPr>
          <w:rFonts w:asciiTheme="minorHAnsi" w:hAnsiTheme="minorHAnsi" w:cstheme="minorHAnsi"/>
          <w:vertAlign w:val="superscript"/>
        </w:rPr>
        <w:footnoteReference w:id="99"/>
      </w:r>
      <w:r w:rsidRPr="009C793F">
        <w:rPr>
          <w:rFonts w:asciiTheme="minorHAnsi" w:hAnsiTheme="minorHAnsi" w:cstheme="minorHAnsi"/>
        </w:rPr>
        <w:t xml:space="preserve"> </w:t>
      </w:r>
    </w:p>
    <w:p w14:paraId="0000011D" w14:textId="77777777" w:rsidR="006B72B0" w:rsidRPr="009C793F" w:rsidRDefault="006B72B0" w:rsidP="00DE19C9">
      <w:pPr>
        <w:jc w:val="both"/>
        <w:rPr>
          <w:rFonts w:asciiTheme="minorHAnsi" w:hAnsiTheme="minorHAnsi" w:cstheme="minorHAnsi"/>
        </w:rPr>
      </w:pPr>
    </w:p>
    <w:p w14:paraId="0000011E" w14:textId="695BCEF2" w:rsidR="006B72B0" w:rsidRPr="009C793F" w:rsidRDefault="00A6700F" w:rsidP="00DE19C9">
      <w:pPr>
        <w:jc w:val="both"/>
        <w:rPr>
          <w:rFonts w:asciiTheme="minorHAnsi" w:hAnsiTheme="minorHAnsi" w:cstheme="minorHAnsi"/>
        </w:rPr>
      </w:pPr>
      <w:r w:rsidRPr="009C793F">
        <w:rPr>
          <w:rFonts w:asciiTheme="minorHAnsi" w:hAnsiTheme="minorHAnsi" w:cstheme="minorHAnsi"/>
        </w:rPr>
        <w:t>Main challenges to governance</w:t>
      </w:r>
      <w:r w:rsidR="00845012" w:rsidRPr="009C793F">
        <w:rPr>
          <w:rFonts w:asciiTheme="minorHAnsi" w:hAnsiTheme="minorHAnsi" w:cstheme="minorHAnsi"/>
        </w:rPr>
        <w:t xml:space="preserve"> relate to inadequate accountability and transparency. Key gaps include</w:t>
      </w:r>
      <w:r w:rsidRPr="009C793F">
        <w:rPr>
          <w:rFonts w:asciiTheme="minorHAnsi" w:hAnsiTheme="minorHAnsi" w:cstheme="minorHAnsi"/>
        </w:rPr>
        <w:t xml:space="preserve"> the full proclamation </w:t>
      </w:r>
      <w:r w:rsidR="00845012" w:rsidRPr="009C793F">
        <w:rPr>
          <w:rFonts w:asciiTheme="minorHAnsi" w:hAnsiTheme="minorHAnsi" w:cstheme="minorHAnsi"/>
        </w:rPr>
        <w:t xml:space="preserve">of critical policies and laws, </w:t>
      </w:r>
      <w:r w:rsidRPr="009C793F">
        <w:rPr>
          <w:rFonts w:asciiTheme="minorHAnsi" w:hAnsiTheme="minorHAnsi" w:cstheme="minorHAnsi"/>
        </w:rPr>
        <w:t>including the</w:t>
      </w:r>
      <w:r w:rsidR="00845012" w:rsidRPr="009C793F">
        <w:rPr>
          <w:rFonts w:asciiTheme="minorHAnsi" w:hAnsiTheme="minorHAnsi" w:cstheme="minorHAnsi"/>
        </w:rPr>
        <w:t xml:space="preserve"> Public Procurement and Disposal of Public Property Act; the Whistleblower Protection Bill which is targeted at reducing ‘white collar’ criminal activities and campaign finance reform legislation. </w:t>
      </w:r>
    </w:p>
    <w:p w14:paraId="0000011F" w14:textId="77777777" w:rsidR="006B72B0" w:rsidRPr="009C793F" w:rsidRDefault="006B72B0" w:rsidP="00DE19C9">
      <w:pPr>
        <w:jc w:val="both"/>
        <w:rPr>
          <w:rFonts w:asciiTheme="minorHAnsi" w:hAnsiTheme="minorHAnsi" w:cstheme="minorHAnsi"/>
        </w:rPr>
      </w:pPr>
    </w:p>
    <w:p w14:paraId="49E8A841" w14:textId="77777777" w:rsidR="00C86F4B" w:rsidRDefault="00845012" w:rsidP="00DE19C9">
      <w:pPr>
        <w:jc w:val="both"/>
        <w:rPr>
          <w:rFonts w:asciiTheme="minorHAnsi" w:hAnsiTheme="minorHAnsi" w:cstheme="minorHAnsi"/>
        </w:rPr>
      </w:pPr>
      <w:r w:rsidRPr="009C793F">
        <w:rPr>
          <w:rFonts w:asciiTheme="minorHAnsi" w:hAnsiTheme="minorHAnsi" w:cstheme="minorHAnsi"/>
          <w:b/>
        </w:rPr>
        <w:t>3.5.2 Citizen Security</w:t>
      </w:r>
      <w:r w:rsidRPr="009C793F">
        <w:rPr>
          <w:rFonts w:asciiTheme="minorHAnsi" w:hAnsiTheme="minorHAnsi" w:cstheme="minorHAnsi"/>
        </w:rPr>
        <w:t xml:space="preserve"> </w:t>
      </w:r>
    </w:p>
    <w:p w14:paraId="6E576EFE" w14:textId="77777777" w:rsidR="00C86F4B" w:rsidRDefault="00C86F4B" w:rsidP="00DE19C9">
      <w:pPr>
        <w:jc w:val="both"/>
        <w:rPr>
          <w:rFonts w:asciiTheme="minorHAnsi" w:hAnsiTheme="minorHAnsi" w:cstheme="minorHAnsi"/>
        </w:rPr>
      </w:pPr>
    </w:p>
    <w:p w14:paraId="00000120" w14:textId="7D8B9170"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has made incremental progress in addressing its security challenges. Indicators of this progress include the 2020 Global Peace Index, which shows </w:t>
      </w:r>
      <w:r w:rsidR="00AF03FE" w:rsidRPr="009C793F">
        <w:rPr>
          <w:rFonts w:asciiTheme="minorHAnsi" w:hAnsiTheme="minorHAnsi" w:cstheme="minorHAnsi"/>
        </w:rPr>
        <w:t>Trinidad and Tobago</w:t>
      </w:r>
      <w:r w:rsidRPr="009C793F">
        <w:rPr>
          <w:rFonts w:asciiTheme="minorHAnsi" w:hAnsiTheme="minorHAnsi" w:cstheme="minorHAnsi"/>
        </w:rPr>
        <w:t xml:space="preserve"> with a score of 2.078 in the 2020 Global Peace Index, a</w:t>
      </w:r>
      <w:r w:rsidR="00A6700F" w:rsidRPr="009C793F">
        <w:rPr>
          <w:rFonts w:asciiTheme="minorHAnsi" w:hAnsiTheme="minorHAnsi" w:cstheme="minorHAnsi"/>
        </w:rPr>
        <w:t>n</w:t>
      </w:r>
      <w:r w:rsidRPr="009C793F">
        <w:rPr>
          <w:rFonts w:asciiTheme="minorHAnsi" w:hAnsiTheme="minorHAnsi" w:cstheme="minorHAnsi"/>
        </w:rPr>
        <w:t xml:space="preserve"> improvement over the 2019 rating (2.094). It is also among the first 24 countries with the least conflict, and among the 29 countries with the least economic cost of violence (10</w:t>
      </w:r>
      <w:r w:rsidR="00A628BE" w:rsidRPr="009C793F">
        <w:rPr>
          <w:rFonts w:asciiTheme="minorHAnsi" w:hAnsiTheme="minorHAnsi" w:cstheme="minorHAnsi"/>
        </w:rPr>
        <w:t xml:space="preserve"> per cent</w:t>
      </w:r>
      <w:r w:rsidRPr="009C793F">
        <w:rPr>
          <w:rFonts w:asciiTheme="minorHAnsi" w:hAnsiTheme="minorHAnsi" w:cstheme="minorHAnsi"/>
        </w:rPr>
        <w:t xml:space="preserve"> of GDP). </w:t>
      </w:r>
      <w:r w:rsidRPr="009C793F">
        <w:rPr>
          <w:rFonts w:asciiTheme="minorHAnsi" w:hAnsiTheme="minorHAnsi" w:cstheme="minorHAnsi"/>
          <w:highlight w:val="white"/>
        </w:rPr>
        <w:t xml:space="preserve">The 2006 Police Complaints Act allowed for the establishment of an independent Police Complaints Authority of Trinidad and Tobago, which has </w:t>
      </w:r>
      <w:r w:rsidR="00A6700F" w:rsidRPr="009C793F">
        <w:rPr>
          <w:rFonts w:asciiTheme="minorHAnsi" w:hAnsiTheme="minorHAnsi" w:cstheme="minorHAnsi"/>
          <w:highlight w:val="white"/>
        </w:rPr>
        <w:t>responsibilities including</w:t>
      </w:r>
      <w:r w:rsidRPr="009C793F">
        <w:rPr>
          <w:rFonts w:asciiTheme="minorHAnsi" w:hAnsiTheme="minorHAnsi" w:cstheme="minorHAnsi"/>
          <w:highlight w:val="white"/>
        </w:rPr>
        <w:t xml:space="preserve"> the “investigation of </w:t>
      </w:r>
      <w:r w:rsidRPr="009C793F">
        <w:rPr>
          <w:rFonts w:asciiTheme="minorHAnsi" w:hAnsiTheme="minorHAnsi" w:cstheme="minorHAnsi"/>
        </w:rPr>
        <w:t>criminal offences involving police officers, police corruption and serious police misconduct”</w:t>
      </w:r>
      <w:r w:rsidRPr="009C793F">
        <w:rPr>
          <w:rFonts w:asciiTheme="minorHAnsi" w:hAnsiTheme="minorHAnsi" w:cstheme="minorHAnsi"/>
          <w:vertAlign w:val="superscript"/>
        </w:rPr>
        <w:footnoteReference w:id="100"/>
      </w:r>
      <w:r w:rsidRPr="009C793F">
        <w:rPr>
          <w:rFonts w:asciiTheme="minorHAnsi" w:hAnsiTheme="minorHAnsi" w:cstheme="minorHAnsi"/>
        </w:rPr>
        <w:t xml:space="preserve">. Even though investments in terms of equipment and infrastructure have been made, the Trinidad and Tobago Police Service (TTPS) still has major challenges with </w:t>
      </w:r>
      <w:r w:rsidR="00A6700F" w:rsidRPr="009C793F">
        <w:rPr>
          <w:rFonts w:asciiTheme="minorHAnsi" w:hAnsiTheme="minorHAnsi" w:cstheme="minorHAnsi"/>
        </w:rPr>
        <w:t>perceived</w:t>
      </w:r>
      <w:r w:rsidRPr="009C793F">
        <w:rPr>
          <w:rFonts w:asciiTheme="minorHAnsi" w:hAnsiTheme="minorHAnsi" w:cstheme="minorHAnsi"/>
        </w:rPr>
        <w:t xml:space="preserve"> corruption. This has been publicly recognised at the highest levels with public statements following alleged police involvement in illegal activities</w:t>
      </w:r>
      <w:r w:rsidRPr="009C793F">
        <w:rPr>
          <w:rFonts w:asciiTheme="minorHAnsi" w:hAnsiTheme="minorHAnsi" w:cstheme="minorHAnsi"/>
          <w:vertAlign w:val="superscript"/>
        </w:rPr>
        <w:footnoteReference w:id="101"/>
      </w:r>
      <w:r w:rsidRPr="009C793F">
        <w:rPr>
          <w:rFonts w:asciiTheme="minorHAnsi" w:hAnsiTheme="minorHAnsi" w:cstheme="minorHAnsi"/>
        </w:rPr>
        <w:t xml:space="preserve"> and ongoing investigations (December 2020) with the support of the United Kingdom and Barbados.</w:t>
      </w:r>
    </w:p>
    <w:p w14:paraId="00000121" w14:textId="77777777" w:rsidR="006B72B0" w:rsidRPr="009C793F" w:rsidRDefault="006B72B0" w:rsidP="00DE19C9">
      <w:pPr>
        <w:jc w:val="both"/>
        <w:rPr>
          <w:rFonts w:asciiTheme="minorHAnsi" w:hAnsiTheme="minorHAnsi" w:cstheme="minorHAnsi"/>
          <w:highlight w:val="white"/>
        </w:rPr>
      </w:pPr>
    </w:p>
    <w:p w14:paraId="00000122" w14:textId="1ECBBCC3" w:rsidR="006B72B0" w:rsidRPr="009C793F" w:rsidRDefault="00845012" w:rsidP="00DE19C9">
      <w:pPr>
        <w:jc w:val="both"/>
        <w:rPr>
          <w:rFonts w:asciiTheme="minorHAnsi" w:hAnsiTheme="minorHAnsi" w:cstheme="minorHAnsi"/>
        </w:rPr>
      </w:pPr>
      <w:r w:rsidRPr="009C793F">
        <w:rPr>
          <w:rFonts w:asciiTheme="minorHAnsi" w:hAnsiTheme="minorHAnsi" w:cstheme="minorHAnsi"/>
        </w:rPr>
        <w:t>On illicit financing which has implications for preventing violent extremism and countering terrorism, the government developed laws and policies, as well as guidelines to manage the return, rehabilitation and prosecutions of persons from the Zones of War. The government also developed 23 Anti-Money Laundering and Combatting the Financing of Terrorism laws and policies.</w:t>
      </w:r>
      <w:r w:rsidRPr="009C793F">
        <w:rPr>
          <w:rFonts w:asciiTheme="minorHAnsi" w:hAnsiTheme="minorHAnsi" w:cstheme="minorHAnsi"/>
          <w:vertAlign w:val="superscript"/>
        </w:rPr>
        <w:footnoteReference w:id="102"/>
      </w:r>
      <w:r w:rsidRPr="009C793F">
        <w:rPr>
          <w:rFonts w:asciiTheme="minorHAnsi" w:hAnsiTheme="minorHAnsi" w:cstheme="minorHAnsi"/>
        </w:rPr>
        <w:t xml:space="preserve"> Due to these efforts, the Financial Action Task Force during the 4</w:t>
      </w:r>
      <w:r w:rsidRPr="009C793F">
        <w:rPr>
          <w:rFonts w:asciiTheme="minorHAnsi" w:hAnsiTheme="minorHAnsi" w:cstheme="minorHAnsi"/>
          <w:vertAlign w:val="superscript"/>
        </w:rPr>
        <w:t>th</w:t>
      </w:r>
      <w:r w:rsidRPr="009C793F">
        <w:rPr>
          <w:rFonts w:asciiTheme="minorHAnsi" w:hAnsiTheme="minorHAnsi" w:cstheme="minorHAnsi"/>
        </w:rPr>
        <w:t xml:space="preserve"> Round of its Mutual Evaluation Peer Review process in February 2020 removed T</w:t>
      </w:r>
      <w:r w:rsidR="00AF03FE" w:rsidRPr="009C793F">
        <w:rPr>
          <w:rFonts w:asciiTheme="minorHAnsi" w:hAnsiTheme="minorHAnsi" w:cstheme="minorHAnsi"/>
        </w:rPr>
        <w:t>rinidad and Tobago</w:t>
      </w:r>
      <w:r w:rsidRPr="009C793F">
        <w:rPr>
          <w:rFonts w:asciiTheme="minorHAnsi" w:hAnsiTheme="minorHAnsi" w:cstheme="minorHAnsi"/>
        </w:rPr>
        <w:t xml:space="preserve"> from the list of countries requiring ‘active monitoring’ of financial transactions. </w:t>
      </w:r>
    </w:p>
    <w:p w14:paraId="00000123" w14:textId="77777777" w:rsidR="006B72B0" w:rsidRPr="009C793F" w:rsidRDefault="006B72B0" w:rsidP="00DE19C9">
      <w:pPr>
        <w:jc w:val="both"/>
        <w:rPr>
          <w:rFonts w:asciiTheme="minorHAnsi" w:hAnsiTheme="minorHAnsi" w:cstheme="minorHAnsi"/>
        </w:rPr>
      </w:pPr>
    </w:p>
    <w:p w14:paraId="00000124" w14:textId="7C8E775F" w:rsidR="006B72B0" w:rsidRPr="009C793F" w:rsidRDefault="00845012" w:rsidP="00DE19C9">
      <w:pPr>
        <w:jc w:val="both"/>
        <w:rPr>
          <w:rFonts w:asciiTheme="minorHAnsi" w:hAnsiTheme="minorHAnsi" w:cstheme="minorHAnsi"/>
        </w:rPr>
      </w:pPr>
      <w:r w:rsidRPr="009C793F">
        <w:rPr>
          <w:rFonts w:asciiTheme="minorHAnsi" w:hAnsiTheme="minorHAnsi" w:cstheme="minorHAnsi"/>
          <w:b/>
        </w:rPr>
        <w:t>Crime and violence</w:t>
      </w:r>
      <w:r w:rsidRPr="009C793F">
        <w:rPr>
          <w:rFonts w:asciiTheme="minorHAnsi" w:hAnsiTheme="minorHAnsi" w:cstheme="minorHAnsi"/>
        </w:rPr>
        <w:t xml:space="preserve"> represent a major challenge for Trinidad and Tobago.</w:t>
      </w:r>
      <w:r w:rsidRPr="009C793F">
        <w:rPr>
          <w:rFonts w:asciiTheme="minorHAnsi" w:hAnsiTheme="minorHAnsi" w:cstheme="minorHAnsi"/>
          <w:b/>
        </w:rPr>
        <w:t xml:space="preserve"> </w:t>
      </w:r>
      <w:r w:rsidRPr="009C793F">
        <w:rPr>
          <w:rFonts w:asciiTheme="minorHAnsi" w:hAnsiTheme="minorHAnsi" w:cstheme="minorHAnsi"/>
        </w:rPr>
        <w:t xml:space="preserve">Homicide rates continue to rise and indeed extend beyond the traditional ‘high risk’ communities, on the backdrop of growing inequalities and economic recession precipitated by the COVID-19 pandemic. Worsening homicides have implications for the perception of security by citizens, demonstrating that citizens still live in fear of violence, </w:t>
      </w:r>
      <w:r w:rsidR="006509DB" w:rsidRPr="009C793F">
        <w:rPr>
          <w:rFonts w:asciiTheme="minorHAnsi" w:hAnsiTheme="minorHAnsi" w:cstheme="minorHAnsi"/>
        </w:rPr>
        <w:t>despite</w:t>
      </w:r>
      <w:r w:rsidRPr="009C793F">
        <w:rPr>
          <w:rFonts w:asciiTheme="minorHAnsi" w:hAnsiTheme="minorHAnsi" w:cstheme="minorHAnsi"/>
        </w:rPr>
        <w:t xml:space="preserve"> measures put in place to prevent crime. </w:t>
      </w:r>
    </w:p>
    <w:p w14:paraId="525A42E5" w14:textId="77777777" w:rsidR="00C86F4B" w:rsidRDefault="00C86F4B" w:rsidP="00DE19C9">
      <w:pPr>
        <w:shd w:val="clear" w:color="auto" w:fill="FFFFFF"/>
        <w:jc w:val="both"/>
        <w:rPr>
          <w:rFonts w:asciiTheme="minorHAnsi" w:hAnsiTheme="minorHAnsi" w:cstheme="minorHAnsi"/>
          <w:color w:val="000000"/>
        </w:rPr>
      </w:pPr>
    </w:p>
    <w:p w14:paraId="00000126" w14:textId="2B4A0979" w:rsidR="006B72B0" w:rsidRPr="009C793F" w:rsidRDefault="00532FD3" w:rsidP="00DE19C9">
      <w:pPr>
        <w:shd w:val="clear" w:color="auto" w:fill="FFFFFF"/>
        <w:jc w:val="both"/>
        <w:rPr>
          <w:rFonts w:asciiTheme="minorHAnsi" w:hAnsiTheme="minorHAnsi" w:cstheme="minorHAnsi"/>
          <w:color w:val="000000"/>
        </w:rPr>
      </w:pPr>
      <w:r w:rsidRPr="009C793F">
        <w:rPr>
          <w:rFonts w:asciiTheme="minorHAnsi" w:hAnsiTheme="minorHAnsi" w:cstheme="minorHAnsi"/>
          <w:color w:val="000000"/>
        </w:rPr>
        <w:t>O</w:t>
      </w:r>
      <w:r w:rsidR="00845012" w:rsidRPr="009C793F">
        <w:rPr>
          <w:rFonts w:asciiTheme="minorHAnsi" w:hAnsiTheme="minorHAnsi" w:cstheme="minorHAnsi"/>
          <w:color w:val="000000"/>
        </w:rPr>
        <w:t>ne recent report</w:t>
      </w:r>
      <w:r w:rsidR="00845012" w:rsidRPr="009C793F">
        <w:rPr>
          <w:rFonts w:asciiTheme="minorHAnsi" w:hAnsiTheme="minorHAnsi" w:cstheme="minorHAnsi"/>
          <w:color w:val="000000"/>
          <w:vertAlign w:val="superscript"/>
        </w:rPr>
        <w:footnoteReference w:id="103"/>
      </w:r>
      <w:r w:rsidR="00845012" w:rsidRPr="009C793F">
        <w:rPr>
          <w:rFonts w:asciiTheme="minorHAnsi" w:hAnsiTheme="minorHAnsi" w:cstheme="minorHAnsi"/>
          <w:color w:val="000000"/>
        </w:rPr>
        <w:t xml:space="preserve"> rank</w:t>
      </w:r>
      <w:r w:rsidRPr="009C793F">
        <w:rPr>
          <w:rFonts w:asciiTheme="minorHAnsi" w:hAnsiTheme="minorHAnsi" w:cstheme="minorHAnsi"/>
          <w:color w:val="000000"/>
        </w:rPr>
        <w:t>ed</w:t>
      </w:r>
      <w:r w:rsidR="00845012" w:rsidRPr="009C793F">
        <w:rPr>
          <w:rFonts w:asciiTheme="minorHAnsi" w:hAnsiTheme="minorHAnsi" w:cstheme="minorHAnsi"/>
          <w:color w:val="000000"/>
        </w:rPr>
        <w:t xml:space="preserve"> the country crime rates as the sixth highest in the world. In terms of violent crime, data from the Crime and Problem Analysis Branch of the TTPS indicate that the murder rate has continued to rise with an increase from 403 in 2014 to 538 in 2019</w:t>
      </w:r>
      <w:r w:rsidR="00845012" w:rsidRPr="009C793F">
        <w:rPr>
          <w:rFonts w:asciiTheme="minorHAnsi" w:hAnsiTheme="minorHAnsi" w:cstheme="minorHAnsi"/>
          <w:color w:val="000000"/>
          <w:vertAlign w:val="superscript"/>
        </w:rPr>
        <w:footnoteReference w:id="104"/>
      </w:r>
      <w:r w:rsidR="00845012" w:rsidRPr="009C793F">
        <w:rPr>
          <w:rFonts w:asciiTheme="minorHAnsi" w:hAnsiTheme="minorHAnsi" w:cstheme="minorHAnsi"/>
          <w:color w:val="000000"/>
        </w:rPr>
        <w:t xml:space="preserve">.  </w:t>
      </w:r>
      <w:r w:rsidRPr="009C793F">
        <w:rPr>
          <w:rFonts w:asciiTheme="minorHAnsi" w:hAnsiTheme="minorHAnsi" w:cstheme="minorHAnsi"/>
          <w:color w:val="000000"/>
        </w:rPr>
        <w:t>R</w:t>
      </w:r>
      <w:r w:rsidR="00845012" w:rsidRPr="009C793F">
        <w:rPr>
          <w:rFonts w:asciiTheme="minorHAnsi" w:hAnsiTheme="minorHAnsi" w:cstheme="minorHAnsi"/>
          <w:color w:val="000000"/>
        </w:rPr>
        <w:t>eported instances of crimes related to sexual assault and domestic violence increased from 491 in 2016 to 531 in 2017 and 757 in 2018</w:t>
      </w:r>
      <w:r w:rsidR="00845012" w:rsidRPr="009C793F">
        <w:rPr>
          <w:rFonts w:asciiTheme="minorHAnsi" w:hAnsiTheme="minorHAnsi" w:cstheme="minorHAnsi"/>
          <w:color w:val="000000"/>
          <w:vertAlign w:val="superscript"/>
        </w:rPr>
        <w:footnoteReference w:id="105"/>
      </w:r>
      <w:r w:rsidR="00845012" w:rsidRPr="009C793F">
        <w:rPr>
          <w:rFonts w:asciiTheme="minorHAnsi" w:hAnsiTheme="minorHAnsi" w:cstheme="minorHAnsi"/>
          <w:color w:val="000000"/>
        </w:rPr>
        <w:t>.  These numbers increased exponentially during the COVID-19 lockdown period with 203 police reports made for March 2020 compared to 42 reports for the same month in 2019</w:t>
      </w:r>
      <w:r w:rsidR="00845012" w:rsidRPr="009C793F">
        <w:rPr>
          <w:rFonts w:asciiTheme="minorHAnsi" w:hAnsiTheme="minorHAnsi" w:cstheme="minorHAnsi"/>
          <w:color w:val="000000"/>
          <w:vertAlign w:val="superscript"/>
        </w:rPr>
        <w:footnoteReference w:id="106"/>
      </w:r>
      <w:r w:rsidR="00845012" w:rsidRPr="009C793F">
        <w:rPr>
          <w:rFonts w:asciiTheme="minorHAnsi" w:hAnsiTheme="minorHAnsi" w:cstheme="minorHAnsi"/>
          <w:color w:val="000000"/>
        </w:rPr>
        <w:t xml:space="preserve">.  </w:t>
      </w:r>
    </w:p>
    <w:p w14:paraId="00000127" w14:textId="77777777" w:rsidR="006B72B0" w:rsidRPr="009C793F" w:rsidRDefault="006B72B0" w:rsidP="00DE19C9">
      <w:pPr>
        <w:shd w:val="clear" w:color="auto" w:fill="FFFFFF"/>
        <w:jc w:val="both"/>
        <w:rPr>
          <w:rFonts w:asciiTheme="minorHAnsi" w:hAnsiTheme="minorHAnsi" w:cstheme="minorHAnsi"/>
          <w:color w:val="000000"/>
        </w:rPr>
      </w:pPr>
    </w:p>
    <w:p w14:paraId="00000128" w14:textId="4375C946"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On </w:t>
      </w:r>
      <w:r w:rsidRPr="009C793F">
        <w:rPr>
          <w:rFonts w:asciiTheme="minorHAnsi" w:hAnsiTheme="minorHAnsi" w:cstheme="minorHAnsi"/>
          <w:b/>
        </w:rPr>
        <w:t>policing</w:t>
      </w:r>
      <w:r w:rsidRPr="009C793F">
        <w:rPr>
          <w:rFonts w:asciiTheme="minorHAnsi" w:hAnsiTheme="minorHAnsi" w:cstheme="minorHAnsi"/>
        </w:rPr>
        <w:t>, despite the measures put in place by the TTPS to modernize and reform the Police Service, the statistics show that there is “86</w:t>
      </w:r>
      <w:r w:rsidR="00532FD3"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increase in police killings for the first six months of 2020, compared to the same period last year, and a 60 per cent increase in police-related killings between 2018 and 2019”</w:t>
      </w:r>
      <w:r w:rsidRPr="009C793F">
        <w:rPr>
          <w:rFonts w:asciiTheme="minorHAnsi" w:hAnsiTheme="minorHAnsi" w:cstheme="minorHAnsi"/>
          <w:vertAlign w:val="superscript"/>
        </w:rPr>
        <w:footnoteReference w:id="107"/>
      </w:r>
      <w:r w:rsidRPr="009C793F">
        <w:rPr>
          <w:rFonts w:asciiTheme="minorHAnsi" w:hAnsiTheme="minorHAnsi" w:cstheme="minorHAnsi"/>
        </w:rPr>
        <w:t>. There are still significant delay in evidence processing due to limited staff and equipment in the Forensic Science Centre, whilst the D</w:t>
      </w:r>
      <w:r w:rsidR="00AF03FE" w:rsidRPr="009C793F">
        <w:rPr>
          <w:rFonts w:asciiTheme="minorHAnsi" w:hAnsiTheme="minorHAnsi" w:cstheme="minorHAnsi"/>
        </w:rPr>
        <w:t>irector of Public Prosecutions</w:t>
      </w:r>
      <w:r w:rsidRPr="009C793F">
        <w:rPr>
          <w:rFonts w:asciiTheme="minorHAnsi" w:hAnsiTheme="minorHAnsi" w:cstheme="minorHAnsi"/>
        </w:rPr>
        <w:t xml:space="preserve"> is unable to prosecute criminal cases in a timely manner due to staff shortage. This leads to the prisons being overwhelmed, with worsening pre-trial </w:t>
      </w:r>
      <w:r w:rsidR="006509DB" w:rsidRPr="009C793F">
        <w:rPr>
          <w:rFonts w:asciiTheme="minorHAnsi" w:hAnsiTheme="minorHAnsi" w:cstheme="minorHAnsi"/>
        </w:rPr>
        <w:t>detainees’</w:t>
      </w:r>
      <w:r w:rsidRPr="009C793F">
        <w:rPr>
          <w:rFonts w:asciiTheme="minorHAnsi" w:hAnsiTheme="minorHAnsi" w:cstheme="minorHAnsi"/>
        </w:rPr>
        <w:t xml:space="preserve"> number over the last 20 years</w:t>
      </w:r>
      <w:r w:rsidRPr="009C793F">
        <w:rPr>
          <w:rFonts w:asciiTheme="minorHAnsi" w:hAnsiTheme="minorHAnsi" w:cstheme="minorHAnsi"/>
          <w:vertAlign w:val="superscript"/>
        </w:rPr>
        <w:footnoteReference w:id="108"/>
      </w:r>
      <w:r w:rsidR="009023F9">
        <w:rPr>
          <w:rFonts w:asciiTheme="minorHAnsi" w:hAnsiTheme="minorHAnsi" w:cstheme="minorHAnsi"/>
        </w:rPr>
        <w:t>, with threats towards prison officers also increasing</w:t>
      </w:r>
      <w:r w:rsidRPr="009C793F">
        <w:rPr>
          <w:rFonts w:asciiTheme="minorHAnsi" w:hAnsiTheme="minorHAnsi" w:cstheme="minorHAnsi"/>
        </w:rPr>
        <w:t>.</w:t>
      </w:r>
      <w:r w:rsidR="009023F9">
        <w:rPr>
          <w:rStyle w:val="FootnoteReference"/>
          <w:rFonts w:asciiTheme="minorHAnsi" w:hAnsiTheme="minorHAnsi" w:cstheme="minorHAnsi"/>
        </w:rPr>
        <w:footnoteReference w:id="109"/>
      </w:r>
      <w:r w:rsidRPr="009C793F">
        <w:rPr>
          <w:rFonts w:asciiTheme="minorHAnsi" w:hAnsiTheme="minorHAnsi" w:cstheme="minorHAnsi"/>
        </w:rPr>
        <w:t xml:space="preserve"> </w:t>
      </w:r>
      <w:r w:rsidR="00C92439" w:rsidRPr="009C793F">
        <w:rPr>
          <w:rFonts w:asciiTheme="minorHAnsi" w:hAnsiTheme="minorHAnsi" w:cstheme="minorHAnsi"/>
        </w:rPr>
        <w:t>The Faculty of Law at the University of the West Indies has initiated landmark legal action</w:t>
      </w:r>
      <w:r w:rsidR="00C92439" w:rsidRPr="009C793F">
        <w:rPr>
          <w:rStyle w:val="FootnoteReference"/>
          <w:rFonts w:asciiTheme="minorHAnsi" w:hAnsiTheme="minorHAnsi" w:cstheme="minorHAnsi"/>
        </w:rPr>
        <w:footnoteReference w:id="110"/>
      </w:r>
      <w:r w:rsidR="00C92439" w:rsidRPr="009C793F">
        <w:rPr>
          <w:rFonts w:asciiTheme="minorHAnsi" w:hAnsiTheme="minorHAnsi" w:cstheme="minorHAnsi"/>
        </w:rPr>
        <w:t xml:space="preserve"> on the matter of detainees remaining in remand for excessive periods without their cases being heard. Some have been in remand waiting for their cases to be heard for more than 18 years</w:t>
      </w:r>
      <w:r w:rsidR="00C92439" w:rsidRPr="009C793F">
        <w:rPr>
          <w:rStyle w:val="FootnoteReference"/>
          <w:rFonts w:asciiTheme="minorHAnsi" w:hAnsiTheme="minorHAnsi" w:cstheme="minorHAnsi"/>
        </w:rPr>
        <w:footnoteReference w:id="111"/>
      </w:r>
      <w:r w:rsidR="008017D4" w:rsidRPr="009C793F">
        <w:rPr>
          <w:rFonts w:asciiTheme="minorHAnsi" w:hAnsiTheme="minorHAnsi" w:cstheme="minorHAnsi"/>
        </w:rPr>
        <w:t xml:space="preserve"> which is a fundamental breach of their hum</w:t>
      </w:r>
      <w:r w:rsidR="00C92439" w:rsidRPr="009C793F">
        <w:rPr>
          <w:rFonts w:asciiTheme="minorHAnsi" w:hAnsiTheme="minorHAnsi" w:cstheme="minorHAnsi"/>
        </w:rPr>
        <w:t>an rights. This is directly related to the administration of justice and the urgency of reform</w:t>
      </w:r>
      <w:r w:rsidR="004D5E11" w:rsidRPr="009C793F">
        <w:rPr>
          <w:rFonts w:asciiTheme="minorHAnsi" w:hAnsiTheme="minorHAnsi" w:cstheme="minorHAnsi"/>
        </w:rPr>
        <w:t xml:space="preserve"> in this area</w:t>
      </w:r>
      <w:r w:rsidR="00C92439" w:rsidRPr="009C793F">
        <w:rPr>
          <w:rFonts w:asciiTheme="minorHAnsi" w:hAnsiTheme="minorHAnsi" w:cstheme="minorHAnsi"/>
        </w:rPr>
        <w:t>.</w:t>
      </w:r>
    </w:p>
    <w:p w14:paraId="00000129" w14:textId="77777777" w:rsidR="006B72B0" w:rsidRPr="009C793F" w:rsidRDefault="006B72B0" w:rsidP="00DE19C9">
      <w:pPr>
        <w:shd w:val="clear" w:color="auto" w:fill="FFFFFF"/>
        <w:jc w:val="both"/>
        <w:rPr>
          <w:rFonts w:asciiTheme="minorHAnsi" w:hAnsiTheme="minorHAnsi" w:cstheme="minorHAnsi"/>
          <w:color w:val="000000"/>
        </w:rPr>
      </w:pPr>
    </w:p>
    <w:p w14:paraId="0000012A" w14:textId="4E7827EF" w:rsidR="006B72B0" w:rsidRPr="009C793F" w:rsidRDefault="00845012" w:rsidP="00DE19C9">
      <w:pPr>
        <w:jc w:val="both"/>
        <w:rPr>
          <w:rFonts w:asciiTheme="minorHAnsi" w:hAnsiTheme="minorHAnsi" w:cstheme="minorHAnsi"/>
        </w:rPr>
      </w:pPr>
      <w:r w:rsidRPr="009C793F">
        <w:rPr>
          <w:rFonts w:asciiTheme="minorHAnsi" w:hAnsiTheme="minorHAnsi" w:cstheme="minorHAnsi"/>
        </w:rPr>
        <w:t>Gangs have emerged as an additional challenge lending complexity to the crime situation. Statistics from the TTPS reveal that in 2006 there were 95 gangs in operation with 1,269 members but by 2018 this number rose to 211 gangs with an estimated 2,458 members</w:t>
      </w:r>
      <w:r w:rsidRPr="009C793F">
        <w:rPr>
          <w:rFonts w:asciiTheme="minorHAnsi" w:hAnsiTheme="minorHAnsi" w:cstheme="minorHAnsi"/>
          <w:vertAlign w:val="superscript"/>
        </w:rPr>
        <w:footnoteReference w:id="112"/>
      </w:r>
      <w:r w:rsidRPr="009C793F">
        <w:rPr>
          <w:rFonts w:asciiTheme="minorHAnsi" w:hAnsiTheme="minorHAnsi" w:cstheme="minorHAnsi"/>
        </w:rPr>
        <w:t xml:space="preserve">.  </w:t>
      </w:r>
      <w:r w:rsidR="006509DB" w:rsidRPr="009C793F">
        <w:rPr>
          <w:rFonts w:asciiTheme="minorHAnsi" w:hAnsiTheme="minorHAnsi" w:cstheme="minorHAnsi"/>
        </w:rPr>
        <w:t>Most</w:t>
      </w:r>
      <w:r w:rsidRPr="009C793F">
        <w:rPr>
          <w:rFonts w:asciiTheme="minorHAnsi" w:hAnsiTheme="minorHAnsi" w:cstheme="minorHAnsi"/>
        </w:rPr>
        <w:t xml:space="preserve"> new recruits into gangs are youth between the ages of 14 and 18 years old. Further, the police estimate that approximately 75 percent of the homicides are committed by gang members many of whom are under the age of 18.   Although there is a need for more data collection and analysis, existing research shows that access to weapons, drug trafficking, and other criminal activity, combined with factors such as lack of education, unemployment, or underemployment can make individuals especially youth more susceptible to recruitment by violent extremist groups</w:t>
      </w:r>
      <w:r w:rsidRPr="009C793F">
        <w:rPr>
          <w:rFonts w:asciiTheme="minorHAnsi" w:hAnsiTheme="minorHAnsi" w:cstheme="minorHAnsi"/>
          <w:vertAlign w:val="superscript"/>
        </w:rPr>
        <w:footnoteReference w:id="113"/>
      </w:r>
      <w:r w:rsidRPr="009C793F">
        <w:rPr>
          <w:rFonts w:asciiTheme="minorHAnsi" w:hAnsiTheme="minorHAnsi" w:cstheme="minorHAnsi"/>
        </w:rPr>
        <w:t>.</w:t>
      </w:r>
    </w:p>
    <w:p w14:paraId="0000012B" w14:textId="77777777" w:rsidR="006B72B0" w:rsidRPr="009C793F" w:rsidRDefault="006B72B0" w:rsidP="00DE19C9">
      <w:pPr>
        <w:jc w:val="both"/>
        <w:rPr>
          <w:rFonts w:asciiTheme="minorHAnsi" w:hAnsiTheme="minorHAnsi" w:cstheme="minorHAnsi"/>
        </w:rPr>
      </w:pPr>
    </w:p>
    <w:p w14:paraId="0000012C" w14:textId="09DEC81F" w:rsidR="006B72B0" w:rsidRPr="009C793F" w:rsidRDefault="00845012" w:rsidP="00DE19C9">
      <w:pPr>
        <w:jc w:val="both"/>
        <w:rPr>
          <w:rFonts w:asciiTheme="minorHAnsi" w:hAnsiTheme="minorHAnsi" w:cstheme="minorHAnsi"/>
        </w:rPr>
      </w:pPr>
      <w:r w:rsidRPr="009C793F">
        <w:rPr>
          <w:rFonts w:asciiTheme="minorHAnsi" w:hAnsiTheme="minorHAnsi" w:cstheme="minorHAnsi"/>
        </w:rPr>
        <w:t>On youth crime violence prevention, the social root</w:t>
      </w:r>
      <w:r w:rsidR="008017D4" w:rsidRPr="009C793F">
        <w:rPr>
          <w:rFonts w:asciiTheme="minorHAnsi" w:hAnsiTheme="minorHAnsi" w:cstheme="minorHAnsi"/>
        </w:rPr>
        <w:t>s</w:t>
      </w:r>
      <w:r w:rsidRPr="009C793F">
        <w:rPr>
          <w:rFonts w:asciiTheme="minorHAnsi" w:hAnsiTheme="minorHAnsi" w:cstheme="minorHAnsi"/>
        </w:rPr>
        <w:t xml:space="preserve"> of crime and violence cannot be over-emphasized. A 2011 survey indicated that an estimated 77</w:t>
      </w:r>
      <w:r w:rsidR="00A628BE" w:rsidRPr="009C793F">
        <w:rPr>
          <w:rFonts w:asciiTheme="minorHAnsi" w:hAnsiTheme="minorHAnsi" w:cstheme="minorHAnsi"/>
        </w:rPr>
        <w:t xml:space="preserve"> per cent</w:t>
      </w:r>
      <w:r w:rsidRPr="009C793F">
        <w:rPr>
          <w:rFonts w:asciiTheme="minorHAnsi" w:hAnsiTheme="minorHAnsi" w:cstheme="minorHAnsi"/>
        </w:rPr>
        <w:t xml:space="preserve"> of children in T</w:t>
      </w:r>
      <w:r w:rsidR="00F019CF" w:rsidRPr="009C793F">
        <w:rPr>
          <w:rFonts w:asciiTheme="minorHAnsi" w:hAnsiTheme="minorHAnsi" w:cstheme="minorHAnsi"/>
        </w:rPr>
        <w:t>rinidad and Tobago</w:t>
      </w:r>
      <w:r w:rsidRPr="009C793F">
        <w:rPr>
          <w:rFonts w:asciiTheme="minorHAnsi" w:hAnsiTheme="minorHAnsi" w:cstheme="minorHAnsi"/>
        </w:rPr>
        <w:t xml:space="preserve"> experienced some form of violent discipline at home, and 52</w:t>
      </w:r>
      <w:r w:rsidR="00A628BE" w:rsidRPr="009C793F">
        <w:rPr>
          <w:rFonts w:asciiTheme="minorHAnsi" w:hAnsiTheme="minorHAnsi" w:cstheme="minorHAnsi"/>
        </w:rPr>
        <w:t xml:space="preserve"> per cent</w:t>
      </w:r>
      <w:r w:rsidRPr="009C793F">
        <w:rPr>
          <w:rFonts w:asciiTheme="minorHAnsi" w:hAnsiTheme="minorHAnsi" w:cstheme="minorHAnsi"/>
        </w:rPr>
        <w:t xml:space="preserve"> were subject to physical punishment.</w:t>
      </w:r>
      <w:r w:rsidRPr="009C793F">
        <w:rPr>
          <w:rFonts w:asciiTheme="minorHAnsi" w:hAnsiTheme="minorHAnsi" w:cstheme="minorHAnsi"/>
          <w:vertAlign w:val="superscript"/>
        </w:rPr>
        <w:footnoteReference w:id="114"/>
      </w:r>
      <w:r w:rsidRPr="009C793F">
        <w:rPr>
          <w:rFonts w:asciiTheme="minorHAnsi" w:hAnsiTheme="minorHAnsi" w:cstheme="minorHAnsi"/>
        </w:rPr>
        <w:t xml:space="preserve"> The major risk factors of violence against children include early exposure to violence,</w:t>
      </w:r>
      <w:r w:rsidR="009023F9">
        <w:rPr>
          <w:rFonts w:asciiTheme="minorHAnsi" w:hAnsiTheme="minorHAnsi" w:cstheme="minorHAnsi"/>
        </w:rPr>
        <w:t xml:space="preserve"> sexual abuse,</w:t>
      </w:r>
      <w:r w:rsidRPr="009C793F">
        <w:rPr>
          <w:rFonts w:asciiTheme="minorHAnsi" w:hAnsiTheme="minorHAnsi" w:cstheme="minorHAnsi"/>
        </w:rPr>
        <w:t xml:space="preserve"> alcohol and drug</w:t>
      </w:r>
      <w:r w:rsidR="00042877">
        <w:rPr>
          <w:rFonts w:asciiTheme="minorHAnsi" w:hAnsiTheme="minorHAnsi" w:cstheme="minorHAnsi"/>
        </w:rPr>
        <w:t xml:space="preserve"> abuse</w:t>
      </w:r>
      <w:r w:rsidRPr="009C793F">
        <w:rPr>
          <w:rFonts w:asciiTheme="minorHAnsi" w:hAnsiTheme="minorHAnsi" w:cstheme="minorHAnsi"/>
        </w:rPr>
        <w:t xml:space="preserve"> in the family, absence of sustainable and community-embedded diversion programmes, and high concentration of gang activities and illicit drugs and weapons in communities, and poor law enforcement. </w:t>
      </w:r>
    </w:p>
    <w:p w14:paraId="0000012D" w14:textId="77777777" w:rsidR="006B72B0" w:rsidRPr="009C793F" w:rsidRDefault="006B72B0" w:rsidP="00DE19C9">
      <w:pPr>
        <w:jc w:val="both"/>
        <w:rPr>
          <w:rFonts w:asciiTheme="minorHAnsi" w:hAnsiTheme="minorHAnsi" w:cstheme="minorHAnsi"/>
        </w:rPr>
      </w:pPr>
    </w:p>
    <w:p w14:paraId="0000012E" w14:textId="57D9DE2E" w:rsidR="006B72B0" w:rsidRPr="009C793F" w:rsidRDefault="00845012" w:rsidP="00DE19C9">
      <w:pPr>
        <w:jc w:val="both"/>
        <w:rPr>
          <w:rFonts w:asciiTheme="minorHAnsi" w:hAnsiTheme="minorHAnsi" w:cstheme="minorHAnsi"/>
        </w:rPr>
      </w:pPr>
      <w:r w:rsidRPr="009C793F">
        <w:rPr>
          <w:rFonts w:asciiTheme="minorHAnsi" w:hAnsiTheme="minorHAnsi" w:cstheme="minorHAnsi"/>
        </w:rPr>
        <w:t>In addition, a 2018 Survey of prisons in TT reveals that 43.6</w:t>
      </w:r>
      <w:r w:rsidR="00A628BE" w:rsidRPr="009C793F">
        <w:rPr>
          <w:rFonts w:asciiTheme="minorHAnsi" w:hAnsiTheme="minorHAnsi" w:cstheme="minorHAnsi"/>
        </w:rPr>
        <w:t xml:space="preserve"> per cent</w:t>
      </w:r>
      <w:r w:rsidRPr="009C793F">
        <w:rPr>
          <w:rFonts w:asciiTheme="minorHAnsi" w:hAnsiTheme="minorHAnsi" w:cstheme="minorHAnsi"/>
        </w:rPr>
        <w:t xml:space="preserve"> of respondents came from neighbourhoods with gangs, more than half (52.8</w:t>
      </w:r>
      <w:r w:rsidR="00A628BE" w:rsidRPr="009C793F">
        <w:rPr>
          <w:rFonts w:asciiTheme="minorHAnsi" w:hAnsiTheme="minorHAnsi" w:cstheme="minorHAnsi"/>
        </w:rPr>
        <w:t xml:space="preserve"> per cent</w:t>
      </w:r>
      <w:r w:rsidRPr="009C793F">
        <w:rPr>
          <w:rFonts w:asciiTheme="minorHAnsi" w:hAnsiTheme="minorHAnsi" w:cstheme="minorHAnsi"/>
        </w:rPr>
        <w:t>) had family members who had been to prisons prior to them serving time, with a preponderant 76.3</w:t>
      </w:r>
      <w:r w:rsidR="00A628BE" w:rsidRPr="009C793F">
        <w:rPr>
          <w:rFonts w:asciiTheme="minorHAnsi" w:hAnsiTheme="minorHAnsi" w:cstheme="minorHAnsi"/>
        </w:rPr>
        <w:t xml:space="preserve"> per cent</w:t>
      </w:r>
      <w:r w:rsidRPr="009C793F">
        <w:rPr>
          <w:rFonts w:asciiTheme="minorHAnsi" w:hAnsiTheme="minorHAnsi" w:cstheme="minorHAnsi"/>
        </w:rPr>
        <w:t xml:space="preserve"> engaged in the use of illicit drugs prior to their imprisonment.</w:t>
      </w:r>
      <w:r w:rsidRPr="009C793F">
        <w:rPr>
          <w:rFonts w:asciiTheme="minorHAnsi" w:hAnsiTheme="minorHAnsi" w:cstheme="minorHAnsi"/>
          <w:vertAlign w:val="superscript"/>
        </w:rPr>
        <w:footnoteReference w:id="115"/>
      </w:r>
      <w:r w:rsidRPr="009C793F">
        <w:rPr>
          <w:rFonts w:asciiTheme="minorHAnsi" w:hAnsiTheme="minorHAnsi" w:cstheme="minorHAnsi"/>
        </w:rPr>
        <w:t xml:space="preserve"> The survey also reveals that almost half (47.7</w:t>
      </w:r>
      <w:r w:rsidR="00A628BE" w:rsidRPr="009C793F">
        <w:rPr>
          <w:rFonts w:asciiTheme="minorHAnsi" w:hAnsiTheme="minorHAnsi" w:cstheme="minorHAnsi"/>
        </w:rPr>
        <w:t xml:space="preserve"> per cent</w:t>
      </w:r>
      <w:r w:rsidRPr="009C793F">
        <w:rPr>
          <w:rFonts w:asciiTheme="minorHAnsi" w:hAnsiTheme="minorHAnsi" w:cstheme="minorHAnsi"/>
        </w:rPr>
        <w:t xml:space="preserve">) of prisoners interviewed were previous offenders, thus highlighting the risk of recidivism. </w:t>
      </w:r>
    </w:p>
    <w:p w14:paraId="0000012F" w14:textId="77777777" w:rsidR="006B72B0" w:rsidRPr="009C793F" w:rsidRDefault="006B72B0" w:rsidP="00DE19C9">
      <w:pPr>
        <w:jc w:val="both"/>
        <w:rPr>
          <w:rFonts w:asciiTheme="minorHAnsi" w:hAnsiTheme="minorHAnsi" w:cstheme="minorHAnsi"/>
        </w:rPr>
      </w:pPr>
    </w:p>
    <w:p w14:paraId="00000130" w14:textId="5C83AABF" w:rsidR="006B72B0" w:rsidRPr="009C793F" w:rsidRDefault="00845012" w:rsidP="00DE19C9">
      <w:pPr>
        <w:jc w:val="both"/>
        <w:rPr>
          <w:rFonts w:asciiTheme="minorHAnsi" w:hAnsiTheme="minorHAnsi" w:cstheme="minorHAnsi"/>
        </w:rPr>
      </w:pPr>
      <w:r w:rsidRPr="009C793F">
        <w:rPr>
          <w:rFonts w:asciiTheme="minorHAnsi" w:hAnsiTheme="minorHAnsi" w:cstheme="minorHAnsi"/>
        </w:rPr>
        <w:t>Previous research has concluded that a preventative, as opposed to a retributive approach to reducing youth violence may be more cost-effective and appropriate, given the fact that criminological and psychological evidence indicate that young people are more amenable to rehabilitation than adults</w:t>
      </w:r>
      <w:r w:rsidRPr="009C793F">
        <w:rPr>
          <w:rFonts w:asciiTheme="minorHAnsi" w:hAnsiTheme="minorHAnsi" w:cstheme="minorHAnsi"/>
          <w:vertAlign w:val="superscript"/>
        </w:rPr>
        <w:footnoteReference w:id="116"/>
      </w:r>
      <w:r w:rsidRPr="009C793F">
        <w:rPr>
          <w:rFonts w:asciiTheme="minorHAnsi" w:hAnsiTheme="minorHAnsi" w:cstheme="minorHAnsi"/>
        </w:rPr>
        <w:t xml:space="preserve">.   The State pays between TT$15,000 to TT$25,000 per month to keep a prisoner incarcerated (between US$2240 and $3700). These costs can total up to TT$50 million per month for 2,230 prisoners and results in billions of dollars being spent over the years.  </w:t>
      </w:r>
      <w:r w:rsidR="00F20598" w:rsidRPr="00F20598">
        <w:rPr>
          <w:rFonts w:asciiTheme="minorHAnsi" w:hAnsiTheme="minorHAnsi" w:cstheme="minorHAnsi"/>
        </w:rPr>
        <w:t>The</w:t>
      </w:r>
      <w:r w:rsidR="00F20598">
        <w:rPr>
          <w:rFonts w:asciiTheme="minorHAnsi" w:hAnsiTheme="minorHAnsi" w:cstheme="minorHAnsi"/>
        </w:rPr>
        <w:t xml:space="preserve"> Ministry of Education </w:t>
      </w:r>
      <w:r w:rsidR="00F20598" w:rsidRPr="00F20598">
        <w:rPr>
          <w:rFonts w:asciiTheme="minorHAnsi" w:hAnsiTheme="minorHAnsi" w:cstheme="minorHAnsi"/>
        </w:rPr>
        <w:t>is using the Health and Family Life Education (HFLE) curriculum</w:t>
      </w:r>
      <w:r w:rsidR="00F20598">
        <w:rPr>
          <w:rFonts w:asciiTheme="minorHAnsi" w:hAnsiTheme="minorHAnsi" w:cstheme="minorHAnsi"/>
        </w:rPr>
        <w:t>, developed in collaboration with UNICEF,</w:t>
      </w:r>
      <w:r w:rsidR="00F20598" w:rsidRPr="00F20598">
        <w:rPr>
          <w:rFonts w:asciiTheme="minorHAnsi" w:hAnsiTheme="minorHAnsi" w:cstheme="minorHAnsi"/>
        </w:rPr>
        <w:t xml:space="preserve"> to build resilience among young people at an early age as a means of building life skills to stem their involvement in at risk and/or criminal behavior.</w:t>
      </w:r>
    </w:p>
    <w:p w14:paraId="00000131" w14:textId="77777777" w:rsidR="006B72B0" w:rsidRPr="009C793F" w:rsidRDefault="006B72B0" w:rsidP="00DE19C9">
      <w:pPr>
        <w:jc w:val="both"/>
        <w:rPr>
          <w:rFonts w:asciiTheme="minorHAnsi" w:hAnsiTheme="minorHAnsi" w:cstheme="minorHAnsi"/>
        </w:rPr>
      </w:pPr>
    </w:p>
    <w:p w14:paraId="5A283AE2" w14:textId="4779AFA3" w:rsidR="004D5E11"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new National Youth Policy 2020 – 2025 expected to be approved by Cabinet by end December 2020 recognises the importance of cutting edge and transformation policies to minimize the number of </w:t>
      </w:r>
      <w:r w:rsidR="006509DB" w:rsidRPr="009C793F">
        <w:rPr>
          <w:rFonts w:asciiTheme="minorHAnsi" w:hAnsiTheme="minorHAnsi" w:cstheme="minorHAnsi"/>
        </w:rPr>
        <w:t>youths</w:t>
      </w:r>
      <w:r w:rsidRPr="009C793F">
        <w:rPr>
          <w:rFonts w:asciiTheme="minorHAnsi" w:hAnsiTheme="minorHAnsi" w:cstheme="minorHAnsi"/>
        </w:rPr>
        <w:t xml:space="preserve"> entering a life of crime and violence.     </w:t>
      </w:r>
    </w:p>
    <w:p w14:paraId="00000132" w14:textId="2B82F61B"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 </w:t>
      </w:r>
    </w:p>
    <w:p w14:paraId="490CA556" w14:textId="77777777" w:rsidR="00C86F4B" w:rsidRDefault="00845012" w:rsidP="00DE19C9">
      <w:pPr>
        <w:jc w:val="both"/>
        <w:rPr>
          <w:rFonts w:asciiTheme="minorHAnsi" w:hAnsiTheme="minorHAnsi" w:cstheme="minorHAnsi"/>
        </w:rPr>
      </w:pPr>
      <w:r w:rsidRPr="009C793F">
        <w:rPr>
          <w:rFonts w:asciiTheme="minorHAnsi" w:hAnsiTheme="minorHAnsi" w:cstheme="minorHAnsi"/>
          <w:b/>
        </w:rPr>
        <w:t>3.5.3 Terrorism</w:t>
      </w:r>
      <w:r w:rsidRPr="009C793F">
        <w:rPr>
          <w:rFonts w:asciiTheme="minorHAnsi" w:hAnsiTheme="minorHAnsi" w:cstheme="minorHAnsi"/>
        </w:rPr>
        <w:t xml:space="preserve"> </w:t>
      </w:r>
    </w:p>
    <w:p w14:paraId="129D7D23" w14:textId="77777777" w:rsidR="00C86F4B" w:rsidRDefault="00C86F4B" w:rsidP="00DE19C9">
      <w:pPr>
        <w:jc w:val="both"/>
        <w:rPr>
          <w:rFonts w:asciiTheme="minorHAnsi" w:hAnsiTheme="minorHAnsi" w:cstheme="minorHAnsi"/>
        </w:rPr>
      </w:pPr>
    </w:p>
    <w:p w14:paraId="00000134" w14:textId="052FB773"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Terrorism remains a threat as a consequence of the radicalization of </w:t>
      </w:r>
      <w:r w:rsidR="006509DB" w:rsidRPr="009C793F">
        <w:rPr>
          <w:rFonts w:asciiTheme="minorHAnsi" w:hAnsiTheme="minorHAnsi" w:cstheme="minorHAnsi"/>
        </w:rPr>
        <w:t>several</w:t>
      </w:r>
      <w:r w:rsidRPr="009C793F">
        <w:rPr>
          <w:rFonts w:asciiTheme="minorHAnsi" w:hAnsiTheme="minorHAnsi" w:cstheme="minorHAnsi"/>
        </w:rPr>
        <w:t xml:space="preserve"> young persons to violent ideologies, as well as the potential return of alleged extremist who had travelled to Iraq and Syria to join ISIS forces. The government has reported that 135 persons had been detected attempting to leave Trinidad to fight with ISIS in Syria and Iraq</w:t>
      </w:r>
      <w:r w:rsidR="009904CE" w:rsidRPr="009C793F">
        <w:rPr>
          <w:rFonts w:asciiTheme="minorHAnsi" w:hAnsiTheme="minorHAnsi" w:cstheme="minorHAnsi"/>
        </w:rPr>
        <w:t>.</w:t>
      </w:r>
      <w:r w:rsidR="009904CE" w:rsidRPr="009C793F">
        <w:rPr>
          <w:rStyle w:val="FootnoteReference"/>
          <w:rFonts w:asciiTheme="minorHAnsi" w:hAnsiTheme="minorHAnsi" w:cstheme="minorHAnsi"/>
        </w:rPr>
        <w:footnoteReference w:id="117"/>
      </w:r>
      <w:r w:rsidRPr="009C793F">
        <w:rPr>
          <w:rFonts w:asciiTheme="minorHAnsi" w:hAnsiTheme="minorHAnsi" w:cstheme="minorHAnsi"/>
        </w:rPr>
        <w:t xml:space="preserve"> Trinidad and Tobago has the highest number of citizens per capita in the Western Hemisphere who have travelled to Iraq and Syria to join radical terrorist groups.  The issue is especially sensitive as evidence suggests that nearly half the nationals who travelled to conflict zones were children who were made to accompany parents, and who did not necessarily have a choice to remain behind</w:t>
      </w:r>
      <w:r w:rsidR="009904CE" w:rsidRPr="009C793F">
        <w:rPr>
          <w:rFonts w:asciiTheme="minorHAnsi" w:hAnsiTheme="minorHAnsi" w:cstheme="minorHAnsi"/>
        </w:rPr>
        <w:t>.</w:t>
      </w:r>
      <w:r w:rsidRPr="009C793F">
        <w:rPr>
          <w:rFonts w:asciiTheme="minorHAnsi" w:hAnsiTheme="minorHAnsi" w:cstheme="minorHAnsi"/>
          <w:vertAlign w:val="superscript"/>
        </w:rPr>
        <w:footnoteReference w:id="118"/>
      </w:r>
      <w:r w:rsidRPr="009C793F">
        <w:rPr>
          <w:rFonts w:asciiTheme="minorHAnsi" w:hAnsiTheme="minorHAnsi" w:cstheme="minorHAnsi"/>
        </w:rPr>
        <w:t xml:space="preserve"> In addition to the children who have travelled to Syria and Iraq, there are also spouses who are seeking to return which remains an issue to be addressed. </w:t>
      </w:r>
    </w:p>
    <w:p w14:paraId="00000135" w14:textId="77777777" w:rsidR="006B72B0" w:rsidRPr="009C793F" w:rsidRDefault="006B72B0" w:rsidP="00DE19C9">
      <w:pPr>
        <w:jc w:val="both"/>
        <w:rPr>
          <w:rFonts w:asciiTheme="minorHAnsi" w:hAnsiTheme="minorHAnsi" w:cstheme="minorHAnsi"/>
          <w:color w:val="000000"/>
        </w:rPr>
      </w:pPr>
    </w:p>
    <w:p w14:paraId="00000136" w14:textId="17453461"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The CARICOM Counter Terrorism Strategy highlights that “the CARICOM Region faces the additional challenge posed by the evolving relationship between organized crime groups and violent gangs on the one hand, and terrorist groups and radicalized individuals on the other”</w:t>
      </w:r>
      <w:r w:rsidR="009904CE" w:rsidRPr="009C793F">
        <w:rPr>
          <w:rFonts w:asciiTheme="minorHAnsi" w:hAnsiTheme="minorHAnsi" w:cstheme="minorHAnsi"/>
          <w:color w:val="000000"/>
        </w:rPr>
        <w:t>.</w:t>
      </w:r>
      <w:r w:rsidRPr="009C793F">
        <w:rPr>
          <w:rFonts w:asciiTheme="minorHAnsi" w:hAnsiTheme="minorHAnsi" w:cstheme="minorHAnsi"/>
          <w:color w:val="000000"/>
          <w:vertAlign w:val="superscript"/>
        </w:rPr>
        <w:footnoteReference w:id="119"/>
      </w:r>
      <w:r w:rsidRPr="009C793F">
        <w:rPr>
          <w:rFonts w:asciiTheme="minorHAnsi" w:hAnsiTheme="minorHAnsi" w:cstheme="minorHAnsi"/>
          <w:color w:val="000000"/>
        </w:rPr>
        <w:t xml:space="preserve"> Likewise, given the economic reliance on the maritime space and economic interests of overseas investors, through shipping, tourism and offshore oil and gas – constant vigilance against maritime terrorism is required.   </w:t>
      </w:r>
    </w:p>
    <w:p w14:paraId="00000137" w14:textId="77777777" w:rsidR="006B72B0" w:rsidRPr="009C793F" w:rsidRDefault="006B72B0" w:rsidP="00DE19C9">
      <w:pPr>
        <w:jc w:val="both"/>
        <w:rPr>
          <w:rFonts w:asciiTheme="minorHAnsi" w:hAnsiTheme="minorHAnsi" w:cstheme="minorHAnsi"/>
          <w:color w:val="000000"/>
        </w:rPr>
      </w:pPr>
    </w:p>
    <w:p w14:paraId="00000138" w14:textId="064ABFCE"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Lack of coordination, staffing and funding continue to pose challenges to T</w:t>
      </w:r>
      <w:r w:rsidR="00982C06" w:rsidRPr="009C793F">
        <w:rPr>
          <w:rFonts w:asciiTheme="minorHAnsi" w:hAnsiTheme="minorHAnsi" w:cstheme="minorHAnsi"/>
          <w:color w:val="000000"/>
        </w:rPr>
        <w:t>rinidad and Tobago’s</w:t>
      </w:r>
      <w:r w:rsidRPr="009C793F">
        <w:rPr>
          <w:rFonts w:asciiTheme="minorHAnsi" w:hAnsiTheme="minorHAnsi" w:cstheme="minorHAnsi"/>
          <w:color w:val="000000"/>
        </w:rPr>
        <w:t xml:space="preserve"> counter-terrorism institutions</w:t>
      </w:r>
      <w:r w:rsidRPr="009C793F">
        <w:rPr>
          <w:rFonts w:asciiTheme="minorHAnsi" w:hAnsiTheme="minorHAnsi" w:cstheme="minorHAnsi"/>
          <w:color w:val="000000"/>
          <w:vertAlign w:val="superscript"/>
        </w:rPr>
        <w:footnoteReference w:id="120"/>
      </w:r>
      <w:r w:rsidRPr="009C793F">
        <w:rPr>
          <w:rFonts w:asciiTheme="minorHAnsi" w:hAnsiTheme="minorHAnsi" w:cstheme="minorHAnsi"/>
          <w:color w:val="000000"/>
        </w:rPr>
        <w:t xml:space="preserve">. Government has recognised this challenge and the National Plan for Preventing and Countering Violent Extremism forms part of a comprehensive strategy to address the threat of terrorism and violent extremism. In keeping with its recognition of the need for a Whole of Society approach, the Plan takes a broad view across many sectors. </w:t>
      </w:r>
    </w:p>
    <w:p w14:paraId="00000139" w14:textId="77777777" w:rsidR="006B72B0" w:rsidRPr="009C793F" w:rsidRDefault="006B72B0" w:rsidP="00DE19C9">
      <w:pPr>
        <w:jc w:val="both"/>
        <w:rPr>
          <w:rFonts w:asciiTheme="minorHAnsi" w:hAnsiTheme="minorHAnsi" w:cstheme="minorHAnsi"/>
          <w:color w:val="000000"/>
        </w:rPr>
      </w:pPr>
    </w:p>
    <w:p w14:paraId="0000013A" w14:textId="10C0B92D"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specific objectives of the National Plan are to strengthen the capacity of individuals, communities and groups to implement P</w:t>
      </w:r>
      <w:r w:rsidR="008017D4" w:rsidRPr="009C793F">
        <w:rPr>
          <w:rFonts w:asciiTheme="minorHAnsi" w:hAnsiTheme="minorHAnsi" w:cstheme="minorHAnsi"/>
        </w:rPr>
        <w:t>reventing</w:t>
      </w:r>
      <w:r w:rsidRPr="009C793F">
        <w:rPr>
          <w:rFonts w:asciiTheme="minorHAnsi" w:hAnsiTheme="minorHAnsi" w:cstheme="minorHAnsi"/>
        </w:rPr>
        <w:t>/C</w:t>
      </w:r>
      <w:r w:rsidR="008017D4" w:rsidRPr="009C793F">
        <w:rPr>
          <w:rFonts w:asciiTheme="minorHAnsi" w:hAnsiTheme="minorHAnsi" w:cstheme="minorHAnsi"/>
        </w:rPr>
        <w:t xml:space="preserve">ountering Violent Extremism (P/CVE) </w:t>
      </w:r>
      <w:r w:rsidRPr="009C793F">
        <w:rPr>
          <w:rFonts w:asciiTheme="minorHAnsi" w:hAnsiTheme="minorHAnsi" w:cstheme="minorHAnsi"/>
        </w:rPr>
        <w:t xml:space="preserve">programmes in an inclusive and sustainable manner using a citizen-driven approach. The Plan further seeks to reinforce government leadership to institutionalise, support, and coordinate both P/CVE-specific and P/CVE-relevant activities across the country in a results-oriented and measurable </w:t>
      </w:r>
      <w:r w:rsidR="006509DB" w:rsidRPr="009C793F">
        <w:rPr>
          <w:rFonts w:asciiTheme="minorHAnsi" w:hAnsiTheme="minorHAnsi" w:cstheme="minorHAnsi"/>
        </w:rPr>
        <w:t>manner and</w:t>
      </w:r>
      <w:r w:rsidRPr="009C793F">
        <w:rPr>
          <w:rFonts w:asciiTheme="minorHAnsi" w:hAnsiTheme="minorHAnsi" w:cstheme="minorHAnsi"/>
        </w:rPr>
        <w:t xml:space="preserve"> promote and integrate strategic communication in P/CVE programmes at all levels.  </w:t>
      </w:r>
    </w:p>
    <w:p w14:paraId="0000013B" w14:textId="77777777" w:rsidR="006B72B0" w:rsidRPr="009C793F" w:rsidRDefault="006B72B0" w:rsidP="00DE19C9">
      <w:pPr>
        <w:jc w:val="both"/>
        <w:rPr>
          <w:rFonts w:asciiTheme="minorHAnsi" w:hAnsiTheme="minorHAnsi" w:cstheme="minorHAnsi"/>
        </w:rPr>
      </w:pPr>
    </w:p>
    <w:p w14:paraId="0000013D" w14:textId="61922C5C" w:rsidR="006B72B0" w:rsidRPr="009C793F" w:rsidRDefault="00845012" w:rsidP="00C86F4B">
      <w:pPr>
        <w:jc w:val="both"/>
        <w:rPr>
          <w:rFonts w:asciiTheme="minorHAnsi" w:hAnsiTheme="minorHAnsi" w:cstheme="minorHAnsi"/>
        </w:rPr>
      </w:pPr>
      <w:r w:rsidRPr="009C793F">
        <w:rPr>
          <w:rFonts w:asciiTheme="minorHAnsi" w:hAnsiTheme="minorHAnsi" w:cstheme="minorHAnsi"/>
        </w:rPr>
        <w:t xml:space="preserve">The Plan is built on Five Interconnected Pillars. The First Interconnected Pillar, </w:t>
      </w:r>
      <w:r w:rsidRPr="009C793F">
        <w:rPr>
          <w:rFonts w:asciiTheme="minorHAnsi" w:hAnsiTheme="minorHAnsi" w:cstheme="minorHAnsi"/>
          <w:b/>
        </w:rPr>
        <w:t>Harnessing Youth Energy</w:t>
      </w:r>
      <w:r w:rsidRPr="009C793F">
        <w:rPr>
          <w:rFonts w:asciiTheme="minorHAnsi" w:hAnsiTheme="minorHAnsi" w:cstheme="minorHAnsi"/>
        </w:rPr>
        <w:t>, aims to empower youth to participate in P/CVE decision making at the local and national levels.</w:t>
      </w:r>
      <w:r w:rsidR="00C86F4B">
        <w:rPr>
          <w:rFonts w:asciiTheme="minorHAnsi" w:hAnsiTheme="minorHAnsi" w:cstheme="minorHAnsi"/>
        </w:rPr>
        <w:t xml:space="preserve"> </w:t>
      </w:r>
      <w:r w:rsidRPr="009C793F">
        <w:rPr>
          <w:rFonts w:asciiTheme="minorHAnsi" w:hAnsiTheme="minorHAnsi" w:cstheme="minorHAnsi"/>
        </w:rPr>
        <w:t xml:space="preserve">The second Pillar, </w:t>
      </w:r>
      <w:r w:rsidRPr="009C793F">
        <w:rPr>
          <w:rFonts w:asciiTheme="minorHAnsi" w:hAnsiTheme="minorHAnsi" w:cstheme="minorHAnsi"/>
          <w:b/>
        </w:rPr>
        <w:t>Empowering Girls and Women</w:t>
      </w:r>
      <w:r w:rsidRPr="009C793F">
        <w:rPr>
          <w:rFonts w:asciiTheme="minorHAnsi" w:hAnsiTheme="minorHAnsi" w:cstheme="minorHAnsi"/>
        </w:rPr>
        <w:t xml:space="preserve">, aims to strengthen women’s and girls’ engagement across the broad spectrum of roles they play in preventing and countering violent extremism, while further reinforcing participation, leadership, and inclusion of their perspectives in national responses. The third Pillar, </w:t>
      </w:r>
      <w:r w:rsidRPr="009C793F">
        <w:rPr>
          <w:rFonts w:asciiTheme="minorHAnsi" w:hAnsiTheme="minorHAnsi" w:cstheme="minorHAnsi"/>
          <w:b/>
        </w:rPr>
        <w:t>Building Resilient Communities</w:t>
      </w:r>
      <w:r w:rsidRPr="009C793F">
        <w:rPr>
          <w:rFonts w:asciiTheme="minorHAnsi" w:hAnsiTheme="minorHAnsi" w:cstheme="minorHAnsi"/>
        </w:rPr>
        <w:t xml:space="preserve">, focuses on strengthening trust among and between community stakeholders and the government. The fourth Pillar, </w:t>
      </w:r>
      <w:r w:rsidRPr="009C793F">
        <w:rPr>
          <w:rFonts w:asciiTheme="minorHAnsi" w:hAnsiTheme="minorHAnsi" w:cstheme="minorHAnsi"/>
          <w:b/>
        </w:rPr>
        <w:t>Promoting Inclusive Governance, Transparency and Accountability</w:t>
      </w:r>
      <w:r w:rsidRPr="009C793F">
        <w:rPr>
          <w:rFonts w:asciiTheme="minorHAnsi" w:hAnsiTheme="minorHAnsi" w:cstheme="minorHAnsi"/>
        </w:rPr>
        <w:t xml:space="preserve">, focuses on upholding the rule of law, promoting equality, and ensuring the fundamental human rights of citizens, as a means of addressing the grievances that fuel the appeal of violent extremism.  The Fifth Pillar, </w:t>
      </w:r>
      <w:r w:rsidRPr="009C793F">
        <w:rPr>
          <w:rFonts w:asciiTheme="minorHAnsi" w:hAnsiTheme="minorHAnsi" w:cstheme="minorHAnsi"/>
          <w:b/>
        </w:rPr>
        <w:t>Rehabilitating Returnees</w:t>
      </w:r>
      <w:r w:rsidRPr="009C793F">
        <w:rPr>
          <w:rFonts w:asciiTheme="minorHAnsi" w:hAnsiTheme="minorHAnsi" w:cstheme="minorHAnsi"/>
        </w:rPr>
        <w:t xml:space="preserve">, presents a multi-dimensional, multi-stakeholder framework for dealing with the issue of Returnees. </w:t>
      </w:r>
    </w:p>
    <w:p w14:paraId="0000013E" w14:textId="77777777" w:rsidR="006B72B0" w:rsidRPr="009C793F" w:rsidRDefault="006B72B0" w:rsidP="00DE19C9">
      <w:pPr>
        <w:jc w:val="both"/>
        <w:rPr>
          <w:rFonts w:asciiTheme="minorHAnsi" w:hAnsiTheme="minorHAnsi" w:cstheme="minorHAnsi"/>
          <w:b/>
        </w:rPr>
      </w:pPr>
    </w:p>
    <w:p w14:paraId="0F33300C" w14:textId="77777777" w:rsidR="00C86F4B" w:rsidRDefault="00845012" w:rsidP="00DE19C9">
      <w:pPr>
        <w:jc w:val="both"/>
        <w:rPr>
          <w:rFonts w:asciiTheme="minorHAnsi" w:hAnsiTheme="minorHAnsi" w:cstheme="minorHAnsi"/>
          <w:b/>
        </w:rPr>
      </w:pPr>
      <w:r w:rsidRPr="009C793F">
        <w:rPr>
          <w:rFonts w:asciiTheme="minorHAnsi" w:hAnsiTheme="minorHAnsi" w:cstheme="minorHAnsi"/>
          <w:b/>
        </w:rPr>
        <w:t xml:space="preserve">3.5.4 Border Issues </w:t>
      </w:r>
    </w:p>
    <w:p w14:paraId="21FF7E7E" w14:textId="77777777" w:rsidR="00C86F4B" w:rsidRDefault="00C86F4B" w:rsidP="00DE19C9">
      <w:pPr>
        <w:jc w:val="both"/>
        <w:rPr>
          <w:rFonts w:asciiTheme="minorHAnsi" w:hAnsiTheme="minorHAnsi" w:cstheme="minorHAnsi"/>
          <w:b/>
        </w:rPr>
      </w:pPr>
    </w:p>
    <w:p w14:paraId="0000013F" w14:textId="39C6FDB3" w:rsidR="006B72B0" w:rsidRPr="009C793F" w:rsidRDefault="00845012" w:rsidP="00DE19C9">
      <w:pPr>
        <w:jc w:val="both"/>
        <w:rPr>
          <w:rFonts w:asciiTheme="minorHAnsi" w:hAnsiTheme="minorHAnsi" w:cstheme="minorHAnsi"/>
        </w:rPr>
      </w:pPr>
      <w:r w:rsidRPr="009C793F">
        <w:rPr>
          <w:rFonts w:asciiTheme="minorHAnsi" w:hAnsiTheme="minorHAnsi" w:cstheme="minorHAnsi"/>
        </w:rPr>
        <w:t>According to the Response for Venezuelans Coordination Platform, there were approximately 24,000 Venezuelan migrants and asylum seekers in T</w:t>
      </w:r>
      <w:r w:rsidR="00E26799" w:rsidRPr="009C793F">
        <w:rPr>
          <w:rFonts w:asciiTheme="minorHAnsi" w:hAnsiTheme="minorHAnsi" w:cstheme="minorHAnsi"/>
        </w:rPr>
        <w:t xml:space="preserve">rinidad and </w:t>
      </w:r>
      <w:r w:rsidRPr="009C793F">
        <w:rPr>
          <w:rFonts w:asciiTheme="minorHAnsi" w:hAnsiTheme="minorHAnsi" w:cstheme="minorHAnsi"/>
        </w:rPr>
        <w:t>T</w:t>
      </w:r>
      <w:r w:rsidR="00E26799" w:rsidRPr="009C793F">
        <w:rPr>
          <w:rFonts w:asciiTheme="minorHAnsi" w:hAnsiTheme="minorHAnsi" w:cstheme="minorHAnsi"/>
        </w:rPr>
        <w:t>obago</w:t>
      </w:r>
      <w:r w:rsidRPr="009C793F">
        <w:rPr>
          <w:rFonts w:asciiTheme="minorHAnsi" w:hAnsiTheme="minorHAnsi" w:cstheme="minorHAnsi"/>
        </w:rPr>
        <w:t xml:space="preserve"> as of January 2020</w:t>
      </w:r>
      <w:r w:rsidRPr="009C793F">
        <w:rPr>
          <w:rFonts w:asciiTheme="minorHAnsi" w:hAnsiTheme="minorHAnsi" w:cstheme="minorHAnsi"/>
          <w:vertAlign w:val="superscript"/>
        </w:rPr>
        <w:footnoteReference w:id="121"/>
      </w:r>
      <w:r w:rsidR="008F29D9" w:rsidRPr="009C793F">
        <w:rPr>
          <w:rFonts w:asciiTheme="minorHAnsi" w:hAnsiTheme="minorHAnsi" w:cstheme="minorHAnsi"/>
        </w:rPr>
        <w:t>, of which 16,523 are registered by the GORTT</w:t>
      </w:r>
      <w:r w:rsidRPr="009C793F">
        <w:rPr>
          <w:rFonts w:asciiTheme="minorHAnsi" w:hAnsiTheme="minorHAnsi" w:cstheme="minorHAnsi"/>
        </w:rPr>
        <w:t xml:space="preserve">. With the complex humanitarian crisis which has led to the influx of Venezuelans Persons of Concern </w:t>
      </w:r>
      <w:r w:rsidR="008017D4" w:rsidRPr="009C793F">
        <w:rPr>
          <w:rFonts w:asciiTheme="minorHAnsi" w:hAnsiTheme="minorHAnsi" w:cstheme="minorHAnsi"/>
        </w:rPr>
        <w:t>(Persons of Concern) to Trinidad and Tobago</w:t>
      </w:r>
      <w:r w:rsidRPr="009C793F">
        <w:rPr>
          <w:rFonts w:asciiTheme="minorHAnsi" w:hAnsiTheme="minorHAnsi" w:cstheme="minorHAnsi"/>
        </w:rPr>
        <w:t>, there is reported increase in human and wildlife trafficking as well as that of drugs and arms. According to the 2018 Global Report on Trafficking in Persons, in Central America and the Caribbean, at least 80</w:t>
      </w:r>
      <w:r w:rsidR="00A628BE" w:rsidRPr="009C793F">
        <w:rPr>
          <w:rFonts w:asciiTheme="minorHAnsi" w:hAnsiTheme="minorHAnsi" w:cstheme="minorHAnsi"/>
        </w:rPr>
        <w:t xml:space="preserve"> per cent</w:t>
      </w:r>
      <w:r w:rsidRPr="009C793F">
        <w:rPr>
          <w:rFonts w:asciiTheme="minorHAnsi" w:hAnsiTheme="minorHAnsi" w:cstheme="minorHAnsi"/>
        </w:rPr>
        <w:t xml:space="preserve"> of detected victims of trafficking in 2016 were women (adult and minors) while male minors accounted for 11</w:t>
      </w:r>
      <w:r w:rsidR="00A628BE" w:rsidRPr="009C793F">
        <w:rPr>
          <w:rFonts w:asciiTheme="minorHAnsi" w:hAnsiTheme="minorHAnsi" w:cstheme="minorHAnsi"/>
        </w:rPr>
        <w:t xml:space="preserve"> per cent </w:t>
      </w:r>
      <w:r w:rsidRPr="009C793F">
        <w:rPr>
          <w:rFonts w:asciiTheme="minorHAnsi" w:hAnsiTheme="minorHAnsi" w:cstheme="minorHAnsi"/>
        </w:rPr>
        <w:t>of victims.</w:t>
      </w:r>
      <w:r w:rsidRPr="009C793F">
        <w:rPr>
          <w:rFonts w:asciiTheme="minorHAnsi" w:hAnsiTheme="minorHAnsi" w:cstheme="minorHAnsi"/>
          <w:vertAlign w:val="superscript"/>
        </w:rPr>
        <w:footnoteReference w:id="122"/>
      </w:r>
      <w:r w:rsidRPr="009C793F">
        <w:rPr>
          <w:rFonts w:asciiTheme="minorHAnsi" w:hAnsiTheme="minorHAnsi" w:cstheme="minorHAnsi"/>
        </w:rPr>
        <w:t xml:space="preserve"> The region is a transit point for 1</w:t>
      </w:r>
      <w:r w:rsidR="00A628BE" w:rsidRPr="009C793F">
        <w:rPr>
          <w:rFonts w:asciiTheme="minorHAnsi" w:hAnsiTheme="minorHAnsi" w:cstheme="minorHAnsi"/>
        </w:rPr>
        <w:t>6 per cent</w:t>
      </w:r>
      <w:r w:rsidRPr="009C793F">
        <w:rPr>
          <w:rFonts w:asciiTheme="minorHAnsi" w:hAnsiTheme="minorHAnsi" w:cstheme="minorHAnsi"/>
        </w:rPr>
        <w:t xml:space="preserve"> of the victims and a destination for 75</w:t>
      </w:r>
      <w:r w:rsidR="00A628BE" w:rsidRPr="009C793F">
        <w:rPr>
          <w:rFonts w:asciiTheme="minorHAnsi" w:hAnsiTheme="minorHAnsi" w:cstheme="minorHAnsi"/>
        </w:rPr>
        <w:t xml:space="preserve"> per cent</w:t>
      </w:r>
      <w:r w:rsidRPr="009C793F">
        <w:rPr>
          <w:rFonts w:asciiTheme="minorHAnsi" w:hAnsiTheme="minorHAnsi" w:cstheme="minorHAnsi"/>
        </w:rPr>
        <w:t xml:space="preserve"> others. The Counter-Trafficking Unit, Immigration and other interlocutors have inadequate resources to reduce exploitation of the POCs. In addition to technical support, a major gap area is the mobilization of border communities, who contribute to facilitating the trafficking, due partly to factors like poverty and climate-change impact, which adversely affect their livelihoods. </w:t>
      </w:r>
    </w:p>
    <w:p w14:paraId="00000140" w14:textId="77777777" w:rsidR="006B72B0" w:rsidRPr="009C793F" w:rsidRDefault="006B72B0" w:rsidP="00DE19C9">
      <w:pPr>
        <w:jc w:val="both"/>
        <w:rPr>
          <w:rFonts w:asciiTheme="minorHAnsi" w:hAnsiTheme="minorHAnsi" w:cstheme="minorHAnsi"/>
        </w:rPr>
      </w:pPr>
    </w:p>
    <w:p w14:paraId="00000141" w14:textId="4C55CDE6"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While Trinidad and Tobago has made efforts to improve measures against human trafficking, to </w:t>
      </w:r>
      <w:r w:rsidR="006509DB" w:rsidRPr="009C793F">
        <w:rPr>
          <w:rFonts w:asciiTheme="minorHAnsi" w:hAnsiTheme="minorHAnsi" w:cstheme="minorHAnsi"/>
        </w:rPr>
        <w:t>date, no</w:t>
      </w:r>
      <w:r w:rsidRPr="009C793F">
        <w:rPr>
          <w:rFonts w:asciiTheme="minorHAnsi" w:hAnsiTheme="minorHAnsi" w:cstheme="minorHAnsi"/>
        </w:rPr>
        <w:t xml:space="preserve"> convictions have been made under the 2011 Anti-Trafficking Bill, despite the initiation of eight prosecutions.</w:t>
      </w:r>
      <w:r w:rsidRPr="009C793F">
        <w:rPr>
          <w:rFonts w:asciiTheme="minorHAnsi" w:hAnsiTheme="minorHAnsi" w:cstheme="minorHAnsi"/>
          <w:vertAlign w:val="superscript"/>
        </w:rPr>
        <w:footnoteReference w:id="123"/>
      </w:r>
      <w:r w:rsidRPr="009C793F">
        <w:rPr>
          <w:rFonts w:asciiTheme="minorHAnsi" w:hAnsiTheme="minorHAnsi" w:cstheme="minorHAnsi"/>
        </w:rPr>
        <w:t xml:space="preserve">  Likewise, the legislation does not provide for immigration relief for victims nor does it extend educational opportunities for their children</w:t>
      </w:r>
      <w:r w:rsidRPr="009C793F">
        <w:rPr>
          <w:rFonts w:asciiTheme="minorHAnsi" w:hAnsiTheme="minorHAnsi" w:cstheme="minorHAnsi"/>
          <w:vertAlign w:val="superscript"/>
        </w:rPr>
        <w:footnoteReference w:id="124"/>
      </w:r>
      <w:r w:rsidRPr="009C793F">
        <w:rPr>
          <w:rFonts w:asciiTheme="minorHAnsi" w:hAnsiTheme="minorHAnsi" w:cstheme="minorHAnsi"/>
        </w:rPr>
        <w:t xml:space="preserve">. </w:t>
      </w:r>
    </w:p>
    <w:p w14:paraId="00000142" w14:textId="77777777" w:rsidR="006B72B0" w:rsidRPr="009C793F" w:rsidRDefault="006B72B0" w:rsidP="00DE19C9">
      <w:pPr>
        <w:jc w:val="both"/>
        <w:rPr>
          <w:rFonts w:asciiTheme="minorHAnsi" w:hAnsiTheme="minorHAnsi" w:cstheme="minorHAnsi"/>
          <w:color w:val="000000"/>
          <w:highlight w:val="white"/>
        </w:rPr>
      </w:pPr>
    </w:p>
    <w:p w14:paraId="00000143" w14:textId="44EBAA66"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highlight w:val="white"/>
        </w:rPr>
        <w:t xml:space="preserve">The country’s geographic location between key supply and demand markets and the surveillance challenges posed by porous coastlines are two of the factors contributing to </w:t>
      </w:r>
      <w:r w:rsidR="008017D4" w:rsidRPr="009C793F">
        <w:rPr>
          <w:rFonts w:asciiTheme="minorHAnsi" w:hAnsiTheme="minorHAnsi" w:cstheme="minorHAnsi"/>
          <w:color w:val="000000"/>
          <w:highlight w:val="white"/>
        </w:rPr>
        <w:t xml:space="preserve">the country’s </w:t>
      </w:r>
      <w:r w:rsidRPr="009C793F">
        <w:rPr>
          <w:rFonts w:asciiTheme="minorHAnsi" w:hAnsiTheme="minorHAnsi" w:cstheme="minorHAnsi"/>
          <w:color w:val="000000"/>
          <w:highlight w:val="white"/>
        </w:rPr>
        <w:t xml:space="preserve">extreme vulnerability to the threat of transnational organized crime. </w:t>
      </w:r>
      <w:r w:rsidRPr="009C793F">
        <w:rPr>
          <w:rFonts w:asciiTheme="minorHAnsi" w:hAnsiTheme="minorHAnsi" w:cstheme="minorHAnsi"/>
          <w:color w:val="000000"/>
        </w:rPr>
        <w:t xml:space="preserve">The deteriorating economic and political situation in Venezuela has created additional challenges. For example: in February 2019, a major human trafficking operation carried out by the </w:t>
      </w:r>
      <w:r w:rsidR="008017D4" w:rsidRPr="009C793F">
        <w:rPr>
          <w:rFonts w:asciiTheme="minorHAnsi" w:hAnsiTheme="minorHAnsi" w:cstheme="minorHAnsi"/>
          <w:color w:val="000000"/>
        </w:rPr>
        <w:t>TTPS</w:t>
      </w:r>
      <w:r w:rsidRPr="009C793F">
        <w:rPr>
          <w:rFonts w:asciiTheme="minorHAnsi" w:hAnsiTheme="minorHAnsi" w:cstheme="minorHAnsi"/>
          <w:color w:val="000000"/>
        </w:rPr>
        <w:t xml:space="preserve"> resulted in the rescuing of 19 Spanish speaking teenage girls believed to be of Venezuelan origin</w:t>
      </w:r>
      <w:r w:rsidRPr="009C793F">
        <w:rPr>
          <w:rFonts w:asciiTheme="minorHAnsi" w:hAnsiTheme="minorHAnsi" w:cstheme="minorHAnsi"/>
          <w:color w:val="000000"/>
          <w:vertAlign w:val="superscript"/>
        </w:rPr>
        <w:footnoteReference w:id="125"/>
      </w:r>
      <w:r w:rsidRPr="009C793F">
        <w:rPr>
          <w:rFonts w:asciiTheme="minorHAnsi" w:hAnsiTheme="minorHAnsi" w:cstheme="minorHAnsi"/>
          <w:color w:val="000000"/>
        </w:rPr>
        <w:t xml:space="preserve">; in January 2019, two Trinidad fishermen, 17 and 24 years old, were kidnapped and ransomed by Venezuelan pirates -the two were eventually released; in February 2019, after being held in captivity for over a week by pirates, 5 fishermen made it back home safely. Accompanying these developments have been the issue of the illegal trade in wildlife. </w:t>
      </w:r>
    </w:p>
    <w:p w14:paraId="00000144" w14:textId="542B0FDE"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 </w:t>
      </w:r>
    </w:p>
    <w:p w14:paraId="1638D9AD" w14:textId="77777777" w:rsidR="00C86F4B" w:rsidRDefault="00845012" w:rsidP="00DE19C9">
      <w:pPr>
        <w:jc w:val="both"/>
        <w:rPr>
          <w:rFonts w:asciiTheme="minorHAnsi" w:hAnsiTheme="minorHAnsi" w:cstheme="minorHAnsi"/>
          <w:b/>
        </w:rPr>
      </w:pPr>
      <w:r w:rsidRPr="009C793F">
        <w:rPr>
          <w:rFonts w:asciiTheme="minorHAnsi" w:hAnsiTheme="minorHAnsi" w:cstheme="minorHAnsi"/>
          <w:b/>
        </w:rPr>
        <w:t xml:space="preserve">3.5.5    Vision 2030 and Citizen Security </w:t>
      </w:r>
    </w:p>
    <w:p w14:paraId="074B30B9" w14:textId="77777777" w:rsidR="00C86F4B" w:rsidRDefault="00C86F4B" w:rsidP="00DE19C9">
      <w:pPr>
        <w:jc w:val="both"/>
        <w:rPr>
          <w:rFonts w:asciiTheme="minorHAnsi" w:hAnsiTheme="minorHAnsi" w:cstheme="minorHAnsi"/>
          <w:b/>
        </w:rPr>
      </w:pPr>
    </w:p>
    <w:p w14:paraId="00000145" w14:textId="4131441F" w:rsidR="006B72B0" w:rsidRDefault="00845012" w:rsidP="00DE19C9">
      <w:pPr>
        <w:jc w:val="both"/>
        <w:rPr>
          <w:rFonts w:asciiTheme="minorHAnsi" w:hAnsiTheme="minorHAnsi" w:cstheme="minorHAnsi"/>
        </w:rPr>
      </w:pPr>
      <w:r w:rsidRPr="009C793F">
        <w:rPr>
          <w:rFonts w:asciiTheme="minorHAnsi" w:hAnsiTheme="minorHAnsi" w:cstheme="minorHAnsi"/>
        </w:rPr>
        <w:t>Vision 2030 recogni</w:t>
      </w:r>
      <w:r w:rsidR="00C86F4B">
        <w:rPr>
          <w:rFonts w:asciiTheme="minorHAnsi" w:hAnsiTheme="minorHAnsi" w:cstheme="minorHAnsi"/>
        </w:rPr>
        <w:t>z</w:t>
      </w:r>
      <w:r w:rsidRPr="009C793F">
        <w:rPr>
          <w:rFonts w:asciiTheme="minorHAnsi" w:hAnsiTheme="minorHAnsi" w:cstheme="minorHAnsi"/>
        </w:rPr>
        <w:t>es that addressing crime and violence is an essential requirement for the country reaching its development goals. It acknowledges that increased criminal activities, often associated with gang violence, drug and weapons trafficking, and domestic violence, have served as a hindrance to development. It highlights the inadequacies of policing and the criminal justice system to adjust to meeting the challenge of rising crime. To address the challenges, Vision 2030 articulates 7 strategic initiatives:</w:t>
      </w:r>
    </w:p>
    <w:p w14:paraId="1A0F1DC0" w14:textId="77777777" w:rsidR="00C86F4B" w:rsidRPr="009C793F" w:rsidRDefault="00C86F4B" w:rsidP="00DE19C9">
      <w:pPr>
        <w:jc w:val="both"/>
        <w:rPr>
          <w:rFonts w:asciiTheme="minorHAnsi" w:hAnsiTheme="minorHAnsi" w:cstheme="minorHAnsi"/>
        </w:rPr>
      </w:pPr>
    </w:p>
    <w:p w14:paraId="00000146"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Reduce the burden on the courts system;</w:t>
      </w:r>
    </w:p>
    <w:p w14:paraId="00000147"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Strengthen National Security Structures;</w:t>
      </w:r>
    </w:p>
    <w:p w14:paraId="00000148"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Promote an Integrated Approach to Disaster Risk Management;</w:t>
      </w:r>
    </w:p>
    <w:p w14:paraId="00000149"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Increase the Crime Detection Rate;</w:t>
      </w:r>
    </w:p>
    <w:p w14:paraId="0000014A"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Develop Closer Coordination and Collaboration between the Law Enforcement Agencies and the Defence Force;</w:t>
      </w:r>
    </w:p>
    <w:p w14:paraId="0000014B"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 xml:space="preserve">Promote Integrity in Law Enforcement; and </w:t>
      </w:r>
    </w:p>
    <w:p w14:paraId="0000014C" w14:textId="77777777" w:rsidR="006B72B0" w:rsidRPr="009C793F" w:rsidRDefault="00845012" w:rsidP="00DE19C9">
      <w:pPr>
        <w:numPr>
          <w:ilvl w:val="0"/>
          <w:numId w:val="3"/>
        </w:numPr>
        <w:jc w:val="both"/>
        <w:rPr>
          <w:rFonts w:asciiTheme="minorHAnsi" w:hAnsiTheme="minorHAnsi" w:cstheme="minorHAnsi"/>
          <w:color w:val="000000"/>
        </w:rPr>
      </w:pPr>
      <w:r w:rsidRPr="009C793F">
        <w:rPr>
          <w:rFonts w:asciiTheme="minorHAnsi" w:hAnsiTheme="minorHAnsi" w:cstheme="minorHAnsi"/>
          <w:color w:val="000000"/>
        </w:rPr>
        <w:t xml:space="preserve">Forge Strategic Alliance with International Security and Public Safety. </w:t>
      </w:r>
    </w:p>
    <w:p w14:paraId="0000014D" w14:textId="77777777" w:rsidR="006B72B0" w:rsidRPr="009C793F" w:rsidRDefault="006B72B0" w:rsidP="00DE19C9">
      <w:pPr>
        <w:jc w:val="both"/>
        <w:rPr>
          <w:rFonts w:asciiTheme="minorHAnsi" w:hAnsiTheme="minorHAnsi" w:cstheme="minorHAnsi"/>
          <w:b/>
        </w:rPr>
      </w:pPr>
    </w:p>
    <w:p w14:paraId="0000014E"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3.6 Data, Information Management and Results-Based Management</w:t>
      </w:r>
    </w:p>
    <w:p w14:paraId="627FFB72" w14:textId="77777777" w:rsidR="00C86F4B" w:rsidRDefault="00C86F4B" w:rsidP="00DE19C9">
      <w:pPr>
        <w:jc w:val="both"/>
        <w:rPr>
          <w:rFonts w:asciiTheme="minorHAnsi" w:hAnsiTheme="minorHAnsi" w:cstheme="minorHAnsi"/>
        </w:rPr>
      </w:pPr>
    </w:p>
    <w:p w14:paraId="0000014F" w14:textId="7F829115"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faces challenges with the collection, processing, analysis and dissemination of quality and timely sustainable development data that can provide for more evidenced-based programming, evaluations and, ultimately, more informed decision making. Data from the World Bank from 2009 to 2018 show a steady decline in Trinidad and Tobago’s statistical capacity. According to the World Bank, the country’s National Statistical System has performed unfavorably with respect to periodicity, methodology and quality of source data.  Please see Figure 1 below. </w:t>
      </w:r>
    </w:p>
    <w:p w14:paraId="00000150" w14:textId="4F04C126" w:rsidR="006B72B0" w:rsidRPr="009C793F" w:rsidRDefault="00C86F4B" w:rsidP="00DE19C9">
      <w:pPr>
        <w:jc w:val="both"/>
        <w:rPr>
          <w:rFonts w:asciiTheme="minorHAnsi" w:hAnsiTheme="minorHAnsi" w:cstheme="minorHAnsi"/>
          <w:b/>
        </w:rPr>
      </w:pPr>
      <w:r w:rsidRPr="009C793F">
        <w:rPr>
          <w:rFonts w:asciiTheme="minorHAnsi" w:hAnsiTheme="minorHAnsi" w:cstheme="minorHAnsi"/>
          <w:noProof/>
        </w:rPr>
        <w:drawing>
          <wp:anchor distT="0" distB="0" distL="114300" distR="114300" simplePos="0" relativeHeight="251658240" behindDoc="0" locked="0" layoutInCell="1" hidden="0" allowOverlap="1" wp14:anchorId="42F4F6E3" wp14:editId="39573052">
            <wp:simplePos x="0" y="0"/>
            <wp:positionH relativeFrom="column">
              <wp:posOffset>914400</wp:posOffset>
            </wp:positionH>
            <wp:positionV relativeFrom="paragraph">
              <wp:posOffset>83067</wp:posOffset>
            </wp:positionV>
            <wp:extent cx="4369981" cy="251968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7"/>
                    <a:srcRect/>
                    <a:stretch>
                      <a:fillRect/>
                    </a:stretch>
                  </pic:blipFill>
                  <pic:spPr>
                    <a:xfrm>
                      <a:off x="0" y="0"/>
                      <a:ext cx="4434181" cy="2556697"/>
                    </a:xfrm>
                    <a:prstGeom prst="rect">
                      <a:avLst/>
                    </a:prstGeom>
                    <a:ln/>
                  </pic:spPr>
                </pic:pic>
              </a:graphicData>
            </a:graphic>
            <wp14:sizeRelH relativeFrom="margin">
              <wp14:pctWidth>0</wp14:pctWidth>
            </wp14:sizeRelH>
            <wp14:sizeRelV relativeFrom="margin">
              <wp14:pctHeight>0</wp14:pctHeight>
            </wp14:sizeRelV>
          </wp:anchor>
        </w:drawing>
      </w:r>
    </w:p>
    <w:p w14:paraId="00000151" w14:textId="77777777" w:rsidR="006B72B0" w:rsidRPr="009C793F" w:rsidRDefault="006B72B0" w:rsidP="00DE19C9">
      <w:pPr>
        <w:jc w:val="both"/>
        <w:rPr>
          <w:rFonts w:asciiTheme="minorHAnsi" w:hAnsiTheme="minorHAnsi" w:cstheme="minorHAnsi"/>
          <w:b/>
        </w:rPr>
      </w:pPr>
    </w:p>
    <w:p w14:paraId="00000152" w14:textId="77777777" w:rsidR="006B72B0" w:rsidRPr="009C793F" w:rsidRDefault="006B72B0" w:rsidP="00DE19C9">
      <w:pPr>
        <w:jc w:val="both"/>
        <w:rPr>
          <w:rFonts w:asciiTheme="minorHAnsi" w:hAnsiTheme="minorHAnsi" w:cstheme="minorHAnsi"/>
          <w:b/>
        </w:rPr>
      </w:pPr>
    </w:p>
    <w:p w14:paraId="00000153" w14:textId="77777777" w:rsidR="006B72B0" w:rsidRPr="009C793F" w:rsidRDefault="006B72B0" w:rsidP="00DE19C9">
      <w:pPr>
        <w:jc w:val="both"/>
        <w:rPr>
          <w:rFonts w:asciiTheme="minorHAnsi" w:hAnsiTheme="minorHAnsi" w:cstheme="minorHAnsi"/>
          <w:b/>
        </w:rPr>
      </w:pPr>
    </w:p>
    <w:p w14:paraId="00000154" w14:textId="77777777" w:rsidR="006B72B0" w:rsidRPr="009C793F" w:rsidRDefault="006B72B0" w:rsidP="00DE19C9">
      <w:pPr>
        <w:jc w:val="both"/>
        <w:rPr>
          <w:rFonts w:asciiTheme="minorHAnsi" w:hAnsiTheme="minorHAnsi" w:cstheme="minorHAnsi"/>
        </w:rPr>
      </w:pPr>
    </w:p>
    <w:p w14:paraId="00000155" w14:textId="77777777" w:rsidR="006B72B0" w:rsidRPr="009C793F" w:rsidRDefault="006B72B0" w:rsidP="00DE19C9">
      <w:pPr>
        <w:jc w:val="both"/>
        <w:rPr>
          <w:rFonts w:asciiTheme="minorHAnsi" w:hAnsiTheme="minorHAnsi" w:cstheme="minorHAnsi"/>
        </w:rPr>
      </w:pPr>
    </w:p>
    <w:p w14:paraId="00000156" w14:textId="77777777" w:rsidR="006B72B0" w:rsidRPr="009C793F" w:rsidRDefault="006B72B0" w:rsidP="00DE19C9">
      <w:pPr>
        <w:jc w:val="both"/>
        <w:rPr>
          <w:rFonts w:asciiTheme="minorHAnsi" w:hAnsiTheme="minorHAnsi" w:cstheme="minorHAnsi"/>
        </w:rPr>
      </w:pPr>
    </w:p>
    <w:p w14:paraId="00000157" w14:textId="77777777" w:rsidR="006B72B0" w:rsidRPr="009C793F" w:rsidRDefault="006B72B0" w:rsidP="00DE19C9">
      <w:pPr>
        <w:jc w:val="both"/>
        <w:rPr>
          <w:rFonts w:asciiTheme="minorHAnsi" w:hAnsiTheme="minorHAnsi" w:cstheme="minorHAnsi"/>
        </w:rPr>
      </w:pPr>
    </w:p>
    <w:p w14:paraId="00000158" w14:textId="77777777" w:rsidR="006B72B0" w:rsidRPr="009C793F" w:rsidRDefault="006B72B0" w:rsidP="00DE19C9">
      <w:pPr>
        <w:jc w:val="both"/>
        <w:rPr>
          <w:rFonts w:asciiTheme="minorHAnsi" w:hAnsiTheme="minorHAnsi" w:cstheme="minorHAnsi"/>
        </w:rPr>
      </w:pPr>
    </w:p>
    <w:p w14:paraId="00000159" w14:textId="77777777" w:rsidR="006B72B0" w:rsidRPr="009C793F" w:rsidRDefault="006B72B0" w:rsidP="00DE19C9">
      <w:pPr>
        <w:jc w:val="both"/>
        <w:rPr>
          <w:rFonts w:asciiTheme="minorHAnsi" w:hAnsiTheme="minorHAnsi" w:cstheme="minorHAnsi"/>
        </w:rPr>
      </w:pPr>
    </w:p>
    <w:p w14:paraId="0000015A" w14:textId="77777777" w:rsidR="006B72B0" w:rsidRPr="009C793F" w:rsidRDefault="006B72B0" w:rsidP="00DE19C9">
      <w:pPr>
        <w:jc w:val="both"/>
        <w:rPr>
          <w:rFonts w:asciiTheme="minorHAnsi" w:hAnsiTheme="minorHAnsi" w:cstheme="minorHAnsi"/>
        </w:rPr>
      </w:pPr>
    </w:p>
    <w:p w14:paraId="0000015B" w14:textId="77777777" w:rsidR="006B72B0" w:rsidRPr="009C793F" w:rsidRDefault="006B72B0" w:rsidP="00DE19C9">
      <w:pPr>
        <w:jc w:val="both"/>
        <w:rPr>
          <w:rFonts w:asciiTheme="minorHAnsi" w:hAnsiTheme="minorHAnsi" w:cstheme="minorHAnsi"/>
        </w:rPr>
      </w:pPr>
    </w:p>
    <w:p w14:paraId="0000015C" w14:textId="77777777" w:rsidR="006B72B0" w:rsidRPr="009C793F" w:rsidRDefault="006B72B0" w:rsidP="00DE19C9">
      <w:pPr>
        <w:jc w:val="both"/>
        <w:rPr>
          <w:rFonts w:asciiTheme="minorHAnsi" w:hAnsiTheme="minorHAnsi" w:cstheme="minorHAnsi"/>
        </w:rPr>
      </w:pPr>
    </w:p>
    <w:p w14:paraId="0000015D" w14:textId="77777777" w:rsidR="006B72B0" w:rsidRPr="009C793F" w:rsidRDefault="006B72B0" w:rsidP="00DE19C9">
      <w:pPr>
        <w:jc w:val="both"/>
        <w:rPr>
          <w:rFonts w:asciiTheme="minorHAnsi" w:hAnsiTheme="minorHAnsi" w:cstheme="minorHAnsi"/>
        </w:rPr>
      </w:pPr>
    </w:p>
    <w:p w14:paraId="0000015E" w14:textId="77777777" w:rsidR="006B72B0" w:rsidRPr="009C793F" w:rsidRDefault="006B72B0" w:rsidP="00DE19C9">
      <w:pPr>
        <w:jc w:val="both"/>
        <w:rPr>
          <w:rFonts w:asciiTheme="minorHAnsi" w:hAnsiTheme="minorHAnsi" w:cstheme="minorHAnsi"/>
        </w:rPr>
      </w:pPr>
    </w:p>
    <w:p w14:paraId="0000015F" w14:textId="77777777" w:rsidR="006B72B0" w:rsidRPr="009C793F" w:rsidRDefault="006B72B0" w:rsidP="00DE19C9">
      <w:pPr>
        <w:jc w:val="both"/>
        <w:rPr>
          <w:rFonts w:asciiTheme="minorHAnsi" w:hAnsiTheme="minorHAnsi" w:cstheme="minorHAnsi"/>
        </w:rPr>
      </w:pPr>
    </w:p>
    <w:p w14:paraId="00000164" w14:textId="0A163CE0" w:rsidR="006B72B0" w:rsidRPr="009C793F" w:rsidRDefault="00845012" w:rsidP="00DE19C9">
      <w:pPr>
        <w:jc w:val="both"/>
        <w:rPr>
          <w:rFonts w:asciiTheme="minorHAnsi" w:hAnsiTheme="minorHAnsi" w:cstheme="minorHAnsi"/>
        </w:rPr>
      </w:pPr>
      <w:r w:rsidRPr="009C793F">
        <w:rPr>
          <w:rFonts w:asciiTheme="minorHAnsi" w:hAnsiTheme="minorHAnsi" w:cstheme="minorHAnsi"/>
        </w:rPr>
        <w:t>In terms of SDG metrics, an assessment</w:t>
      </w:r>
      <w:r w:rsidRPr="009C793F">
        <w:rPr>
          <w:rFonts w:asciiTheme="minorHAnsi" w:hAnsiTheme="minorHAnsi" w:cstheme="minorHAnsi"/>
          <w:vertAlign w:val="superscript"/>
        </w:rPr>
        <w:footnoteReference w:id="126"/>
      </w:r>
      <w:r w:rsidRPr="009C793F">
        <w:rPr>
          <w:rFonts w:asciiTheme="minorHAnsi" w:hAnsiTheme="minorHAnsi" w:cstheme="minorHAnsi"/>
        </w:rPr>
        <w:t xml:space="preserve"> of data availability among CARICOM states revealed that only 59</w:t>
      </w:r>
      <w:sdt>
        <w:sdtPr>
          <w:rPr>
            <w:rFonts w:asciiTheme="minorHAnsi" w:hAnsiTheme="minorHAnsi" w:cstheme="minorHAnsi"/>
          </w:rPr>
          <w:tag w:val="goog_rdk_29"/>
          <w:id w:val="1829792482"/>
        </w:sdtPr>
        <w:sdtContent>
          <w:r w:rsidRPr="009C793F">
            <w:rPr>
              <w:rFonts w:asciiTheme="minorHAnsi" w:hAnsiTheme="minorHAnsi" w:cstheme="minorHAnsi"/>
            </w:rPr>
            <w:t xml:space="preserve"> per cent</w:t>
          </w:r>
        </w:sdtContent>
      </w:sdt>
      <w:r w:rsidRPr="009C793F">
        <w:rPr>
          <w:rFonts w:asciiTheme="minorHAnsi" w:hAnsiTheme="minorHAnsi" w:cstheme="minorHAnsi"/>
        </w:rPr>
        <w:t xml:space="preserve"> of core Caribbean indicators are available and produced in Trinidad and Tobago. </w:t>
      </w:r>
    </w:p>
    <w:p w14:paraId="00000165" w14:textId="77777777" w:rsidR="006B72B0" w:rsidRPr="009C793F" w:rsidRDefault="006B72B0" w:rsidP="00DE19C9">
      <w:pPr>
        <w:jc w:val="both"/>
        <w:rPr>
          <w:rFonts w:asciiTheme="minorHAnsi" w:hAnsiTheme="minorHAnsi" w:cstheme="minorHAnsi"/>
        </w:rPr>
      </w:pPr>
    </w:p>
    <w:p w14:paraId="00000166" w14:textId="72904FF8" w:rsidR="006B72B0" w:rsidRPr="009C793F" w:rsidRDefault="00845012" w:rsidP="00DE19C9">
      <w:pPr>
        <w:jc w:val="both"/>
        <w:rPr>
          <w:rFonts w:asciiTheme="minorHAnsi" w:hAnsiTheme="minorHAnsi" w:cstheme="minorHAnsi"/>
        </w:rPr>
      </w:pPr>
      <w:r w:rsidRPr="009C793F">
        <w:rPr>
          <w:rFonts w:asciiTheme="minorHAnsi" w:hAnsiTheme="minorHAnsi" w:cstheme="minorHAnsi"/>
        </w:rPr>
        <w:t>Trinidad and Tobago’s VNR identified that challenges of data collection and assessment, and the persistent shortage of statistical personnel and monitoring and evaluation specialists in the public sector. Capacity gaps have been identified in the national statistical system that prohibit the collection and timely dissemination of data; even disaggregation remains a challenge.</w:t>
      </w:r>
      <w:r w:rsidRPr="009C793F">
        <w:rPr>
          <w:rFonts w:asciiTheme="minorHAnsi" w:hAnsiTheme="minorHAnsi" w:cstheme="minorHAnsi"/>
          <w:vertAlign w:val="superscript"/>
        </w:rPr>
        <w:footnoteReference w:id="127"/>
      </w:r>
      <w:r w:rsidRPr="009C793F">
        <w:rPr>
          <w:rFonts w:asciiTheme="minorHAnsi" w:hAnsiTheme="minorHAnsi" w:cstheme="minorHAnsi"/>
        </w:rPr>
        <w:t xml:space="preserve"> Although both the supply of and demand for data in the country are expanding, the data ecosystem is still developing with both commitment and resources needed to build the requisite statistical capacity. </w:t>
      </w:r>
    </w:p>
    <w:p w14:paraId="00000167" w14:textId="77777777" w:rsidR="006B72B0" w:rsidRPr="009C793F" w:rsidRDefault="006B72B0" w:rsidP="00DE19C9">
      <w:pPr>
        <w:jc w:val="both"/>
        <w:rPr>
          <w:rFonts w:asciiTheme="minorHAnsi" w:hAnsiTheme="minorHAnsi" w:cstheme="minorHAnsi"/>
        </w:rPr>
      </w:pPr>
    </w:p>
    <w:p w14:paraId="0000016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The inadequacy of the existing national data ecosystem and the need for high quality development data to support decision-making, good governance, accountability and the sustainable development agenda is further underscored by the actions of the Government of Trinidad and Tobago to reform the regulatory frameworks and statistical laws that govern the national statistical system. </w:t>
      </w:r>
    </w:p>
    <w:p w14:paraId="00000169" w14:textId="77777777" w:rsidR="006B72B0" w:rsidRPr="009C793F" w:rsidRDefault="006B72B0" w:rsidP="00DE19C9">
      <w:pPr>
        <w:jc w:val="both"/>
        <w:rPr>
          <w:rFonts w:asciiTheme="minorHAnsi" w:hAnsiTheme="minorHAnsi" w:cstheme="minorHAnsi"/>
        </w:rPr>
      </w:pPr>
    </w:p>
    <w:p w14:paraId="0000016A" w14:textId="24A7233C"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draft National Statistical Institute of Trinidad and Tobago Bill, 2018 was introduced with the intention of reforming the national statistical system to meet the demands and opportunities of modern data ecosystems. The objectives of the proposed legislative reform include the repeal and replacement of the Statistics Act, Chap. 19:02, and to replace the existing national statistical entity, the</w:t>
      </w:r>
      <w:r w:rsidRPr="009C793F">
        <w:rPr>
          <w:rFonts w:asciiTheme="minorHAnsi" w:hAnsiTheme="minorHAnsi" w:cstheme="minorHAnsi"/>
          <w:b/>
        </w:rPr>
        <w:t xml:space="preserve"> </w:t>
      </w:r>
      <w:r w:rsidRPr="009C793F">
        <w:rPr>
          <w:rFonts w:asciiTheme="minorHAnsi" w:hAnsiTheme="minorHAnsi" w:cstheme="minorHAnsi"/>
        </w:rPr>
        <w:t>Central Statistical Office</w:t>
      </w:r>
      <w:r w:rsidR="008017D4" w:rsidRPr="009C793F">
        <w:rPr>
          <w:rFonts w:asciiTheme="minorHAnsi" w:hAnsiTheme="minorHAnsi" w:cstheme="minorHAnsi"/>
        </w:rPr>
        <w:t xml:space="preserve"> (CSO)</w:t>
      </w:r>
      <w:r w:rsidRPr="009C793F">
        <w:rPr>
          <w:rFonts w:asciiTheme="minorHAnsi" w:hAnsiTheme="minorHAnsi" w:cstheme="minorHAnsi"/>
        </w:rPr>
        <w:t xml:space="preserve">, and establish a National Statistical Institute (NSITT). The </w:t>
      </w:r>
      <w:r w:rsidR="008017D4" w:rsidRPr="009C793F">
        <w:rPr>
          <w:rFonts w:asciiTheme="minorHAnsi" w:hAnsiTheme="minorHAnsi" w:cstheme="minorHAnsi"/>
        </w:rPr>
        <w:t>National Statistical Institute</w:t>
      </w:r>
      <w:r w:rsidRPr="009C793F">
        <w:rPr>
          <w:rFonts w:asciiTheme="minorHAnsi" w:hAnsiTheme="minorHAnsi" w:cstheme="minorHAnsi"/>
        </w:rPr>
        <w:t xml:space="preserve"> is envisioned as an independent statistical body that can develop a mechanism for the use of data from alternative and innovative sources within official statistics.</w:t>
      </w:r>
    </w:p>
    <w:p w14:paraId="0000016B" w14:textId="77777777" w:rsidR="006B72B0" w:rsidRPr="009C793F" w:rsidRDefault="006B72B0" w:rsidP="00DE19C9">
      <w:pPr>
        <w:jc w:val="both"/>
        <w:rPr>
          <w:rFonts w:asciiTheme="minorHAnsi" w:hAnsiTheme="minorHAnsi" w:cstheme="minorHAnsi"/>
        </w:rPr>
      </w:pPr>
    </w:p>
    <w:p w14:paraId="0000016C" w14:textId="22F15E66"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GORTT’s efforts are further complemented by the </w:t>
      </w:r>
      <w:r w:rsidR="008017D4" w:rsidRPr="009C793F">
        <w:rPr>
          <w:rFonts w:asciiTheme="minorHAnsi" w:hAnsiTheme="minorHAnsi" w:cstheme="minorHAnsi"/>
        </w:rPr>
        <w:t>UNCT’s</w:t>
      </w:r>
      <w:r w:rsidRPr="009C793F">
        <w:rPr>
          <w:rFonts w:asciiTheme="minorHAnsi" w:hAnsiTheme="minorHAnsi" w:cstheme="minorHAnsi"/>
        </w:rPr>
        <w:t xml:space="preserve"> commitment, in partnership with key government ministries and agencies, to reinforce data and analytical capabilities across national frameworks and mechanisms. Key initiatives include the design and establishment of the Trinidad and Tobago Biodiversity Information System, engaging with the</w:t>
      </w:r>
      <w:r w:rsidR="00E26799" w:rsidRPr="009C793F">
        <w:rPr>
          <w:rFonts w:asciiTheme="minorHAnsi" w:hAnsiTheme="minorHAnsi" w:cstheme="minorHAnsi"/>
        </w:rPr>
        <w:t xml:space="preserve"> </w:t>
      </w:r>
      <w:r w:rsidR="008017D4" w:rsidRPr="009C793F">
        <w:rPr>
          <w:rFonts w:asciiTheme="minorHAnsi" w:hAnsiTheme="minorHAnsi" w:cstheme="minorHAnsi"/>
        </w:rPr>
        <w:t>CSO</w:t>
      </w:r>
      <w:r w:rsidR="00E26799" w:rsidRPr="009C793F">
        <w:rPr>
          <w:rFonts w:asciiTheme="minorHAnsi" w:hAnsiTheme="minorHAnsi" w:cstheme="minorHAnsi"/>
        </w:rPr>
        <w:t xml:space="preserve"> </w:t>
      </w:r>
      <w:r w:rsidRPr="009C793F">
        <w:rPr>
          <w:rFonts w:asciiTheme="minorHAnsi" w:hAnsiTheme="minorHAnsi" w:cstheme="minorHAnsi"/>
        </w:rPr>
        <w:t>and other agencies and organizations to assess the existing data gaps and challenges, and short</w:t>
      </w:r>
      <w:r w:rsidR="00E26799" w:rsidRPr="009C793F">
        <w:rPr>
          <w:rFonts w:asciiTheme="minorHAnsi" w:hAnsiTheme="minorHAnsi" w:cstheme="minorHAnsi"/>
        </w:rPr>
        <w:t>-</w:t>
      </w:r>
      <w:r w:rsidRPr="009C793F">
        <w:rPr>
          <w:rFonts w:asciiTheme="minorHAnsi" w:hAnsiTheme="minorHAnsi" w:cstheme="minorHAnsi"/>
        </w:rPr>
        <w:t>and medium</w:t>
      </w:r>
      <w:r w:rsidR="00E26799" w:rsidRPr="009C793F">
        <w:rPr>
          <w:rFonts w:asciiTheme="minorHAnsi" w:hAnsiTheme="minorHAnsi" w:cstheme="minorHAnsi"/>
        </w:rPr>
        <w:t>-</w:t>
      </w:r>
      <w:r w:rsidRPr="009C793F">
        <w:rPr>
          <w:rFonts w:asciiTheme="minorHAnsi" w:hAnsiTheme="minorHAnsi" w:cstheme="minorHAnsi"/>
        </w:rPr>
        <w:t xml:space="preserve">term interventions to modernize the collection and analysis of local data to inform decision making. </w:t>
      </w:r>
    </w:p>
    <w:p w14:paraId="0000016D" w14:textId="77777777" w:rsidR="006B72B0" w:rsidRPr="009C793F" w:rsidRDefault="006B72B0" w:rsidP="00DE19C9">
      <w:pPr>
        <w:jc w:val="both"/>
        <w:rPr>
          <w:rFonts w:asciiTheme="minorHAnsi" w:hAnsiTheme="minorHAnsi" w:cstheme="minorHAnsi"/>
        </w:rPr>
      </w:pPr>
    </w:p>
    <w:p w14:paraId="0000016E" w14:textId="5DBB697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Interventions proposed in the short term include the development of an SDG data repository; improvement of data management across the UNCT; and utilizing technology to better support program evaluation and decision making. The UNCT </w:t>
      </w:r>
      <w:r w:rsidR="00E26799" w:rsidRPr="009C793F">
        <w:rPr>
          <w:rFonts w:asciiTheme="minorHAnsi" w:hAnsiTheme="minorHAnsi" w:cstheme="minorHAnsi"/>
        </w:rPr>
        <w:t>implemented a</w:t>
      </w:r>
      <w:r w:rsidRPr="009C793F">
        <w:rPr>
          <w:rFonts w:asciiTheme="minorHAnsi" w:hAnsiTheme="minorHAnsi" w:cstheme="minorHAnsi"/>
        </w:rPr>
        <w:t xml:space="preserve"> Big Data Forum in December 2020 that br</w:t>
      </w:r>
      <w:r w:rsidR="008017D4" w:rsidRPr="009C793F">
        <w:rPr>
          <w:rFonts w:asciiTheme="minorHAnsi" w:hAnsiTheme="minorHAnsi" w:cstheme="minorHAnsi"/>
        </w:rPr>
        <w:t>ought</w:t>
      </w:r>
      <w:r w:rsidRPr="009C793F">
        <w:rPr>
          <w:rFonts w:asciiTheme="minorHAnsi" w:hAnsiTheme="minorHAnsi" w:cstheme="minorHAnsi"/>
        </w:rPr>
        <w:t xml:space="preserve"> together branches of government, academia, civil society, business groups, youth and the private sector to examine new methods, tools and ideas, and better understand the issues to make effective use of big data as part of the local data ecosystem. The UNCT can</w:t>
      </w:r>
      <w:r w:rsidR="008017D4" w:rsidRPr="009C793F">
        <w:rPr>
          <w:rFonts w:asciiTheme="minorHAnsi" w:hAnsiTheme="minorHAnsi" w:cstheme="minorHAnsi"/>
        </w:rPr>
        <w:t xml:space="preserve"> continue to</w:t>
      </w:r>
      <w:r w:rsidRPr="009C793F">
        <w:rPr>
          <w:rFonts w:asciiTheme="minorHAnsi" w:hAnsiTheme="minorHAnsi" w:cstheme="minorHAnsi"/>
        </w:rPr>
        <w:t xml:space="preserve"> leverage global knowledge to support </w:t>
      </w:r>
      <w:r w:rsidR="008017D4" w:rsidRPr="009C793F">
        <w:rPr>
          <w:rFonts w:asciiTheme="minorHAnsi" w:hAnsiTheme="minorHAnsi" w:cstheme="minorHAnsi"/>
        </w:rPr>
        <w:t>GORTT’s</w:t>
      </w:r>
      <w:r w:rsidRPr="009C793F">
        <w:rPr>
          <w:rFonts w:asciiTheme="minorHAnsi" w:hAnsiTheme="minorHAnsi" w:cstheme="minorHAnsi"/>
        </w:rPr>
        <w:t xml:space="preserve"> efforts to transform the national data architecture and help with capacity building for SDG-related data to enable measurement, monitoring and achievement. </w:t>
      </w:r>
    </w:p>
    <w:p w14:paraId="0000016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br w:type="page"/>
      </w:r>
    </w:p>
    <w:p w14:paraId="40ADE616" w14:textId="77777777" w:rsidR="00F21F4A" w:rsidRDefault="0053010E" w:rsidP="00DE19C9">
      <w:pPr>
        <w:jc w:val="both"/>
        <w:rPr>
          <w:rFonts w:asciiTheme="minorHAnsi" w:hAnsiTheme="minorHAnsi" w:cstheme="minorHAnsi"/>
          <w:b/>
          <w:bCs/>
        </w:rPr>
      </w:pPr>
      <w:r w:rsidRPr="009C793F">
        <w:rPr>
          <w:rFonts w:asciiTheme="minorHAnsi" w:hAnsiTheme="minorHAnsi" w:cstheme="minorHAnsi"/>
          <w:b/>
          <w:bCs/>
        </w:rPr>
        <w:t>CHAPTER FOUR</w:t>
      </w:r>
      <w:r w:rsidRPr="009C793F">
        <w:rPr>
          <w:rFonts w:asciiTheme="minorHAnsi" w:hAnsiTheme="minorHAnsi" w:cstheme="minorHAnsi"/>
          <w:b/>
          <w:bCs/>
        </w:rPr>
        <w:tab/>
      </w:r>
      <w:r w:rsidRPr="009C793F">
        <w:rPr>
          <w:rFonts w:asciiTheme="minorHAnsi" w:hAnsiTheme="minorHAnsi" w:cstheme="minorHAnsi"/>
          <w:b/>
          <w:bCs/>
        </w:rPr>
        <w:tab/>
      </w:r>
    </w:p>
    <w:p w14:paraId="1919A620" w14:textId="77777777" w:rsidR="00F21F4A" w:rsidRDefault="00F21F4A" w:rsidP="00DE19C9">
      <w:pPr>
        <w:jc w:val="both"/>
        <w:rPr>
          <w:rFonts w:asciiTheme="minorHAnsi" w:hAnsiTheme="minorHAnsi" w:cstheme="minorHAnsi"/>
          <w:b/>
          <w:bCs/>
        </w:rPr>
      </w:pPr>
    </w:p>
    <w:p w14:paraId="00000170" w14:textId="6A60A7FE" w:rsidR="006B72B0" w:rsidRPr="009C793F" w:rsidRDefault="0053010E" w:rsidP="00DE19C9">
      <w:pPr>
        <w:jc w:val="both"/>
        <w:rPr>
          <w:rFonts w:asciiTheme="minorHAnsi" w:hAnsiTheme="minorHAnsi" w:cstheme="minorHAnsi"/>
          <w:b/>
          <w:bCs/>
        </w:rPr>
      </w:pPr>
      <w:r w:rsidRPr="009C793F">
        <w:rPr>
          <w:rFonts w:asciiTheme="minorHAnsi" w:hAnsiTheme="minorHAnsi" w:cstheme="minorHAnsi"/>
          <w:b/>
          <w:bCs/>
        </w:rPr>
        <w:t>SOCIAL DEVELOPMENT AND PROGRESS</w:t>
      </w:r>
    </w:p>
    <w:p w14:paraId="0425A6B8" w14:textId="77777777" w:rsidR="0053010E" w:rsidRPr="009C793F" w:rsidRDefault="0053010E" w:rsidP="00DE19C9">
      <w:pPr>
        <w:jc w:val="both"/>
        <w:rPr>
          <w:rFonts w:asciiTheme="minorHAnsi" w:hAnsiTheme="minorHAnsi" w:cstheme="minorHAnsi"/>
          <w:b/>
        </w:rPr>
      </w:pPr>
    </w:p>
    <w:p w14:paraId="0000017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4.1 Human Rights and Human Capital Development</w:t>
      </w:r>
    </w:p>
    <w:p w14:paraId="0813EED4" w14:textId="77777777" w:rsidR="00F21F4A" w:rsidRDefault="00F21F4A" w:rsidP="00DE19C9">
      <w:pPr>
        <w:jc w:val="both"/>
        <w:rPr>
          <w:rFonts w:asciiTheme="minorHAnsi" w:hAnsiTheme="minorHAnsi" w:cstheme="minorHAnsi"/>
        </w:rPr>
      </w:pPr>
    </w:p>
    <w:p w14:paraId="00000172" w14:textId="0806CDDB" w:rsidR="006B72B0" w:rsidRPr="009C793F" w:rsidRDefault="00845012" w:rsidP="00DE19C9">
      <w:pPr>
        <w:jc w:val="both"/>
        <w:rPr>
          <w:rFonts w:asciiTheme="minorHAnsi" w:hAnsiTheme="minorHAnsi" w:cstheme="minorHAnsi"/>
        </w:rPr>
      </w:pPr>
      <w:r w:rsidRPr="009C793F">
        <w:rPr>
          <w:rFonts w:asciiTheme="minorHAnsi" w:hAnsiTheme="minorHAnsi" w:cstheme="minorHAnsi"/>
        </w:rPr>
        <w:t>Trinidad and Tobago has ratified key human rights treaties such as the International Covenant on Civil and Political Rights, the 1966 International Covenant on Economic, Social and Cultural Rights, the Convention on the Elimination of All Forms of Discrimination against Women</w:t>
      </w:r>
      <w:r w:rsidR="008017D4" w:rsidRPr="009C793F">
        <w:rPr>
          <w:rFonts w:asciiTheme="minorHAnsi" w:hAnsiTheme="minorHAnsi" w:cstheme="minorHAnsi"/>
        </w:rPr>
        <w:t xml:space="preserve"> (CEDAW)</w:t>
      </w:r>
      <w:r w:rsidRPr="009C793F">
        <w:rPr>
          <w:rFonts w:asciiTheme="minorHAnsi" w:hAnsiTheme="minorHAnsi" w:cstheme="minorHAnsi"/>
        </w:rPr>
        <w:t>, the Convention on the Rights of the Child and the Convention on the Elimination on All Forms of Discrimination. Notwithstanding the aforementioned ratifications,  there are still pressing issues requiring attention, such as the continued use of corporal punishment; the mandatory death penalty still being in force in law; the protection of asylum seekers and refugees; the access to sexual and reproductive health services by young people, migrants and other vulnerable groups</w:t>
      </w:r>
      <w:r w:rsidR="00765A9D" w:rsidRPr="009C793F">
        <w:rPr>
          <w:rFonts w:asciiTheme="minorHAnsi" w:hAnsiTheme="minorHAnsi" w:cstheme="minorHAnsi"/>
        </w:rPr>
        <w:t>;</w:t>
      </w:r>
      <w:r w:rsidRPr="009C793F">
        <w:rPr>
          <w:rFonts w:asciiTheme="minorHAnsi" w:hAnsiTheme="minorHAnsi" w:cstheme="minorHAnsi"/>
        </w:rPr>
        <w:t xml:space="preserve"> as well as protecting the rights of the LGBTQI community. </w:t>
      </w:r>
    </w:p>
    <w:p w14:paraId="00000173" w14:textId="77777777" w:rsidR="006B72B0" w:rsidRPr="009C793F" w:rsidRDefault="006B72B0" w:rsidP="00DE19C9">
      <w:pPr>
        <w:jc w:val="both"/>
        <w:rPr>
          <w:rFonts w:asciiTheme="minorHAnsi" w:hAnsiTheme="minorHAnsi" w:cstheme="minorHAnsi"/>
        </w:rPr>
      </w:pPr>
    </w:p>
    <w:p w14:paraId="00000174" w14:textId="34F8AC13"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rPr>
        <w:t>The</w:t>
      </w:r>
      <w:r w:rsidRPr="009C793F">
        <w:rPr>
          <w:rFonts w:asciiTheme="minorHAnsi" w:hAnsiTheme="minorHAnsi" w:cstheme="minorHAnsi"/>
          <w:color w:val="000000"/>
          <w:highlight w:val="white"/>
        </w:rPr>
        <w:t xml:space="preserve"> Universal Periodic Review undertaken in 2016 recommended the </w:t>
      </w:r>
      <w:r w:rsidRPr="009C793F">
        <w:rPr>
          <w:rFonts w:asciiTheme="minorHAnsi" w:hAnsiTheme="minorHAnsi" w:cstheme="minorHAnsi"/>
          <w:b/>
          <w:bCs/>
          <w:color w:val="000000"/>
          <w:highlight w:val="white"/>
        </w:rPr>
        <w:t>establishment of a National Human Rights Institution</w:t>
      </w:r>
      <w:r w:rsidRPr="009C793F">
        <w:rPr>
          <w:rFonts w:asciiTheme="minorHAnsi" w:hAnsiTheme="minorHAnsi" w:cstheme="minorHAnsi"/>
          <w:color w:val="000000"/>
          <w:highlight w:val="white"/>
        </w:rPr>
        <w:t xml:space="preserve"> which was supported by the Government. This has not yet materialised. The creation of a </w:t>
      </w:r>
      <w:r w:rsidR="008017D4" w:rsidRPr="009C793F">
        <w:rPr>
          <w:rFonts w:asciiTheme="minorHAnsi" w:hAnsiTheme="minorHAnsi" w:cstheme="minorHAnsi"/>
          <w:color w:val="000000"/>
          <w:highlight w:val="white"/>
        </w:rPr>
        <w:t xml:space="preserve">National Human Rights Institution </w:t>
      </w:r>
      <w:r w:rsidRPr="009C793F">
        <w:rPr>
          <w:rFonts w:asciiTheme="minorHAnsi" w:hAnsiTheme="minorHAnsi" w:cstheme="minorHAnsi"/>
          <w:color w:val="000000"/>
          <w:highlight w:val="white"/>
        </w:rPr>
        <w:t xml:space="preserve">based on the Paris Principles as shown in other countries can be valuable in preventing discrimination and human rights abuses and in advocating for the promotion and protection of the human rights of all vulnerable groups. </w:t>
      </w:r>
    </w:p>
    <w:p w14:paraId="00000175" w14:textId="77777777" w:rsidR="006B72B0" w:rsidRPr="009C793F" w:rsidRDefault="006B72B0" w:rsidP="00DE19C9">
      <w:pPr>
        <w:jc w:val="both"/>
        <w:rPr>
          <w:rFonts w:asciiTheme="minorHAnsi" w:hAnsiTheme="minorHAnsi" w:cstheme="minorHAnsi"/>
          <w:color w:val="000000"/>
          <w:highlight w:val="white"/>
        </w:rPr>
      </w:pPr>
    </w:p>
    <w:p w14:paraId="00000176" w14:textId="7FBDEB31" w:rsidR="006B72B0" w:rsidRPr="00F21F4A" w:rsidRDefault="00845012" w:rsidP="00DE19C9">
      <w:pPr>
        <w:jc w:val="both"/>
        <w:rPr>
          <w:rFonts w:asciiTheme="minorHAnsi" w:hAnsiTheme="minorHAnsi" w:cstheme="minorHAnsi"/>
        </w:rPr>
      </w:pPr>
      <w:r w:rsidRPr="00F21F4A">
        <w:rPr>
          <w:rFonts w:asciiTheme="minorHAnsi" w:hAnsiTheme="minorHAnsi" w:cstheme="minorHAnsi"/>
        </w:rPr>
        <w:t xml:space="preserve">4.1.1 State of Human Development </w:t>
      </w:r>
    </w:p>
    <w:p w14:paraId="33F4AF23" w14:textId="77777777" w:rsidR="00F21F4A" w:rsidRPr="009C793F" w:rsidRDefault="00F21F4A" w:rsidP="00DE19C9">
      <w:pPr>
        <w:jc w:val="both"/>
        <w:rPr>
          <w:rFonts w:asciiTheme="minorHAnsi" w:hAnsiTheme="minorHAnsi" w:cstheme="minorHAnsi"/>
        </w:rPr>
      </w:pPr>
    </w:p>
    <w:p w14:paraId="00000177" w14:textId="6EBD180D"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Human Development Report</w:t>
      </w:r>
      <w:r w:rsidRPr="009C793F">
        <w:rPr>
          <w:rFonts w:asciiTheme="minorHAnsi" w:hAnsiTheme="minorHAnsi" w:cstheme="minorHAnsi"/>
          <w:vertAlign w:val="superscript"/>
        </w:rPr>
        <w:t xml:space="preserve"> </w:t>
      </w:r>
      <w:r w:rsidRPr="009C793F">
        <w:rPr>
          <w:rFonts w:asciiTheme="minorHAnsi" w:hAnsiTheme="minorHAnsi" w:cstheme="minorHAnsi"/>
        </w:rPr>
        <w:t>is recognised as a global reference point on the state of human development by its measurement of a range of indices to assess progress on a country-by-country basis. It looks at core issues such as access to health, literacy levels and incomes.  As per the 2019 report</w:t>
      </w:r>
      <w:r w:rsidRPr="009C793F">
        <w:rPr>
          <w:rFonts w:asciiTheme="minorHAnsi" w:hAnsiTheme="minorHAnsi" w:cstheme="minorHAnsi"/>
          <w:vertAlign w:val="superscript"/>
        </w:rPr>
        <w:footnoteReference w:id="128"/>
      </w:r>
      <w:r w:rsidRPr="009C793F">
        <w:rPr>
          <w:rFonts w:asciiTheme="minorHAnsi" w:hAnsiTheme="minorHAnsi" w:cstheme="minorHAnsi"/>
        </w:rPr>
        <w:t xml:space="preserve">, the Human Development index (HDI) for Trinidad and Tobago is 0.799. This ranking places it as the second highest Caribbean country after Barbados and an overall rank of 63 out of 189 countries.  The HDI value has improved from 0.667 to 0.799, an increase of 19.9 </w:t>
      </w:r>
      <w:r w:rsidR="00E408E0" w:rsidRPr="009C793F">
        <w:rPr>
          <w:rFonts w:asciiTheme="minorHAnsi" w:hAnsiTheme="minorHAnsi" w:cstheme="minorHAnsi"/>
        </w:rPr>
        <w:t>per cent</w:t>
      </w:r>
      <w:r w:rsidRPr="009C793F">
        <w:rPr>
          <w:rFonts w:asciiTheme="minorHAnsi" w:hAnsiTheme="minorHAnsi" w:cstheme="minorHAnsi"/>
        </w:rPr>
        <w:t xml:space="preserve"> between 1990 and 2018.</w:t>
      </w:r>
    </w:p>
    <w:p w14:paraId="1FF74AE2" w14:textId="77777777" w:rsidR="00F21F4A" w:rsidRDefault="00F21F4A" w:rsidP="00DE19C9">
      <w:pPr>
        <w:jc w:val="both"/>
        <w:rPr>
          <w:rFonts w:asciiTheme="minorHAnsi" w:hAnsiTheme="minorHAnsi" w:cstheme="minorHAnsi"/>
        </w:rPr>
      </w:pPr>
    </w:p>
    <w:p w14:paraId="00000178" w14:textId="4CEFA0C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Education remains a high priority for Trinidad and Tobago and it continues to receive the single largest share of the national budget as demonstrated in allocation for the period FY  2020/2021 as stated in the national budget of October 2020. At the same time the COVID-19 pandemic which has resulted in school closure for extended </w:t>
      </w:r>
      <w:r w:rsidR="006509DB" w:rsidRPr="009C793F">
        <w:rPr>
          <w:rFonts w:asciiTheme="minorHAnsi" w:hAnsiTheme="minorHAnsi" w:cstheme="minorHAnsi"/>
        </w:rPr>
        <w:t>period</w:t>
      </w:r>
      <w:r w:rsidRPr="009C793F">
        <w:rPr>
          <w:rFonts w:asciiTheme="minorHAnsi" w:hAnsiTheme="minorHAnsi" w:cstheme="minorHAnsi"/>
        </w:rPr>
        <w:t>, has also served to underscore key weaknesses in the education system when students from low economic backgrounds are disadvantaged</w:t>
      </w:r>
      <w:r w:rsidR="006509DB">
        <w:rPr>
          <w:rFonts w:asciiTheme="minorHAnsi" w:hAnsiTheme="minorHAnsi" w:cstheme="minorHAnsi"/>
        </w:rPr>
        <w:t>.</w:t>
      </w:r>
      <w:r w:rsidRPr="009C793F">
        <w:rPr>
          <w:rFonts w:asciiTheme="minorHAnsi" w:hAnsiTheme="minorHAnsi" w:cstheme="minorHAnsi"/>
        </w:rPr>
        <w:t xml:space="preserve"> Social protection of the most vulnerable and making core services such as health and education have been at the forefront of government policy. This is demonstrated by the fact that the ministries responsible for Health; Education; and Social Services when combined received </w:t>
      </w:r>
      <w:r w:rsidR="006509DB" w:rsidRPr="009C793F">
        <w:rPr>
          <w:rFonts w:asciiTheme="minorHAnsi" w:hAnsiTheme="minorHAnsi" w:cstheme="minorHAnsi"/>
        </w:rPr>
        <w:t>most of</w:t>
      </w:r>
      <w:r w:rsidRPr="009C793F">
        <w:rPr>
          <w:rFonts w:asciiTheme="minorHAnsi" w:hAnsiTheme="minorHAnsi" w:cstheme="minorHAnsi"/>
        </w:rPr>
        <w:t xml:space="preserve"> the budgetary allocation for fiscal year 2020/2021. These investments continue to help Trinidad and Tobago make progress in achieving the SDGs. </w:t>
      </w:r>
    </w:p>
    <w:p w14:paraId="00000179" w14:textId="77777777" w:rsidR="006B72B0" w:rsidRPr="009C793F" w:rsidRDefault="006B72B0" w:rsidP="00DE19C9">
      <w:pPr>
        <w:jc w:val="both"/>
        <w:rPr>
          <w:rFonts w:asciiTheme="minorHAnsi" w:hAnsiTheme="minorHAnsi" w:cstheme="minorHAnsi"/>
        </w:rPr>
      </w:pPr>
    </w:p>
    <w:p w14:paraId="0000017B" w14:textId="2C4C5A7E" w:rsidR="006B72B0" w:rsidRPr="009C793F" w:rsidRDefault="00845012" w:rsidP="00F21F4A">
      <w:pPr>
        <w:jc w:val="both"/>
        <w:rPr>
          <w:rFonts w:asciiTheme="minorHAnsi" w:hAnsiTheme="minorHAnsi" w:cstheme="minorHAnsi"/>
        </w:rPr>
      </w:pPr>
      <w:r w:rsidRPr="009C793F">
        <w:rPr>
          <w:rFonts w:asciiTheme="minorHAnsi" w:hAnsiTheme="minorHAnsi" w:cstheme="minorHAnsi"/>
        </w:rPr>
        <w:t>The current financial challenges ahead may stymie those efforts as the country seeks to reconcile the need for investments to advance human development at a time of acute fiscal constraints.</w:t>
      </w:r>
      <w:r w:rsidR="00F21F4A">
        <w:rPr>
          <w:rFonts w:asciiTheme="minorHAnsi" w:hAnsiTheme="minorHAnsi" w:cstheme="minorHAnsi"/>
        </w:rPr>
        <w:t xml:space="preserve"> </w:t>
      </w:r>
      <w:r w:rsidRPr="009C793F">
        <w:rPr>
          <w:rFonts w:asciiTheme="minorHAnsi" w:hAnsiTheme="minorHAnsi" w:cstheme="minorHAnsi"/>
        </w:rPr>
        <w:t xml:space="preserve">Indeed, in its Voluntary National Review, Trinidad and Tobago indicated that financing for sustainable development remains a challenge to the implementation of the SDGs.  Looking ahead, economic diversification, innovative finance and attracting FDI together with technical assistance through bilateral cooperation agreements will all be vital to help Trinidad and Tobago reach the SDGs.  </w:t>
      </w:r>
    </w:p>
    <w:p w14:paraId="18E24C9F" w14:textId="77777777" w:rsidR="008017D4" w:rsidRPr="009C793F" w:rsidRDefault="008017D4" w:rsidP="00DE19C9">
      <w:pPr>
        <w:jc w:val="both"/>
        <w:rPr>
          <w:rFonts w:asciiTheme="minorHAnsi" w:hAnsiTheme="minorHAnsi" w:cstheme="minorHAnsi"/>
        </w:rPr>
      </w:pPr>
    </w:p>
    <w:p w14:paraId="0000017C" w14:textId="7A270E51"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country also faces an ageing population. The population of p</w:t>
      </w:r>
      <w:r w:rsidRPr="009C793F">
        <w:rPr>
          <w:rFonts w:asciiTheme="minorHAnsi" w:hAnsiTheme="minorHAnsi" w:cstheme="minorHAnsi"/>
          <w:color w:val="000000"/>
        </w:rPr>
        <w:t>eople over age 60 is projected to almost double over the next 50 years, from 215,855 in 2016 to 408,806 by 2066. Simultaneously, the working age population is projected to decline by almost 25 percent over the same period.</w:t>
      </w:r>
      <w:r w:rsidRPr="009C793F">
        <w:rPr>
          <w:rFonts w:asciiTheme="minorHAnsi" w:hAnsiTheme="minorHAnsi" w:cstheme="minorHAnsi"/>
          <w:color w:val="000000"/>
          <w:vertAlign w:val="superscript"/>
        </w:rPr>
        <w:footnoteReference w:id="129"/>
      </w:r>
      <w:r w:rsidRPr="009C793F">
        <w:rPr>
          <w:rFonts w:asciiTheme="minorHAnsi" w:hAnsiTheme="minorHAnsi" w:cstheme="minorHAnsi"/>
          <w:color w:val="000000"/>
        </w:rPr>
        <w:t xml:space="preserve"> </w:t>
      </w:r>
      <w:r w:rsidRPr="009C793F">
        <w:rPr>
          <w:rFonts w:asciiTheme="minorHAnsi" w:hAnsiTheme="minorHAnsi" w:cstheme="minorHAnsi"/>
        </w:rPr>
        <w:t xml:space="preserve"> An ageing population translates into greater demand for health care and social protection systems including pensions. Government has recognised this as an issue and the impact on the National Insurance Scheme which provides a monthly payment to citizens who would have made a minimum of 750 contributions during their time of employment. In this regard, </w:t>
      </w:r>
      <w:r w:rsidR="008017D4" w:rsidRPr="009C793F">
        <w:rPr>
          <w:rFonts w:asciiTheme="minorHAnsi" w:hAnsiTheme="minorHAnsi" w:cstheme="minorHAnsi"/>
        </w:rPr>
        <w:t>GORTT</w:t>
      </w:r>
      <w:r w:rsidRPr="009C793F">
        <w:rPr>
          <w:rFonts w:asciiTheme="minorHAnsi" w:hAnsiTheme="minorHAnsi" w:cstheme="minorHAnsi"/>
        </w:rPr>
        <w:t xml:space="preserve"> is considering raising the age of citizens who receive these monthly payments to 65 from the current age of 60. Looking ahead, the issue of ageing and creating an associated policy framework around this matter will require increased attention. In agriculture, over 7</w:t>
      </w:r>
      <w:r w:rsidR="00A628BE" w:rsidRPr="009C793F">
        <w:rPr>
          <w:rFonts w:asciiTheme="minorHAnsi" w:hAnsiTheme="minorHAnsi" w:cstheme="minorHAnsi"/>
        </w:rPr>
        <w:t>0 per cent</w:t>
      </w:r>
      <w:r w:rsidRPr="009C793F">
        <w:rPr>
          <w:rFonts w:asciiTheme="minorHAnsi" w:hAnsiTheme="minorHAnsi" w:cstheme="minorHAnsi"/>
        </w:rPr>
        <w:t xml:space="preserve"> of the farmers are over 45 years old and therefore innovation and technology will be necessary to enhance competitiveness and food and nutrition security. Consequently, expanding the labour force to include new entrants thereby boosting tax revenues and expanding the contributors to the National Insurance Scheme is an important policy issue going forward. </w:t>
      </w:r>
    </w:p>
    <w:p w14:paraId="00000180" w14:textId="77777777" w:rsidR="006B72B0" w:rsidRPr="009C793F" w:rsidRDefault="006B72B0" w:rsidP="00DE19C9">
      <w:pPr>
        <w:jc w:val="both"/>
        <w:rPr>
          <w:rFonts w:asciiTheme="minorHAnsi" w:hAnsiTheme="minorHAnsi" w:cstheme="minorHAnsi"/>
        </w:rPr>
      </w:pPr>
    </w:p>
    <w:p w14:paraId="0000018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4.2</w:t>
      </w:r>
      <w:r w:rsidRPr="009C793F">
        <w:rPr>
          <w:rFonts w:asciiTheme="minorHAnsi" w:hAnsiTheme="minorHAnsi" w:cstheme="minorHAnsi"/>
        </w:rPr>
        <w:tab/>
      </w:r>
      <w:r w:rsidRPr="009C793F">
        <w:rPr>
          <w:rFonts w:asciiTheme="minorHAnsi" w:hAnsiTheme="minorHAnsi" w:cstheme="minorHAnsi"/>
          <w:b/>
        </w:rPr>
        <w:t>Poverty and Vulnerable Groups</w:t>
      </w:r>
    </w:p>
    <w:p w14:paraId="77B812DE" w14:textId="77777777" w:rsidR="00F21F4A" w:rsidRDefault="00F21F4A" w:rsidP="00DE19C9">
      <w:pPr>
        <w:jc w:val="both"/>
        <w:rPr>
          <w:rFonts w:asciiTheme="minorHAnsi" w:hAnsiTheme="minorHAnsi" w:cstheme="minorHAnsi"/>
        </w:rPr>
      </w:pPr>
    </w:p>
    <w:p w14:paraId="00000182" w14:textId="08386CF1"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rPr>
        <w:t xml:space="preserve">Assessing real poverty has been a challenge given the paucity of data which is an issue limiting analysis in almost every social sector.  Nonetheless, according to the global </w:t>
      </w:r>
      <w:r w:rsidR="008017D4" w:rsidRPr="009C793F">
        <w:rPr>
          <w:rFonts w:asciiTheme="minorHAnsi" w:hAnsiTheme="minorHAnsi" w:cstheme="minorHAnsi"/>
        </w:rPr>
        <w:t>MPI</w:t>
      </w:r>
      <w:r w:rsidRPr="009C793F">
        <w:rPr>
          <w:rFonts w:asciiTheme="minorHAnsi" w:hAnsiTheme="minorHAnsi" w:cstheme="minorHAnsi"/>
        </w:rPr>
        <w:t>, which is based on 2011 data, 0.6</w:t>
      </w:r>
      <w:r w:rsidR="008B7471"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the population (approximately 9,000 people) are classified as being multidimensionally poor and 3.7</w:t>
      </w:r>
      <w:r w:rsidR="008B7471"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of the population (approximately 50,000 people) are classified as being vulnerable to multidimensional poverty. </w:t>
      </w:r>
      <w:r w:rsidRPr="009C793F">
        <w:rPr>
          <w:rFonts w:asciiTheme="minorHAnsi" w:hAnsiTheme="minorHAnsi" w:cstheme="minorHAnsi"/>
          <w:vertAlign w:val="superscript"/>
        </w:rPr>
        <w:footnoteReference w:id="130"/>
      </w:r>
      <w:r w:rsidRPr="009C793F">
        <w:rPr>
          <w:rFonts w:asciiTheme="minorHAnsi" w:hAnsiTheme="minorHAnsi" w:cstheme="minorHAnsi"/>
        </w:rPr>
        <w:t xml:space="preserve"> </w:t>
      </w:r>
      <w:r w:rsidRPr="009C793F">
        <w:rPr>
          <w:rFonts w:asciiTheme="minorHAnsi" w:hAnsiTheme="minorHAnsi" w:cstheme="minorHAnsi"/>
          <w:color w:val="000000"/>
          <w:highlight w:val="white"/>
        </w:rPr>
        <w:t xml:space="preserve">Though there is limited data on the poverty status of the migrant population comprising largely Venezuelans, those who participated in the registration exercise are allowed to work and thereby better manage the risk of falling into the poverty trap. Non-registered migrants risk either falling or remaining in poverty whilst largely lacking access to public services.  </w:t>
      </w:r>
    </w:p>
    <w:p w14:paraId="00000183" w14:textId="77777777" w:rsidR="006B72B0" w:rsidRPr="009C793F" w:rsidRDefault="006B72B0" w:rsidP="00DE19C9">
      <w:pPr>
        <w:jc w:val="both"/>
        <w:rPr>
          <w:rFonts w:asciiTheme="minorHAnsi" w:hAnsiTheme="minorHAnsi" w:cstheme="minorHAnsi"/>
        </w:rPr>
      </w:pPr>
    </w:p>
    <w:p w14:paraId="0000018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4.3</w:t>
      </w:r>
      <w:r w:rsidRPr="009C793F">
        <w:rPr>
          <w:rFonts w:asciiTheme="minorHAnsi" w:hAnsiTheme="minorHAnsi" w:cstheme="minorHAnsi"/>
        </w:rPr>
        <w:tab/>
      </w:r>
      <w:r w:rsidRPr="009C793F">
        <w:rPr>
          <w:rFonts w:asciiTheme="minorHAnsi" w:hAnsiTheme="minorHAnsi" w:cstheme="minorHAnsi"/>
          <w:b/>
        </w:rPr>
        <w:t>Social Welfare and Social Protection</w:t>
      </w:r>
    </w:p>
    <w:p w14:paraId="2BA235D8" w14:textId="77777777" w:rsidR="00F21F4A" w:rsidRDefault="00F21F4A" w:rsidP="00DE19C9">
      <w:pPr>
        <w:jc w:val="both"/>
        <w:rPr>
          <w:rFonts w:asciiTheme="minorHAnsi" w:hAnsiTheme="minorHAnsi" w:cstheme="minorHAnsi"/>
        </w:rPr>
      </w:pPr>
    </w:p>
    <w:p w14:paraId="00000185" w14:textId="6BB8CD20" w:rsidR="006B72B0" w:rsidRPr="009C793F" w:rsidRDefault="00845012" w:rsidP="00DE19C9">
      <w:pPr>
        <w:jc w:val="both"/>
        <w:rPr>
          <w:rFonts w:asciiTheme="minorHAnsi" w:hAnsiTheme="minorHAnsi" w:cstheme="minorHAnsi"/>
        </w:rPr>
      </w:pPr>
      <w:r w:rsidRPr="009C793F">
        <w:rPr>
          <w:rFonts w:asciiTheme="minorHAnsi" w:hAnsiTheme="minorHAnsi" w:cstheme="minorHAnsi"/>
        </w:rPr>
        <w:t>A comprehensive social protection system can prevent poverty, reduce inequality and improve access to health and education, secure protection from lack of work -related income caused by sickness, disability, maternity and unemployment</w:t>
      </w:r>
      <w:r w:rsidRPr="009C793F">
        <w:rPr>
          <w:rFonts w:asciiTheme="minorHAnsi" w:hAnsiTheme="minorHAnsi" w:cstheme="minorHAnsi"/>
          <w:vertAlign w:val="superscript"/>
        </w:rPr>
        <w:footnoteReference w:id="131"/>
      </w:r>
      <w:r w:rsidRPr="009C793F">
        <w:rPr>
          <w:rFonts w:asciiTheme="minorHAnsi" w:hAnsiTheme="minorHAnsi" w:cstheme="minorHAnsi"/>
        </w:rPr>
        <w:t xml:space="preserve">. With its high- income status and revenues coming from the energy sector, Trinidad and Tobago has actively implemented social protection mechanisms for vulnerable segments of its population. They extend to areas such as school meals, education and school supplies, old-age monthly pensions, subsidized housing, hardship relief, legal aid and disability assistance. </w:t>
      </w:r>
      <w:sdt>
        <w:sdtPr>
          <w:rPr>
            <w:rFonts w:asciiTheme="minorHAnsi" w:hAnsiTheme="minorHAnsi" w:cstheme="minorHAnsi"/>
          </w:rPr>
          <w:tag w:val="goog_rdk_33"/>
          <w:id w:val="457538059"/>
        </w:sdtPr>
        <w:sdtContent/>
      </w:sdt>
      <w:r w:rsidRPr="009C793F">
        <w:rPr>
          <w:rFonts w:asciiTheme="minorHAnsi" w:hAnsiTheme="minorHAnsi" w:cstheme="minorHAnsi"/>
        </w:rPr>
        <w:t>Social protection also plays an important role in the provision of support to people affected by shocks, by providing grants to people affected by disasters. In recent years the M</w:t>
      </w:r>
      <w:r w:rsidR="00A628BE" w:rsidRPr="009C793F">
        <w:rPr>
          <w:rFonts w:asciiTheme="minorHAnsi" w:hAnsiTheme="minorHAnsi" w:cstheme="minorHAnsi"/>
        </w:rPr>
        <w:t xml:space="preserve">inistry of Social Development and Family Services </w:t>
      </w:r>
      <w:r w:rsidRPr="009C793F">
        <w:rPr>
          <w:rFonts w:asciiTheme="minorHAnsi" w:hAnsiTheme="minorHAnsi" w:cstheme="minorHAnsi"/>
        </w:rPr>
        <w:t xml:space="preserve">has renewed efforts to improve the administration and delivery of grants and services including a restructuring of targeting mechanisms, standardising application processes, developing a one-stop shop Social Services Empowerment Unit and the training of staff. There is, however, no national social protection sector strategy that guides the implementation of these different programmes and schemes towards common objectives. </w:t>
      </w:r>
    </w:p>
    <w:p w14:paraId="00000186" w14:textId="77777777" w:rsidR="006B72B0" w:rsidRPr="009C793F" w:rsidRDefault="006B72B0" w:rsidP="00DE19C9">
      <w:pPr>
        <w:jc w:val="both"/>
        <w:rPr>
          <w:rFonts w:asciiTheme="minorHAnsi" w:hAnsiTheme="minorHAnsi" w:cstheme="minorHAnsi"/>
        </w:rPr>
      </w:pPr>
    </w:p>
    <w:p w14:paraId="0BE80A6F" w14:textId="77777777" w:rsidR="008B7471" w:rsidRPr="009C793F" w:rsidRDefault="00845012" w:rsidP="00DE19C9">
      <w:pPr>
        <w:jc w:val="both"/>
        <w:rPr>
          <w:rFonts w:asciiTheme="minorHAnsi" w:hAnsiTheme="minorHAnsi" w:cstheme="minorHAnsi"/>
        </w:rPr>
      </w:pPr>
      <w:r w:rsidRPr="009C793F">
        <w:rPr>
          <w:rFonts w:asciiTheme="minorHAnsi" w:hAnsiTheme="minorHAnsi" w:cstheme="minorHAnsi"/>
        </w:rPr>
        <w:t xml:space="preserve">Health care remains free in the public health system for all nationals though there is a parallel private care sector. It should be noted that there is a means test for nationals seeking health care that may be costly such as treatment for cancer and heart surgery. There is also the provision of a limited range of pharmaceuticals at no cost through the public health system. </w:t>
      </w:r>
    </w:p>
    <w:p w14:paraId="704ACAE4" w14:textId="77777777" w:rsidR="008B7471" w:rsidRPr="009C793F" w:rsidRDefault="008B7471" w:rsidP="00DE19C9">
      <w:pPr>
        <w:jc w:val="both"/>
        <w:rPr>
          <w:rFonts w:asciiTheme="minorHAnsi" w:hAnsiTheme="minorHAnsi" w:cstheme="minorHAnsi"/>
        </w:rPr>
      </w:pPr>
    </w:p>
    <w:p w14:paraId="00000187" w14:textId="5FE50702" w:rsidR="006B72B0" w:rsidRPr="009C793F" w:rsidRDefault="00845012" w:rsidP="00DE19C9">
      <w:pPr>
        <w:jc w:val="both"/>
        <w:rPr>
          <w:rFonts w:asciiTheme="minorHAnsi" w:hAnsiTheme="minorHAnsi" w:cstheme="minorHAnsi"/>
        </w:rPr>
      </w:pPr>
      <w:r w:rsidRPr="009C793F">
        <w:rPr>
          <w:rFonts w:asciiTheme="minorHAnsi" w:hAnsiTheme="minorHAnsi" w:cstheme="minorHAnsi"/>
        </w:rPr>
        <w:t>Since its independence in 1962, education has been used to reduce both poverty levels and inequality while advancing social mobility. Education including up to tertiary level has historically been free. Presently, there is a means system that determines the support the government will provide to help meet the tuition costs for tertiary education.</w:t>
      </w:r>
    </w:p>
    <w:p w14:paraId="00000188" w14:textId="77777777" w:rsidR="006B72B0" w:rsidRPr="009C793F" w:rsidRDefault="006B72B0" w:rsidP="00DE19C9">
      <w:pPr>
        <w:jc w:val="both"/>
        <w:rPr>
          <w:rFonts w:asciiTheme="minorHAnsi" w:hAnsiTheme="minorHAnsi" w:cstheme="minorHAnsi"/>
        </w:rPr>
      </w:pPr>
    </w:p>
    <w:p w14:paraId="00000189" w14:textId="2DBD062B"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response to the economic downturn with depressed oil and gas prices, </w:t>
      </w:r>
      <w:r w:rsidR="008017D4" w:rsidRPr="009C793F">
        <w:rPr>
          <w:rFonts w:asciiTheme="minorHAnsi" w:hAnsiTheme="minorHAnsi" w:cstheme="minorHAnsi"/>
        </w:rPr>
        <w:t>GORTT</w:t>
      </w:r>
      <w:r w:rsidRPr="009C793F">
        <w:rPr>
          <w:rFonts w:asciiTheme="minorHAnsi" w:hAnsiTheme="minorHAnsi" w:cstheme="minorHAnsi"/>
        </w:rPr>
        <w:t xml:space="preserve"> developed a National Social Mitigation Plan </w:t>
      </w:r>
      <w:r w:rsidRPr="009C793F">
        <w:rPr>
          <w:rFonts w:asciiTheme="minorHAnsi" w:hAnsiTheme="minorHAnsi" w:cstheme="minorHAnsi"/>
          <w:vertAlign w:val="superscript"/>
        </w:rPr>
        <w:footnoteReference w:id="132"/>
      </w:r>
      <w:r w:rsidRPr="009C793F">
        <w:rPr>
          <w:rFonts w:asciiTheme="minorHAnsi" w:hAnsiTheme="minorHAnsi" w:cstheme="minorHAnsi"/>
        </w:rPr>
        <w:t xml:space="preserve"> that seeks to strengthen the existing social protection system by promoting community and civil society action and by enhancing productivity and innovation within both the private and public sectors. Despite first being completed in 2017, the National Social Mitigation Plan is in the implementation phase as of July 2020.  </w:t>
      </w:r>
    </w:p>
    <w:p w14:paraId="0000018A" w14:textId="77777777" w:rsidR="006B72B0" w:rsidRPr="009C793F" w:rsidRDefault="006B72B0" w:rsidP="00DE19C9">
      <w:pPr>
        <w:jc w:val="both"/>
        <w:rPr>
          <w:rFonts w:asciiTheme="minorHAnsi" w:hAnsiTheme="minorHAnsi" w:cstheme="minorHAnsi"/>
        </w:rPr>
      </w:pPr>
    </w:p>
    <w:p w14:paraId="0000018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addition to the National Social Mitigation Plan, the Social Sector Investment Programme 2020 was developed to address the gaps in social protection and it recognizes that public investment in social protection is a key aspect to meeting SDGs and addressing inequality and challenges to social inclusion. </w:t>
      </w:r>
    </w:p>
    <w:p w14:paraId="0000018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Despite the commitment to strengthen the social protection system, one of the main challenges to the uptake of services and benefits remains the lack of awareness on the part of the public on the benefits available. To remedy this, focus needs to be placed on the extensive dissemination of information, particularly to those in rural and vulnerable communities with limited access to information.  An increased hands-on social needs assessment is required with outreach being done in those communities and an assessment of the assistance needs which could then be accurately matched to the social programmes available. </w:t>
      </w:r>
    </w:p>
    <w:p w14:paraId="0000018F" w14:textId="77777777" w:rsidR="006B72B0" w:rsidRPr="009C793F" w:rsidRDefault="006B72B0" w:rsidP="00DE19C9">
      <w:pPr>
        <w:jc w:val="both"/>
        <w:rPr>
          <w:rFonts w:asciiTheme="minorHAnsi" w:hAnsiTheme="minorHAnsi" w:cstheme="minorHAnsi"/>
        </w:rPr>
      </w:pPr>
    </w:p>
    <w:p w14:paraId="00000190" w14:textId="08F864A2" w:rsidR="006B72B0" w:rsidRDefault="008B7471" w:rsidP="00DE19C9">
      <w:pPr>
        <w:jc w:val="both"/>
        <w:rPr>
          <w:rFonts w:asciiTheme="minorHAnsi" w:hAnsiTheme="minorHAnsi" w:cstheme="minorHAnsi"/>
        </w:rPr>
      </w:pPr>
      <w:r w:rsidRPr="009C793F">
        <w:rPr>
          <w:rFonts w:asciiTheme="minorHAnsi" w:hAnsiTheme="minorHAnsi" w:cstheme="minorHAnsi"/>
        </w:rPr>
        <w:t>With h</w:t>
      </w:r>
      <w:r w:rsidR="00845012" w:rsidRPr="009C793F">
        <w:rPr>
          <w:rFonts w:asciiTheme="minorHAnsi" w:hAnsiTheme="minorHAnsi" w:cstheme="minorHAnsi"/>
        </w:rPr>
        <w:t xml:space="preserve">igher unemployment rates as a result of COVID-19 and fiscal constraints facing Trinidad and Tobago, it is important to ensure that public goods such </w:t>
      </w:r>
      <w:r w:rsidR="006509DB" w:rsidRPr="009C793F">
        <w:rPr>
          <w:rFonts w:asciiTheme="minorHAnsi" w:hAnsiTheme="minorHAnsi" w:cstheme="minorHAnsi"/>
        </w:rPr>
        <w:t>as reproductive</w:t>
      </w:r>
      <w:r w:rsidR="00845012" w:rsidRPr="009C793F">
        <w:rPr>
          <w:rFonts w:asciiTheme="minorHAnsi" w:hAnsiTheme="minorHAnsi" w:cstheme="minorHAnsi"/>
        </w:rPr>
        <w:t xml:space="preserve"> health services, including prenatal care, assisted delivery, and emergency obstetric services are available and maintained. </w:t>
      </w:r>
      <w:r w:rsidR="009C793F" w:rsidRPr="009C793F">
        <w:rPr>
          <w:rFonts w:asciiTheme="minorHAnsi" w:hAnsiTheme="minorHAnsi" w:cstheme="minorHAnsi"/>
        </w:rPr>
        <w:t>This can also extend to the following</w:t>
      </w:r>
      <w:r w:rsidR="00845012" w:rsidRPr="009C793F">
        <w:rPr>
          <w:rFonts w:asciiTheme="minorHAnsi" w:hAnsiTheme="minorHAnsi" w:cstheme="minorHAnsi"/>
        </w:rPr>
        <w:t xml:space="preserve">: </w:t>
      </w:r>
    </w:p>
    <w:p w14:paraId="3C394111" w14:textId="77777777" w:rsidR="00F21F4A" w:rsidRPr="009C793F" w:rsidRDefault="00F21F4A" w:rsidP="00DE19C9">
      <w:pPr>
        <w:jc w:val="both"/>
        <w:rPr>
          <w:rFonts w:asciiTheme="minorHAnsi" w:hAnsiTheme="minorHAnsi" w:cstheme="minorHAnsi"/>
        </w:rPr>
      </w:pPr>
    </w:p>
    <w:p w14:paraId="00000191" w14:textId="77777777" w:rsidR="006B72B0" w:rsidRPr="009C793F" w:rsidRDefault="00845012" w:rsidP="00DE19C9">
      <w:pPr>
        <w:ind w:left="720" w:hanging="360"/>
        <w:jc w:val="both"/>
        <w:rPr>
          <w:rFonts w:asciiTheme="minorHAnsi" w:hAnsiTheme="minorHAnsi" w:cstheme="minorHAnsi"/>
        </w:rPr>
      </w:pPr>
      <w:r w:rsidRPr="009C793F">
        <w:rPr>
          <w:rFonts w:asciiTheme="minorHAnsi" w:hAnsiTheme="minorHAnsi" w:cstheme="minorHAnsi"/>
        </w:rPr>
        <w:t>·       Ensure continued access to family planning services in order to reduce unwanted pregnancies through a strengthened reproductive health commodity security system with an emphasis on dual method use and that includes emergency forecasting and planning.</w:t>
      </w:r>
    </w:p>
    <w:p w14:paraId="00000192" w14:textId="165C2512" w:rsidR="006B72B0" w:rsidRPr="009C793F" w:rsidRDefault="00845012" w:rsidP="00DE19C9">
      <w:pPr>
        <w:ind w:left="720" w:hanging="360"/>
        <w:jc w:val="both"/>
        <w:rPr>
          <w:rFonts w:asciiTheme="minorHAnsi" w:hAnsiTheme="minorHAnsi" w:cstheme="minorHAnsi"/>
        </w:rPr>
      </w:pPr>
      <w:r w:rsidRPr="009C793F">
        <w:rPr>
          <w:rFonts w:asciiTheme="minorHAnsi" w:hAnsiTheme="minorHAnsi" w:cstheme="minorHAnsi"/>
        </w:rPr>
        <w:t>·       Respond to the needs of vulnerable groups and persons living in poor and vulnerable communities for access to integrated SRH/HIV/GBV services especially for women and girls, drug users, female and male sex workers, persons of diverse identity and diverse sexual orientation, and other vulnerable groups.</w:t>
      </w:r>
    </w:p>
    <w:p w14:paraId="43A3DA2E" w14:textId="77777777" w:rsidR="00F21F4A" w:rsidRDefault="00F21F4A" w:rsidP="00DE19C9">
      <w:pPr>
        <w:jc w:val="both"/>
        <w:rPr>
          <w:rFonts w:asciiTheme="minorHAnsi" w:hAnsiTheme="minorHAnsi" w:cstheme="minorHAnsi"/>
        </w:rPr>
      </w:pPr>
    </w:p>
    <w:p w14:paraId="00000193" w14:textId="7B81F513"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One key issue raised in deliberations with both government and other stakeholders is the importance of improving the efficiency of the existing social protection systems. In this regard, the importance of improving </w:t>
      </w:r>
      <w:sdt>
        <w:sdtPr>
          <w:rPr>
            <w:rFonts w:asciiTheme="minorHAnsi" w:hAnsiTheme="minorHAnsi" w:cstheme="minorHAnsi"/>
          </w:rPr>
          <w:tag w:val="goog_rdk_34"/>
          <w:id w:val="1768347172"/>
        </w:sdtPr>
        <w:sdtContent/>
      </w:sdt>
      <w:r w:rsidRPr="009C793F">
        <w:rPr>
          <w:rFonts w:asciiTheme="minorHAnsi" w:hAnsiTheme="minorHAnsi" w:cstheme="minorHAnsi"/>
        </w:rPr>
        <w:t xml:space="preserve">the targeting and onboarding of new </w:t>
      </w:r>
      <w:r w:rsidR="00660966" w:rsidRPr="009C793F">
        <w:rPr>
          <w:rFonts w:asciiTheme="minorHAnsi" w:hAnsiTheme="minorHAnsi" w:cstheme="minorHAnsi"/>
        </w:rPr>
        <w:t>beneficiaries; strengthening</w:t>
      </w:r>
      <w:r w:rsidR="00A628BE" w:rsidRPr="009C793F">
        <w:rPr>
          <w:rFonts w:asciiTheme="minorHAnsi" w:hAnsiTheme="minorHAnsi" w:cstheme="minorHAnsi"/>
        </w:rPr>
        <w:t xml:space="preserve"> </w:t>
      </w:r>
      <w:r w:rsidRPr="009C793F">
        <w:rPr>
          <w:rFonts w:asciiTheme="minorHAnsi" w:hAnsiTheme="minorHAnsi" w:cstheme="minorHAnsi"/>
        </w:rPr>
        <w:t>delivery mechanisms,</w:t>
      </w:r>
      <w:r w:rsidR="00A628BE" w:rsidRPr="009C793F">
        <w:rPr>
          <w:rFonts w:asciiTheme="minorHAnsi" w:hAnsiTheme="minorHAnsi" w:cstheme="minorHAnsi"/>
        </w:rPr>
        <w:t xml:space="preserve"> </w:t>
      </w:r>
      <w:r w:rsidR="00660966" w:rsidRPr="009C793F">
        <w:rPr>
          <w:rFonts w:asciiTheme="minorHAnsi" w:hAnsiTheme="minorHAnsi" w:cstheme="minorHAnsi"/>
        </w:rPr>
        <w:t>enhanced monitoring</w:t>
      </w:r>
      <w:r w:rsidRPr="009C793F">
        <w:rPr>
          <w:rFonts w:asciiTheme="minorHAnsi" w:hAnsiTheme="minorHAnsi" w:cstheme="minorHAnsi"/>
        </w:rPr>
        <w:t>, evaluation and reporting systems backed by data</w:t>
      </w:r>
      <w:r w:rsidR="00A628BE" w:rsidRPr="009C793F">
        <w:rPr>
          <w:rFonts w:asciiTheme="minorHAnsi" w:hAnsiTheme="minorHAnsi" w:cstheme="minorHAnsi"/>
        </w:rPr>
        <w:t>; and reducing fragmentation</w:t>
      </w:r>
      <w:r w:rsidRPr="009C793F">
        <w:rPr>
          <w:rFonts w:asciiTheme="minorHAnsi" w:hAnsiTheme="minorHAnsi" w:cstheme="minorHAnsi"/>
        </w:rPr>
        <w:t xml:space="preserve"> was emphasized across the board. Given the experience of COVID-19 and the onset of climate change, a social protection</w:t>
      </w:r>
      <w:r w:rsidR="009C793F" w:rsidRPr="009C793F">
        <w:rPr>
          <w:rFonts w:asciiTheme="minorHAnsi" w:hAnsiTheme="minorHAnsi" w:cstheme="minorHAnsi"/>
        </w:rPr>
        <w:t xml:space="preserve"> system</w:t>
      </w:r>
      <w:r w:rsidRPr="009C793F">
        <w:rPr>
          <w:rFonts w:asciiTheme="minorHAnsi" w:hAnsiTheme="minorHAnsi" w:cstheme="minorHAnsi"/>
        </w:rPr>
        <w:t xml:space="preserve"> geared to deal with shocks and stressors will be required going forward.</w:t>
      </w:r>
    </w:p>
    <w:p w14:paraId="00000194" w14:textId="77777777" w:rsidR="006B72B0" w:rsidRPr="009C793F" w:rsidRDefault="006B72B0" w:rsidP="00DE19C9">
      <w:pPr>
        <w:jc w:val="both"/>
        <w:rPr>
          <w:rFonts w:asciiTheme="minorHAnsi" w:hAnsiTheme="minorHAnsi" w:cstheme="minorHAnsi"/>
        </w:rPr>
      </w:pPr>
    </w:p>
    <w:p w14:paraId="0000019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4.4</w:t>
      </w:r>
      <w:r w:rsidRPr="009C793F">
        <w:rPr>
          <w:rFonts w:asciiTheme="minorHAnsi" w:hAnsiTheme="minorHAnsi" w:cstheme="minorHAnsi"/>
        </w:rPr>
        <w:tab/>
      </w:r>
      <w:r w:rsidRPr="009C793F">
        <w:rPr>
          <w:rFonts w:asciiTheme="minorHAnsi" w:hAnsiTheme="minorHAnsi" w:cstheme="minorHAnsi"/>
          <w:b/>
        </w:rPr>
        <w:t>Migration</w:t>
      </w:r>
    </w:p>
    <w:p w14:paraId="3DBDA571" w14:textId="77777777" w:rsidR="00F21F4A" w:rsidRDefault="00F21F4A" w:rsidP="00DE19C9">
      <w:pPr>
        <w:jc w:val="both"/>
        <w:rPr>
          <w:rFonts w:asciiTheme="minorHAnsi" w:hAnsiTheme="minorHAnsi" w:cstheme="minorHAnsi"/>
        </w:rPr>
      </w:pPr>
    </w:p>
    <w:p w14:paraId="00000196" w14:textId="0E85CAB1" w:rsidR="006B72B0" w:rsidRPr="009C793F" w:rsidRDefault="00845012" w:rsidP="00DE19C9">
      <w:pPr>
        <w:jc w:val="both"/>
        <w:rPr>
          <w:rFonts w:asciiTheme="minorHAnsi" w:hAnsiTheme="minorHAnsi" w:cstheme="minorHAnsi"/>
        </w:rPr>
      </w:pPr>
      <w:r w:rsidRPr="009C793F">
        <w:rPr>
          <w:rFonts w:asciiTheme="minorHAnsi" w:hAnsiTheme="minorHAnsi" w:cstheme="minorHAnsi"/>
        </w:rPr>
        <w:t>4.4.1. Overview of Migration Patterns</w:t>
      </w:r>
    </w:p>
    <w:p w14:paraId="2560D2DA" w14:textId="77777777" w:rsidR="00F21F4A" w:rsidRDefault="00F21F4A" w:rsidP="00DE19C9">
      <w:pPr>
        <w:jc w:val="both"/>
        <w:rPr>
          <w:rFonts w:asciiTheme="minorHAnsi" w:hAnsiTheme="minorHAnsi" w:cstheme="minorHAnsi"/>
        </w:rPr>
      </w:pPr>
    </w:p>
    <w:p w14:paraId="00000197" w14:textId="3652E67B"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rPr>
        <w:t>According to the IOM, in 2015, immigrants accounted for 3.7</w:t>
      </w:r>
      <w:r w:rsidR="006D7035" w:rsidRPr="009C793F">
        <w:rPr>
          <w:rFonts w:asciiTheme="minorHAnsi" w:hAnsiTheme="minorHAnsi" w:cstheme="minorHAnsi"/>
        </w:rPr>
        <w:t xml:space="preserve"> per cent </w:t>
      </w:r>
      <w:r w:rsidRPr="009C793F">
        <w:rPr>
          <w:rFonts w:asciiTheme="minorHAnsi" w:hAnsiTheme="minorHAnsi" w:cstheme="minorHAnsi"/>
        </w:rPr>
        <w:t>of a total population of 1.4 million.</w:t>
      </w:r>
      <w:r w:rsidRPr="009C793F">
        <w:rPr>
          <w:rFonts w:asciiTheme="minorHAnsi" w:hAnsiTheme="minorHAnsi" w:cstheme="minorHAnsi"/>
          <w:vertAlign w:val="superscript"/>
        </w:rPr>
        <w:footnoteReference w:id="133"/>
      </w:r>
      <w:r w:rsidRPr="009C793F">
        <w:rPr>
          <w:rFonts w:asciiTheme="minorHAnsi" w:hAnsiTheme="minorHAnsi" w:cstheme="minorHAnsi"/>
        </w:rPr>
        <w:t xml:space="preserve"> There is a significant pull factor for migration to Trinidad and Tobago as it is a high-income state with economic opportunities. At the same time, emigration </w:t>
      </w:r>
      <w:r w:rsidRPr="009C793F">
        <w:rPr>
          <w:rFonts w:asciiTheme="minorHAnsi" w:hAnsiTheme="minorHAnsi" w:cstheme="minorHAnsi"/>
          <w:color w:val="000000"/>
          <w:highlight w:val="white"/>
        </w:rPr>
        <w:t xml:space="preserve">of skilled and highly educated nationals is a concern for Trinidad and Tobago as young and educated professionals are drawn to opportunities abroad. Underemployment and limited opportunities in a challenging economic environment serve as a push factor for trained professionals. Given existing migration patterns and the influx of Venezuelan nationals, there is the need for a new framework to reflect this reality and the path going forward. </w:t>
      </w:r>
    </w:p>
    <w:p w14:paraId="00000198" w14:textId="77777777" w:rsidR="006B72B0" w:rsidRPr="009C793F" w:rsidRDefault="006B72B0" w:rsidP="00DE19C9">
      <w:pPr>
        <w:jc w:val="both"/>
        <w:rPr>
          <w:rFonts w:asciiTheme="minorHAnsi" w:hAnsiTheme="minorHAnsi" w:cstheme="minorHAnsi"/>
          <w:color w:val="000000"/>
          <w:highlight w:val="white"/>
        </w:rPr>
      </w:pPr>
    </w:p>
    <w:p w14:paraId="00000199" w14:textId="77777777"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color w:val="000000"/>
          <w:highlight w:val="white"/>
        </w:rPr>
        <w:t>4.4.2 Asylum seekers and refugees</w:t>
      </w:r>
    </w:p>
    <w:p w14:paraId="18EC24F7" w14:textId="77777777" w:rsidR="00F21F4A" w:rsidRDefault="00F21F4A" w:rsidP="00DE19C9">
      <w:pPr>
        <w:jc w:val="both"/>
        <w:rPr>
          <w:rFonts w:asciiTheme="minorHAnsi" w:hAnsiTheme="minorHAnsi" w:cstheme="minorHAnsi"/>
          <w:highlight w:val="white"/>
        </w:rPr>
      </w:pPr>
    </w:p>
    <w:p w14:paraId="0000019A" w14:textId="7FF5EF59" w:rsidR="006B72B0" w:rsidRPr="009C793F" w:rsidRDefault="00845012" w:rsidP="00DE19C9">
      <w:pPr>
        <w:jc w:val="both"/>
        <w:rPr>
          <w:rFonts w:asciiTheme="minorHAnsi" w:hAnsiTheme="minorHAnsi" w:cstheme="minorHAnsi"/>
          <w:highlight w:val="white"/>
        </w:rPr>
      </w:pPr>
      <w:r w:rsidRPr="009C793F">
        <w:rPr>
          <w:rFonts w:asciiTheme="minorHAnsi" w:hAnsiTheme="minorHAnsi" w:cstheme="minorHAnsi"/>
          <w:highlight w:val="white"/>
        </w:rPr>
        <w:t>During the 2</w:t>
      </w:r>
      <w:r w:rsidRPr="009C793F">
        <w:rPr>
          <w:rFonts w:asciiTheme="minorHAnsi" w:hAnsiTheme="minorHAnsi" w:cstheme="minorHAnsi"/>
          <w:highlight w:val="white"/>
          <w:vertAlign w:val="superscript"/>
        </w:rPr>
        <w:t>nd</w:t>
      </w:r>
      <w:r w:rsidRPr="009C793F">
        <w:rPr>
          <w:rFonts w:asciiTheme="minorHAnsi" w:hAnsiTheme="minorHAnsi" w:cstheme="minorHAnsi"/>
          <w:highlight w:val="white"/>
        </w:rPr>
        <w:t xml:space="preserve"> cycle Universal Periodic Review in 2016, Trinidad and Tobago was praised for the adoption of legislation against human trafficking; progress in the area of children rights, and gender-based violence.  Several countries asked that the Republic of Trinidad and Tobago ratify the Convention on the Protection of the Rights of All Migrant Workers and Members of Their Families; issue a National Policy for refugees and asylum seekers, and that the country take measures to provide adequate attention to the migrant population.   </w:t>
      </w:r>
    </w:p>
    <w:p w14:paraId="2F558E21" w14:textId="003A5FCF" w:rsidR="007500F8" w:rsidRPr="009C793F" w:rsidRDefault="007500F8" w:rsidP="00DE19C9">
      <w:pPr>
        <w:jc w:val="both"/>
        <w:rPr>
          <w:rFonts w:asciiTheme="minorHAnsi" w:hAnsiTheme="minorHAnsi" w:cstheme="minorHAnsi"/>
          <w:highlight w:val="white"/>
        </w:rPr>
      </w:pPr>
    </w:p>
    <w:p w14:paraId="5A7A372E" w14:textId="7AA67A95" w:rsidR="007500F8" w:rsidRPr="009C793F" w:rsidRDefault="007500F8" w:rsidP="00DE19C9">
      <w:pPr>
        <w:jc w:val="both"/>
        <w:rPr>
          <w:rFonts w:asciiTheme="minorHAnsi" w:hAnsiTheme="minorHAnsi" w:cstheme="minorHAnsi"/>
          <w:highlight w:val="white"/>
        </w:rPr>
      </w:pPr>
      <w:r w:rsidRPr="009C793F">
        <w:rPr>
          <w:rFonts w:asciiTheme="minorHAnsi" w:hAnsiTheme="minorHAnsi" w:cstheme="minorHAnsi"/>
          <w:highlight w:val="white"/>
        </w:rPr>
        <w:t xml:space="preserve">However, to date, Trinidad and Tobago relies on the Immigration Act 1969 and does not have a refugee and asylum law to meet the newly emerged circumstances of being a recipient of an influx of migrant and refugees. This gap in adapting to a contemporary legal framework has contributed to the issue of migrants and refugees being seen through a national security lens.  </w:t>
      </w:r>
    </w:p>
    <w:p w14:paraId="0000019B" w14:textId="77777777" w:rsidR="006B72B0" w:rsidRPr="009C793F" w:rsidRDefault="006B72B0" w:rsidP="00DE19C9">
      <w:pPr>
        <w:jc w:val="both"/>
        <w:rPr>
          <w:rFonts w:asciiTheme="minorHAnsi" w:hAnsiTheme="minorHAnsi" w:cstheme="minorHAnsi"/>
          <w:highlight w:val="white"/>
        </w:rPr>
      </w:pPr>
    </w:p>
    <w:p w14:paraId="79921328" w14:textId="6E8CA602" w:rsidR="007500F8"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highlight w:val="white"/>
        </w:rPr>
        <w:t xml:space="preserve">In the past five years, Trinidad and Tobago has seen a marked increase in the number of asylum seekers and refugees. In September 2015, </w:t>
      </w:r>
      <w:r w:rsidR="006D7035" w:rsidRPr="009C793F">
        <w:rPr>
          <w:rFonts w:asciiTheme="minorHAnsi" w:hAnsiTheme="minorHAnsi" w:cstheme="minorHAnsi"/>
          <w:color w:val="000000"/>
          <w:highlight w:val="white"/>
        </w:rPr>
        <w:t>UNHCR</w:t>
      </w:r>
      <w:r w:rsidRPr="009C793F">
        <w:rPr>
          <w:rFonts w:asciiTheme="minorHAnsi" w:hAnsiTheme="minorHAnsi" w:cstheme="minorHAnsi"/>
          <w:color w:val="000000"/>
          <w:highlight w:val="white"/>
        </w:rPr>
        <w:t xml:space="preserve"> reported 116 refugees and 78 asylum seekers.</w:t>
      </w:r>
      <w:r w:rsidRPr="009C793F">
        <w:rPr>
          <w:rFonts w:asciiTheme="minorHAnsi" w:hAnsiTheme="minorHAnsi" w:cstheme="minorHAnsi"/>
          <w:color w:val="000000"/>
          <w:highlight w:val="white"/>
          <w:vertAlign w:val="superscript"/>
        </w:rPr>
        <w:footnoteReference w:id="134"/>
      </w:r>
      <w:r w:rsidRPr="009C793F">
        <w:rPr>
          <w:rFonts w:asciiTheme="minorHAnsi" w:hAnsiTheme="minorHAnsi" w:cstheme="minorHAnsi"/>
          <w:color w:val="000000"/>
          <w:highlight w:val="white"/>
        </w:rPr>
        <w:t xml:space="preserve"> </w:t>
      </w:r>
      <w:r w:rsidRPr="009C793F">
        <w:rPr>
          <w:rFonts w:asciiTheme="minorHAnsi" w:hAnsiTheme="minorHAnsi" w:cstheme="minorHAnsi"/>
          <w:color w:val="000000"/>
        </w:rPr>
        <w:t>As of 31 October 2020, the active UNHCR registered population is 19,941 persons, of which 17,117 (85.8</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w:t>
      </w:r>
      <w:r w:rsidR="009C793F">
        <w:rPr>
          <w:rStyle w:val="FootnoteReference"/>
          <w:rFonts w:asciiTheme="minorHAnsi" w:hAnsiTheme="minorHAnsi" w:cstheme="minorHAnsi"/>
          <w:color w:val="000000"/>
        </w:rPr>
        <w:footnoteReference w:id="135"/>
      </w:r>
      <w:r w:rsidRPr="009C793F">
        <w:rPr>
          <w:rFonts w:asciiTheme="minorHAnsi" w:hAnsiTheme="minorHAnsi" w:cstheme="minorHAnsi"/>
          <w:color w:val="000000"/>
        </w:rPr>
        <w:t xml:space="preserve"> of these are Venezuelans</w:t>
      </w:r>
      <w:r w:rsidR="007500F8" w:rsidRPr="009C793F">
        <w:rPr>
          <w:rFonts w:asciiTheme="minorHAnsi" w:hAnsiTheme="minorHAnsi" w:cstheme="minorHAnsi"/>
          <w:color w:val="000000"/>
        </w:rPr>
        <w:t xml:space="preserve"> making Trinidad and Tobago the largest recipient of Venezuelan migrants and refugees in the Southern Caribbean. On a per capita basis, it is also among the top countries for refugees and migrants from Venezuela. </w:t>
      </w:r>
    </w:p>
    <w:p w14:paraId="07094417" w14:textId="77777777" w:rsidR="006D7035" w:rsidRPr="009C793F" w:rsidRDefault="006D7035" w:rsidP="00DE19C9">
      <w:pPr>
        <w:jc w:val="both"/>
        <w:rPr>
          <w:rFonts w:asciiTheme="minorHAnsi" w:hAnsiTheme="minorHAnsi" w:cstheme="minorHAnsi"/>
          <w:color w:val="000000"/>
        </w:rPr>
      </w:pPr>
    </w:p>
    <w:p w14:paraId="0000019E" w14:textId="1C8F0DFD"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color w:val="000000"/>
        </w:rPr>
        <w:t>The legal status is as follows: 2,938 refugees, 16,625 asylum-seekers and 378 other persons of concern. Out of them, 10,660 (53</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are male and 9,281 (47</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are female. There are 3,552 (17.8</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children (under 18) registered with UNHCR. The present caseload of asylum-seekers and refugees is comprised of individuals from 39 countries of origin</w:t>
      </w:r>
      <w:r w:rsidRPr="009C793F">
        <w:rPr>
          <w:rFonts w:asciiTheme="minorHAnsi" w:hAnsiTheme="minorHAnsi" w:cstheme="minorHAnsi"/>
        </w:rPr>
        <w:t>.</w:t>
      </w:r>
      <w:r w:rsidRPr="009C793F">
        <w:rPr>
          <w:rFonts w:asciiTheme="minorHAnsi" w:hAnsiTheme="minorHAnsi" w:cstheme="minorHAnsi"/>
          <w:color w:val="000000"/>
          <w:highlight w:val="white"/>
        </w:rPr>
        <w:t xml:space="preserve"> </w:t>
      </w:r>
    </w:p>
    <w:p w14:paraId="0000019F" w14:textId="77777777" w:rsidR="006B72B0" w:rsidRPr="009C793F" w:rsidRDefault="006B72B0" w:rsidP="00DE19C9">
      <w:pPr>
        <w:jc w:val="both"/>
        <w:rPr>
          <w:rFonts w:asciiTheme="minorHAnsi" w:hAnsiTheme="minorHAnsi" w:cstheme="minorHAnsi"/>
          <w:color w:val="000000"/>
          <w:highlight w:val="white"/>
        </w:rPr>
      </w:pPr>
    </w:p>
    <w:p w14:paraId="000001A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color w:val="000000"/>
          <w:highlight w:val="white"/>
        </w:rPr>
        <w:t>The numbers of asylum seekers are projected to rise to 24,000 by the end of 2020 and 30,000 in 2021.</w:t>
      </w:r>
      <w:r w:rsidRPr="009C793F">
        <w:rPr>
          <w:rFonts w:asciiTheme="minorHAnsi" w:hAnsiTheme="minorHAnsi" w:cstheme="minorHAnsi"/>
          <w:color w:val="000000"/>
          <w:highlight w:val="white"/>
          <w:vertAlign w:val="superscript"/>
        </w:rPr>
        <w:footnoteReference w:id="136"/>
      </w:r>
      <w:r w:rsidRPr="009C793F">
        <w:rPr>
          <w:rFonts w:asciiTheme="minorHAnsi" w:hAnsiTheme="minorHAnsi" w:cstheme="minorHAnsi"/>
          <w:color w:val="000000"/>
          <w:highlight w:val="white"/>
        </w:rPr>
        <w:t xml:space="preserve"> </w:t>
      </w:r>
      <w:r w:rsidRPr="009C793F">
        <w:rPr>
          <w:rFonts w:asciiTheme="minorHAnsi" w:hAnsiTheme="minorHAnsi" w:cstheme="minorHAnsi"/>
        </w:rPr>
        <w:t>In 2019, the Government conducted a registration exercise for Venezuelans allowing those who were documented to remain and work in Trinidad and Tobago. In total, 16,523 Venezuelans over 16 years old and 2,421 children were registered initially for one year and now extended to December 2020.</w:t>
      </w:r>
    </w:p>
    <w:p w14:paraId="000001A1" w14:textId="77777777" w:rsidR="006B72B0" w:rsidRPr="009C793F" w:rsidRDefault="006B72B0" w:rsidP="00DE19C9">
      <w:pPr>
        <w:jc w:val="both"/>
        <w:rPr>
          <w:rFonts w:asciiTheme="minorHAnsi" w:hAnsiTheme="minorHAnsi" w:cstheme="minorHAnsi"/>
        </w:rPr>
      </w:pPr>
    </w:p>
    <w:p w14:paraId="000001A2" w14:textId="2F80C248" w:rsidR="006B72B0" w:rsidRPr="00F21F4A" w:rsidRDefault="00845012" w:rsidP="00DE19C9">
      <w:pPr>
        <w:jc w:val="both"/>
        <w:rPr>
          <w:rFonts w:asciiTheme="minorHAnsi" w:hAnsiTheme="minorHAnsi" w:cstheme="minorHAnsi"/>
          <w:color w:val="000000"/>
          <w:highlight w:val="white"/>
        </w:rPr>
      </w:pPr>
      <w:r w:rsidRPr="00F21F4A">
        <w:rPr>
          <w:rFonts w:asciiTheme="minorHAnsi" w:hAnsiTheme="minorHAnsi" w:cstheme="minorHAnsi"/>
          <w:color w:val="000000"/>
          <w:highlight w:val="white"/>
        </w:rPr>
        <w:t>4.4.3. Protection concerns</w:t>
      </w:r>
    </w:p>
    <w:p w14:paraId="79AA2303" w14:textId="77777777" w:rsidR="00F21F4A" w:rsidRPr="009C793F" w:rsidRDefault="00F21F4A" w:rsidP="00DE19C9">
      <w:pPr>
        <w:jc w:val="both"/>
        <w:rPr>
          <w:rFonts w:asciiTheme="minorHAnsi" w:hAnsiTheme="minorHAnsi" w:cstheme="minorHAnsi"/>
          <w:color w:val="000000"/>
          <w:highlight w:val="white"/>
        </w:rPr>
      </w:pPr>
    </w:p>
    <w:p w14:paraId="000001A3" w14:textId="77777777"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color w:val="000000"/>
          <w:highlight w:val="white"/>
        </w:rPr>
        <w:t xml:space="preserve">Human trafficking remains a concern as the influx of Venezuelans render them vulnerable to trafficking, in particular young girls and women who can fall victim to sexual exploitation. </w:t>
      </w:r>
      <w:r w:rsidRPr="009C793F">
        <w:rPr>
          <w:rFonts w:asciiTheme="minorHAnsi" w:hAnsiTheme="minorHAnsi" w:cstheme="minorHAnsi"/>
          <w:color w:val="000000"/>
          <w:highlight w:val="white"/>
          <w:vertAlign w:val="superscript"/>
        </w:rPr>
        <w:footnoteReference w:id="137"/>
      </w:r>
      <w:r w:rsidRPr="009C793F">
        <w:rPr>
          <w:rFonts w:asciiTheme="minorHAnsi" w:hAnsiTheme="minorHAnsi" w:cstheme="minorHAnsi"/>
          <w:color w:val="000000"/>
          <w:highlight w:val="white"/>
        </w:rPr>
        <w:t>The Government, in recognition of efforts required to address human trafficking back in 2011, adopted the Trafficking in Persons Act 2011. This Act created the Counter-Trafficking Unit mandated with investigative powers to enable more effective action against human trafficking. However, the Unit faces several challenges including limited capacity and resources and reduced ties with international law enforcement agencies</w:t>
      </w:r>
      <w:r w:rsidRPr="009C793F">
        <w:rPr>
          <w:rFonts w:asciiTheme="minorHAnsi" w:hAnsiTheme="minorHAnsi" w:cstheme="minorHAnsi"/>
          <w:color w:val="000000"/>
          <w:highlight w:val="white"/>
          <w:vertAlign w:val="superscript"/>
        </w:rPr>
        <w:footnoteReference w:id="138"/>
      </w:r>
      <w:r w:rsidRPr="009C793F">
        <w:rPr>
          <w:rFonts w:asciiTheme="minorHAnsi" w:hAnsiTheme="minorHAnsi" w:cstheme="minorHAnsi"/>
          <w:color w:val="000000"/>
          <w:highlight w:val="white"/>
        </w:rPr>
        <w:t xml:space="preserve">. </w:t>
      </w:r>
    </w:p>
    <w:p w14:paraId="000001A4" w14:textId="77777777" w:rsidR="006B72B0" w:rsidRPr="009C793F" w:rsidRDefault="006B72B0" w:rsidP="00DE19C9">
      <w:pPr>
        <w:jc w:val="both"/>
        <w:rPr>
          <w:rFonts w:asciiTheme="minorHAnsi" w:hAnsiTheme="minorHAnsi" w:cstheme="minorHAnsi"/>
          <w:color w:val="000000"/>
          <w:highlight w:val="white"/>
        </w:rPr>
      </w:pPr>
    </w:p>
    <w:p w14:paraId="000001A5" w14:textId="62090838"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color w:val="000000"/>
          <w:highlight w:val="white"/>
        </w:rPr>
        <w:t>On refugees, Trinidad and Tobago acceded to the Refugee Convention but has yet to adopt domestic legislation to give effect to the protections and provisions in the convention. Legislative review is required as several current pieces of legislation are inconsistent with the convention. For instance, the Immigration Act which criminalizes irregular migration has led to the deportation of asylum seekers contrary to the obligations under the convention. Further, only citizens and residents are permitted to be enrolled in conventional schools. This is inconsistent with the right to education enshrined in international human rights law</w:t>
      </w:r>
      <w:r w:rsidR="009C793F">
        <w:rPr>
          <w:rFonts w:asciiTheme="minorHAnsi" w:hAnsiTheme="minorHAnsi" w:cstheme="minorHAnsi"/>
          <w:color w:val="000000"/>
          <w:highlight w:val="white"/>
        </w:rPr>
        <w:t>.</w:t>
      </w:r>
    </w:p>
    <w:p w14:paraId="000001A6" w14:textId="77777777" w:rsidR="006B72B0" w:rsidRPr="009C793F" w:rsidRDefault="006B72B0" w:rsidP="00DE19C9">
      <w:pPr>
        <w:jc w:val="both"/>
        <w:rPr>
          <w:rFonts w:asciiTheme="minorHAnsi" w:hAnsiTheme="minorHAnsi" w:cstheme="minorHAnsi"/>
          <w:color w:val="000000"/>
          <w:highlight w:val="white"/>
        </w:rPr>
      </w:pPr>
    </w:p>
    <w:p w14:paraId="000001A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2019, the Ministry of Health adopted the ‘Policy for Treating with Non-Nationals with Respect to the Provision of Public Healthcare Services’. The policy sets out that non-nationals can have access to the public health sector where they can receive emergency medical services, primary health care services for ante and post-natal care, and public health services, including for COVID-19 and HIV. However, this access does not extend to secondary and tertiary health care. </w:t>
      </w:r>
    </w:p>
    <w:p w14:paraId="000001A8" w14:textId="77777777" w:rsidR="006B72B0" w:rsidRPr="009C793F" w:rsidRDefault="006B72B0" w:rsidP="00DE19C9">
      <w:pPr>
        <w:jc w:val="both"/>
        <w:rPr>
          <w:rFonts w:asciiTheme="minorHAnsi" w:hAnsiTheme="minorHAnsi" w:cstheme="minorHAnsi"/>
        </w:rPr>
      </w:pPr>
    </w:p>
    <w:p w14:paraId="000001A9" w14:textId="3A8A4013" w:rsidR="006B72B0" w:rsidRPr="009C793F" w:rsidRDefault="00845012" w:rsidP="00DE19C9">
      <w:pPr>
        <w:jc w:val="both"/>
        <w:rPr>
          <w:rFonts w:asciiTheme="minorHAnsi" w:hAnsiTheme="minorHAnsi" w:cstheme="minorHAnsi"/>
          <w:color w:val="000000"/>
          <w:highlight w:val="white"/>
        </w:rPr>
      </w:pPr>
      <w:r w:rsidRPr="009C793F">
        <w:rPr>
          <w:rFonts w:asciiTheme="minorHAnsi" w:hAnsiTheme="minorHAnsi" w:cstheme="minorHAnsi"/>
        </w:rPr>
        <w:t>Without</w:t>
      </w:r>
      <w:r w:rsidRPr="009C793F">
        <w:rPr>
          <w:rFonts w:asciiTheme="minorHAnsi" w:hAnsiTheme="minorHAnsi" w:cstheme="minorHAnsi"/>
          <w:color w:val="000000"/>
          <w:highlight w:val="white"/>
        </w:rPr>
        <w:t xml:space="preserve"> an adequate protection framework, asylum seekers and refugees are in danger of being left out and their children are in danger of being left further behind. The impact of COVID-19 on migrant children makes the</w:t>
      </w:r>
      <w:sdt>
        <w:sdtPr>
          <w:rPr>
            <w:rFonts w:asciiTheme="minorHAnsi" w:hAnsiTheme="minorHAnsi" w:cstheme="minorHAnsi"/>
          </w:rPr>
          <w:tag w:val="goog_rdk_35"/>
          <w:id w:val="365097871"/>
        </w:sdtPr>
        <w:sdtContent>
          <w:r w:rsidRPr="009C793F">
            <w:rPr>
              <w:rFonts w:asciiTheme="minorHAnsi" w:hAnsiTheme="minorHAnsi" w:cstheme="minorHAnsi"/>
              <w:color w:val="000000"/>
              <w:highlight w:val="white"/>
            </w:rPr>
            <w:t>m</w:t>
          </w:r>
        </w:sdtContent>
      </w:sdt>
      <w:r w:rsidRPr="009C793F">
        <w:rPr>
          <w:rFonts w:asciiTheme="minorHAnsi" w:hAnsiTheme="minorHAnsi" w:cstheme="minorHAnsi"/>
          <w:color w:val="000000"/>
          <w:highlight w:val="white"/>
        </w:rPr>
        <w:t xml:space="preserve"> even more vulnerable as they are largely unable to access the economic and social protection programmes.</w:t>
      </w:r>
      <w:r w:rsidRPr="009C793F">
        <w:rPr>
          <w:rFonts w:asciiTheme="minorHAnsi" w:hAnsiTheme="minorHAnsi" w:cstheme="minorHAnsi"/>
          <w:color w:val="000000"/>
          <w:highlight w:val="white"/>
          <w:vertAlign w:val="superscript"/>
        </w:rPr>
        <w:footnoteReference w:id="139"/>
      </w:r>
      <w:r w:rsidRPr="009C793F">
        <w:rPr>
          <w:rFonts w:asciiTheme="minorHAnsi" w:hAnsiTheme="minorHAnsi" w:cstheme="minorHAnsi"/>
          <w:color w:val="000000"/>
          <w:highlight w:val="white"/>
        </w:rPr>
        <w:t xml:space="preserve"> </w:t>
      </w:r>
    </w:p>
    <w:p w14:paraId="000001AA" w14:textId="77777777" w:rsidR="006B72B0" w:rsidRPr="009C793F" w:rsidRDefault="006B72B0" w:rsidP="00DE19C9">
      <w:pPr>
        <w:jc w:val="both"/>
        <w:rPr>
          <w:rFonts w:asciiTheme="minorHAnsi" w:hAnsiTheme="minorHAnsi" w:cstheme="minorHAnsi"/>
          <w:color w:val="000000"/>
          <w:highlight w:val="white"/>
        </w:rPr>
      </w:pPr>
    </w:p>
    <w:p w14:paraId="000001AB" w14:textId="0F0E28A6" w:rsidR="006B72B0" w:rsidRDefault="00845012" w:rsidP="00DE19C9">
      <w:pPr>
        <w:jc w:val="both"/>
        <w:rPr>
          <w:rFonts w:asciiTheme="minorHAnsi" w:hAnsiTheme="minorHAnsi" w:cstheme="minorHAnsi"/>
          <w:b/>
          <w:color w:val="000000"/>
          <w:highlight w:val="white"/>
          <w:u w:val="single"/>
        </w:rPr>
      </w:pPr>
      <w:r w:rsidRPr="009C793F">
        <w:rPr>
          <w:rFonts w:asciiTheme="minorHAnsi" w:hAnsiTheme="minorHAnsi" w:cstheme="minorHAnsi"/>
          <w:b/>
          <w:color w:val="000000"/>
          <w:highlight w:val="white"/>
          <w:u w:val="single"/>
        </w:rPr>
        <w:t xml:space="preserve">4.5 Leaving No One Behind </w:t>
      </w:r>
    </w:p>
    <w:p w14:paraId="2D3A13D7" w14:textId="77777777" w:rsidR="00F21F4A" w:rsidRPr="009C793F" w:rsidRDefault="00F21F4A" w:rsidP="00DE19C9">
      <w:pPr>
        <w:jc w:val="both"/>
        <w:rPr>
          <w:rFonts w:asciiTheme="minorHAnsi" w:hAnsiTheme="minorHAnsi" w:cstheme="minorHAnsi"/>
          <w:b/>
          <w:color w:val="000000"/>
          <w:highlight w:val="white"/>
          <w:u w:val="single"/>
        </w:rPr>
      </w:pPr>
    </w:p>
    <w:p w14:paraId="000001A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color w:val="000000"/>
          <w:highlight w:val="white"/>
        </w:rPr>
        <w:t>4.5.1. Who is being left behind?</w:t>
      </w:r>
      <w:r w:rsidRPr="009C793F">
        <w:rPr>
          <w:rFonts w:asciiTheme="minorHAnsi" w:hAnsiTheme="minorHAnsi" w:cstheme="minorHAnsi"/>
        </w:rPr>
        <w:t xml:space="preserve"> </w:t>
      </w:r>
    </w:p>
    <w:p w14:paraId="38072C7F" w14:textId="77777777" w:rsidR="00F21F4A" w:rsidRDefault="00F21F4A" w:rsidP="00DE19C9">
      <w:pPr>
        <w:jc w:val="both"/>
        <w:rPr>
          <w:rFonts w:asciiTheme="minorHAnsi" w:hAnsiTheme="minorHAnsi" w:cstheme="minorHAnsi"/>
        </w:rPr>
      </w:pPr>
    </w:p>
    <w:p w14:paraId="000001AD" w14:textId="0642D104" w:rsidR="006B72B0" w:rsidRDefault="00845012" w:rsidP="00DE19C9">
      <w:pPr>
        <w:jc w:val="both"/>
        <w:rPr>
          <w:rFonts w:asciiTheme="minorHAnsi" w:hAnsiTheme="minorHAnsi" w:cstheme="minorHAnsi"/>
        </w:rPr>
      </w:pPr>
      <w:r w:rsidRPr="009C793F">
        <w:rPr>
          <w:rFonts w:asciiTheme="minorHAnsi" w:hAnsiTheme="minorHAnsi" w:cstheme="minorHAnsi"/>
        </w:rPr>
        <w:t xml:space="preserve">Through its Voluntary National Review, Trinidad and Tobago has identified the most vulnerable in society as the poor, children, women, persons with disabilities, ex-prisoners, the elderly, persons living with HIV and AIDS, deportees and the socially displaced. However, there are other groups that are being left behind that have not been acknowledged, for example, LGBTQI, asylum seekers and refugees. </w:t>
      </w:r>
    </w:p>
    <w:p w14:paraId="4C5947DD" w14:textId="77777777" w:rsidR="00F21F4A" w:rsidRPr="009C793F" w:rsidRDefault="00F21F4A" w:rsidP="00DE19C9">
      <w:pPr>
        <w:jc w:val="both"/>
        <w:rPr>
          <w:rFonts w:asciiTheme="minorHAnsi" w:hAnsiTheme="minorHAnsi" w:cstheme="minorHAnsi"/>
        </w:rPr>
      </w:pPr>
    </w:p>
    <w:p w14:paraId="2562AE68" w14:textId="77777777" w:rsidR="00F21F4A" w:rsidRDefault="00F21F4A" w:rsidP="00DE19C9">
      <w:pPr>
        <w:jc w:val="both"/>
        <w:rPr>
          <w:rFonts w:asciiTheme="minorHAnsi" w:hAnsiTheme="minorHAnsi" w:cstheme="minorHAnsi"/>
        </w:rPr>
      </w:pPr>
    </w:p>
    <w:p w14:paraId="3117D6A3" w14:textId="77777777" w:rsidR="00F21F4A" w:rsidRDefault="00F21F4A" w:rsidP="00DE19C9">
      <w:pPr>
        <w:jc w:val="both"/>
        <w:rPr>
          <w:rFonts w:asciiTheme="minorHAnsi" w:hAnsiTheme="minorHAnsi" w:cstheme="minorHAnsi"/>
        </w:rPr>
      </w:pPr>
    </w:p>
    <w:p w14:paraId="4D54AD37" w14:textId="77777777" w:rsidR="00F21F4A" w:rsidRDefault="00F21F4A" w:rsidP="00DE19C9">
      <w:pPr>
        <w:jc w:val="both"/>
        <w:rPr>
          <w:rFonts w:asciiTheme="minorHAnsi" w:hAnsiTheme="minorHAnsi" w:cstheme="minorHAnsi"/>
        </w:rPr>
      </w:pPr>
    </w:p>
    <w:p w14:paraId="000001AE" w14:textId="7A91FAEF"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4.5.2. Children </w:t>
      </w:r>
    </w:p>
    <w:p w14:paraId="6448D95E" w14:textId="77777777" w:rsidR="00F21F4A" w:rsidRDefault="00F21F4A" w:rsidP="00DE19C9">
      <w:pPr>
        <w:jc w:val="both"/>
        <w:rPr>
          <w:rFonts w:asciiTheme="minorHAnsi" w:hAnsiTheme="minorHAnsi" w:cstheme="minorHAnsi"/>
        </w:rPr>
      </w:pPr>
    </w:p>
    <w:p w14:paraId="000001AF" w14:textId="448603B4"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has made significant progress with respect to strengthening the legislative framework for children. In 2015, a package of children’s legislation was proclaimed to respond effectively to the needs of children, including the creation of a Children’s Authority whose mandate includes the responsibility for the care and protection of children, especially those who are at risk or have been victims of abuse or neglect. They also have an overarching role of advocating for the rights of children and ensuring that they can enjoy their childhood. </w:t>
      </w:r>
    </w:p>
    <w:p w14:paraId="000001B0" w14:textId="77777777" w:rsidR="006B72B0" w:rsidRPr="009C793F" w:rsidRDefault="006B72B0" w:rsidP="00DE19C9">
      <w:pPr>
        <w:jc w:val="both"/>
        <w:rPr>
          <w:rFonts w:asciiTheme="minorHAnsi" w:hAnsiTheme="minorHAnsi" w:cstheme="minorHAnsi"/>
        </w:rPr>
      </w:pPr>
    </w:p>
    <w:p w14:paraId="000001B1" w14:textId="6ECC2F75" w:rsidR="006B72B0" w:rsidRPr="009C793F" w:rsidRDefault="006D7035" w:rsidP="00DE19C9">
      <w:pPr>
        <w:jc w:val="both"/>
        <w:rPr>
          <w:rFonts w:asciiTheme="minorHAnsi" w:hAnsiTheme="minorHAnsi" w:cstheme="minorHAnsi"/>
        </w:rPr>
      </w:pPr>
      <w:r w:rsidRPr="009C793F">
        <w:rPr>
          <w:rFonts w:asciiTheme="minorHAnsi" w:hAnsiTheme="minorHAnsi" w:cstheme="minorHAnsi"/>
        </w:rPr>
        <w:t xml:space="preserve">In </w:t>
      </w:r>
      <w:r w:rsidR="00845012" w:rsidRPr="009C793F">
        <w:rPr>
          <w:rFonts w:asciiTheme="minorHAnsi" w:hAnsiTheme="minorHAnsi" w:cstheme="minorHAnsi"/>
        </w:rPr>
        <w:t>2018, the Children’s Authority received 4,451 reports of child abuse and neglect so there is still progress to be made in ensuring the adequate protection of children.</w:t>
      </w:r>
      <w:r w:rsidR="00845012" w:rsidRPr="009C793F">
        <w:rPr>
          <w:rFonts w:asciiTheme="minorHAnsi" w:hAnsiTheme="minorHAnsi" w:cstheme="minorHAnsi"/>
          <w:vertAlign w:val="superscript"/>
        </w:rPr>
        <w:footnoteReference w:id="140"/>
      </w:r>
      <w:r w:rsidR="00845012" w:rsidRPr="009C793F">
        <w:rPr>
          <w:rFonts w:asciiTheme="minorHAnsi" w:hAnsiTheme="minorHAnsi" w:cstheme="minorHAnsi"/>
        </w:rPr>
        <w:t xml:space="preserve"> In particular, the vulnerability of girls are reflected in the figures. More specifically, out of all the sexual abuse reports, girls account for 78.4</w:t>
      </w:r>
      <w:r w:rsidRPr="009C793F">
        <w:rPr>
          <w:rFonts w:asciiTheme="minorHAnsi" w:hAnsiTheme="minorHAnsi" w:cstheme="minorHAnsi"/>
        </w:rPr>
        <w:t xml:space="preserve"> per cent </w:t>
      </w:r>
      <w:r w:rsidR="00845012" w:rsidRPr="009C793F">
        <w:rPr>
          <w:rFonts w:asciiTheme="minorHAnsi" w:hAnsiTheme="minorHAnsi" w:cstheme="minorHAnsi"/>
        </w:rPr>
        <w:t>of the victims as compared to boys who account for 21.6</w:t>
      </w:r>
      <w:r w:rsidRPr="009C793F">
        <w:rPr>
          <w:rFonts w:asciiTheme="minorHAnsi" w:hAnsiTheme="minorHAnsi" w:cstheme="minorHAnsi"/>
        </w:rPr>
        <w:t xml:space="preserve"> per cent</w:t>
      </w:r>
      <w:r w:rsidR="00845012" w:rsidRPr="009C793F">
        <w:rPr>
          <w:rFonts w:asciiTheme="minorHAnsi" w:hAnsiTheme="minorHAnsi" w:cstheme="minorHAnsi"/>
        </w:rPr>
        <w:t>. In terms of neglect, 49.8</w:t>
      </w:r>
      <w:r w:rsidRPr="009C793F">
        <w:rPr>
          <w:rFonts w:asciiTheme="minorHAnsi" w:hAnsiTheme="minorHAnsi" w:cstheme="minorHAnsi"/>
        </w:rPr>
        <w:t xml:space="preserve"> per cent</w:t>
      </w:r>
      <w:r w:rsidR="00845012" w:rsidRPr="009C793F">
        <w:rPr>
          <w:rFonts w:asciiTheme="minorHAnsi" w:hAnsiTheme="minorHAnsi" w:cstheme="minorHAnsi"/>
        </w:rPr>
        <w:t xml:space="preserve"> of the victims are girls as opposed to 50.2</w:t>
      </w:r>
      <w:r w:rsidRPr="009C793F">
        <w:rPr>
          <w:rFonts w:asciiTheme="minorHAnsi" w:hAnsiTheme="minorHAnsi" w:cstheme="minorHAnsi"/>
        </w:rPr>
        <w:t xml:space="preserve"> per cent </w:t>
      </w:r>
      <w:r w:rsidR="00845012" w:rsidRPr="009C793F">
        <w:rPr>
          <w:rFonts w:asciiTheme="minorHAnsi" w:hAnsiTheme="minorHAnsi" w:cstheme="minorHAnsi"/>
        </w:rPr>
        <w:t>of boys and for reports of physical abuse, 50.9</w:t>
      </w:r>
      <w:r w:rsidRPr="009C793F">
        <w:rPr>
          <w:rFonts w:asciiTheme="minorHAnsi" w:hAnsiTheme="minorHAnsi" w:cstheme="minorHAnsi"/>
        </w:rPr>
        <w:t xml:space="preserve"> per cent </w:t>
      </w:r>
      <w:r w:rsidR="00845012" w:rsidRPr="009C793F">
        <w:rPr>
          <w:rFonts w:asciiTheme="minorHAnsi" w:hAnsiTheme="minorHAnsi" w:cstheme="minorHAnsi"/>
        </w:rPr>
        <w:t>of the victims are girls as compared to 49.1</w:t>
      </w:r>
      <w:r w:rsidRPr="009C793F">
        <w:rPr>
          <w:rFonts w:asciiTheme="minorHAnsi" w:hAnsiTheme="minorHAnsi" w:cstheme="minorHAnsi"/>
        </w:rPr>
        <w:t xml:space="preserve"> per cent</w:t>
      </w:r>
      <w:r w:rsidR="00845012" w:rsidRPr="009C793F">
        <w:rPr>
          <w:rFonts w:asciiTheme="minorHAnsi" w:hAnsiTheme="minorHAnsi" w:cstheme="minorHAnsi"/>
        </w:rPr>
        <w:t xml:space="preserve"> of boys.  Although, there is a legislative framework in place, efforts to eradicate child abuse are hampered by low arrest and conviction rates in proportion to the reported cases of child abuse. </w:t>
      </w:r>
    </w:p>
    <w:p w14:paraId="000001B2" w14:textId="77777777" w:rsidR="006B72B0" w:rsidRPr="009C793F" w:rsidRDefault="006B72B0" w:rsidP="00DE19C9">
      <w:pPr>
        <w:jc w:val="both"/>
        <w:rPr>
          <w:rFonts w:asciiTheme="minorHAnsi" w:hAnsiTheme="minorHAnsi" w:cstheme="minorHAnsi"/>
        </w:rPr>
      </w:pPr>
    </w:p>
    <w:p w14:paraId="000001B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October 2017, the Miscellaneous Provisions (Marriage) Act set the universal marriage age to 18 years old which was a recommendation from the Universal Periodic Review in 2016. This was one important step in safeguarding the future and well-being of girls. Going forward it will be important to undertake research and assessments to ensure that informal unions of those under the age of 18 are not taking place. </w:t>
      </w:r>
    </w:p>
    <w:p w14:paraId="000001B4" w14:textId="77777777" w:rsidR="006B72B0" w:rsidRPr="009C793F" w:rsidRDefault="006B72B0" w:rsidP="00DE19C9">
      <w:pPr>
        <w:jc w:val="both"/>
        <w:rPr>
          <w:rFonts w:asciiTheme="minorHAnsi" w:hAnsiTheme="minorHAnsi" w:cstheme="minorHAnsi"/>
        </w:rPr>
      </w:pPr>
    </w:p>
    <w:p w14:paraId="000001B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Trinidad and Tobago has ratified the Convention on the Rights of the Child, however, there has been no ratification of the optional protocols such as on the sale of children, child prostitution and child pornography.</w:t>
      </w:r>
    </w:p>
    <w:p w14:paraId="000001B6" w14:textId="77777777" w:rsidR="006B72B0" w:rsidRPr="009C793F" w:rsidRDefault="006B72B0" w:rsidP="00DE19C9">
      <w:pPr>
        <w:jc w:val="both"/>
        <w:rPr>
          <w:rFonts w:asciiTheme="minorHAnsi" w:hAnsiTheme="minorHAnsi" w:cstheme="minorHAnsi"/>
        </w:rPr>
      </w:pPr>
    </w:p>
    <w:p w14:paraId="000001B7" w14:textId="2034823B" w:rsidR="006B72B0" w:rsidRPr="009C793F" w:rsidRDefault="00845012" w:rsidP="00DE19C9">
      <w:pPr>
        <w:jc w:val="both"/>
        <w:rPr>
          <w:rFonts w:asciiTheme="minorHAnsi" w:hAnsiTheme="minorHAnsi" w:cstheme="minorHAnsi"/>
        </w:rPr>
      </w:pPr>
      <w:r w:rsidRPr="009C793F">
        <w:rPr>
          <w:rFonts w:asciiTheme="minorHAnsi" w:hAnsiTheme="minorHAnsi" w:cstheme="minorHAnsi"/>
        </w:rPr>
        <w:t>In terms of education, schools have migrated to virtual learning due to the pandemic, however, there are an estimated 65,000 students without laptops or connectivity and therefore, cannot participate effectively</w:t>
      </w:r>
      <w:r w:rsidRPr="009C793F">
        <w:rPr>
          <w:rFonts w:asciiTheme="minorHAnsi" w:hAnsiTheme="minorHAnsi" w:cstheme="minorHAnsi"/>
          <w:vertAlign w:val="superscript"/>
        </w:rPr>
        <w:footnoteReference w:id="141"/>
      </w:r>
      <w:r w:rsidRPr="009C793F">
        <w:rPr>
          <w:rFonts w:asciiTheme="minorHAnsi" w:hAnsiTheme="minorHAnsi" w:cstheme="minorHAnsi"/>
        </w:rPr>
        <w:t xml:space="preserve">.   Children affected by poverty and already likely to be left behind in a traditional school setting will undoubtedly face further hardship in fulfilling their right to education. Further, some children depend on the school feeding programme as a means of access to food and nutrition and without same, risk facing hunger. </w:t>
      </w:r>
      <w:r w:rsidR="006509DB" w:rsidRPr="009C793F">
        <w:rPr>
          <w:rFonts w:asciiTheme="minorHAnsi" w:hAnsiTheme="minorHAnsi" w:cstheme="minorHAnsi"/>
        </w:rPr>
        <w:t>To</w:t>
      </w:r>
      <w:r w:rsidRPr="009C793F">
        <w:rPr>
          <w:rFonts w:asciiTheme="minorHAnsi" w:hAnsiTheme="minorHAnsi" w:cstheme="minorHAnsi"/>
        </w:rPr>
        <w:t xml:space="preserve"> address this, the budget for fiscal year 2020/2021, has made provision for TT$50 million to purchase laptops for children who need them. It is estimated that approximately 3,500 refugee and asylum-seeking children currently do not have access to the public education system. The UN through the Equal Place project, a collaborative education initiative by UNICEF, UNCHR and local Non-Governmental Organisations are seeking to provide support. </w:t>
      </w:r>
    </w:p>
    <w:p w14:paraId="000001B8" w14:textId="77777777" w:rsidR="006B72B0" w:rsidRPr="009C793F" w:rsidRDefault="006B72B0" w:rsidP="00DE19C9">
      <w:pPr>
        <w:jc w:val="both"/>
        <w:rPr>
          <w:rFonts w:asciiTheme="minorHAnsi" w:hAnsiTheme="minorHAnsi" w:cstheme="minorHAnsi"/>
        </w:rPr>
      </w:pPr>
    </w:p>
    <w:p w14:paraId="000001B9" w14:textId="34F153EC"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Children in rural areas that are affected by poverty risk being in the category of those left furthest behind, especially in the areas of education and access to health. There is a likelihood that this risk is now compounded with COVID-19. However, geographical location is not the only risk factor, as those in urban dwellings that are affected by high crime rates also risk being left furthest behind as they may be subject to discriminatory policing practices and being discriminated against with respect to schooling choices and </w:t>
      </w:r>
      <w:r w:rsidR="006509DB" w:rsidRPr="009C793F">
        <w:rPr>
          <w:rFonts w:asciiTheme="minorHAnsi" w:hAnsiTheme="minorHAnsi" w:cstheme="minorHAnsi"/>
        </w:rPr>
        <w:t>later</w:t>
      </w:r>
      <w:r w:rsidRPr="009C793F">
        <w:rPr>
          <w:rFonts w:asciiTheme="minorHAnsi" w:hAnsiTheme="minorHAnsi" w:cstheme="minorHAnsi"/>
        </w:rPr>
        <w:t xml:space="preserve">, employment. </w:t>
      </w:r>
    </w:p>
    <w:p w14:paraId="000001BA" w14:textId="77777777" w:rsidR="006B72B0" w:rsidRPr="009C793F" w:rsidRDefault="006B72B0" w:rsidP="00DE19C9">
      <w:pPr>
        <w:jc w:val="both"/>
        <w:rPr>
          <w:rFonts w:asciiTheme="minorHAnsi" w:hAnsiTheme="minorHAnsi" w:cstheme="minorHAnsi"/>
        </w:rPr>
      </w:pPr>
    </w:p>
    <w:p w14:paraId="000001BB" w14:textId="2F266922" w:rsidR="006B72B0" w:rsidRDefault="00845012" w:rsidP="00DE19C9">
      <w:pPr>
        <w:jc w:val="both"/>
        <w:rPr>
          <w:rFonts w:asciiTheme="minorHAnsi" w:hAnsiTheme="minorHAnsi" w:cstheme="minorHAnsi"/>
        </w:rPr>
      </w:pPr>
      <w:r w:rsidRPr="009C793F">
        <w:rPr>
          <w:rFonts w:asciiTheme="minorHAnsi" w:hAnsiTheme="minorHAnsi" w:cstheme="minorHAnsi"/>
        </w:rPr>
        <w:t>The National Child Policy 2018-2028 was adopted</w:t>
      </w:r>
      <w:r w:rsidR="00230B19">
        <w:rPr>
          <w:rFonts w:asciiTheme="minorHAnsi" w:hAnsiTheme="minorHAnsi" w:cstheme="minorHAnsi"/>
        </w:rPr>
        <w:t xml:space="preserve"> and laid in Parliament.</w:t>
      </w:r>
      <w:r w:rsidRPr="009C793F">
        <w:rPr>
          <w:rFonts w:asciiTheme="minorHAnsi" w:hAnsiTheme="minorHAnsi" w:cstheme="minorHAnsi"/>
        </w:rPr>
        <w:t xml:space="preserve"> </w:t>
      </w:r>
      <w:r w:rsidR="00230B19">
        <w:rPr>
          <w:rFonts w:asciiTheme="minorHAnsi" w:hAnsiTheme="minorHAnsi" w:cstheme="minorHAnsi"/>
        </w:rPr>
        <w:t>It</w:t>
      </w:r>
      <w:r w:rsidRPr="009C793F">
        <w:rPr>
          <w:rFonts w:asciiTheme="minorHAnsi" w:hAnsiTheme="minorHAnsi" w:cstheme="minorHAnsi"/>
        </w:rPr>
        <w:t xml:space="preserve"> uses the SDG indicators as a reference to ensure the positive development and well-being of children. The policy has identified six areas of concern which are: early childhood development; social protection; health; special </w:t>
      </w:r>
      <w:r w:rsidR="00660966" w:rsidRPr="009C793F">
        <w:rPr>
          <w:rFonts w:asciiTheme="minorHAnsi" w:hAnsiTheme="minorHAnsi" w:cstheme="minorHAnsi"/>
        </w:rPr>
        <w:t>needs; education</w:t>
      </w:r>
      <w:r w:rsidRPr="009C793F">
        <w:rPr>
          <w:rFonts w:asciiTheme="minorHAnsi" w:hAnsiTheme="minorHAnsi" w:cstheme="minorHAnsi"/>
        </w:rPr>
        <w:t xml:space="preserve">; and child protection. Adequate implementation of the policy can have a positive impact on the outlook for ensuring children are not left behind. </w:t>
      </w:r>
    </w:p>
    <w:p w14:paraId="6F9BFBD7" w14:textId="77777777" w:rsidR="00F21F4A" w:rsidRPr="009C793F" w:rsidRDefault="00F21F4A" w:rsidP="00DE19C9">
      <w:pPr>
        <w:jc w:val="both"/>
        <w:rPr>
          <w:rFonts w:asciiTheme="minorHAnsi" w:hAnsiTheme="minorHAnsi" w:cstheme="minorHAnsi"/>
        </w:rPr>
      </w:pPr>
    </w:p>
    <w:p w14:paraId="000001B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4.5.3. Women </w:t>
      </w:r>
    </w:p>
    <w:p w14:paraId="3CABF554" w14:textId="77777777" w:rsidR="00F21F4A" w:rsidRDefault="00F21F4A" w:rsidP="00DE19C9">
      <w:pPr>
        <w:jc w:val="both"/>
        <w:rPr>
          <w:rFonts w:asciiTheme="minorHAnsi" w:hAnsiTheme="minorHAnsi" w:cstheme="minorHAnsi"/>
        </w:rPr>
      </w:pPr>
    </w:p>
    <w:p w14:paraId="000001BD" w14:textId="4E1953AD" w:rsidR="006B72B0" w:rsidRPr="009C793F" w:rsidRDefault="00845012" w:rsidP="00DE19C9">
      <w:pPr>
        <w:jc w:val="both"/>
        <w:rPr>
          <w:rFonts w:asciiTheme="minorHAnsi" w:hAnsiTheme="minorHAnsi" w:cstheme="minorHAnsi"/>
        </w:rPr>
      </w:pPr>
      <w:r w:rsidRPr="009C793F">
        <w:rPr>
          <w:rFonts w:asciiTheme="minorHAnsi" w:hAnsiTheme="minorHAnsi" w:cstheme="minorHAnsi"/>
        </w:rPr>
        <w:t>In Trinidad and Tobago, the National Policy on Gender and Development was adopted in 2018. It is being implemented by the Office of the Prime Minister (Gender and Child Affairs Unit) and it seeks to help eliminate barriers and promote gender equality. There has been progress including the establishment of a National Workplace Policy on Sexual Harassment and the creation of gender focal points across all Government and public sector activities. The focal points play an important role in ensuring a supportive policy environment and the creation of innovative and integrated approaches to closing gender gaps.</w:t>
      </w:r>
    </w:p>
    <w:p w14:paraId="1DAB4CE9" w14:textId="77777777" w:rsidR="00F21F4A" w:rsidRDefault="00F21F4A" w:rsidP="00DE19C9">
      <w:pPr>
        <w:jc w:val="both"/>
        <w:rPr>
          <w:rFonts w:asciiTheme="minorHAnsi" w:hAnsiTheme="minorHAnsi" w:cstheme="minorHAnsi"/>
        </w:rPr>
      </w:pPr>
    </w:p>
    <w:p w14:paraId="000001BF" w14:textId="2BEF7D6B" w:rsidR="006B72B0" w:rsidRDefault="00845012" w:rsidP="00DE19C9">
      <w:pPr>
        <w:jc w:val="both"/>
        <w:rPr>
          <w:rFonts w:asciiTheme="minorHAnsi" w:hAnsiTheme="minorHAnsi" w:cstheme="minorHAnsi"/>
        </w:rPr>
      </w:pPr>
      <w:r w:rsidRPr="009C793F">
        <w:rPr>
          <w:rFonts w:asciiTheme="minorHAnsi" w:hAnsiTheme="minorHAnsi" w:cstheme="minorHAnsi"/>
        </w:rPr>
        <w:t xml:space="preserve">With respect to representation in elected office, women accounted for 11 Members of Parliament out of 41 persons elected to the lower house. This represents a decrease from the 2015 Elections which saw 12 women elected as Members of Parliament. These figures are still below the target participation rate for women. However, the country continues to make progress in this area. </w:t>
      </w:r>
    </w:p>
    <w:p w14:paraId="5602F322" w14:textId="77777777" w:rsidR="008B3A8E" w:rsidRPr="009C793F" w:rsidRDefault="008B3A8E" w:rsidP="00DE19C9">
      <w:pPr>
        <w:jc w:val="both"/>
        <w:rPr>
          <w:rFonts w:asciiTheme="minorHAnsi" w:hAnsiTheme="minorHAnsi" w:cstheme="minorHAnsi"/>
        </w:rPr>
      </w:pPr>
    </w:p>
    <w:p w14:paraId="000001C0" w14:textId="5C65078A" w:rsidR="006B72B0" w:rsidRPr="009C793F" w:rsidRDefault="00845012" w:rsidP="00DE19C9">
      <w:pPr>
        <w:jc w:val="both"/>
        <w:rPr>
          <w:rFonts w:asciiTheme="minorHAnsi" w:hAnsiTheme="minorHAnsi" w:cstheme="minorHAnsi"/>
        </w:rPr>
      </w:pPr>
      <w:r w:rsidRPr="009C793F">
        <w:rPr>
          <w:rFonts w:asciiTheme="minorHAnsi" w:hAnsiTheme="minorHAnsi" w:cstheme="minorHAnsi"/>
        </w:rPr>
        <w:t>Gender-based violence continues to be an alarming occurrence in Trinidad and Tobago. According to the UN Women’s Gender-based violence in Trinidad and Tobago report 2018</w:t>
      </w:r>
      <w:r w:rsidRPr="009C793F">
        <w:rPr>
          <w:rFonts w:asciiTheme="minorHAnsi" w:hAnsiTheme="minorHAnsi" w:cstheme="minorHAnsi"/>
          <w:vertAlign w:val="superscript"/>
        </w:rPr>
        <w:footnoteReference w:id="142"/>
      </w:r>
      <w:r w:rsidRPr="009C793F">
        <w:rPr>
          <w:rFonts w:asciiTheme="minorHAnsi" w:hAnsiTheme="minorHAnsi" w:cstheme="minorHAnsi"/>
        </w:rPr>
        <w:t>, there were 19,078 reports of domestic violence made to the police between 2000 and 2013 and for that period, 131 domestic violence related deaths of which 56</w:t>
      </w:r>
      <w:r w:rsidR="006D7035" w:rsidRPr="009C793F">
        <w:rPr>
          <w:rFonts w:asciiTheme="minorHAnsi" w:hAnsiTheme="minorHAnsi" w:cstheme="minorHAnsi"/>
        </w:rPr>
        <w:t xml:space="preserve"> per cent </w:t>
      </w:r>
      <w:r w:rsidRPr="009C793F">
        <w:rPr>
          <w:rFonts w:asciiTheme="minorHAnsi" w:hAnsiTheme="minorHAnsi" w:cstheme="minorHAnsi"/>
        </w:rPr>
        <w:t xml:space="preserve">were female. The Domestic Violence Act has been amended and proclaimed in July 2020 and the protections have been extended to deal with the levels of domestic violence. The National Strategic Action Plan on Gender-Based Violence has not been </w:t>
      </w:r>
      <w:r w:rsidR="00660966" w:rsidRPr="009C793F">
        <w:rPr>
          <w:rFonts w:asciiTheme="minorHAnsi" w:hAnsiTheme="minorHAnsi" w:cstheme="minorHAnsi"/>
        </w:rPr>
        <w:t>adopted and</w:t>
      </w:r>
      <w:r w:rsidRPr="009C793F">
        <w:rPr>
          <w:rFonts w:asciiTheme="minorHAnsi" w:hAnsiTheme="minorHAnsi" w:cstheme="minorHAnsi"/>
        </w:rPr>
        <w:t xml:space="preserve"> has been under review since 2018. In terms of the </w:t>
      </w:r>
      <w:r w:rsidR="00FA57A0" w:rsidRPr="009C793F">
        <w:rPr>
          <w:rFonts w:asciiTheme="minorHAnsi" w:hAnsiTheme="minorHAnsi" w:cstheme="minorHAnsi"/>
        </w:rPr>
        <w:t>TTPS</w:t>
      </w:r>
      <w:r w:rsidRPr="009C793F">
        <w:rPr>
          <w:rFonts w:asciiTheme="minorHAnsi" w:hAnsiTheme="minorHAnsi" w:cstheme="minorHAnsi"/>
        </w:rPr>
        <w:t xml:space="preserve">, a Gender Based Violence Unit was launched in January 2020 and has commenced operations. </w:t>
      </w:r>
    </w:p>
    <w:p w14:paraId="0768FB07" w14:textId="77777777" w:rsidR="00F21F4A" w:rsidRDefault="00F21F4A" w:rsidP="00DE19C9">
      <w:pPr>
        <w:jc w:val="both"/>
        <w:rPr>
          <w:rFonts w:asciiTheme="minorHAnsi" w:hAnsiTheme="minorHAnsi" w:cstheme="minorHAnsi"/>
        </w:rPr>
      </w:pPr>
    </w:p>
    <w:p w14:paraId="000001C1" w14:textId="4FB254B8" w:rsidR="006B72B0" w:rsidRPr="009C793F" w:rsidRDefault="00845012" w:rsidP="00DE19C9">
      <w:pPr>
        <w:jc w:val="both"/>
        <w:rPr>
          <w:rFonts w:asciiTheme="minorHAnsi" w:hAnsiTheme="minorHAnsi" w:cstheme="minorHAnsi"/>
        </w:rPr>
      </w:pPr>
      <w:r w:rsidRPr="009C793F">
        <w:rPr>
          <w:rFonts w:asciiTheme="minorHAnsi" w:hAnsiTheme="minorHAnsi" w:cstheme="minorHAnsi"/>
        </w:rPr>
        <w:t>4.5.4. LGBTQI persons</w:t>
      </w:r>
    </w:p>
    <w:p w14:paraId="1070CE31" w14:textId="77777777" w:rsidR="00F21F4A" w:rsidRDefault="00F21F4A" w:rsidP="00DE19C9">
      <w:pPr>
        <w:jc w:val="both"/>
        <w:rPr>
          <w:rFonts w:asciiTheme="minorHAnsi" w:hAnsiTheme="minorHAnsi" w:cstheme="minorHAnsi"/>
        </w:rPr>
      </w:pPr>
    </w:p>
    <w:p w14:paraId="000001C2" w14:textId="6172E966"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Arising out of the Universal Periodic review conducted in 2016, Trinidad and Tobago noted, but did not support the recommendations relating to the protection of LGBTQI, including amending the Equal Opportunity legislation to protect against discrimination </w:t>
      </w:r>
      <w:r w:rsidR="006509DB" w:rsidRPr="009C793F">
        <w:rPr>
          <w:rFonts w:asciiTheme="minorHAnsi" w:hAnsiTheme="minorHAnsi" w:cstheme="minorHAnsi"/>
        </w:rPr>
        <w:t>based on</w:t>
      </w:r>
      <w:r w:rsidRPr="009C793F">
        <w:rPr>
          <w:rFonts w:asciiTheme="minorHAnsi" w:hAnsiTheme="minorHAnsi" w:cstheme="minorHAnsi"/>
        </w:rPr>
        <w:t xml:space="preserve"> sexual orientation and gender identity and the decriminalization of consensual same-sex relations. LGBTQI persons are not expressly acknowledged as a group left behind in the country’s Voluntary National Review. This can create a major risk factor for continued exclusion and discrimination. Gender policies do not include reference to this community. Same sex relationships are not covered under the Domestic Violence Act 2020. The Equal Opportunity Act was held to expressly deny protection to persons </w:t>
      </w:r>
      <w:r w:rsidR="006509DB" w:rsidRPr="009C793F">
        <w:rPr>
          <w:rFonts w:asciiTheme="minorHAnsi" w:hAnsiTheme="minorHAnsi" w:cstheme="minorHAnsi"/>
        </w:rPr>
        <w:t>based on</w:t>
      </w:r>
      <w:r w:rsidRPr="009C793F">
        <w:rPr>
          <w:rFonts w:asciiTheme="minorHAnsi" w:hAnsiTheme="minorHAnsi" w:cstheme="minorHAnsi"/>
        </w:rPr>
        <w:t xml:space="preserve"> their sexual orientation or preference. </w:t>
      </w:r>
      <w:r w:rsidRPr="009C793F">
        <w:rPr>
          <w:rFonts w:asciiTheme="minorHAnsi" w:hAnsiTheme="minorHAnsi" w:cstheme="minorHAnsi"/>
          <w:vertAlign w:val="superscript"/>
        </w:rPr>
        <w:footnoteReference w:id="143"/>
      </w:r>
      <w:r w:rsidRPr="009C793F">
        <w:rPr>
          <w:rFonts w:asciiTheme="minorHAnsi" w:hAnsiTheme="minorHAnsi" w:cstheme="minorHAnsi"/>
        </w:rPr>
        <w:t xml:space="preserve"> </w:t>
      </w:r>
    </w:p>
    <w:p w14:paraId="000001C3" w14:textId="77777777" w:rsidR="006B72B0" w:rsidRPr="009C793F" w:rsidRDefault="006B72B0" w:rsidP="00DE19C9">
      <w:pPr>
        <w:jc w:val="both"/>
        <w:rPr>
          <w:rFonts w:asciiTheme="minorHAnsi" w:hAnsiTheme="minorHAnsi" w:cstheme="minorHAnsi"/>
        </w:rPr>
      </w:pPr>
    </w:p>
    <w:p w14:paraId="000001C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 landmark judgment was given in the High Court of Trinidad and Tobago on 12</w:t>
      </w:r>
      <w:r w:rsidRPr="009C793F">
        <w:rPr>
          <w:rFonts w:asciiTheme="minorHAnsi" w:hAnsiTheme="minorHAnsi" w:cstheme="minorHAnsi"/>
          <w:vertAlign w:val="superscript"/>
        </w:rPr>
        <w:t>th</w:t>
      </w:r>
      <w:r w:rsidRPr="009C793F">
        <w:rPr>
          <w:rFonts w:asciiTheme="minorHAnsi" w:hAnsiTheme="minorHAnsi" w:cstheme="minorHAnsi"/>
        </w:rPr>
        <w:t xml:space="preserve"> April 2018 in the matter of Jason Jones.</w:t>
      </w:r>
      <w:r w:rsidRPr="009C793F">
        <w:rPr>
          <w:rFonts w:asciiTheme="minorHAnsi" w:hAnsiTheme="minorHAnsi" w:cstheme="minorHAnsi"/>
          <w:vertAlign w:val="superscript"/>
        </w:rPr>
        <w:footnoteReference w:id="144"/>
      </w:r>
      <w:r w:rsidRPr="009C793F">
        <w:rPr>
          <w:rFonts w:asciiTheme="minorHAnsi" w:hAnsiTheme="minorHAnsi" w:cstheme="minorHAnsi"/>
        </w:rPr>
        <w:t xml:space="preserve"> The judgment, which is currently being appealed by the State, ruled that the country’s laws which criminalize same sex relations are unconstitutional. Progress with respect to the rights of LGBTQI is intrinsically linked with litigation and judicial activism. </w:t>
      </w:r>
    </w:p>
    <w:p w14:paraId="4DEB4F7D" w14:textId="77777777" w:rsidR="00F21F4A" w:rsidRDefault="00F21F4A" w:rsidP="00DE19C9">
      <w:pPr>
        <w:jc w:val="both"/>
        <w:rPr>
          <w:rFonts w:asciiTheme="minorHAnsi" w:hAnsiTheme="minorHAnsi" w:cstheme="minorHAnsi"/>
        </w:rPr>
      </w:pPr>
    </w:p>
    <w:p w14:paraId="000001C5" w14:textId="52A2E300"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4.5.5. Persons with disabilities </w:t>
      </w:r>
    </w:p>
    <w:p w14:paraId="00BB4EA8" w14:textId="77777777" w:rsidR="00F21F4A" w:rsidRDefault="00F21F4A" w:rsidP="00DE19C9">
      <w:pPr>
        <w:jc w:val="both"/>
        <w:rPr>
          <w:rFonts w:asciiTheme="minorHAnsi" w:hAnsiTheme="minorHAnsi" w:cstheme="minorHAnsi"/>
        </w:rPr>
      </w:pPr>
    </w:p>
    <w:p w14:paraId="000001C6" w14:textId="57555C1B"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as a party to the Convention on the Rights of Persons with Disabilities is mandated to institute legislation and policies consistent with the provisions and principles of the Convention. Although there is a policy on persons with disabilities that identifies the areas of concerns and measures needed to ensure that persons with disabilities have full enjoyment to the human rights, national legislation has not yet been passed. </w:t>
      </w:r>
    </w:p>
    <w:p w14:paraId="2208AA96" w14:textId="77777777" w:rsidR="00F21F4A" w:rsidRDefault="00F21F4A" w:rsidP="00DE19C9">
      <w:pPr>
        <w:jc w:val="both"/>
        <w:rPr>
          <w:rFonts w:asciiTheme="minorHAnsi" w:hAnsiTheme="minorHAnsi" w:cstheme="minorHAnsi"/>
        </w:rPr>
      </w:pPr>
    </w:p>
    <w:p w14:paraId="000001C7" w14:textId="2CC52427" w:rsidR="006B72B0" w:rsidRPr="009C793F" w:rsidRDefault="00845012" w:rsidP="00DE19C9">
      <w:pPr>
        <w:jc w:val="both"/>
        <w:rPr>
          <w:rFonts w:asciiTheme="minorHAnsi" w:hAnsiTheme="minorHAnsi" w:cstheme="minorHAnsi"/>
        </w:rPr>
      </w:pPr>
      <w:r w:rsidRPr="009C793F">
        <w:rPr>
          <w:rFonts w:asciiTheme="minorHAnsi" w:hAnsiTheme="minorHAnsi" w:cstheme="minorHAnsi"/>
        </w:rPr>
        <w:t>Data from the last census</w:t>
      </w:r>
      <w:r w:rsidRPr="009C793F">
        <w:rPr>
          <w:rFonts w:asciiTheme="minorHAnsi" w:hAnsiTheme="minorHAnsi" w:cstheme="minorHAnsi"/>
          <w:vertAlign w:val="superscript"/>
        </w:rPr>
        <w:footnoteReference w:id="145"/>
      </w:r>
      <w:r w:rsidRPr="009C793F">
        <w:rPr>
          <w:rFonts w:asciiTheme="minorHAnsi" w:hAnsiTheme="minorHAnsi" w:cstheme="minorHAnsi"/>
        </w:rPr>
        <w:t xml:space="preserve"> conducted in 2011, revealed that there are 52,444 persons with disabilities in Trinidad and Tobago which accounts for approximately 4</w:t>
      </w:r>
      <w:r w:rsidR="006D7035" w:rsidRPr="009C793F">
        <w:rPr>
          <w:rFonts w:asciiTheme="minorHAnsi" w:hAnsiTheme="minorHAnsi" w:cstheme="minorHAnsi"/>
        </w:rPr>
        <w:t xml:space="preserve"> per cent</w:t>
      </w:r>
      <w:r w:rsidRPr="009C793F">
        <w:rPr>
          <w:rFonts w:asciiTheme="minorHAnsi" w:hAnsiTheme="minorHAnsi" w:cstheme="minorHAnsi"/>
        </w:rPr>
        <w:t xml:space="preserve"> of the population. The right to education for children with disabilities has still not been fully realized. According to the census, persons without disabilities have a 95</w:t>
      </w:r>
      <w:r w:rsidR="006D7035" w:rsidRPr="009C793F">
        <w:rPr>
          <w:rFonts w:asciiTheme="minorHAnsi" w:hAnsiTheme="minorHAnsi" w:cstheme="minorHAnsi"/>
        </w:rPr>
        <w:t xml:space="preserve"> per cent</w:t>
      </w:r>
      <w:r w:rsidRPr="009C793F">
        <w:rPr>
          <w:rFonts w:asciiTheme="minorHAnsi" w:hAnsiTheme="minorHAnsi" w:cstheme="minorHAnsi"/>
        </w:rPr>
        <w:t xml:space="preserve"> completion rate for primary school education and this number falls to 67</w:t>
      </w:r>
      <w:r w:rsidR="006D7035" w:rsidRPr="009C793F">
        <w:rPr>
          <w:rFonts w:asciiTheme="minorHAnsi" w:hAnsiTheme="minorHAnsi" w:cstheme="minorHAnsi"/>
        </w:rPr>
        <w:t xml:space="preserve"> per cent</w:t>
      </w:r>
      <w:r w:rsidRPr="009C793F">
        <w:rPr>
          <w:rFonts w:asciiTheme="minorHAnsi" w:hAnsiTheme="minorHAnsi" w:cstheme="minorHAnsi"/>
        </w:rPr>
        <w:t xml:space="preserve"> for persons with disabilities. </w:t>
      </w:r>
    </w:p>
    <w:p w14:paraId="000001C8" w14:textId="77777777" w:rsidR="006B72B0" w:rsidRPr="009C793F" w:rsidRDefault="006B72B0" w:rsidP="00DE19C9">
      <w:pPr>
        <w:jc w:val="both"/>
        <w:rPr>
          <w:rFonts w:asciiTheme="minorHAnsi" w:hAnsiTheme="minorHAnsi" w:cstheme="minorHAnsi"/>
        </w:rPr>
      </w:pPr>
    </w:p>
    <w:p w14:paraId="000001C9" w14:textId="41D104AA" w:rsidR="006B72B0" w:rsidRPr="009C793F" w:rsidRDefault="00845012" w:rsidP="00DE19C9">
      <w:pPr>
        <w:jc w:val="both"/>
        <w:rPr>
          <w:rFonts w:asciiTheme="minorHAnsi" w:hAnsiTheme="minorHAnsi" w:cstheme="minorHAnsi"/>
        </w:rPr>
      </w:pPr>
      <w:r w:rsidRPr="009C793F">
        <w:rPr>
          <w:rFonts w:asciiTheme="minorHAnsi" w:hAnsiTheme="minorHAnsi" w:cstheme="minorHAnsi"/>
        </w:rPr>
        <w:t>Another issue remains the lack of physical access as roadways, buildings are not always accessible to those with disabilities. There is no protection framework against discrimination for persons with disabilities as they cannot seek redress via the Equal Opportunity Commission if an employer</w:t>
      </w:r>
      <w:r w:rsidR="008B3A8E">
        <w:rPr>
          <w:rFonts w:asciiTheme="minorHAnsi" w:hAnsiTheme="minorHAnsi" w:cstheme="minorHAnsi"/>
        </w:rPr>
        <w:t xml:space="preserve"> or educational institution</w:t>
      </w:r>
      <w:r w:rsidRPr="009C793F">
        <w:rPr>
          <w:rFonts w:asciiTheme="minorHAnsi" w:hAnsiTheme="minorHAnsi" w:cstheme="minorHAnsi"/>
        </w:rPr>
        <w:t xml:space="preserve"> is not making the necessary accommodation.</w:t>
      </w:r>
    </w:p>
    <w:p w14:paraId="2773569D" w14:textId="77777777" w:rsidR="00F21F4A" w:rsidRDefault="00F21F4A" w:rsidP="00DE19C9">
      <w:pPr>
        <w:jc w:val="both"/>
        <w:rPr>
          <w:rFonts w:asciiTheme="minorHAnsi" w:hAnsiTheme="minorHAnsi" w:cstheme="minorHAnsi"/>
        </w:rPr>
      </w:pPr>
    </w:p>
    <w:p w14:paraId="000001CA" w14:textId="4185073C" w:rsidR="006B72B0" w:rsidRPr="009C793F" w:rsidRDefault="00845012" w:rsidP="00DE19C9">
      <w:pPr>
        <w:jc w:val="both"/>
        <w:rPr>
          <w:rFonts w:asciiTheme="minorHAnsi" w:hAnsiTheme="minorHAnsi" w:cstheme="minorHAnsi"/>
        </w:rPr>
      </w:pPr>
      <w:r w:rsidRPr="009C793F">
        <w:rPr>
          <w:rFonts w:asciiTheme="minorHAnsi" w:hAnsiTheme="minorHAnsi" w:cstheme="minorHAnsi"/>
        </w:rPr>
        <w:t>4.5.6. Persons living with HIV and AIDS</w:t>
      </w:r>
    </w:p>
    <w:p w14:paraId="22B86257" w14:textId="77777777" w:rsidR="00F21F4A" w:rsidRDefault="00F21F4A" w:rsidP="00DE19C9">
      <w:pPr>
        <w:jc w:val="both"/>
        <w:rPr>
          <w:rFonts w:asciiTheme="minorHAnsi" w:hAnsiTheme="minorHAnsi" w:cstheme="minorHAnsi"/>
        </w:rPr>
      </w:pPr>
    </w:p>
    <w:p w14:paraId="000001CB" w14:textId="0ECE7DAF" w:rsidR="006B72B0" w:rsidRPr="009C793F" w:rsidRDefault="00845012" w:rsidP="00DE19C9">
      <w:pPr>
        <w:jc w:val="both"/>
        <w:rPr>
          <w:rFonts w:asciiTheme="minorHAnsi" w:hAnsiTheme="minorHAnsi" w:cstheme="minorHAnsi"/>
        </w:rPr>
      </w:pPr>
      <w:r w:rsidRPr="009C793F">
        <w:rPr>
          <w:rFonts w:asciiTheme="minorHAnsi" w:hAnsiTheme="minorHAnsi" w:cstheme="minorHAnsi"/>
        </w:rPr>
        <w:t>UNAIDS estimates there are 11,000 persons living with HIV/AIDS in Trinidad and Tobago</w:t>
      </w:r>
      <w:r w:rsidRPr="009C793F">
        <w:rPr>
          <w:rFonts w:asciiTheme="minorHAnsi" w:hAnsiTheme="minorHAnsi" w:cstheme="minorHAnsi"/>
          <w:vertAlign w:val="superscript"/>
        </w:rPr>
        <w:footnoteReference w:id="146"/>
      </w:r>
      <w:r w:rsidRPr="009C793F">
        <w:rPr>
          <w:rFonts w:asciiTheme="minorHAnsi" w:hAnsiTheme="minorHAnsi" w:cstheme="minorHAnsi"/>
        </w:rPr>
        <w:t xml:space="preserve">.  Persons living with HIV are sometimes at the intersection of the exclusion factors, as they face discrimination, may not be adequately protected by the Equal Opportunity legislation, socio-economic status and their vulnerability to shocks. </w:t>
      </w:r>
    </w:p>
    <w:p w14:paraId="000001CC" w14:textId="77777777" w:rsidR="006B72B0" w:rsidRPr="009C793F" w:rsidRDefault="006B72B0" w:rsidP="00DE19C9">
      <w:pPr>
        <w:jc w:val="both"/>
        <w:rPr>
          <w:rFonts w:asciiTheme="minorHAnsi" w:hAnsiTheme="minorHAnsi" w:cstheme="minorHAnsi"/>
        </w:rPr>
      </w:pPr>
    </w:p>
    <w:p w14:paraId="000001C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Trinidad and Tobago supported the UPR recommendation to build state capacity to develop policy and programmatic responses to address the needs of people living with HIV and AIDS. The recommendation was to ensure the right to health of persons living with HIV, through the strengthening of inter-institutional coordination, the establishment of programmes to make available essential medicines, as well as strategies to address the increased rate of infection by HIV and new infections among adolescents and young women. However, there is still progress to be made in this area. There is now a draft HIV and AIDS policy which has to be finalized. </w:t>
      </w:r>
    </w:p>
    <w:p w14:paraId="49E68C26" w14:textId="77777777" w:rsidR="00F21F4A" w:rsidRDefault="00845012" w:rsidP="00DE19C9">
      <w:pPr>
        <w:jc w:val="both"/>
        <w:rPr>
          <w:rFonts w:asciiTheme="minorHAnsi" w:hAnsiTheme="minorHAnsi" w:cstheme="minorHAnsi"/>
          <w:b/>
        </w:rPr>
      </w:pPr>
      <w:r w:rsidRPr="009C793F">
        <w:rPr>
          <w:rFonts w:asciiTheme="minorHAnsi" w:hAnsiTheme="minorHAnsi" w:cstheme="minorHAnsi"/>
        </w:rPr>
        <w:br w:type="page"/>
      </w:r>
      <w:r w:rsidRPr="009C793F">
        <w:rPr>
          <w:rFonts w:asciiTheme="minorHAnsi" w:hAnsiTheme="minorHAnsi" w:cstheme="minorHAnsi"/>
          <w:b/>
        </w:rPr>
        <w:t xml:space="preserve">CHAPTER </w:t>
      </w:r>
      <w:r w:rsidR="0053010E" w:rsidRPr="009C793F">
        <w:rPr>
          <w:rFonts w:asciiTheme="minorHAnsi" w:hAnsiTheme="minorHAnsi" w:cstheme="minorHAnsi"/>
          <w:b/>
        </w:rPr>
        <w:t>FIVE</w:t>
      </w:r>
      <w:r w:rsidR="0053010E" w:rsidRPr="009C793F">
        <w:rPr>
          <w:rFonts w:asciiTheme="minorHAnsi" w:hAnsiTheme="minorHAnsi" w:cstheme="minorHAnsi"/>
          <w:b/>
        </w:rPr>
        <w:tab/>
      </w:r>
      <w:r w:rsidR="0053010E" w:rsidRPr="009C793F">
        <w:rPr>
          <w:rFonts w:asciiTheme="minorHAnsi" w:hAnsiTheme="minorHAnsi" w:cstheme="minorHAnsi"/>
          <w:b/>
        </w:rPr>
        <w:tab/>
      </w:r>
    </w:p>
    <w:p w14:paraId="629BC2D3" w14:textId="77777777" w:rsidR="00F21F4A" w:rsidRDefault="00F21F4A" w:rsidP="00DE19C9">
      <w:pPr>
        <w:jc w:val="both"/>
        <w:rPr>
          <w:rFonts w:asciiTheme="minorHAnsi" w:hAnsiTheme="minorHAnsi" w:cstheme="minorHAnsi"/>
          <w:b/>
        </w:rPr>
      </w:pPr>
    </w:p>
    <w:p w14:paraId="000001CE" w14:textId="472806DC" w:rsidR="006B72B0" w:rsidRPr="009C793F" w:rsidRDefault="0053010E" w:rsidP="00DE19C9">
      <w:pPr>
        <w:jc w:val="both"/>
        <w:rPr>
          <w:rFonts w:asciiTheme="minorHAnsi" w:hAnsiTheme="minorHAnsi" w:cstheme="minorHAnsi"/>
          <w:b/>
        </w:rPr>
      </w:pPr>
      <w:r w:rsidRPr="009C793F">
        <w:rPr>
          <w:rFonts w:asciiTheme="minorHAnsi" w:hAnsiTheme="minorHAnsi" w:cstheme="minorHAnsi"/>
          <w:b/>
        </w:rPr>
        <w:t>ENVIRONMENT, CLIMATE ACTION AND RISK REDUCTION</w:t>
      </w:r>
      <w:r w:rsidR="00845012" w:rsidRPr="009C793F">
        <w:rPr>
          <w:rFonts w:asciiTheme="minorHAnsi" w:hAnsiTheme="minorHAnsi" w:cstheme="minorHAnsi"/>
          <w:b/>
        </w:rPr>
        <w:t xml:space="preserve"> </w:t>
      </w:r>
    </w:p>
    <w:p w14:paraId="000001CF" w14:textId="77777777" w:rsidR="006B72B0" w:rsidRPr="009C793F" w:rsidRDefault="006B72B0" w:rsidP="00DE19C9">
      <w:pPr>
        <w:jc w:val="both"/>
        <w:rPr>
          <w:rFonts w:asciiTheme="minorHAnsi" w:hAnsiTheme="minorHAnsi" w:cstheme="minorHAnsi"/>
          <w:b/>
        </w:rPr>
      </w:pPr>
    </w:p>
    <w:p w14:paraId="000001D0" w14:textId="77777777" w:rsidR="006B72B0" w:rsidRPr="009C793F" w:rsidRDefault="00845012" w:rsidP="00DE19C9">
      <w:pPr>
        <w:keepNext/>
        <w:keepLines/>
        <w:jc w:val="both"/>
        <w:rPr>
          <w:rFonts w:asciiTheme="minorHAnsi" w:hAnsiTheme="minorHAnsi" w:cstheme="minorHAnsi"/>
          <w:b/>
        </w:rPr>
      </w:pPr>
      <w:r w:rsidRPr="009C793F">
        <w:rPr>
          <w:rFonts w:asciiTheme="minorHAnsi" w:hAnsiTheme="minorHAnsi" w:cstheme="minorHAnsi"/>
          <w:b/>
        </w:rPr>
        <w:t>5.1 Background</w:t>
      </w:r>
      <w:r w:rsidRPr="009C793F">
        <w:rPr>
          <w:rFonts w:asciiTheme="minorHAnsi" w:hAnsiTheme="minorHAnsi" w:cstheme="minorHAnsi"/>
          <w:b/>
        </w:rPr>
        <w:tab/>
      </w:r>
    </w:p>
    <w:p w14:paraId="3FCA18D9" w14:textId="77777777" w:rsidR="00F21F4A" w:rsidRDefault="00F21F4A" w:rsidP="00DE19C9">
      <w:pPr>
        <w:keepNext/>
        <w:keepLines/>
        <w:jc w:val="both"/>
        <w:rPr>
          <w:rFonts w:asciiTheme="minorHAnsi" w:hAnsiTheme="minorHAnsi" w:cstheme="minorHAnsi"/>
          <w:color w:val="000000"/>
        </w:rPr>
      </w:pPr>
    </w:p>
    <w:p w14:paraId="000001D1" w14:textId="0C8E07B3" w:rsidR="006B72B0" w:rsidRPr="009C793F" w:rsidRDefault="00845012" w:rsidP="00DE19C9">
      <w:pPr>
        <w:keepNext/>
        <w:keepLines/>
        <w:jc w:val="both"/>
        <w:rPr>
          <w:rFonts w:asciiTheme="minorHAnsi" w:hAnsiTheme="minorHAnsi" w:cstheme="minorHAnsi"/>
          <w:b/>
        </w:rPr>
      </w:pPr>
      <w:r w:rsidRPr="009C793F">
        <w:rPr>
          <w:rFonts w:asciiTheme="minorHAnsi" w:hAnsiTheme="minorHAnsi" w:cstheme="minorHAnsi"/>
          <w:color w:val="000000"/>
        </w:rPr>
        <w:t>Trinidad and Tobago’s Vision 2030 accords high priority to the area of climate change and environment with its ambitions consistent with SDG 13. This area is one of the five main themes with the objective of “Placing the Environment at the Centre of Social and Economic Development.”</w:t>
      </w:r>
      <w:r w:rsidRPr="009C793F">
        <w:rPr>
          <w:rFonts w:asciiTheme="minorHAnsi" w:hAnsiTheme="minorHAnsi" w:cstheme="minorHAnsi"/>
          <w:color w:val="000000"/>
          <w:vertAlign w:val="superscript"/>
        </w:rPr>
        <w:footnoteReference w:id="147"/>
      </w:r>
      <w:r w:rsidRPr="009C793F">
        <w:rPr>
          <w:rFonts w:asciiTheme="minorHAnsi" w:hAnsiTheme="minorHAnsi" w:cstheme="minorHAnsi"/>
          <w:color w:val="000000"/>
        </w:rPr>
        <w:t xml:space="preserve"> Vision 2030 enunciates five main goals for this sector: </w:t>
      </w:r>
    </w:p>
    <w:p w14:paraId="000001D2" w14:textId="77777777" w:rsidR="006B72B0" w:rsidRPr="009C793F" w:rsidRDefault="006B72B0" w:rsidP="00DE19C9">
      <w:pPr>
        <w:jc w:val="both"/>
        <w:rPr>
          <w:rFonts w:asciiTheme="minorHAnsi" w:hAnsiTheme="minorHAnsi" w:cstheme="minorHAnsi"/>
        </w:rPr>
      </w:pPr>
    </w:p>
    <w:p w14:paraId="000001D3" w14:textId="77777777" w:rsidR="006B72B0" w:rsidRPr="009C793F" w:rsidRDefault="00845012" w:rsidP="00DE19C9">
      <w:pPr>
        <w:numPr>
          <w:ilvl w:val="0"/>
          <w:numId w:val="6"/>
        </w:num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 xml:space="preserve">Goal 1: Environmental governance and management systems strengthened </w:t>
      </w:r>
    </w:p>
    <w:p w14:paraId="000001D4" w14:textId="77777777" w:rsidR="006B72B0" w:rsidRPr="009C793F" w:rsidRDefault="00845012" w:rsidP="00DE19C9">
      <w:pPr>
        <w:numPr>
          <w:ilvl w:val="0"/>
          <w:numId w:val="6"/>
        </w:num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 xml:space="preserve">Goal 2: Carbon footprint reduced </w:t>
      </w:r>
    </w:p>
    <w:p w14:paraId="000001D5" w14:textId="77777777" w:rsidR="006B72B0" w:rsidRPr="009C793F" w:rsidRDefault="00845012" w:rsidP="00DE19C9">
      <w:pPr>
        <w:numPr>
          <w:ilvl w:val="0"/>
          <w:numId w:val="6"/>
        </w:num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 xml:space="preserve">Goal 3: Climate vulnerability assessed  </w:t>
      </w:r>
    </w:p>
    <w:p w14:paraId="000001D6" w14:textId="77777777" w:rsidR="006B72B0" w:rsidRPr="009C793F" w:rsidRDefault="00845012" w:rsidP="00DE19C9">
      <w:pPr>
        <w:numPr>
          <w:ilvl w:val="0"/>
          <w:numId w:val="6"/>
        </w:num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 xml:space="preserve">Goal 4: Comprehensive waste and pollution management systems created </w:t>
      </w:r>
    </w:p>
    <w:p w14:paraId="000001D7" w14:textId="77777777" w:rsidR="006B72B0" w:rsidRPr="009C793F" w:rsidRDefault="00845012" w:rsidP="00DE19C9">
      <w:pPr>
        <w:numPr>
          <w:ilvl w:val="0"/>
          <w:numId w:val="6"/>
        </w:numPr>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color w:val="000000"/>
        </w:rPr>
        <w:t>Goal 5: Natural management improved</w:t>
      </w:r>
    </w:p>
    <w:p w14:paraId="000001D8" w14:textId="77777777" w:rsidR="006B72B0" w:rsidRPr="009C793F" w:rsidRDefault="006B72B0" w:rsidP="00DE19C9">
      <w:pPr>
        <w:jc w:val="both"/>
        <w:rPr>
          <w:rFonts w:asciiTheme="minorHAnsi" w:hAnsiTheme="minorHAnsi" w:cstheme="minorHAnsi"/>
          <w:color w:val="000000"/>
        </w:rPr>
      </w:pPr>
    </w:p>
    <w:p w14:paraId="000001D9" w14:textId="4A31FAD8" w:rsidR="006B72B0" w:rsidRPr="009C793F" w:rsidRDefault="00845012" w:rsidP="00DE19C9">
      <w:pPr>
        <w:jc w:val="both"/>
        <w:rPr>
          <w:rFonts w:asciiTheme="minorHAnsi" w:hAnsiTheme="minorHAnsi" w:cstheme="minorHAnsi"/>
        </w:rPr>
      </w:pPr>
      <w:r w:rsidRPr="009C793F">
        <w:rPr>
          <w:rFonts w:asciiTheme="minorHAnsi" w:hAnsiTheme="minorHAnsi" w:cstheme="minorHAnsi"/>
          <w:color w:val="000000"/>
        </w:rPr>
        <w:t>Trinidad and Tobago’s V</w:t>
      </w:r>
      <w:r w:rsidR="00E021E6" w:rsidRPr="009C793F">
        <w:rPr>
          <w:rFonts w:asciiTheme="minorHAnsi" w:hAnsiTheme="minorHAnsi" w:cstheme="minorHAnsi"/>
          <w:color w:val="000000"/>
        </w:rPr>
        <w:t>NR</w:t>
      </w:r>
      <w:r w:rsidRPr="009C793F">
        <w:rPr>
          <w:rFonts w:asciiTheme="minorHAnsi" w:hAnsiTheme="minorHAnsi" w:cstheme="minorHAnsi"/>
          <w:color w:val="000000"/>
        </w:rPr>
        <w:t xml:space="preserve"> </w:t>
      </w:r>
      <w:r w:rsidR="00830A62" w:rsidRPr="009C793F">
        <w:rPr>
          <w:rFonts w:asciiTheme="minorHAnsi" w:hAnsiTheme="minorHAnsi" w:cstheme="minorHAnsi"/>
          <w:color w:val="000000"/>
        </w:rPr>
        <w:t>cited the policy framework on</w:t>
      </w:r>
      <w:r w:rsidRPr="009C793F">
        <w:rPr>
          <w:rFonts w:asciiTheme="minorHAnsi" w:hAnsiTheme="minorHAnsi" w:cstheme="minorHAnsi"/>
          <w:color w:val="000000"/>
        </w:rPr>
        <w:t xml:space="preserve"> climate change</w:t>
      </w:r>
      <w:r w:rsidR="00830A62" w:rsidRPr="009C793F">
        <w:rPr>
          <w:rFonts w:asciiTheme="minorHAnsi" w:hAnsiTheme="minorHAnsi" w:cstheme="minorHAnsi"/>
          <w:color w:val="000000"/>
        </w:rPr>
        <w:t xml:space="preserve"> including</w:t>
      </w:r>
      <w:r w:rsidRPr="009C793F">
        <w:rPr>
          <w:rFonts w:asciiTheme="minorHAnsi" w:hAnsiTheme="minorHAnsi" w:cstheme="minorHAnsi"/>
        </w:rPr>
        <w:t xml:space="preserve"> the National Climate Change Policy (2011), the Carbon Reduction Strategy (2015), the N</w:t>
      </w:r>
      <w:r w:rsidR="00830A62" w:rsidRPr="009C793F">
        <w:rPr>
          <w:rFonts w:asciiTheme="minorHAnsi" w:hAnsiTheme="minorHAnsi" w:cstheme="minorHAnsi"/>
        </w:rPr>
        <w:t>ationally Determined Contributions (N</w:t>
      </w:r>
      <w:r w:rsidRPr="009C793F">
        <w:rPr>
          <w:rFonts w:asciiTheme="minorHAnsi" w:hAnsiTheme="minorHAnsi" w:cstheme="minorHAnsi"/>
        </w:rPr>
        <w:t>DC</w:t>
      </w:r>
      <w:r w:rsidR="00830A62" w:rsidRPr="009C793F">
        <w:rPr>
          <w:rFonts w:asciiTheme="minorHAnsi" w:hAnsiTheme="minorHAnsi" w:cstheme="minorHAnsi"/>
        </w:rPr>
        <w:t>)</w:t>
      </w:r>
      <w:r w:rsidRPr="009C793F">
        <w:rPr>
          <w:rFonts w:asciiTheme="minorHAnsi" w:hAnsiTheme="minorHAnsi" w:cstheme="minorHAnsi"/>
        </w:rPr>
        <w:t xml:space="preserve"> under the Paris Agreement and its Implementation Plan (SDG 13.2). </w:t>
      </w:r>
    </w:p>
    <w:p w14:paraId="2F560EFE" w14:textId="77777777" w:rsidR="00F21F4A" w:rsidRDefault="00845012" w:rsidP="00DE19C9">
      <w:pPr>
        <w:keepNext/>
        <w:keepLines/>
        <w:jc w:val="both"/>
        <w:rPr>
          <w:rFonts w:asciiTheme="minorHAnsi" w:hAnsiTheme="minorHAnsi" w:cstheme="minorHAnsi"/>
        </w:rPr>
      </w:pPr>
      <w:r w:rsidRPr="009C793F">
        <w:rPr>
          <w:rFonts w:asciiTheme="minorHAnsi" w:hAnsiTheme="minorHAnsi" w:cstheme="minorHAnsi"/>
        </w:rPr>
        <w:t>The V</w:t>
      </w:r>
      <w:r w:rsidR="00E021E6" w:rsidRPr="009C793F">
        <w:rPr>
          <w:rFonts w:asciiTheme="minorHAnsi" w:hAnsiTheme="minorHAnsi" w:cstheme="minorHAnsi"/>
        </w:rPr>
        <w:t>NR</w:t>
      </w:r>
      <w:r w:rsidRPr="009C793F">
        <w:rPr>
          <w:rFonts w:asciiTheme="minorHAnsi" w:hAnsiTheme="minorHAnsi" w:cstheme="minorHAnsi"/>
        </w:rPr>
        <w:t xml:space="preserve"> further </w:t>
      </w:r>
      <w:r w:rsidR="00830A62" w:rsidRPr="009C793F">
        <w:rPr>
          <w:rFonts w:asciiTheme="minorHAnsi" w:hAnsiTheme="minorHAnsi" w:cstheme="minorHAnsi"/>
        </w:rPr>
        <w:t>stated</w:t>
      </w:r>
      <w:r w:rsidRPr="009C793F">
        <w:rPr>
          <w:rFonts w:asciiTheme="minorHAnsi" w:hAnsiTheme="minorHAnsi" w:cstheme="minorHAnsi"/>
        </w:rPr>
        <w:t xml:space="preserve"> that in terms of NDCs, Trinidad and Tobago</w:t>
      </w:r>
      <w:r w:rsidR="00830A62" w:rsidRPr="009C793F">
        <w:rPr>
          <w:rFonts w:asciiTheme="minorHAnsi" w:hAnsiTheme="minorHAnsi" w:cstheme="minorHAnsi"/>
        </w:rPr>
        <w:t xml:space="preserve"> is</w:t>
      </w:r>
      <w:r w:rsidRPr="009C793F">
        <w:rPr>
          <w:rFonts w:asciiTheme="minorHAnsi" w:hAnsiTheme="minorHAnsi" w:cstheme="minorHAnsi"/>
        </w:rPr>
        <w:t xml:space="preserve"> commit</w:t>
      </w:r>
      <w:r w:rsidR="00830A62" w:rsidRPr="009C793F">
        <w:rPr>
          <w:rFonts w:asciiTheme="minorHAnsi" w:hAnsiTheme="minorHAnsi" w:cstheme="minorHAnsi"/>
        </w:rPr>
        <w:t>ted</w:t>
      </w:r>
      <w:r w:rsidRPr="009C793F">
        <w:rPr>
          <w:rFonts w:asciiTheme="minorHAnsi" w:hAnsiTheme="minorHAnsi" w:cstheme="minorHAnsi"/>
        </w:rPr>
        <w:t xml:space="preserve"> to:</w:t>
      </w:r>
    </w:p>
    <w:p w14:paraId="000001DA" w14:textId="659C1171" w:rsidR="006B72B0" w:rsidRPr="009C793F" w:rsidRDefault="00845012" w:rsidP="00DE19C9">
      <w:pPr>
        <w:keepNext/>
        <w:keepLines/>
        <w:jc w:val="both"/>
        <w:rPr>
          <w:rFonts w:asciiTheme="minorHAnsi" w:hAnsiTheme="minorHAnsi" w:cstheme="minorHAnsi"/>
        </w:rPr>
      </w:pPr>
      <w:r w:rsidRPr="009C793F">
        <w:rPr>
          <w:rFonts w:asciiTheme="minorHAnsi" w:hAnsiTheme="minorHAnsi" w:cstheme="minorHAnsi"/>
        </w:rPr>
        <w:t xml:space="preserve"> </w:t>
      </w:r>
    </w:p>
    <w:p w14:paraId="000001DB" w14:textId="77777777" w:rsidR="006B72B0" w:rsidRPr="009C793F" w:rsidRDefault="00845012" w:rsidP="00DE19C9">
      <w:pPr>
        <w:keepNext/>
        <w:keepLines/>
        <w:ind w:left="360"/>
        <w:jc w:val="both"/>
        <w:rPr>
          <w:rFonts w:asciiTheme="minorHAnsi" w:hAnsiTheme="minorHAnsi" w:cstheme="minorHAnsi"/>
        </w:rPr>
      </w:pPr>
      <w:r w:rsidRPr="009C793F">
        <w:rPr>
          <w:rFonts w:asciiTheme="minorHAnsi" w:hAnsiTheme="minorHAnsi" w:cstheme="minorHAnsi"/>
        </w:rPr>
        <w:t>• A 15 per cent reduction in overall cumulative emissions from the three main emitting sectors – electricity generation, industry, and transportation – by 2030 from a BAU scenario, to 103 Metric tonnes of Carbon Dioxide equivalent (MtCO2e); and</w:t>
      </w:r>
    </w:p>
    <w:p w14:paraId="000001DC" w14:textId="77777777" w:rsidR="006B72B0" w:rsidRPr="009C793F" w:rsidRDefault="00845012" w:rsidP="00DE19C9">
      <w:pPr>
        <w:keepNext/>
        <w:keepLines/>
        <w:ind w:left="360"/>
        <w:jc w:val="both"/>
        <w:rPr>
          <w:rFonts w:asciiTheme="minorHAnsi" w:hAnsiTheme="minorHAnsi" w:cstheme="minorHAnsi"/>
        </w:rPr>
      </w:pPr>
      <w:r w:rsidRPr="009C793F">
        <w:rPr>
          <w:rFonts w:asciiTheme="minorHAnsi" w:hAnsiTheme="minorHAnsi" w:cstheme="minorHAnsi"/>
        </w:rPr>
        <w:t xml:space="preserve"> • An unconditional reduction in public transportation emissions by 30 per cent or 1.7 MtCO2e compared to 2013 levels by 2030. </w:t>
      </w:r>
    </w:p>
    <w:p w14:paraId="000001DD" w14:textId="62824CC9" w:rsidR="006B72B0" w:rsidRPr="009C793F" w:rsidRDefault="00845012" w:rsidP="00DE19C9">
      <w:pPr>
        <w:keepNext/>
        <w:keepLines/>
        <w:ind w:left="360"/>
        <w:jc w:val="both"/>
        <w:rPr>
          <w:rFonts w:asciiTheme="minorHAnsi" w:hAnsiTheme="minorHAnsi" w:cstheme="minorHAnsi"/>
        </w:rPr>
      </w:pPr>
      <w:r w:rsidRPr="009C793F">
        <w:rPr>
          <w:rFonts w:asciiTheme="minorHAnsi" w:hAnsiTheme="minorHAnsi" w:cstheme="minorHAnsi"/>
        </w:rPr>
        <w:t>The V</w:t>
      </w:r>
      <w:r w:rsidR="00830A62" w:rsidRPr="009C793F">
        <w:rPr>
          <w:rFonts w:asciiTheme="minorHAnsi" w:hAnsiTheme="minorHAnsi" w:cstheme="minorHAnsi"/>
        </w:rPr>
        <w:t>NR</w:t>
      </w:r>
      <w:r w:rsidRPr="009C793F">
        <w:rPr>
          <w:rFonts w:asciiTheme="minorHAnsi" w:hAnsiTheme="minorHAnsi" w:cstheme="minorHAnsi"/>
        </w:rPr>
        <w:t xml:space="preserve"> estimate</w:t>
      </w:r>
      <w:r w:rsidR="00830A62" w:rsidRPr="009C793F">
        <w:rPr>
          <w:rFonts w:asciiTheme="minorHAnsi" w:hAnsiTheme="minorHAnsi" w:cstheme="minorHAnsi"/>
        </w:rPr>
        <w:t>d</w:t>
      </w:r>
      <w:r w:rsidRPr="009C793F">
        <w:rPr>
          <w:rFonts w:asciiTheme="minorHAnsi" w:hAnsiTheme="minorHAnsi" w:cstheme="minorHAnsi"/>
        </w:rPr>
        <w:t xml:space="preserve"> the cost of implementation of the NDC a</w:t>
      </w:r>
      <w:r w:rsidR="00830A62" w:rsidRPr="009C793F">
        <w:rPr>
          <w:rFonts w:asciiTheme="minorHAnsi" w:hAnsiTheme="minorHAnsi" w:cstheme="minorHAnsi"/>
        </w:rPr>
        <w:t xml:space="preserve">t </w:t>
      </w:r>
      <w:r w:rsidRPr="009C793F">
        <w:rPr>
          <w:rFonts w:asciiTheme="minorHAnsi" w:hAnsiTheme="minorHAnsi" w:cstheme="minorHAnsi"/>
        </w:rPr>
        <w:t>US$2 billion, which is expected to be met partly through domestic funding, and is conditional on accessing international climate financing, such as from the</w:t>
      </w:r>
      <w:r w:rsidR="006D7035" w:rsidRPr="009C793F">
        <w:rPr>
          <w:rFonts w:asciiTheme="minorHAnsi" w:hAnsiTheme="minorHAnsi" w:cstheme="minorHAnsi"/>
        </w:rPr>
        <w:t xml:space="preserve"> GCF</w:t>
      </w:r>
      <w:r w:rsidRPr="009C793F">
        <w:rPr>
          <w:rFonts w:asciiTheme="minorHAnsi" w:hAnsiTheme="minorHAnsi" w:cstheme="minorHAnsi"/>
        </w:rPr>
        <w:t>. Th</w:t>
      </w:r>
      <w:r w:rsidR="00830A62" w:rsidRPr="009C793F">
        <w:rPr>
          <w:rFonts w:asciiTheme="minorHAnsi" w:hAnsiTheme="minorHAnsi" w:cstheme="minorHAnsi"/>
        </w:rPr>
        <w:t xml:space="preserve">is </w:t>
      </w:r>
      <w:r w:rsidRPr="009C793F">
        <w:rPr>
          <w:rFonts w:asciiTheme="minorHAnsi" w:hAnsiTheme="minorHAnsi" w:cstheme="minorHAnsi"/>
        </w:rPr>
        <w:t>will require innovati</w:t>
      </w:r>
      <w:r w:rsidR="00830A62" w:rsidRPr="009C793F">
        <w:rPr>
          <w:rFonts w:asciiTheme="minorHAnsi" w:hAnsiTheme="minorHAnsi" w:cstheme="minorHAnsi"/>
        </w:rPr>
        <w:t>ve</w:t>
      </w:r>
      <w:r w:rsidRPr="009C793F">
        <w:rPr>
          <w:rFonts w:asciiTheme="minorHAnsi" w:hAnsiTheme="minorHAnsi" w:cstheme="minorHAnsi"/>
        </w:rPr>
        <w:t xml:space="preserve"> approaches to accessing finance and a greater role of national stakeholders such as the private sector through public private partnerships. </w:t>
      </w:r>
    </w:p>
    <w:p w14:paraId="2E1C8243" w14:textId="77777777" w:rsidR="00F21F4A" w:rsidRDefault="00F21F4A" w:rsidP="00DE19C9">
      <w:pPr>
        <w:keepNext/>
        <w:keepLines/>
        <w:jc w:val="both"/>
        <w:rPr>
          <w:rFonts w:asciiTheme="minorHAnsi" w:hAnsiTheme="minorHAnsi" w:cstheme="minorHAnsi"/>
          <w:b/>
        </w:rPr>
      </w:pPr>
    </w:p>
    <w:p w14:paraId="000001DE" w14:textId="1389F22E" w:rsidR="006B72B0" w:rsidRPr="009C793F" w:rsidRDefault="00845012" w:rsidP="00DE19C9">
      <w:pPr>
        <w:keepNext/>
        <w:keepLines/>
        <w:jc w:val="both"/>
        <w:rPr>
          <w:rFonts w:asciiTheme="minorHAnsi" w:hAnsiTheme="minorHAnsi" w:cstheme="minorHAnsi"/>
          <w:b/>
        </w:rPr>
      </w:pPr>
      <w:r w:rsidRPr="009C793F">
        <w:rPr>
          <w:rFonts w:asciiTheme="minorHAnsi" w:hAnsiTheme="minorHAnsi" w:cstheme="minorHAnsi"/>
          <w:b/>
        </w:rPr>
        <w:t xml:space="preserve">5.2 Environment and </w:t>
      </w:r>
      <w:r w:rsidR="00D54E8F" w:rsidRPr="009C793F">
        <w:rPr>
          <w:rFonts w:asciiTheme="minorHAnsi" w:hAnsiTheme="minorHAnsi" w:cstheme="minorHAnsi"/>
          <w:b/>
        </w:rPr>
        <w:t>Sustainable Natural Resource Management</w:t>
      </w:r>
    </w:p>
    <w:p w14:paraId="166A9E74" w14:textId="77777777" w:rsidR="00F21F4A" w:rsidRDefault="00F21F4A" w:rsidP="00DE19C9">
      <w:pPr>
        <w:jc w:val="both"/>
        <w:rPr>
          <w:rFonts w:asciiTheme="minorHAnsi" w:hAnsiTheme="minorHAnsi" w:cstheme="minorHAnsi"/>
          <w:color w:val="000000"/>
        </w:rPr>
      </w:pPr>
    </w:p>
    <w:p w14:paraId="000001DF" w14:textId="16BE1CFC"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Over the last three decades Trinidad and Tobago achieved </w:t>
      </w:r>
      <w:r w:rsidRPr="009C793F">
        <w:rPr>
          <w:rFonts w:asciiTheme="minorHAnsi" w:hAnsiTheme="minorHAnsi" w:cstheme="minorHAnsi"/>
          <w:b/>
          <w:color w:val="000000"/>
        </w:rPr>
        <w:t>relative decoupling</w:t>
      </w:r>
      <w:r w:rsidRPr="009C793F">
        <w:rPr>
          <w:rFonts w:asciiTheme="minorHAnsi" w:hAnsiTheme="minorHAnsi" w:cstheme="minorHAnsi"/>
          <w:b/>
          <w:color w:val="000000"/>
          <w:vertAlign w:val="superscript"/>
        </w:rPr>
        <w:footnoteReference w:id="148"/>
      </w:r>
      <w:r w:rsidRPr="009C793F">
        <w:rPr>
          <w:rFonts w:asciiTheme="minorHAnsi" w:hAnsiTheme="minorHAnsi" w:cstheme="minorHAnsi"/>
          <w:color w:val="000000"/>
        </w:rPr>
        <w:t xml:space="preserve"> between its economic development and raw material consumption. Given the reliance on the oil and gas sector, growth occurred alongside increased natural resources’ extraction of an estimated 40</w:t>
      </w:r>
      <w:r w:rsidR="006D7035" w:rsidRPr="009C793F">
        <w:rPr>
          <w:rFonts w:asciiTheme="minorHAnsi" w:hAnsiTheme="minorHAnsi" w:cstheme="minorHAnsi"/>
          <w:color w:val="000000"/>
        </w:rPr>
        <w:t xml:space="preserve"> per cent </w:t>
      </w:r>
      <w:r w:rsidRPr="009C793F">
        <w:rPr>
          <w:rFonts w:asciiTheme="minorHAnsi" w:hAnsiTheme="minorHAnsi" w:cstheme="minorHAnsi"/>
          <w:color w:val="000000"/>
        </w:rPr>
        <w:t>over the same period (UNEP-IRP, 2020</w:t>
      </w:r>
      <w:r w:rsidRPr="009C793F">
        <w:rPr>
          <w:rFonts w:asciiTheme="minorHAnsi" w:hAnsiTheme="minorHAnsi" w:cstheme="minorHAnsi"/>
          <w:color w:val="000000"/>
          <w:vertAlign w:val="superscript"/>
        </w:rPr>
        <w:footnoteReference w:id="149"/>
      </w:r>
      <w:r w:rsidRPr="009C793F">
        <w:rPr>
          <w:rFonts w:asciiTheme="minorHAnsi" w:hAnsiTheme="minorHAnsi" w:cstheme="minorHAnsi"/>
          <w:color w:val="000000"/>
        </w:rPr>
        <w:t>; World Bank, 2020)</w:t>
      </w:r>
      <w:r w:rsidRPr="009C793F">
        <w:rPr>
          <w:rFonts w:asciiTheme="minorHAnsi" w:hAnsiTheme="minorHAnsi" w:cstheme="minorHAnsi"/>
          <w:color w:val="000000"/>
          <w:vertAlign w:val="superscript"/>
        </w:rPr>
        <w:footnoteReference w:id="150"/>
      </w:r>
      <w:r w:rsidRPr="009C793F">
        <w:rPr>
          <w:rFonts w:asciiTheme="minorHAnsi" w:hAnsiTheme="minorHAnsi" w:cstheme="minorHAnsi"/>
          <w:color w:val="000000"/>
        </w:rPr>
        <w:t xml:space="preserve">.  </w:t>
      </w:r>
      <w:r w:rsidR="00003C23" w:rsidRPr="009C793F">
        <w:rPr>
          <w:rFonts w:asciiTheme="minorHAnsi" w:hAnsiTheme="minorHAnsi" w:cstheme="minorHAnsi"/>
          <w:color w:val="000000"/>
        </w:rPr>
        <w:t>T</w:t>
      </w:r>
      <w:r w:rsidRPr="009C793F">
        <w:rPr>
          <w:rFonts w:asciiTheme="minorHAnsi" w:hAnsiTheme="minorHAnsi" w:cstheme="minorHAnsi"/>
          <w:color w:val="000000"/>
        </w:rPr>
        <w:t>he national material consumption rate more than doubled under the same period</w:t>
      </w:r>
      <w:r w:rsidR="00A85C7E" w:rsidRPr="009C793F">
        <w:rPr>
          <w:rFonts w:asciiTheme="minorHAnsi" w:hAnsiTheme="minorHAnsi" w:cstheme="minorHAnsi"/>
          <w:color w:val="000000"/>
        </w:rPr>
        <w:t>.</w:t>
      </w:r>
      <w:r w:rsidR="00003C23" w:rsidRPr="009C793F">
        <w:rPr>
          <w:rStyle w:val="FootnoteReference"/>
          <w:rFonts w:asciiTheme="minorHAnsi" w:hAnsiTheme="minorHAnsi" w:cstheme="minorHAnsi"/>
          <w:color w:val="000000"/>
        </w:rPr>
        <w:footnoteReference w:id="151"/>
      </w:r>
      <w:r w:rsidRPr="009C793F">
        <w:rPr>
          <w:rFonts w:asciiTheme="minorHAnsi" w:hAnsiTheme="minorHAnsi" w:cstheme="minorHAnsi"/>
          <w:color w:val="000000"/>
        </w:rPr>
        <w:t xml:space="preserve"> </w:t>
      </w:r>
    </w:p>
    <w:p w14:paraId="000001E0" w14:textId="77777777" w:rsidR="006B72B0" w:rsidRPr="009C793F" w:rsidRDefault="006B72B0" w:rsidP="00DE19C9">
      <w:pPr>
        <w:jc w:val="both"/>
        <w:rPr>
          <w:rFonts w:asciiTheme="minorHAnsi" w:hAnsiTheme="minorHAnsi" w:cstheme="minorHAnsi"/>
          <w:color w:val="000000"/>
        </w:rPr>
      </w:pPr>
    </w:p>
    <w:p w14:paraId="000001E1" w14:textId="07FAAC88"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Trinidad and Tobago is one of the 5 countries in the L</w:t>
      </w:r>
      <w:r w:rsidR="008B0E32" w:rsidRPr="009C793F">
        <w:rPr>
          <w:rFonts w:asciiTheme="minorHAnsi" w:hAnsiTheme="minorHAnsi" w:cstheme="minorHAnsi"/>
          <w:color w:val="000000"/>
        </w:rPr>
        <w:t>AC</w:t>
      </w:r>
      <w:r w:rsidRPr="009C793F">
        <w:rPr>
          <w:rFonts w:asciiTheme="minorHAnsi" w:hAnsiTheme="minorHAnsi" w:cstheme="minorHAnsi"/>
          <w:color w:val="000000"/>
        </w:rPr>
        <w:t xml:space="preserve"> where over 50</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of exports are related to fuel</w:t>
      </w:r>
      <w:r w:rsidRPr="009C793F">
        <w:rPr>
          <w:rFonts w:asciiTheme="minorHAnsi" w:hAnsiTheme="minorHAnsi" w:cstheme="minorHAnsi"/>
          <w:color w:val="000000"/>
          <w:vertAlign w:val="superscript"/>
        </w:rPr>
        <w:footnoteReference w:id="152"/>
      </w:r>
      <w:r w:rsidRPr="009C793F">
        <w:rPr>
          <w:rFonts w:asciiTheme="minorHAnsi" w:hAnsiTheme="minorHAnsi" w:cstheme="minorHAnsi"/>
          <w:color w:val="000000"/>
        </w:rPr>
        <w:t>. The revenues generated by the oil and gas sector since the first “oil shock” of 1975 enabled Trinidad and Tobago to adopt a generous subsidy policy for local consumers of fossil fuels. Trinidad and Tobago also has one of the lowest electricity rates in the Region.</w:t>
      </w:r>
      <w:r w:rsidR="008B0E32" w:rsidRPr="009C793F">
        <w:rPr>
          <w:rFonts w:asciiTheme="minorHAnsi" w:hAnsiTheme="minorHAnsi" w:cstheme="minorHAnsi"/>
          <w:color w:val="000000"/>
        </w:rPr>
        <w:t xml:space="preserve"> Given the fiscal challenges</w:t>
      </w:r>
      <w:r w:rsidRPr="009C793F">
        <w:rPr>
          <w:rFonts w:asciiTheme="minorHAnsi" w:hAnsiTheme="minorHAnsi" w:cstheme="minorHAnsi"/>
          <w:color w:val="000000"/>
        </w:rPr>
        <w:t xml:space="preserve"> over the last five years and now exacerbated by COVID-19, the</w:t>
      </w:r>
      <w:r w:rsidR="008B0E32" w:rsidRPr="009C793F">
        <w:rPr>
          <w:rFonts w:asciiTheme="minorHAnsi" w:hAnsiTheme="minorHAnsi" w:cstheme="minorHAnsi"/>
          <w:color w:val="000000"/>
        </w:rPr>
        <w:t xml:space="preserve"> 2021 budget removed gasoline subsidies.</w:t>
      </w:r>
      <w:r w:rsidRPr="009C793F">
        <w:rPr>
          <w:rFonts w:asciiTheme="minorHAnsi" w:hAnsiTheme="minorHAnsi" w:cstheme="minorHAnsi"/>
          <w:color w:val="000000"/>
          <w:vertAlign w:val="superscript"/>
        </w:rPr>
        <w:footnoteReference w:id="153"/>
      </w:r>
      <w:r w:rsidRPr="009C793F">
        <w:rPr>
          <w:rFonts w:asciiTheme="minorHAnsi" w:hAnsiTheme="minorHAnsi" w:cstheme="minorHAnsi"/>
          <w:color w:val="000000"/>
        </w:rPr>
        <w:t xml:space="preserve"> </w:t>
      </w:r>
    </w:p>
    <w:p w14:paraId="000001E2" w14:textId="77777777" w:rsidR="006B72B0" w:rsidRPr="009C793F" w:rsidRDefault="006B72B0" w:rsidP="00DE19C9">
      <w:pPr>
        <w:jc w:val="both"/>
        <w:rPr>
          <w:rFonts w:asciiTheme="minorHAnsi" w:hAnsiTheme="minorHAnsi" w:cstheme="minorHAnsi"/>
          <w:color w:val="000000"/>
        </w:rPr>
      </w:pPr>
    </w:p>
    <w:p w14:paraId="000001E3" w14:textId="2E4588AE"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There is recognition by the Government and other stakeholders such as the private sector on the need to transition away from the energy sector and embrace a low carbon economy. Going forward there is the need to navigate the transition to renewables and alternative economic sectors in a prudent manner consistent with the aspirations of Vision 2030. </w:t>
      </w:r>
    </w:p>
    <w:p w14:paraId="000001E4" w14:textId="77777777" w:rsidR="006B72B0" w:rsidRPr="009C793F" w:rsidRDefault="006B72B0" w:rsidP="00DE19C9">
      <w:pPr>
        <w:jc w:val="both"/>
        <w:rPr>
          <w:rFonts w:asciiTheme="minorHAnsi" w:hAnsiTheme="minorHAnsi" w:cstheme="minorHAnsi"/>
          <w:color w:val="000000"/>
        </w:rPr>
      </w:pPr>
    </w:p>
    <w:p w14:paraId="000001E7" w14:textId="2C60AE9C"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In terms of emission, there has been an upward trend in </w:t>
      </w:r>
      <w:r w:rsidRPr="009C793F">
        <w:rPr>
          <w:rFonts w:asciiTheme="minorHAnsi" w:hAnsiTheme="minorHAnsi" w:cstheme="minorHAnsi"/>
          <w:b/>
          <w:color w:val="000000"/>
        </w:rPr>
        <w:t>G</w:t>
      </w:r>
      <w:r w:rsidR="008B0E32" w:rsidRPr="009C793F">
        <w:rPr>
          <w:rFonts w:asciiTheme="minorHAnsi" w:hAnsiTheme="minorHAnsi" w:cstheme="minorHAnsi"/>
          <w:b/>
          <w:color w:val="000000"/>
        </w:rPr>
        <w:t>reenhouse Gas (G</w:t>
      </w:r>
      <w:r w:rsidRPr="009C793F">
        <w:rPr>
          <w:rFonts w:asciiTheme="minorHAnsi" w:hAnsiTheme="minorHAnsi" w:cstheme="minorHAnsi"/>
          <w:b/>
          <w:color w:val="000000"/>
        </w:rPr>
        <w:t>HG</w:t>
      </w:r>
      <w:r w:rsidR="008B0E32" w:rsidRPr="009C793F">
        <w:rPr>
          <w:rFonts w:asciiTheme="minorHAnsi" w:hAnsiTheme="minorHAnsi" w:cstheme="minorHAnsi"/>
          <w:b/>
          <w:color w:val="000000"/>
        </w:rPr>
        <w:t>)</w:t>
      </w:r>
      <w:r w:rsidRPr="009C793F">
        <w:rPr>
          <w:rFonts w:asciiTheme="minorHAnsi" w:hAnsiTheme="minorHAnsi" w:cstheme="minorHAnsi"/>
          <w:b/>
          <w:color w:val="000000"/>
        </w:rPr>
        <w:t xml:space="preserve"> emissions</w:t>
      </w:r>
      <w:r w:rsidRPr="009C793F">
        <w:rPr>
          <w:rFonts w:asciiTheme="minorHAnsi" w:hAnsiTheme="minorHAnsi" w:cstheme="minorHAnsi"/>
          <w:color w:val="000000"/>
        </w:rPr>
        <w:t xml:space="preserve"> with the country registering the highest value for per capita GHG emissions in the region (ECLAC, 2020)</w:t>
      </w:r>
      <w:r w:rsidRPr="009C793F">
        <w:rPr>
          <w:rFonts w:asciiTheme="minorHAnsi" w:hAnsiTheme="minorHAnsi" w:cstheme="minorHAnsi"/>
          <w:color w:val="000000"/>
          <w:vertAlign w:val="superscript"/>
        </w:rPr>
        <w:footnoteReference w:id="154"/>
      </w:r>
      <w:r w:rsidRPr="009C793F">
        <w:rPr>
          <w:rFonts w:asciiTheme="minorHAnsi" w:hAnsiTheme="minorHAnsi" w:cstheme="minorHAnsi"/>
          <w:color w:val="000000"/>
        </w:rPr>
        <w:t>. The February 2020 WHO-UNICEF-Lancet Report</w:t>
      </w:r>
      <w:r w:rsidRPr="009C793F">
        <w:rPr>
          <w:rFonts w:asciiTheme="minorHAnsi" w:hAnsiTheme="minorHAnsi" w:cstheme="minorHAnsi"/>
          <w:color w:val="000000"/>
          <w:vertAlign w:val="superscript"/>
        </w:rPr>
        <w:footnoteReference w:id="155"/>
      </w:r>
      <w:r w:rsidRPr="009C793F">
        <w:rPr>
          <w:rFonts w:asciiTheme="minorHAnsi" w:hAnsiTheme="minorHAnsi" w:cstheme="minorHAnsi"/>
          <w:color w:val="000000"/>
        </w:rPr>
        <w:t xml:space="preserve"> ranks Trinidad and Tobago 2</w:t>
      </w:r>
      <w:r w:rsidRPr="009C793F">
        <w:rPr>
          <w:rFonts w:asciiTheme="minorHAnsi" w:hAnsiTheme="minorHAnsi" w:cstheme="minorHAnsi"/>
          <w:color w:val="000000"/>
          <w:vertAlign w:val="superscript"/>
        </w:rPr>
        <w:t>nd</w:t>
      </w:r>
      <w:r w:rsidRPr="009C793F">
        <w:rPr>
          <w:rFonts w:asciiTheme="minorHAnsi" w:hAnsiTheme="minorHAnsi" w:cstheme="minorHAnsi"/>
          <w:color w:val="000000"/>
        </w:rPr>
        <w:t xml:space="preserve"> in the world globally in terms of CO2 emissions on a per capita basis after Qatar. This </w:t>
      </w:r>
      <w:r w:rsidR="006509DB" w:rsidRPr="009C793F">
        <w:rPr>
          <w:rFonts w:asciiTheme="minorHAnsi" w:hAnsiTheme="minorHAnsi" w:cstheme="minorHAnsi"/>
          <w:color w:val="000000"/>
        </w:rPr>
        <w:t>reflects</w:t>
      </w:r>
      <w:r w:rsidRPr="009C793F">
        <w:rPr>
          <w:rFonts w:asciiTheme="minorHAnsi" w:hAnsiTheme="minorHAnsi" w:cstheme="minorHAnsi"/>
          <w:color w:val="000000"/>
        </w:rPr>
        <w:t xml:space="preserve"> the country’s industrial sector leveraging its rich natural gas and oil resources to produce products such as urea, methanol and ammonia. </w:t>
      </w:r>
      <w:r w:rsidR="008B0E32" w:rsidRPr="009C793F">
        <w:rPr>
          <w:rFonts w:asciiTheme="minorHAnsi" w:hAnsiTheme="minorHAnsi" w:cstheme="minorHAnsi"/>
          <w:color w:val="000000"/>
        </w:rPr>
        <w:t xml:space="preserve"> A</w:t>
      </w:r>
      <w:r w:rsidRPr="009C793F">
        <w:rPr>
          <w:rFonts w:asciiTheme="minorHAnsi" w:hAnsiTheme="minorHAnsi" w:cstheme="minorHAnsi"/>
          <w:color w:val="000000"/>
        </w:rPr>
        <w:t>pproximately 20 million of tonnes of CO2e are emitted per year; this value is almost 85</w:t>
      </w:r>
      <w:r w:rsidR="008B0E32"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higher than emissions at the turn of the century and above the estimated regional growth (34</w:t>
      </w:r>
      <w:r w:rsidR="008B0E32"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It should be noted that emissions are not only rising but they are also getting less efficient. Today, Trinidad and Tobago emits 9</w:t>
      </w:r>
      <w:r w:rsidR="008B0E32"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more GHG to generate each dollar of its GDP, compared to </w:t>
      </w:r>
      <w:r w:rsidR="00416B6D" w:rsidRPr="009C793F">
        <w:rPr>
          <w:rFonts w:asciiTheme="minorHAnsi" w:hAnsiTheme="minorHAnsi" w:cstheme="minorHAnsi"/>
          <w:color w:val="000000"/>
        </w:rPr>
        <w:t xml:space="preserve">2000; </w:t>
      </w:r>
      <w:r w:rsidRPr="009C793F">
        <w:rPr>
          <w:rFonts w:asciiTheme="minorHAnsi" w:hAnsiTheme="minorHAnsi" w:cstheme="minorHAnsi"/>
          <w:color w:val="000000"/>
        </w:rPr>
        <w:t>regional trends</w:t>
      </w:r>
      <w:r w:rsidR="00E24071" w:rsidRPr="009C793F">
        <w:rPr>
          <w:rFonts w:asciiTheme="minorHAnsi" w:hAnsiTheme="minorHAnsi" w:cstheme="minorHAnsi"/>
          <w:color w:val="000000"/>
        </w:rPr>
        <w:t xml:space="preserve"> point to</w:t>
      </w:r>
      <w:r w:rsidRPr="009C793F">
        <w:rPr>
          <w:rFonts w:asciiTheme="minorHAnsi" w:hAnsiTheme="minorHAnsi" w:cstheme="minorHAnsi"/>
          <w:color w:val="000000"/>
        </w:rPr>
        <w:t xml:space="preserve"> a reduction of about 10</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in its carbon intensity, for the same period (UNSD, 2020)</w:t>
      </w:r>
      <w:r w:rsidRPr="009C793F">
        <w:rPr>
          <w:rFonts w:asciiTheme="minorHAnsi" w:hAnsiTheme="minorHAnsi" w:cstheme="minorHAnsi"/>
          <w:color w:val="000000"/>
          <w:vertAlign w:val="superscript"/>
        </w:rPr>
        <w:footnoteReference w:id="156"/>
      </w:r>
      <w:r w:rsidRPr="009C793F">
        <w:rPr>
          <w:rFonts w:asciiTheme="minorHAnsi" w:hAnsiTheme="minorHAnsi" w:cstheme="minorHAnsi"/>
          <w:color w:val="000000"/>
        </w:rPr>
        <w:t xml:space="preserve">. </w:t>
      </w:r>
    </w:p>
    <w:p w14:paraId="000001E8" w14:textId="77777777" w:rsidR="006B72B0" w:rsidRPr="009C793F" w:rsidRDefault="006B72B0" w:rsidP="00DE19C9">
      <w:pPr>
        <w:jc w:val="both"/>
        <w:rPr>
          <w:rFonts w:asciiTheme="minorHAnsi" w:hAnsiTheme="minorHAnsi" w:cstheme="minorHAnsi"/>
          <w:color w:val="000000"/>
        </w:rPr>
      </w:pPr>
    </w:p>
    <w:p w14:paraId="000001E9" w14:textId="564A38EF"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Regarding its </w:t>
      </w:r>
      <w:r w:rsidRPr="009C793F">
        <w:rPr>
          <w:rFonts w:asciiTheme="minorHAnsi" w:hAnsiTheme="minorHAnsi" w:cstheme="minorHAnsi"/>
          <w:b/>
          <w:color w:val="000000"/>
        </w:rPr>
        <w:t>biodiversity</w:t>
      </w:r>
      <w:r w:rsidRPr="009C793F">
        <w:rPr>
          <w:rFonts w:asciiTheme="minorHAnsi" w:hAnsiTheme="minorHAnsi" w:cstheme="minorHAnsi"/>
          <w:color w:val="000000"/>
        </w:rPr>
        <w:t xml:space="preserve">, </w:t>
      </w:r>
      <w:r w:rsidRPr="009C793F">
        <w:rPr>
          <w:rFonts w:asciiTheme="minorHAnsi" w:hAnsiTheme="minorHAnsi" w:cstheme="minorHAnsi"/>
        </w:rPr>
        <w:t xml:space="preserve">Trinidad and Tobago </w:t>
      </w:r>
      <w:r w:rsidRPr="009C793F">
        <w:rPr>
          <w:rFonts w:asciiTheme="minorHAnsi" w:hAnsiTheme="minorHAnsi" w:cstheme="minorHAnsi"/>
          <w:color w:val="000000"/>
        </w:rPr>
        <w:t xml:space="preserve">presents comparatively high levels of diversity than other Caribbean islands, mainly due to its proximity with mainland South America. Habitats span from high rain-fed tropical forests in two hill ranges to semi-arid savannah, swamps, mangroves, and other coastal ecosystems.  </w:t>
      </w:r>
      <w:r w:rsidRPr="009C793F">
        <w:rPr>
          <w:rFonts w:asciiTheme="minorHAnsi" w:hAnsiTheme="minorHAnsi" w:cstheme="minorHAnsi"/>
        </w:rPr>
        <w:t>Trinidad and Tobago has over 3639 species of plants (including 2407 native species)</w:t>
      </w:r>
      <w:r w:rsidRPr="009C793F">
        <w:rPr>
          <w:rFonts w:asciiTheme="minorHAnsi" w:hAnsiTheme="minorHAnsi" w:cstheme="minorHAnsi"/>
          <w:vertAlign w:val="superscript"/>
        </w:rPr>
        <w:footnoteReference w:id="157"/>
      </w:r>
      <w:r w:rsidRPr="009C793F">
        <w:rPr>
          <w:rFonts w:asciiTheme="minorHAnsi" w:hAnsiTheme="minorHAnsi" w:cstheme="minorHAnsi"/>
        </w:rPr>
        <w:t>, 600 species of terrestrial vertebrates and 1100 species of recorded invertebrates</w:t>
      </w:r>
      <w:r w:rsidRPr="009C793F">
        <w:rPr>
          <w:rFonts w:asciiTheme="minorHAnsi" w:hAnsiTheme="minorHAnsi" w:cstheme="minorHAnsi"/>
          <w:vertAlign w:val="superscript"/>
        </w:rPr>
        <w:footnoteReference w:id="158"/>
      </w:r>
      <w:r w:rsidRPr="009C793F">
        <w:rPr>
          <w:rFonts w:asciiTheme="minorHAnsi" w:hAnsiTheme="minorHAnsi" w:cstheme="minorHAnsi"/>
        </w:rPr>
        <w:t xml:space="preserve">. </w:t>
      </w:r>
      <w:r w:rsidRPr="009C793F">
        <w:rPr>
          <w:rFonts w:asciiTheme="minorHAnsi" w:hAnsiTheme="minorHAnsi" w:cstheme="minorHAnsi"/>
          <w:color w:val="000000"/>
        </w:rPr>
        <w:t xml:space="preserve"> The Red List Index for the country is 0.80, a number 3</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lower than in 2000, but better than the regional average (0.74) (UNSD, 2020).  </w:t>
      </w:r>
      <w:r w:rsidRPr="009C793F">
        <w:rPr>
          <w:rFonts w:asciiTheme="minorHAnsi" w:hAnsiTheme="minorHAnsi" w:cstheme="minorHAnsi"/>
        </w:rPr>
        <w:t>Currently, forest cover on both islands is showing a downward trend</w:t>
      </w:r>
      <w:r w:rsidRPr="009C793F">
        <w:rPr>
          <w:rFonts w:asciiTheme="minorHAnsi" w:hAnsiTheme="minorHAnsi" w:cstheme="minorHAnsi"/>
          <w:vertAlign w:val="superscript"/>
        </w:rPr>
        <w:footnoteReference w:id="159"/>
      </w:r>
      <w:r w:rsidRPr="009C793F">
        <w:rPr>
          <w:rFonts w:asciiTheme="minorHAnsi" w:hAnsiTheme="minorHAnsi" w:cstheme="minorHAnsi"/>
        </w:rPr>
        <w:t>. In Trinidad, natural forest cover is estimated at approximately 45</w:t>
      </w:r>
      <w:r w:rsidR="006D7035" w:rsidRPr="009C793F">
        <w:rPr>
          <w:rFonts w:asciiTheme="minorHAnsi" w:hAnsiTheme="minorHAnsi" w:cstheme="minorHAnsi"/>
        </w:rPr>
        <w:t xml:space="preserve"> per cent</w:t>
      </w:r>
      <w:r w:rsidRPr="009C793F">
        <w:rPr>
          <w:rFonts w:asciiTheme="minorHAnsi" w:hAnsiTheme="minorHAnsi" w:cstheme="minorHAnsi"/>
          <w:vertAlign w:val="superscript"/>
        </w:rPr>
        <w:footnoteReference w:id="160"/>
      </w:r>
      <w:r w:rsidRPr="009C793F">
        <w:rPr>
          <w:rFonts w:asciiTheme="minorHAnsi" w:hAnsiTheme="minorHAnsi" w:cstheme="minorHAnsi"/>
        </w:rPr>
        <w:t>, while in Tobago</w:t>
      </w:r>
      <w:r w:rsidRPr="009C793F">
        <w:rPr>
          <w:rFonts w:asciiTheme="minorHAnsi" w:hAnsiTheme="minorHAnsi" w:cstheme="minorHAnsi"/>
          <w:vertAlign w:val="superscript"/>
        </w:rPr>
        <w:footnoteReference w:id="161"/>
      </w:r>
      <w:r w:rsidRPr="009C793F">
        <w:rPr>
          <w:rFonts w:asciiTheme="minorHAnsi" w:hAnsiTheme="minorHAnsi" w:cstheme="minorHAnsi"/>
        </w:rPr>
        <w:t>, it is estimated all forested area cover 85</w:t>
      </w:r>
      <w:r w:rsidR="006D7035" w:rsidRPr="009C793F">
        <w:rPr>
          <w:rFonts w:asciiTheme="minorHAnsi" w:hAnsiTheme="minorHAnsi" w:cstheme="minorHAnsi"/>
        </w:rPr>
        <w:t xml:space="preserve"> per cent</w:t>
      </w:r>
      <w:r w:rsidRPr="009C793F">
        <w:rPr>
          <w:rFonts w:asciiTheme="minorHAnsi" w:hAnsiTheme="minorHAnsi" w:cstheme="minorHAnsi"/>
        </w:rPr>
        <w:t xml:space="preserve"> of the island. </w:t>
      </w:r>
      <w:r w:rsidRPr="009C793F">
        <w:rPr>
          <w:rFonts w:asciiTheme="minorHAnsi" w:hAnsiTheme="minorHAnsi" w:cstheme="minorHAnsi"/>
          <w:color w:val="000000"/>
        </w:rPr>
        <w:t xml:space="preserve">Animals, plants, and ecosystems are </w:t>
      </w:r>
      <w:r w:rsidRPr="009C793F">
        <w:rPr>
          <w:rFonts w:asciiTheme="minorHAnsi" w:hAnsiTheme="minorHAnsi" w:cstheme="minorHAnsi"/>
        </w:rPr>
        <w:t xml:space="preserve">exposed to </w:t>
      </w:r>
      <w:r w:rsidRPr="009C793F">
        <w:rPr>
          <w:rFonts w:asciiTheme="minorHAnsi" w:hAnsiTheme="minorHAnsi" w:cstheme="minorHAnsi"/>
          <w:color w:val="000000"/>
        </w:rPr>
        <w:t>diverse levels of risk in the country, and the main threats behind this include overexploitation, degradation of habitat, introduction of invasive species and waste leakages</w:t>
      </w:r>
      <w:r w:rsidRPr="009C793F">
        <w:rPr>
          <w:rFonts w:asciiTheme="minorHAnsi" w:hAnsiTheme="minorHAnsi" w:cstheme="minorHAnsi"/>
          <w:color w:val="000000"/>
          <w:vertAlign w:val="superscript"/>
        </w:rPr>
        <w:footnoteReference w:id="162"/>
      </w:r>
      <w:r w:rsidRPr="009C793F">
        <w:rPr>
          <w:rFonts w:asciiTheme="minorHAnsi" w:hAnsiTheme="minorHAnsi" w:cstheme="minorHAnsi"/>
          <w:color w:val="000000"/>
        </w:rPr>
        <w:t>.</w:t>
      </w:r>
    </w:p>
    <w:p w14:paraId="000001EA" w14:textId="77777777" w:rsidR="006B72B0" w:rsidRPr="009C793F" w:rsidRDefault="006B72B0" w:rsidP="00DE19C9">
      <w:pPr>
        <w:jc w:val="both"/>
        <w:rPr>
          <w:rFonts w:asciiTheme="minorHAnsi" w:hAnsiTheme="minorHAnsi" w:cstheme="minorHAnsi"/>
          <w:color w:val="000000"/>
        </w:rPr>
      </w:pPr>
    </w:p>
    <w:p w14:paraId="000001EB" w14:textId="7876FC3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b/>
          <w:color w:val="000000"/>
        </w:rPr>
        <w:t>Freshwater</w:t>
      </w:r>
      <w:r w:rsidRPr="009C793F">
        <w:rPr>
          <w:rFonts w:asciiTheme="minorHAnsi" w:hAnsiTheme="minorHAnsi" w:cstheme="minorHAnsi"/>
          <w:color w:val="000000"/>
        </w:rPr>
        <w:t xml:space="preserve"> bodies are also under pressure, as available water resources recorded a deficit in the country since 2000</w:t>
      </w:r>
      <w:r w:rsidRPr="009C793F">
        <w:rPr>
          <w:rFonts w:asciiTheme="minorHAnsi" w:hAnsiTheme="minorHAnsi" w:cstheme="minorHAnsi"/>
          <w:color w:val="000000"/>
          <w:vertAlign w:val="superscript"/>
        </w:rPr>
        <w:footnoteReference w:id="163"/>
      </w:r>
      <w:r w:rsidRPr="009C793F">
        <w:rPr>
          <w:rFonts w:asciiTheme="minorHAnsi" w:hAnsiTheme="minorHAnsi" w:cstheme="minorHAnsi"/>
          <w:color w:val="000000"/>
        </w:rPr>
        <w:t>. Today the country has one of the lowest rates of water availability in the region (ECLAC, 2020) and almost two thirds of withdrawals are made by the services sector</w:t>
      </w:r>
      <w:r w:rsidRPr="009C793F">
        <w:rPr>
          <w:rFonts w:asciiTheme="minorHAnsi" w:hAnsiTheme="minorHAnsi" w:cstheme="minorHAnsi"/>
          <w:color w:val="000000"/>
          <w:vertAlign w:val="superscript"/>
        </w:rPr>
        <w:footnoteReference w:id="164"/>
      </w:r>
      <w:r w:rsidRPr="009C793F">
        <w:rPr>
          <w:rFonts w:asciiTheme="minorHAnsi" w:hAnsiTheme="minorHAnsi" w:cstheme="minorHAnsi"/>
          <w:color w:val="000000"/>
        </w:rPr>
        <w:t>. In this sense, agriculture, quarr</w:t>
      </w:r>
      <w:r w:rsidRPr="009C793F">
        <w:rPr>
          <w:rFonts w:asciiTheme="minorHAnsi" w:hAnsiTheme="minorHAnsi" w:cstheme="minorHAnsi"/>
        </w:rPr>
        <w:t xml:space="preserve">ying </w:t>
      </w:r>
      <w:r w:rsidRPr="009C793F">
        <w:rPr>
          <w:rFonts w:asciiTheme="minorHAnsi" w:hAnsiTheme="minorHAnsi" w:cstheme="minorHAnsi"/>
          <w:color w:val="000000"/>
        </w:rPr>
        <w:t xml:space="preserve">and industrial activities, untreated sewage rates and frequent oil spills are some of the main activities creating challenges for rivers and underground water bodies within the country </w:t>
      </w:r>
      <w:r w:rsidRPr="009C793F">
        <w:rPr>
          <w:rFonts w:asciiTheme="minorHAnsi" w:hAnsiTheme="minorHAnsi" w:cstheme="minorHAnsi"/>
          <w:color w:val="000000"/>
          <w:vertAlign w:val="superscript"/>
        </w:rPr>
        <w:footnoteReference w:id="165"/>
      </w:r>
      <w:r w:rsidRPr="009C793F">
        <w:rPr>
          <w:rFonts w:asciiTheme="minorHAnsi" w:hAnsiTheme="minorHAnsi" w:cstheme="minorHAnsi"/>
          <w:color w:val="000000"/>
        </w:rPr>
        <w:t>.</w:t>
      </w:r>
    </w:p>
    <w:p w14:paraId="000001EC"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 </w:t>
      </w:r>
    </w:p>
    <w:p w14:paraId="000001ED" w14:textId="3A3A8540"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As a result, a 2007 </w:t>
      </w:r>
      <w:r w:rsidR="004D5E11" w:rsidRPr="009C793F">
        <w:rPr>
          <w:rFonts w:asciiTheme="minorHAnsi" w:hAnsiTheme="minorHAnsi" w:cstheme="minorHAnsi"/>
          <w:color w:val="000000"/>
        </w:rPr>
        <w:t>report</w:t>
      </w:r>
      <w:r w:rsidR="004D5E11" w:rsidRPr="009C793F">
        <w:rPr>
          <w:rStyle w:val="FootnoteReference"/>
          <w:rFonts w:asciiTheme="minorHAnsi" w:hAnsiTheme="minorHAnsi" w:cstheme="minorHAnsi"/>
          <w:color w:val="000000"/>
        </w:rPr>
        <w:footnoteReference w:id="166"/>
      </w:r>
      <w:r w:rsidRPr="009C793F">
        <w:rPr>
          <w:rFonts w:asciiTheme="minorHAnsi" w:hAnsiTheme="minorHAnsi" w:cstheme="minorHAnsi"/>
          <w:color w:val="000000"/>
        </w:rPr>
        <w:t xml:space="preserve"> showed that 57</w:t>
      </w:r>
      <w:r w:rsidR="00942017"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of </w:t>
      </w:r>
      <w:r w:rsidRPr="009C793F">
        <w:rPr>
          <w:rFonts w:asciiTheme="minorHAnsi" w:hAnsiTheme="minorHAnsi" w:cstheme="minorHAnsi"/>
          <w:b/>
          <w:color w:val="000000"/>
        </w:rPr>
        <w:t>local rivers</w:t>
      </w:r>
      <w:r w:rsidRPr="009C793F">
        <w:rPr>
          <w:rFonts w:asciiTheme="minorHAnsi" w:hAnsiTheme="minorHAnsi" w:cstheme="minorHAnsi"/>
          <w:color w:val="000000"/>
        </w:rPr>
        <w:t xml:space="preserve"> were considered perturbed in terms of heavy metal presence (Trinidad and Tobago, 2017). According to governmental reports, most vulnerable watersheds include: Guapo, Rest West (Point Lisas area), Port of Spain, South Oropouche, Arima and Caroni, in Trinidad; and the Tobago West Watershed, in Tobago (EMA, 2015; Trinidad and Tobago, 2017). Relatedly, approximately 70</w:t>
      </w:r>
      <w:r w:rsidR="006D7035" w:rsidRPr="009C793F">
        <w:rPr>
          <w:rFonts w:asciiTheme="minorHAnsi" w:hAnsiTheme="minorHAnsi" w:cstheme="minorHAnsi"/>
          <w:color w:val="000000"/>
        </w:rPr>
        <w:t xml:space="preserve"> per cent</w:t>
      </w:r>
      <w:r w:rsidRPr="009C793F">
        <w:rPr>
          <w:rFonts w:asciiTheme="minorHAnsi" w:hAnsiTheme="minorHAnsi" w:cstheme="minorHAnsi"/>
          <w:color w:val="000000"/>
        </w:rPr>
        <w:t xml:space="preserve"> of its population still had no access to wastewater treatment (EMA, 2015).</w:t>
      </w:r>
    </w:p>
    <w:p w14:paraId="229CBF42" w14:textId="77777777" w:rsidR="00F21F4A" w:rsidRDefault="00F21F4A" w:rsidP="00DE19C9">
      <w:pPr>
        <w:jc w:val="both"/>
        <w:rPr>
          <w:rFonts w:asciiTheme="minorHAnsi" w:hAnsiTheme="minorHAnsi" w:cstheme="minorHAnsi"/>
          <w:color w:val="000000"/>
        </w:rPr>
      </w:pPr>
    </w:p>
    <w:p w14:paraId="000001EE" w14:textId="134D96BE"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There are also issues with respect to the </w:t>
      </w:r>
      <w:r w:rsidRPr="009C793F">
        <w:rPr>
          <w:rFonts w:asciiTheme="minorHAnsi" w:hAnsiTheme="minorHAnsi" w:cstheme="minorHAnsi"/>
          <w:b/>
          <w:color w:val="000000"/>
        </w:rPr>
        <w:t xml:space="preserve">coastal and maritime </w:t>
      </w:r>
      <w:r w:rsidRPr="009C793F">
        <w:rPr>
          <w:rFonts w:asciiTheme="minorHAnsi" w:hAnsiTheme="minorHAnsi" w:cstheme="minorHAnsi"/>
          <w:color w:val="000000"/>
        </w:rPr>
        <w:t xml:space="preserve">areas of the country which are equally burdened by untreated sewage and waste seepage incidents. Weakly regulated beach encroachments also worsen the scenario (for both the land and the pollution dimensions). Some areas are facing heightened challenges and risks from human-induced activities which include the Gulf of Paria, the mouths of the Caroni (west coast) and the North Oropouche (east coast) rivers and the zones of Pointe-a-Pierre, La Brea and Granville. This is mostly due to </w:t>
      </w:r>
      <w:r w:rsidR="004D5E11" w:rsidRPr="009C793F">
        <w:rPr>
          <w:rFonts w:asciiTheme="minorHAnsi" w:hAnsiTheme="minorHAnsi" w:cstheme="minorHAnsi"/>
          <w:color w:val="000000"/>
        </w:rPr>
        <w:t>activities associated with the petroleum sector</w:t>
      </w:r>
      <w:r w:rsidR="004D5E11" w:rsidRPr="009C793F">
        <w:rPr>
          <w:rStyle w:val="FootnoteReference"/>
          <w:rFonts w:asciiTheme="minorHAnsi" w:hAnsiTheme="minorHAnsi" w:cstheme="minorHAnsi"/>
          <w:color w:val="000000"/>
        </w:rPr>
        <w:footnoteReference w:id="167"/>
      </w:r>
      <w:r w:rsidR="004D5E11" w:rsidRPr="009C793F">
        <w:rPr>
          <w:rFonts w:asciiTheme="minorHAnsi" w:hAnsiTheme="minorHAnsi" w:cstheme="minorHAnsi"/>
          <w:color w:val="000000"/>
        </w:rPr>
        <w:t>.</w:t>
      </w:r>
      <w:r w:rsidRPr="009C793F">
        <w:rPr>
          <w:rFonts w:asciiTheme="minorHAnsi" w:hAnsiTheme="minorHAnsi" w:cstheme="minorHAnsi"/>
          <w:color w:val="000000"/>
        </w:rPr>
        <w:t xml:space="preserve"> Corals also suffer the consequences and patterns of environmental </w:t>
      </w:r>
      <w:r w:rsidRPr="009C793F">
        <w:rPr>
          <w:rFonts w:asciiTheme="minorHAnsi" w:hAnsiTheme="minorHAnsi" w:cstheme="minorHAnsi"/>
        </w:rPr>
        <w:t>im</w:t>
      </w:r>
      <w:r w:rsidRPr="009C793F">
        <w:rPr>
          <w:rFonts w:asciiTheme="minorHAnsi" w:hAnsiTheme="minorHAnsi" w:cstheme="minorHAnsi"/>
          <w:color w:val="000000"/>
        </w:rPr>
        <w:t xml:space="preserve">balances have been being reported mainly in reefs around Tobago (EMA, 2015). </w:t>
      </w:r>
      <w:r w:rsidRPr="009C793F">
        <w:rPr>
          <w:rFonts w:asciiTheme="minorHAnsi" w:hAnsiTheme="minorHAnsi" w:cstheme="minorHAnsi"/>
        </w:rPr>
        <w:t>In Tobago, hard coral cover has declined by 33</w:t>
      </w:r>
      <w:r w:rsidR="00942017"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since the 1980s</w:t>
      </w:r>
      <w:r w:rsidRPr="009C793F">
        <w:rPr>
          <w:rFonts w:asciiTheme="minorHAnsi" w:hAnsiTheme="minorHAnsi" w:cstheme="minorHAnsi"/>
          <w:vertAlign w:val="superscript"/>
        </w:rPr>
        <w:footnoteReference w:id="168"/>
      </w:r>
      <w:r w:rsidRPr="009C793F">
        <w:rPr>
          <w:rFonts w:asciiTheme="minorHAnsi" w:hAnsiTheme="minorHAnsi" w:cstheme="minorHAnsi"/>
        </w:rPr>
        <w:t xml:space="preserve"> and in recent years, coral reefs have experienced the worst bleaching in 25 years, with over 85</w:t>
      </w:r>
      <w:r w:rsidR="00942017"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bleaching.</w:t>
      </w:r>
      <w:r w:rsidRPr="009C793F">
        <w:rPr>
          <w:rFonts w:asciiTheme="minorHAnsi" w:hAnsiTheme="minorHAnsi" w:cstheme="minorHAnsi"/>
          <w:vertAlign w:val="superscript"/>
        </w:rPr>
        <w:footnoteReference w:id="169"/>
      </w:r>
      <w:r w:rsidRPr="009C793F">
        <w:rPr>
          <w:rFonts w:asciiTheme="minorHAnsi" w:hAnsiTheme="minorHAnsi" w:cstheme="minorHAnsi"/>
          <w:color w:val="000000"/>
        </w:rPr>
        <w:t>Overall, all major rivers and coastal sites used for recreation in the country exceed the international levels set for microbial presence</w:t>
      </w:r>
      <w:r w:rsidR="00942017" w:rsidRPr="009C793F">
        <w:rPr>
          <w:rFonts w:asciiTheme="minorHAnsi" w:hAnsiTheme="minorHAnsi" w:cstheme="minorHAnsi"/>
          <w:color w:val="000000"/>
        </w:rPr>
        <w:t>.</w:t>
      </w:r>
    </w:p>
    <w:p w14:paraId="000001EF" w14:textId="0CF9988B"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b/>
          <w:color w:val="000000"/>
        </w:rPr>
        <w:t>Waste management</w:t>
      </w:r>
      <w:r w:rsidRPr="009C793F">
        <w:rPr>
          <w:rFonts w:asciiTheme="minorHAnsi" w:hAnsiTheme="minorHAnsi" w:cstheme="minorHAnsi"/>
          <w:color w:val="000000"/>
        </w:rPr>
        <w:t xml:space="preserve"> also stands as a crucial issue to local environmental arena. Approximately 1,900 tonnes of solid waste are generated every day in cities of the country, with an average value of 1.42 kg/day of waste per inhabitant – the 5</w:t>
      </w:r>
      <w:r w:rsidRPr="009C793F">
        <w:rPr>
          <w:rFonts w:asciiTheme="minorHAnsi" w:hAnsiTheme="minorHAnsi" w:cstheme="minorHAnsi"/>
          <w:color w:val="000000"/>
          <w:vertAlign w:val="superscript"/>
        </w:rPr>
        <w:t>th</w:t>
      </w:r>
      <w:r w:rsidRPr="009C793F">
        <w:rPr>
          <w:rFonts w:asciiTheme="minorHAnsi" w:hAnsiTheme="minorHAnsi" w:cstheme="minorHAnsi"/>
          <w:color w:val="000000"/>
        </w:rPr>
        <w:t xml:space="preserve"> highest value of LAC region. From the proportion of waste that is collected, 84</w:t>
      </w:r>
      <w:r w:rsidR="00502F87"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is estimated to end up in open dumps, while only 12</w:t>
      </w:r>
      <w:r w:rsidR="00502F87"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goes to controlled landfills and less than 1</w:t>
      </w:r>
      <w:r w:rsidR="00502F87"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are directed to composting. In terms of services, nearly </w:t>
      </w:r>
      <w:r w:rsidR="00502F87" w:rsidRPr="009C793F">
        <w:rPr>
          <w:rFonts w:asciiTheme="minorHAnsi" w:hAnsiTheme="minorHAnsi" w:cstheme="minorHAnsi"/>
          <w:color w:val="000000"/>
        </w:rPr>
        <w:t>all</w:t>
      </w:r>
      <w:r w:rsidRPr="009C793F">
        <w:rPr>
          <w:rFonts w:asciiTheme="minorHAnsi" w:hAnsiTheme="minorHAnsi" w:cstheme="minorHAnsi"/>
          <w:color w:val="000000"/>
        </w:rPr>
        <w:t xml:space="preserve"> waste-related services (such as collection, disposal and transport) are made by public institutions. However, they do not have the requisite resources to effectively tackle waste management in the country (UNEP, 2018)</w:t>
      </w:r>
      <w:r w:rsidRPr="009C793F">
        <w:rPr>
          <w:rFonts w:asciiTheme="minorHAnsi" w:hAnsiTheme="minorHAnsi" w:cstheme="minorHAnsi"/>
          <w:color w:val="000000"/>
          <w:vertAlign w:val="superscript"/>
        </w:rPr>
        <w:footnoteReference w:id="170"/>
      </w:r>
      <w:r w:rsidRPr="009C793F">
        <w:rPr>
          <w:rFonts w:asciiTheme="minorHAnsi" w:hAnsiTheme="minorHAnsi" w:cstheme="minorHAnsi"/>
          <w:color w:val="000000"/>
        </w:rPr>
        <w:t>.  The management of plastic waste is another challenge and requires urgent attention given their increased use and lack of recycling facilities. Like the rest of the Caribbean, the issue of plastic waste ending up in the ocean is also an important issue to address.</w:t>
      </w:r>
    </w:p>
    <w:p w14:paraId="34677F17" w14:textId="77777777" w:rsidR="00F21F4A" w:rsidRDefault="00F21F4A" w:rsidP="00DE19C9">
      <w:pPr>
        <w:jc w:val="both"/>
        <w:rPr>
          <w:rFonts w:asciiTheme="minorHAnsi" w:hAnsiTheme="minorHAnsi" w:cstheme="minorHAnsi"/>
          <w:color w:val="000000"/>
        </w:rPr>
      </w:pPr>
    </w:p>
    <w:p w14:paraId="000001F0" w14:textId="7261FE59"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As population increases</w:t>
      </w:r>
      <w:r w:rsidR="00502F87" w:rsidRPr="009C793F">
        <w:rPr>
          <w:rFonts w:asciiTheme="minorHAnsi" w:hAnsiTheme="minorHAnsi" w:cstheme="minorHAnsi"/>
          <w:color w:val="000000"/>
        </w:rPr>
        <w:t>,</w:t>
      </w:r>
      <w:r w:rsidRPr="009C793F">
        <w:rPr>
          <w:rFonts w:asciiTheme="minorHAnsi" w:hAnsiTheme="minorHAnsi" w:cstheme="minorHAnsi"/>
          <w:color w:val="000000"/>
        </w:rPr>
        <w:t xml:space="preserve"> </w:t>
      </w:r>
      <w:r w:rsidRPr="009C793F">
        <w:rPr>
          <w:rFonts w:asciiTheme="minorHAnsi" w:hAnsiTheme="minorHAnsi" w:cstheme="minorHAnsi"/>
          <w:b/>
          <w:color w:val="000000"/>
        </w:rPr>
        <w:t>land use</w:t>
      </w:r>
      <w:r w:rsidRPr="009C793F">
        <w:rPr>
          <w:rFonts w:asciiTheme="minorHAnsi" w:hAnsiTheme="minorHAnsi" w:cstheme="minorHAnsi"/>
          <w:color w:val="000000"/>
        </w:rPr>
        <w:t xml:space="preserve"> patterns also require attention of policy makers. Land use changes accounts </w:t>
      </w:r>
      <w:r w:rsidR="00502F87" w:rsidRPr="009C793F">
        <w:rPr>
          <w:rFonts w:asciiTheme="minorHAnsi" w:hAnsiTheme="minorHAnsi" w:cstheme="minorHAnsi"/>
          <w:color w:val="000000"/>
        </w:rPr>
        <w:t>f</w:t>
      </w:r>
      <w:r w:rsidRPr="009C793F">
        <w:rPr>
          <w:rFonts w:asciiTheme="minorHAnsi" w:hAnsiTheme="minorHAnsi" w:cstheme="minorHAnsi"/>
          <w:color w:val="000000"/>
        </w:rPr>
        <w:t>o</w:t>
      </w:r>
      <w:r w:rsidR="00502F87" w:rsidRPr="009C793F">
        <w:rPr>
          <w:rFonts w:asciiTheme="minorHAnsi" w:hAnsiTheme="minorHAnsi" w:cstheme="minorHAnsi"/>
          <w:color w:val="000000"/>
        </w:rPr>
        <w:t>r</w:t>
      </w:r>
      <w:r w:rsidRPr="009C793F">
        <w:rPr>
          <w:rFonts w:asciiTheme="minorHAnsi" w:hAnsiTheme="minorHAnsi" w:cstheme="minorHAnsi"/>
          <w:color w:val="000000"/>
        </w:rPr>
        <w:t xml:space="preserve"> over 60</w:t>
      </w:r>
      <w:r w:rsidR="00502F87"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of the national GHG emissions, and studies forecast that urban land areas could experience a seven-fold increase in the country by 2050</w:t>
      </w:r>
      <w:r w:rsidR="004D5E11" w:rsidRPr="009C793F">
        <w:rPr>
          <w:rStyle w:val="FootnoteReference"/>
          <w:rFonts w:asciiTheme="minorHAnsi" w:hAnsiTheme="minorHAnsi" w:cstheme="minorHAnsi"/>
        </w:rPr>
        <w:footnoteReference w:id="171"/>
      </w:r>
      <w:r w:rsidR="00502F87" w:rsidRPr="009C793F">
        <w:rPr>
          <w:rFonts w:asciiTheme="minorHAnsi" w:hAnsiTheme="minorHAnsi" w:cstheme="minorHAnsi"/>
          <w:color w:val="000000"/>
        </w:rPr>
        <w:t>, compared to 2000.</w:t>
      </w:r>
      <w:r w:rsidR="004D5E11" w:rsidRPr="009C793F">
        <w:rPr>
          <w:rStyle w:val="FootnoteReference"/>
          <w:rFonts w:asciiTheme="minorHAnsi" w:hAnsiTheme="minorHAnsi" w:cstheme="minorHAnsi"/>
          <w:color w:val="000000"/>
        </w:rPr>
        <w:footnoteReference w:id="172"/>
      </w:r>
      <w:r w:rsidRPr="009C793F">
        <w:rPr>
          <w:rFonts w:asciiTheme="minorHAnsi" w:hAnsiTheme="minorHAnsi" w:cstheme="minorHAnsi"/>
          <w:color w:val="000000"/>
        </w:rPr>
        <w:t xml:space="preserve"> </w:t>
      </w:r>
      <w:r w:rsidR="00502F87" w:rsidRPr="009C793F">
        <w:rPr>
          <w:rFonts w:asciiTheme="minorHAnsi" w:hAnsiTheme="minorHAnsi" w:cstheme="minorHAnsi"/>
          <w:color w:val="000000"/>
        </w:rPr>
        <w:t>M</w:t>
      </w:r>
      <w:r w:rsidRPr="009C793F">
        <w:rPr>
          <w:rFonts w:asciiTheme="minorHAnsi" w:hAnsiTheme="minorHAnsi" w:cstheme="minorHAnsi"/>
          <w:color w:val="000000"/>
        </w:rPr>
        <w:t>ost of these movements are in urban areas along the East-West and North-South Corridors in Trinidad, and southwest in Tobago</w:t>
      </w:r>
      <w:r w:rsidRPr="009C793F">
        <w:rPr>
          <w:rFonts w:asciiTheme="minorHAnsi" w:hAnsiTheme="minorHAnsi" w:cstheme="minorHAnsi"/>
          <w:color w:val="000000"/>
          <w:vertAlign w:val="superscript"/>
        </w:rPr>
        <w:footnoteReference w:id="173"/>
      </w:r>
      <w:r w:rsidRPr="009C793F">
        <w:rPr>
          <w:rFonts w:asciiTheme="minorHAnsi" w:hAnsiTheme="minorHAnsi" w:cstheme="minorHAnsi"/>
          <w:color w:val="000000"/>
        </w:rPr>
        <w:t>.</w:t>
      </w:r>
      <w:r w:rsidR="006D7035" w:rsidRPr="009C793F">
        <w:rPr>
          <w:rFonts w:asciiTheme="minorHAnsi" w:hAnsiTheme="minorHAnsi" w:cstheme="minorHAnsi"/>
          <w:color w:val="000000"/>
        </w:rPr>
        <w:t xml:space="preserve"> The country is also </w:t>
      </w:r>
      <w:r w:rsidRPr="009C793F">
        <w:rPr>
          <w:rFonts w:asciiTheme="minorHAnsi" w:hAnsiTheme="minorHAnsi" w:cstheme="minorHAnsi"/>
          <w:color w:val="000000"/>
        </w:rPr>
        <w:t>losing 0.18</w:t>
      </w:r>
      <w:r w:rsidR="00502F87"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of its </w:t>
      </w:r>
      <w:r w:rsidRPr="009C793F">
        <w:rPr>
          <w:rFonts w:asciiTheme="minorHAnsi" w:hAnsiTheme="minorHAnsi" w:cstheme="minorHAnsi"/>
          <w:b/>
          <w:color w:val="000000"/>
        </w:rPr>
        <w:t>forests</w:t>
      </w:r>
      <w:r w:rsidRPr="009C793F">
        <w:rPr>
          <w:rFonts w:asciiTheme="minorHAnsi" w:hAnsiTheme="minorHAnsi" w:cstheme="minorHAnsi"/>
          <w:color w:val="000000"/>
        </w:rPr>
        <w:t xml:space="preserve"> each year (</w:t>
      </w:r>
      <w:r w:rsidR="006D7035" w:rsidRPr="009C793F">
        <w:rPr>
          <w:rFonts w:asciiTheme="minorHAnsi" w:hAnsiTheme="minorHAnsi" w:cstheme="minorHAnsi"/>
          <w:color w:val="000000"/>
        </w:rPr>
        <w:t>on</w:t>
      </w:r>
      <w:r w:rsidRPr="009C793F">
        <w:rPr>
          <w:rFonts w:asciiTheme="minorHAnsi" w:hAnsiTheme="minorHAnsi" w:cstheme="minorHAnsi"/>
          <w:color w:val="000000"/>
        </w:rPr>
        <w:t xml:space="preserve"> average, since 2000)</w:t>
      </w:r>
      <w:r w:rsidRPr="009C793F">
        <w:rPr>
          <w:rFonts w:asciiTheme="minorHAnsi" w:hAnsiTheme="minorHAnsi" w:cstheme="minorHAnsi"/>
          <w:color w:val="000000"/>
          <w:vertAlign w:val="superscript"/>
        </w:rPr>
        <w:footnoteReference w:id="174"/>
      </w:r>
      <w:r w:rsidRPr="009C793F">
        <w:rPr>
          <w:rFonts w:asciiTheme="minorHAnsi" w:hAnsiTheme="minorHAnsi" w:cstheme="minorHAnsi"/>
          <w:color w:val="000000"/>
        </w:rPr>
        <w:t>. The lack of protected areas, inadequate monitoring and enforcement systems are crucial issues to be addressed</w:t>
      </w:r>
      <w:r w:rsidRPr="009C793F">
        <w:rPr>
          <w:rFonts w:asciiTheme="minorHAnsi" w:hAnsiTheme="minorHAnsi" w:cstheme="minorHAnsi"/>
          <w:color w:val="000000"/>
          <w:vertAlign w:val="superscript"/>
        </w:rPr>
        <w:footnoteReference w:id="175"/>
      </w:r>
      <w:r w:rsidRPr="009C793F">
        <w:rPr>
          <w:rFonts w:asciiTheme="minorHAnsi" w:hAnsiTheme="minorHAnsi" w:cstheme="minorHAnsi"/>
          <w:color w:val="000000"/>
        </w:rPr>
        <w:t>.</w:t>
      </w:r>
    </w:p>
    <w:p w14:paraId="000001F1" w14:textId="77777777" w:rsidR="006B72B0" w:rsidRPr="009C793F" w:rsidRDefault="006B72B0" w:rsidP="00DE19C9">
      <w:pPr>
        <w:jc w:val="both"/>
        <w:rPr>
          <w:rFonts w:asciiTheme="minorHAnsi" w:hAnsiTheme="minorHAnsi" w:cstheme="minorHAnsi"/>
          <w:color w:val="000000"/>
        </w:rPr>
      </w:pPr>
    </w:p>
    <w:p w14:paraId="000001F2" w14:textId="4115B40D"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There is also the issue of </w:t>
      </w:r>
      <w:r w:rsidRPr="009C793F">
        <w:rPr>
          <w:rFonts w:asciiTheme="minorHAnsi" w:hAnsiTheme="minorHAnsi" w:cstheme="minorHAnsi"/>
          <w:b/>
          <w:color w:val="000000"/>
        </w:rPr>
        <w:t>noise and air pollution</w:t>
      </w:r>
      <w:r w:rsidRPr="009C793F">
        <w:rPr>
          <w:rFonts w:asciiTheme="minorHAnsi" w:hAnsiTheme="minorHAnsi" w:cstheme="minorHAnsi"/>
          <w:color w:val="000000"/>
        </w:rPr>
        <w:t xml:space="preserve">.  Most noise-related complaints are linked to the operation of auto garages, paint shops, woodworking shops and bars. Air pollution issues come mostly from activities of auto paint shops, landfill fires and the stench emitted by rendering plants and malfunctioning sewage treatment plants. In this regard, current mean levels of </w:t>
      </w:r>
      <w:r w:rsidR="001B4759" w:rsidRPr="009C793F">
        <w:rPr>
          <w:rFonts w:asciiTheme="minorHAnsi" w:hAnsiTheme="minorHAnsi" w:cstheme="minorHAnsi"/>
          <w:color w:val="000000"/>
        </w:rPr>
        <w:t>Particulate Matter (</w:t>
      </w:r>
      <w:r w:rsidRPr="009C793F">
        <w:rPr>
          <w:rFonts w:asciiTheme="minorHAnsi" w:hAnsiTheme="minorHAnsi" w:cstheme="minorHAnsi"/>
          <w:color w:val="000000"/>
        </w:rPr>
        <w:t>PM</w:t>
      </w:r>
      <w:r w:rsidR="001B4759" w:rsidRPr="009C793F">
        <w:rPr>
          <w:rFonts w:asciiTheme="minorHAnsi" w:hAnsiTheme="minorHAnsi" w:cstheme="minorHAnsi"/>
          <w:color w:val="000000"/>
        </w:rPr>
        <w:t>) are</w:t>
      </w:r>
      <w:r w:rsidRPr="009C793F">
        <w:rPr>
          <w:rFonts w:asciiTheme="minorHAnsi" w:hAnsiTheme="minorHAnsi" w:cstheme="minorHAnsi"/>
          <w:color w:val="000000"/>
        </w:rPr>
        <w:t xml:space="preserve"> 2.5</w:t>
      </w:r>
      <w:r w:rsidR="001B4759" w:rsidRPr="009C793F">
        <w:rPr>
          <w:rFonts w:asciiTheme="minorHAnsi" w:hAnsiTheme="minorHAnsi" w:cstheme="minorHAnsi"/>
          <w:color w:val="000000"/>
        </w:rPr>
        <w:t xml:space="preserve"> and</w:t>
      </w:r>
      <w:r w:rsidRPr="009C793F">
        <w:rPr>
          <w:rFonts w:asciiTheme="minorHAnsi" w:hAnsiTheme="minorHAnsi" w:cstheme="minorHAnsi"/>
          <w:color w:val="000000"/>
        </w:rPr>
        <w:t xml:space="preserve"> are 20</w:t>
      </w:r>
      <w:r w:rsidR="001B4759"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lower than 2010 levels</w:t>
      </w:r>
      <w:r w:rsidR="001B4759" w:rsidRPr="009C793F">
        <w:rPr>
          <w:rFonts w:asciiTheme="minorHAnsi" w:hAnsiTheme="minorHAnsi" w:cstheme="minorHAnsi"/>
          <w:color w:val="000000"/>
        </w:rPr>
        <w:t>.</w:t>
      </w:r>
      <w:r w:rsidRPr="009C793F">
        <w:rPr>
          <w:rFonts w:asciiTheme="minorHAnsi" w:hAnsiTheme="minorHAnsi" w:cstheme="minorHAnsi"/>
          <w:color w:val="000000"/>
          <w:vertAlign w:val="superscript"/>
        </w:rPr>
        <w:footnoteReference w:id="176"/>
      </w:r>
    </w:p>
    <w:p w14:paraId="000001F3" w14:textId="77777777" w:rsidR="006B72B0" w:rsidRPr="009C793F" w:rsidRDefault="006B72B0" w:rsidP="00DE19C9">
      <w:pPr>
        <w:jc w:val="both"/>
        <w:rPr>
          <w:rFonts w:asciiTheme="minorHAnsi" w:hAnsiTheme="minorHAnsi" w:cstheme="minorHAnsi"/>
          <w:color w:val="000000"/>
        </w:rPr>
      </w:pPr>
    </w:p>
    <w:p w14:paraId="000001F4"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Though Trinidad and Tobago is laying the foundation for a pathway to sustainable development, there is a long way to go especially in areas such as transitioning to renewables.  Currently, only a quasi-zero fraction (only 3 MW) of the country’s energy comes from </w:t>
      </w:r>
      <w:r w:rsidRPr="009C793F">
        <w:rPr>
          <w:rFonts w:asciiTheme="minorHAnsi" w:hAnsiTheme="minorHAnsi" w:cstheme="minorHAnsi"/>
          <w:b/>
          <w:color w:val="000000"/>
        </w:rPr>
        <w:t>renewable sources</w:t>
      </w:r>
      <w:r w:rsidRPr="009C793F">
        <w:rPr>
          <w:rFonts w:asciiTheme="minorHAnsi" w:hAnsiTheme="minorHAnsi" w:cstheme="minorHAnsi"/>
          <w:color w:val="000000"/>
          <w:vertAlign w:val="superscript"/>
        </w:rPr>
        <w:footnoteReference w:id="177"/>
      </w:r>
      <w:r w:rsidRPr="009C793F">
        <w:rPr>
          <w:rFonts w:asciiTheme="minorHAnsi" w:hAnsiTheme="minorHAnsi" w:cstheme="minorHAnsi"/>
          <w:color w:val="000000"/>
        </w:rPr>
        <w:t xml:space="preserve">. There are indications that key partnerships including with the private sector are being established in areas such as solar. However, this must be accelerated with the associated regulatory changes required to make renewables both viable and attractive so their use can be commonplace. </w:t>
      </w:r>
    </w:p>
    <w:p w14:paraId="26E3CA27" w14:textId="77777777" w:rsidR="00F21F4A" w:rsidRDefault="00F21F4A" w:rsidP="00DE19C9">
      <w:pPr>
        <w:keepNext/>
        <w:keepLines/>
        <w:jc w:val="both"/>
        <w:rPr>
          <w:rFonts w:asciiTheme="minorHAnsi" w:hAnsiTheme="minorHAnsi" w:cstheme="minorHAnsi"/>
          <w:b/>
        </w:rPr>
      </w:pPr>
    </w:p>
    <w:p w14:paraId="3577A8F4" w14:textId="77777777" w:rsidR="00F21F4A" w:rsidRDefault="00F21F4A" w:rsidP="00DE19C9">
      <w:pPr>
        <w:keepNext/>
        <w:keepLines/>
        <w:jc w:val="both"/>
        <w:rPr>
          <w:rFonts w:asciiTheme="minorHAnsi" w:hAnsiTheme="minorHAnsi" w:cstheme="minorHAnsi"/>
          <w:b/>
        </w:rPr>
      </w:pPr>
    </w:p>
    <w:p w14:paraId="000001F5" w14:textId="1058B07F" w:rsidR="006B72B0" w:rsidRPr="009C793F" w:rsidRDefault="00845012" w:rsidP="00DE19C9">
      <w:pPr>
        <w:keepNext/>
        <w:keepLines/>
        <w:jc w:val="both"/>
        <w:rPr>
          <w:rFonts w:asciiTheme="minorHAnsi" w:hAnsiTheme="minorHAnsi" w:cstheme="minorHAnsi"/>
          <w:b/>
        </w:rPr>
      </w:pPr>
      <w:r w:rsidRPr="009C793F">
        <w:rPr>
          <w:rFonts w:asciiTheme="minorHAnsi" w:hAnsiTheme="minorHAnsi" w:cstheme="minorHAnsi"/>
          <w:b/>
        </w:rPr>
        <w:t xml:space="preserve">5.3 Environmental Governance </w:t>
      </w:r>
    </w:p>
    <w:p w14:paraId="20344571" w14:textId="77777777" w:rsidR="00F21F4A" w:rsidRDefault="00F21F4A" w:rsidP="00DE19C9">
      <w:pPr>
        <w:jc w:val="both"/>
        <w:rPr>
          <w:rFonts w:asciiTheme="minorHAnsi" w:hAnsiTheme="minorHAnsi" w:cstheme="minorHAnsi"/>
        </w:rPr>
      </w:pPr>
    </w:p>
    <w:p w14:paraId="000001F6" w14:textId="0BCF0660"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Environment Management Authority (EMA) is the government body charged with a range of key responsibilities including the coordination of environmental management functions; developing and establishing criteria for environmental standards and criteria; and taking all appropriate action for the prevention and control of pollution and conservation of the environment</w:t>
      </w:r>
      <w:r w:rsidRPr="009C793F">
        <w:rPr>
          <w:rFonts w:asciiTheme="minorHAnsi" w:hAnsiTheme="minorHAnsi" w:cstheme="minorHAnsi"/>
          <w:vertAlign w:val="superscript"/>
        </w:rPr>
        <w:footnoteReference w:id="178"/>
      </w:r>
      <w:r w:rsidRPr="009C793F">
        <w:rPr>
          <w:rFonts w:asciiTheme="minorHAnsi" w:hAnsiTheme="minorHAnsi" w:cstheme="minorHAnsi"/>
        </w:rPr>
        <w:t>. It was established by the Environmental Management Act, 1995. It was later repealed and re-enacted in 2000 by the Environmental Management Act, Chap. 35:05</w:t>
      </w:r>
      <w:r w:rsidRPr="009C793F">
        <w:rPr>
          <w:rFonts w:asciiTheme="minorHAnsi" w:hAnsiTheme="minorHAnsi" w:cstheme="minorHAnsi"/>
          <w:b/>
        </w:rPr>
        <w:t xml:space="preserve">. </w:t>
      </w:r>
      <w:r w:rsidRPr="009C793F">
        <w:rPr>
          <w:rFonts w:asciiTheme="minorHAnsi" w:hAnsiTheme="minorHAnsi" w:cstheme="minorHAnsi"/>
        </w:rPr>
        <w:t>The EMA facilitates co-operation in the sector and seeks to foster participation and promote consensus whilst encouraging mechanisms such as alternative dispute resolution. The EMA also assists Government in implementing global and regional environmental agreements. It provide</w:t>
      </w:r>
      <w:r w:rsidR="003E2B34" w:rsidRPr="009C793F">
        <w:rPr>
          <w:rFonts w:asciiTheme="minorHAnsi" w:hAnsiTheme="minorHAnsi" w:cstheme="minorHAnsi"/>
        </w:rPr>
        <w:t>s</w:t>
      </w:r>
      <w:r w:rsidRPr="009C793F">
        <w:rPr>
          <w:rFonts w:asciiTheme="minorHAnsi" w:hAnsiTheme="minorHAnsi" w:cstheme="minorHAnsi"/>
        </w:rPr>
        <w:t xml:space="preserve"> advice to other government agencies, NGOs and individuals on environmental matters and  maintain a large and diverse </w:t>
      </w:r>
      <w:hyperlink r:id="rId78">
        <w:r w:rsidRPr="009C793F">
          <w:rPr>
            <w:rFonts w:asciiTheme="minorHAnsi" w:hAnsiTheme="minorHAnsi" w:cstheme="minorHAnsi"/>
          </w:rPr>
          <w:t>information centre</w:t>
        </w:r>
      </w:hyperlink>
      <w:r w:rsidRPr="009C793F">
        <w:rPr>
          <w:rFonts w:asciiTheme="minorHAnsi" w:hAnsiTheme="minorHAnsi" w:cstheme="minorHAnsi"/>
        </w:rPr>
        <w:t xml:space="preserve"> to support these programmes. </w:t>
      </w:r>
    </w:p>
    <w:p w14:paraId="000001FA" w14:textId="77777777" w:rsidR="006B72B0" w:rsidRPr="009C793F" w:rsidRDefault="006B72B0" w:rsidP="00DE19C9">
      <w:pPr>
        <w:jc w:val="both"/>
        <w:rPr>
          <w:rFonts w:asciiTheme="minorHAnsi" w:hAnsiTheme="minorHAnsi" w:cstheme="minorHAnsi"/>
        </w:rPr>
      </w:pPr>
    </w:p>
    <w:p w14:paraId="000001FB" w14:textId="4E37A5FA" w:rsidR="006B72B0" w:rsidRPr="009C793F" w:rsidRDefault="00845012" w:rsidP="00DE19C9">
      <w:pPr>
        <w:widowControl w:val="0"/>
        <w:pBdr>
          <w:top w:val="nil"/>
          <w:left w:val="nil"/>
          <w:bottom w:val="nil"/>
          <w:right w:val="nil"/>
          <w:between w:val="nil"/>
        </w:pBdr>
        <w:jc w:val="both"/>
        <w:rPr>
          <w:rFonts w:asciiTheme="minorHAnsi" w:hAnsiTheme="minorHAnsi" w:cstheme="minorHAnsi"/>
          <w:color w:val="000000"/>
        </w:rPr>
      </w:pPr>
      <w:r w:rsidRPr="009C793F">
        <w:rPr>
          <w:rFonts w:asciiTheme="minorHAnsi" w:hAnsiTheme="minorHAnsi" w:cstheme="minorHAnsi"/>
        </w:rPr>
        <w:t xml:space="preserve">Since its establishment, the EMA has made progress on several fronts. In terms of policy frameworks, the </w:t>
      </w:r>
      <w:r w:rsidR="00660966" w:rsidRPr="009C793F">
        <w:rPr>
          <w:rFonts w:asciiTheme="minorHAnsi" w:hAnsiTheme="minorHAnsi" w:cstheme="minorHAnsi"/>
        </w:rPr>
        <w:t>EMA developed</w:t>
      </w:r>
      <w:r w:rsidRPr="009C793F">
        <w:rPr>
          <w:rFonts w:asciiTheme="minorHAnsi" w:hAnsiTheme="minorHAnsi" w:cstheme="minorHAnsi"/>
        </w:rPr>
        <w:t xml:space="preserve"> the National Environmental Policy (NEP)</w:t>
      </w:r>
      <w:r w:rsidRPr="009C793F">
        <w:rPr>
          <w:rFonts w:asciiTheme="minorHAnsi" w:hAnsiTheme="minorHAnsi" w:cstheme="minorHAnsi"/>
          <w:vertAlign w:val="superscript"/>
        </w:rPr>
        <w:footnoteReference w:id="179"/>
      </w:r>
      <w:r w:rsidRPr="009C793F">
        <w:rPr>
          <w:rFonts w:asciiTheme="minorHAnsi" w:hAnsiTheme="minorHAnsi" w:cstheme="minorHAnsi"/>
        </w:rPr>
        <w:t xml:space="preserve"> which seeks to balance economic growth with environmentally sound practices. </w:t>
      </w:r>
      <w:r w:rsidRPr="009C793F">
        <w:rPr>
          <w:rFonts w:asciiTheme="minorHAnsi" w:hAnsiTheme="minorHAnsi" w:cstheme="minorHAnsi"/>
          <w:color w:val="000000"/>
        </w:rPr>
        <w:t>More recent progress in building the policy framework is the National Protected Area System Plan</w:t>
      </w:r>
      <w:r w:rsidRPr="009C793F">
        <w:rPr>
          <w:rFonts w:asciiTheme="minorHAnsi" w:hAnsiTheme="minorHAnsi" w:cstheme="minorHAnsi"/>
          <w:color w:val="000000"/>
          <w:vertAlign w:val="superscript"/>
        </w:rPr>
        <w:footnoteReference w:id="180"/>
      </w:r>
      <w:r w:rsidRPr="009C793F">
        <w:rPr>
          <w:rFonts w:asciiTheme="minorHAnsi" w:hAnsiTheme="minorHAnsi" w:cstheme="minorHAnsi"/>
          <w:color w:val="000000"/>
        </w:rPr>
        <w:t xml:space="preserve"> which provides a plan for conservation of ecosystems in the country. Subsequently in 2020, FAO assisted GORTT to establish a National Biodiversity Information System to systematically catalogue the country’s biodiversity. </w:t>
      </w:r>
    </w:p>
    <w:p w14:paraId="000001FC" w14:textId="77777777" w:rsidR="006B72B0" w:rsidRPr="009C793F" w:rsidRDefault="006B72B0" w:rsidP="00DE19C9">
      <w:pPr>
        <w:jc w:val="both"/>
        <w:rPr>
          <w:rFonts w:asciiTheme="minorHAnsi" w:hAnsiTheme="minorHAnsi" w:cstheme="minorHAnsi"/>
        </w:rPr>
      </w:pPr>
    </w:p>
    <w:p w14:paraId="000001F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EMA has also established the - Water Pollution Rules (WPR) whose main objective is to reduce the levels of water pollution in Trinidad and Tobago by first getting facilities that discharge water pollutants to report on their releases, and then putting measures and systems in place to achieve compliance with the discharge standards. Existing facilities discharging water pollutants into the environment are required to register as a source of water pollution.</w:t>
      </w:r>
    </w:p>
    <w:p w14:paraId="000001FE" w14:textId="77777777" w:rsidR="006B72B0" w:rsidRPr="009C793F" w:rsidRDefault="006B72B0" w:rsidP="00DE19C9">
      <w:pPr>
        <w:jc w:val="both"/>
        <w:rPr>
          <w:rFonts w:asciiTheme="minorHAnsi" w:hAnsiTheme="minorHAnsi" w:cstheme="minorHAnsi"/>
        </w:rPr>
      </w:pPr>
    </w:p>
    <w:p w14:paraId="7F4674F5" w14:textId="32CA58A3" w:rsidR="006D7035" w:rsidRPr="009C793F" w:rsidRDefault="00845012" w:rsidP="00DE19C9">
      <w:pPr>
        <w:jc w:val="both"/>
        <w:rPr>
          <w:rFonts w:asciiTheme="minorHAnsi" w:hAnsiTheme="minorHAnsi" w:cstheme="minorHAnsi"/>
        </w:rPr>
      </w:pPr>
      <w:r w:rsidRPr="009C793F">
        <w:rPr>
          <w:rFonts w:asciiTheme="minorHAnsi" w:hAnsiTheme="minorHAnsi" w:cstheme="minorHAnsi"/>
        </w:rPr>
        <w:t xml:space="preserve">Whilst progress has been made on the issue of environmental and climate change governance, this is an issue that requires both an all-of-government and whole-of-society approach with the full involvement of civil society. Within government, there is the need for harmonized institutional governance and cross-institutional collaboration. </w:t>
      </w:r>
      <w:r w:rsidR="007123C4" w:rsidRPr="009C793F">
        <w:rPr>
          <w:rFonts w:asciiTheme="minorHAnsi" w:hAnsiTheme="minorHAnsi" w:cstheme="minorHAnsi"/>
        </w:rPr>
        <w:t>T</w:t>
      </w:r>
      <w:r w:rsidRPr="009C793F">
        <w:rPr>
          <w:rFonts w:asciiTheme="minorHAnsi" w:hAnsiTheme="minorHAnsi" w:cstheme="minorHAnsi"/>
        </w:rPr>
        <w:t xml:space="preserve">here is a need to put in place mechanisms for ministries and agencies to better understand their role and responsibilities in this area with the associated accountability framework. This extends to statutory authorities and agencies such as the Water and Sewage Authority, a state-run enterprise.  </w:t>
      </w:r>
    </w:p>
    <w:p w14:paraId="5AAAF8EE" w14:textId="77777777" w:rsidR="006D7035" w:rsidRPr="009C793F" w:rsidRDefault="006D7035" w:rsidP="00DE19C9">
      <w:pPr>
        <w:jc w:val="both"/>
        <w:rPr>
          <w:rFonts w:asciiTheme="minorHAnsi" w:hAnsiTheme="minorHAnsi" w:cstheme="minorHAnsi"/>
        </w:rPr>
      </w:pPr>
    </w:p>
    <w:p w14:paraId="000001FF" w14:textId="0F051841"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On </w:t>
      </w:r>
      <w:r w:rsidRPr="009C793F">
        <w:rPr>
          <w:rFonts w:asciiTheme="minorHAnsi" w:hAnsiTheme="minorHAnsi" w:cstheme="minorHAnsi"/>
          <w:b/>
          <w:bCs/>
        </w:rPr>
        <w:t>environmental governance and climate resilience</w:t>
      </w:r>
      <w:r w:rsidRPr="009C793F">
        <w:rPr>
          <w:rFonts w:asciiTheme="minorHAnsi" w:hAnsiTheme="minorHAnsi" w:cstheme="minorHAnsi"/>
        </w:rPr>
        <w:t>, accountability will continue to be an important issue and with it the need for policy continuity from administration to administration. In this regard, reforms are required to ensure that there is parliamentary accountability and oversight for these areas</w:t>
      </w:r>
      <w:r w:rsidR="007123C4" w:rsidRPr="009C793F">
        <w:rPr>
          <w:rFonts w:asciiTheme="minorHAnsi" w:hAnsiTheme="minorHAnsi" w:cstheme="minorHAnsi"/>
        </w:rPr>
        <w:t>.</w:t>
      </w:r>
    </w:p>
    <w:p w14:paraId="00000200" w14:textId="77777777" w:rsidR="006B72B0" w:rsidRPr="009C793F" w:rsidRDefault="006B72B0" w:rsidP="00DE19C9">
      <w:pPr>
        <w:jc w:val="both"/>
        <w:rPr>
          <w:rFonts w:asciiTheme="minorHAnsi" w:hAnsiTheme="minorHAnsi" w:cstheme="minorHAnsi"/>
        </w:rPr>
      </w:pPr>
    </w:p>
    <w:p w14:paraId="00000201" w14:textId="77777777" w:rsidR="006B72B0" w:rsidRPr="009C793F" w:rsidRDefault="006B72B0" w:rsidP="00DE19C9">
      <w:pPr>
        <w:jc w:val="both"/>
        <w:rPr>
          <w:rFonts w:asciiTheme="minorHAnsi" w:hAnsiTheme="minorHAnsi" w:cstheme="minorHAnsi"/>
        </w:rPr>
      </w:pPr>
    </w:p>
    <w:p w14:paraId="7ADC850F" w14:textId="77777777" w:rsidR="00F21F4A" w:rsidRDefault="00F21F4A" w:rsidP="00DE19C9">
      <w:pPr>
        <w:jc w:val="both"/>
        <w:rPr>
          <w:rFonts w:asciiTheme="minorHAnsi" w:hAnsiTheme="minorHAnsi" w:cstheme="minorHAnsi"/>
        </w:rPr>
      </w:pPr>
    </w:p>
    <w:p w14:paraId="3308EC4C" w14:textId="77777777" w:rsidR="00F21F4A" w:rsidRDefault="00F21F4A" w:rsidP="00DE19C9">
      <w:pPr>
        <w:jc w:val="both"/>
        <w:rPr>
          <w:rFonts w:asciiTheme="minorHAnsi" w:hAnsiTheme="minorHAnsi" w:cstheme="minorHAnsi"/>
        </w:rPr>
      </w:pPr>
    </w:p>
    <w:p w14:paraId="00000202" w14:textId="78E98E67" w:rsidR="006B72B0" w:rsidRPr="009C793F" w:rsidRDefault="00845012" w:rsidP="00DE19C9">
      <w:pPr>
        <w:jc w:val="both"/>
        <w:rPr>
          <w:rFonts w:asciiTheme="minorHAnsi" w:hAnsiTheme="minorHAnsi" w:cstheme="minorHAnsi"/>
        </w:rPr>
      </w:pPr>
      <w:r w:rsidRPr="009C793F">
        <w:rPr>
          <w:rFonts w:asciiTheme="minorHAnsi" w:hAnsiTheme="minorHAnsi" w:cstheme="minorHAnsi"/>
        </w:rPr>
        <w:t>Capacities of Actors</w:t>
      </w:r>
    </w:p>
    <w:p w14:paraId="44BC6A8A" w14:textId="77777777" w:rsidR="00F21F4A" w:rsidRDefault="00F21F4A" w:rsidP="00DE19C9">
      <w:pPr>
        <w:jc w:val="both"/>
        <w:rPr>
          <w:rFonts w:asciiTheme="minorHAnsi" w:hAnsiTheme="minorHAnsi" w:cstheme="minorHAnsi"/>
        </w:rPr>
      </w:pPr>
    </w:p>
    <w:p w14:paraId="00000203" w14:textId="0B501511" w:rsidR="006B72B0" w:rsidRDefault="00845012" w:rsidP="00DE19C9">
      <w:pPr>
        <w:jc w:val="both"/>
        <w:rPr>
          <w:rFonts w:asciiTheme="minorHAnsi" w:hAnsiTheme="minorHAnsi" w:cstheme="minorHAnsi"/>
        </w:rPr>
      </w:pPr>
      <w:r w:rsidRPr="009C793F">
        <w:rPr>
          <w:rFonts w:asciiTheme="minorHAnsi" w:hAnsiTheme="minorHAnsi" w:cstheme="minorHAnsi"/>
        </w:rPr>
        <w:t xml:space="preserve">Given the enhanced focus on climate change and the environment in Trinidad and Tobago, there is the </w:t>
      </w:r>
      <w:r w:rsidRPr="009C793F">
        <w:rPr>
          <w:rFonts w:asciiTheme="minorHAnsi" w:hAnsiTheme="minorHAnsi" w:cstheme="minorHAnsi"/>
          <w:b/>
          <w:bCs/>
        </w:rPr>
        <w:t>need for an accompanied increase in capacities</w:t>
      </w:r>
      <w:r w:rsidRPr="009C793F">
        <w:rPr>
          <w:rFonts w:asciiTheme="minorHAnsi" w:hAnsiTheme="minorHAnsi" w:cstheme="minorHAnsi"/>
        </w:rPr>
        <w:t xml:space="preserve"> to advance a sustainable development agenda given the areas of weaknesses. In 2017, a capacity needs assessment</w:t>
      </w:r>
      <w:r w:rsidRPr="009C793F">
        <w:rPr>
          <w:rFonts w:asciiTheme="minorHAnsi" w:hAnsiTheme="minorHAnsi" w:cstheme="minorHAnsi"/>
          <w:vertAlign w:val="superscript"/>
        </w:rPr>
        <w:footnoteReference w:id="181"/>
      </w:r>
      <w:r w:rsidRPr="009C793F">
        <w:rPr>
          <w:rFonts w:asciiTheme="minorHAnsi" w:hAnsiTheme="minorHAnsi" w:cstheme="minorHAnsi"/>
        </w:rPr>
        <w:t xml:space="preserve"> was conducted with over 60 </w:t>
      </w:r>
      <w:r w:rsidR="006509DB" w:rsidRPr="009C793F">
        <w:rPr>
          <w:rFonts w:asciiTheme="minorHAnsi" w:hAnsiTheme="minorHAnsi" w:cstheme="minorHAnsi"/>
        </w:rPr>
        <w:t>stakeholders identified</w:t>
      </w:r>
      <w:r w:rsidRPr="009C793F">
        <w:rPr>
          <w:rFonts w:asciiTheme="minorHAnsi" w:hAnsiTheme="minorHAnsi" w:cstheme="minorHAnsi"/>
        </w:rPr>
        <w:t xml:space="preserve"> for the six pilot protected areas (PPAs) under the Improving Forest and Protected Area Management project in Trinidad and Tobago administered by FAO. The strengths and competencies for participatory management planning varied across the different stakeholders.  However, specific areas for improvement that were relevant to all stakeholders were identified as including:</w:t>
      </w:r>
    </w:p>
    <w:p w14:paraId="1A44D3FE" w14:textId="77777777" w:rsidR="00F21F4A" w:rsidRPr="009C793F" w:rsidRDefault="00F21F4A" w:rsidP="00DE19C9">
      <w:pPr>
        <w:jc w:val="both"/>
        <w:rPr>
          <w:rFonts w:asciiTheme="minorHAnsi" w:hAnsiTheme="minorHAnsi" w:cstheme="minorHAnsi"/>
        </w:rPr>
      </w:pPr>
    </w:p>
    <w:p w14:paraId="00000204"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There was a lack of awareness of global best practices and tools for PA management, including in stakeholder identification and analysis, assessment of opportunities and threats and zoning for multiple uses.</w:t>
      </w:r>
    </w:p>
    <w:p w14:paraId="00000205" w14:textId="6C1C9E05"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There was limited knowledge of regional and international models of PA management and cases of innovation, including in participatory and community-based approaches.</w:t>
      </w:r>
    </w:p>
    <w:p w14:paraId="00000206"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 xml:space="preserve">Strategic approaches were needed for communications and stakeholder engagement.  </w:t>
      </w:r>
    </w:p>
    <w:p w14:paraId="00000207"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Limited human and financial resources to support dedicated and ongoing research and M&amp;E programmes and enable evidence-based decision making about PAs.</w:t>
      </w:r>
    </w:p>
    <w:p w14:paraId="00000208"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While there was technical knowledge and skills related to climate change and disaster risk reduction, practical experience was lacking in terms of planning and response within a PA context.</w:t>
      </w:r>
    </w:p>
    <w:p w14:paraId="00000209"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There was little to no knowledge of and experience in designing and implementing a sustainable financing system to support the six PPAs and a wider PA system.</w:t>
      </w:r>
    </w:p>
    <w:p w14:paraId="0000020A"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Effective planning and implementation was constrained by weak organisational systems, including lack of leadership and governance, human resource management, financial management and sustainability and strategic planning.</w:t>
      </w:r>
    </w:p>
    <w:p w14:paraId="0000020B" w14:textId="77777777" w:rsidR="006B72B0" w:rsidRPr="009C793F" w:rsidRDefault="00845012" w:rsidP="00DE19C9">
      <w:pPr>
        <w:numPr>
          <w:ilvl w:val="0"/>
          <w:numId w:val="5"/>
        </w:numPr>
        <w:jc w:val="both"/>
        <w:rPr>
          <w:rFonts w:asciiTheme="minorHAnsi" w:hAnsiTheme="minorHAnsi" w:cstheme="minorHAnsi"/>
        </w:rPr>
      </w:pPr>
      <w:r w:rsidRPr="009C793F">
        <w:rPr>
          <w:rFonts w:asciiTheme="minorHAnsi" w:hAnsiTheme="minorHAnsi" w:cstheme="minorHAnsi"/>
        </w:rPr>
        <w:t>Lack of data management and sharing was a systemic issue due to human and financial resource constraints, a culture of not openly sharing data and information and the absence of a lead agency to coordinate and house a data management system for the system of PAs.</w:t>
      </w:r>
    </w:p>
    <w:p w14:paraId="0000020C" w14:textId="77777777" w:rsidR="006B72B0" w:rsidRPr="009C793F" w:rsidRDefault="006B72B0" w:rsidP="00DE19C9">
      <w:pPr>
        <w:ind w:left="720"/>
        <w:jc w:val="both"/>
        <w:rPr>
          <w:rFonts w:asciiTheme="minorHAnsi" w:hAnsiTheme="minorHAnsi" w:cstheme="minorHAnsi"/>
        </w:rPr>
      </w:pPr>
    </w:p>
    <w:p w14:paraId="0000020D" w14:textId="77777777" w:rsidR="006B72B0" w:rsidRPr="00F21F4A" w:rsidRDefault="00845012" w:rsidP="00DE19C9">
      <w:pPr>
        <w:jc w:val="both"/>
        <w:rPr>
          <w:rFonts w:asciiTheme="minorHAnsi" w:hAnsiTheme="minorHAnsi" w:cstheme="minorHAnsi"/>
          <w:b/>
          <w:bCs/>
        </w:rPr>
      </w:pPr>
      <w:r w:rsidRPr="00F21F4A">
        <w:rPr>
          <w:rFonts w:asciiTheme="minorHAnsi" w:hAnsiTheme="minorHAnsi" w:cstheme="minorHAnsi"/>
          <w:b/>
          <w:bCs/>
        </w:rPr>
        <w:t>5.4 Climate Action</w:t>
      </w:r>
    </w:p>
    <w:p w14:paraId="0000020E" w14:textId="77777777" w:rsidR="006B72B0" w:rsidRPr="009C793F" w:rsidRDefault="006B72B0" w:rsidP="00DE19C9">
      <w:pPr>
        <w:jc w:val="both"/>
        <w:rPr>
          <w:rFonts w:asciiTheme="minorHAnsi" w:hAnsiTheme="minorHAnsi" w:cstheme="minorHAnsi"/>
        </w:rPr>
      </w:pPr>
    </w:p>
    <w:p w14:paraId="00000212" w14:textId="0BAAC54D" w:rsidR="006B72B0" w:rsidRPr="009C793F" w:rsidRDefault="007123C4" w:rsidP="00DE19C9">
      <w:pPr>
        <w:jc w:val="both"/>
        <w:rPr>
          <w:rFonts w:asciiTheme="minorHAnsi" w:hAnsiTheme="minorHAnsi" w:cstheme="minorHAnsi"/>
        </w:rPr>
      </w:pPr>
      <w:r w:rsidRPr="009C793F">
        <w:rPr>
          <w:rFonts w:asciiTheme="minorHAnsi" w:hAnsiTheme="minorHAnsi" w:cstheme="minorHAnsi"/>
        </w:rPr>
        <w:t>Trinidad and Tobago</w:t>
      </w:r>
      <w:r w:rsidR="00845012" w:rsidRPr="009C793F">
        <w:rPr>
          <w:rFonts w:asciiTheme="minorHAnsi" w:hAnsiTheme="minorHAnsi" w:cstheme="minorHAnsi"/>
        </w:rPr>
        <w:t xml:space="preserve"> faces the conundrum of advancing climate action whilst relying heavily on the oil and gas sector as its economic mainstay. Government has been taking steps to create a policy framework to encourage the use of renewables and has become a member of the International Solar Alliance. Accelerated action including tapping into the indigenous private sector and foreign investors to upscale efforts in the area of renewables and energy transformation will be required. </w:t>
      </w:r>
    </w:p>
    <w:p w14:paraId="00000213" w14:textId="77777777" w:rsidR="006B72B0" w:rsidRPr="009C793F" w:rsidRDefault="006B72B0" w:rsidP="00DE19C9">
      <w:pPr>
        <w:jc w:val="both"/>
        <w:rPr>
          <w:rFonts w:asciiTheme="minorHAnsi" w:hAnsiTheme="minorHAnsi" w:cstheme="minorHAnsi"/>
        </w:rPr>
      </w:pPr>
    </w:p>
    <w:p w14:paraId="00000216" w14:textId="5182AB45" w:rsidR="006B72B0" w:rsidRPr="009C793F" w:rsidRDefault="00845012" w:rsidP="00DE19C9">
      <w:pPr>
        <w:jc w:val="both"/>
        <w:rPr>
          <w:rFonts w:asciiTheme="minorHAnsi" w:hAnsiTheme="minorHAnsi" w:cstheme="minorHAnsi"/>
        </w:rPr>
      </w:pPr>
      <w:r w:rsidRPr="009C793F">
        <w:rPr>
          <w:rFonts w:asciiTheme="minorHAnsi" w:hAnsiTheme="minorHAnsi" w:cstheme="minorHAnsi"/>
        </w:rPr>
        <w:t>The case for urgent action is empirically well established. A 2014 study</w:t>
      </w:r>
      <w:r w:rsidRPr="009C793F">
        <w:rPr>
          <w:rFonts w:asciiTheme="minorHAnsi" w:hAnsiTheme="minorHAnsi" w:cstheme="minorHAnsi"/>
          <w:vertAlign w:val="superscript"/>
        </w:rPr>
        <w:footnoteReference w:id="182"/>
      </w:r>
      <w:r w:rsidRPr="009C793F">
        <w:rPr>
          <w:rFonts w:asciiTheme="minorHAnsi" w:hAnsiTheme="minorHAnsi" w:cstheme="minorHAnsi"/>
        </w:rPr>
        <w:t xml:space="preserve"> by IADB shows that losses in the Region due to tropical storms could increase between 17 percent and 63 percent over the next 50 years due to climate change effects. This vulnerability provides additional justification for considering ecosystem services in the planning process.</w:t>
      </w:r>
      <w:r w:rsidR="007123C4" w:rsidRPr="009C793F">
        <w:rPr>
          <w:rFonts w:asciiTheme="minorHAnsi" w:hAnsiTheme="minorHAnsi" w:cstheme="minorHAnsi"/>
        </w:rPr>
        <w:t xml:space="preserve"> </w:t>
      </w:r>
      <w:r w:rsidRPr="009C793F">
        <w:rPr>
          <w:rFonts w:asciiTheme="minorHAnsi" w:hAnsiTheme="minorHAnsi" w:cstheme="minorHAnsi"/>
          <w:color w:val="000000"/>
        </w:rPr>
        <w:t>Sea level rise is of particular concern, especially considering the significant coastal erosion – up to 0.9 metres per year – in some parts of the coastal belt</w:t>
      </w:r>
      <w:r w:rsidR="00432C49" w:rsidRPr="009C793F">
        <w:rPr>
          <w:rFonts w:asciiTheme="minorHAnsi" w:hAnsiTheme="minorHAnsi" w:cstheme="minorHAnsi"/>
          <w:color w:val="000000"/>
        </w:rPr>
        <w:t xml:space="preserve"> can have an adverse effect on the population residing on the coast</w:t>
      </w:r>
      <w:r w:rsidRPr="009C793F">
        <w:rPr>
          <w:rFonts w:asciiTheme="minorHAnsi" w:hAnsiTheme="minorHAnsi" w:cstheme="minorHAnsi"/>
          <w:color w:val="000000"/>
          <w:vertAlign w:val="superscript"/>
        </w:rPr>
        <w:footnoteReference w:id="183"/>
      </w:r>
      <w:r w:rsidRPr="009C793F">
        <w:rPr>
          <w:rFonts w:asciiTheme="minorHAnsi" w:hAnsiTheme="minorHAnsi" w:cstheme="minorHAnsi"/>
          <w:color w:val="000000"/>
        </w:rPr>
        <w:t xml:space="preserve">. </w:t>
      </w:r>
    </w:p>
    <w:p w14:paraId="00000217" w14:textId="77777777" w:rsidR="006B72B0" w:rsidRPr="009C793F" w:rsidRDefault="006B72B0" w:rsidP="00DE19C9">
      <w:pPr>
        <w:jc w:val="both"/>
        <w:rPr>
          <w:rFonts w:asciiTheme="minorHAnsi" w:hAnsiTheme="minorHAnsi" w:cstheme="minorHAnsi"/>
          <w:color w:val="000000"/>
        </w:rPr>
      </w:pPr>
    </w:p>
    <w:p w14:paraId="00000218" w14:textId="33DC1B31"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Tobago’s economy is also driven by the tourism sector with </w:t>
      </w:r>
      <w:r w:rsidR="006509DB" w:rsidRPr="009C793F">
        <w:rPr>
          <w:rFonts w:asciiTheme="minorHAnsi" w:hAnsiTheme="minorHAnsi" w:cstheme="minorHAnsi"/>
          <w:color w:val="000000"/>
        </w:rPr>
        <w:t>much of</w:t>
      </w:r>
      <w:r w:rsidRPr="009C793F">
        <w:rPr>
          <w:rFonts w:asciiTheme="minorHAnsi" w:hAnsiTheme="minorHAnsi" w:cstheme="minorHAnsi"/>
          <w:color w:val="000000"/>
        </w:rPr>
        <w:t xml:space="preserve"> the infrastructure in coastal strips around the island. </w:t>
      </w:r>
      <w:r w:rsidR="00432C49" w:rsidRPr="009C793F">
        <w:rPr>
          <w:rFonts w:asciiTheme="minorHAnsi" w:hAnsiTheme="minorHAnsi" w:cstheme="minorHAnsi"/>
          <w:color w:val="000000"/>
        </w:rPr>
        <w:t>I</w:t>
      </w:r>
      <w:r w:rsidRPr="009C793F">
        <w:rPr>
          <w:rFonts w:asciiTheme="minorHAnsi" w:hAnsiTheme="minorHAnsi" w:cstheme="minorHAnsi"/>
          <w:color w:val="000000"/>
        </w:rPr>
        <w:t xml:space="preserve">n addition to the risks posed to the communities living in coastal areas, climate change can have a devastating economic impact on Tobago and by extension on the national economy. Similarly, climate change has major implications for agriculture given the varying weather patterns and increased flood risk in farming areas. </w:t>
      </w:r>
      <w:r w:rsidR="0035358C" w:rsidRPr="009C793F">
        <w:rPr>
          <w:rFonts w:asciiTheme="minorHAnsi" w:hAnsiTheme="minorHAnsi" w:cstheme="minorHAnsi"/>
          <w:color w:val="000000"/>
        </w:rPr>
        <w:t>GORTT’s</w:t>
      </w:r>
      <w:r w:rsidRPr="009C793F">
        <w:rPr>
          <w:rFonts w:asciiTheme="minorHAnsi" w:hAnsiTheme="minorHAnsi" w:cstheme="minorHAnsi"/>
          <w:color w:val="000000"/>
        </w:rPr>
        <w:t xml:space="preserve"> major initiatives and substantial increase in the financial allocation for agriculture announced in the</w:t>
      </w:r>
      <w:r w:rsidR="00432C49" w:rsidRPr="009C793F">
        <w:rPr>
          <w:rFonts w:asciiTheme="minorHAnsi" w:hAnsiTheme="minorHAnsi" w:cstheme="minorHAnsi"/>
          <w:color w:val="000000"/>
        </w:rPr>
        <w:t xml:space="preserve"> 2021</w:t>
      </w:r>
      <w:r w:rsidRPr="009C793F">
        <w:rPr>
          <w:rFonts w:asciiTheme="minorHAnsi" w:hAnsiTheme="minorHAnsi" w:cstheme="minorHAnsi"/>
          <w:color w:val="000000"/>
        </w:rPr>
        <w:t xml:space="preserve"> national budget need to </w:t>
      </w:r>
      <w:r w:rsidR="00432C49" w:rsidRPr="009C793F">
        <w:rPr>
          <w:rFonts w:asciiTheme="minorHAnsi" w:hAnsiTheme="minorHAnsi" w:cstheme="minorHAnsi"/>
          <w:color w:val="000000"/>
        </w:rPr>
        <w:t>support</w:t>
      </w:r>
      <w:r w:rsidRPr="009C793F">
        <w:rPr>
          <w:rFonts w:asciiTheme="minorHAnsi" w:hAnsiTheme="minorHAnsi" w:cstheme="minorHAnsi"/>
          <w:color w:val="000000"/>
        </w:rPr>
        <w:t xml:space="preserve"> climate resilient approaches to agriculture to achieve success. </w:t>
      </w:r>
    </w:p>
    <w:p w14:paraId="00000219" w14:textId="77777777" w:rsidR="006B72B0" w:rsidRPr="009C793F" w:rsidRDefault="006B72B0" w:rsidP="00DE19C9">
      <w:pPr>
        <w:jc w:val="both"/>
        <w:rPr>
          <w:rFonts w:asciiTheme="minorHAnsi" w:hAnsiTheme="minorHAnsi" w:cstheme="minorHAnsi"/>
          <w:color w:val="000000"/>
        </w:rPr>
      </w:pPr>
    </w:p>
    <w:p w14:paraId="0000021A" w14:textId="0780601A" w:rsidR="006B72B0" w:rsidRPr="009C793F" w:rsidRDefault="00845012" w:rsidP="00DE19C9">
      <w:pPr>
        <w:jc w:val="both"/>
        <w:rPr>
          <w:rFonts w:asciiTheme="minorHAnsi" w:hAnsiTheme="minorHAnsi" w:cstheme="minorHAnsi"/>
        </w:rPr>
      </w:pPr>
      <w:r w:rsidRPr="009C793F">
        <w:rPr>
          <w:rFonts w:asciiTheme="minorHAnsi" w:hAnsiTheme="minorHAnsi" w:cstheme="minorHAnsi"/>
        </w:rPr>
        <w:t>Climate change increasingly affects households in low-income areas in particular. One study</w:t>
      </w:r>
      <w:r w:rsidRPr="009C793F">
        <w:rPr>
          <w:rFonts w:asciiTheme="minorHAnsi" w:hAnsiTheme="minorHAnsi" w:cstheme="minorHAnsi"/>
          <w:vertAlign w:val="superscript"/>
        </w:rPr>
        <w:footnoteReference w:id="184"/>
      </w:r>
      <w:r w:rsidRPr="009C793F">
        <w:rPr>
          <w:rFonts w:asciiTheme="minorHAnsi" w:hAnsiTheme="minorHAnsi" w:cstheme="minorHAnsi"/>
        </w:rPr>
        <w:t xml:space="preserve"> shows the experience of a community as it </w:t>
      </w:r>
      <w:r w:rsidR="00660966" w:rsidRPr="009C793F">
        <w:rPr>
          <w:rFonts w:asciiTheme="minorHAnsi" w:hAnsiTheme="minorHAnsi" w:cstheme="minorHAnsi"/>
        </w:rPr>
        <w:t>experiences the</w:t>
      </w:r>
      <w:r w:rsidRPr="009C793F">
        <w:rPr>
          <w:rFonts w:asciiTheme="minorHAnsi" w:hAnsiTheme="minorHAnsi" w:cstheme="minorHAnsi"/>
        </w:rPr>
        <w:t xml:space="preserve"> impact of changing climatic conditions, in particular flooding. Households implement a wide range of adaptive measures before, during and after floods. Looking at the different levels of CC adaptation governance in Trinidad and Tobago it can be concluded that although the institutional architecture to support local CC adaptation seems to cover all governance levels, vertical linkages between and among the various levels have to be strengthened to bridge the gap between community-based and national-level adaptation planning. Improved systems are required for coordination, collaboration and communication. </w:t>
      </w:r>
    </w:p>
    <w:p w14:paraId="0000021B" w14:textId="77777777" w:rsidR="006B72B0" w:rsidRPr="009C793F" w:rsidRDefault="006B72B0" w:rsidP="00DE19C9">
      <w:pPr>
        <w:jc w:val="both"/>
        <w:rPr>
          <w:rFonts w:asciiTheme="minorHAnsi" w:hAnsiTheme="minorHAnsi" w:cstheme="minorHAnsi"/>
        </w:rPr>
      </w:pPr>
    </w:p>
    <w:p w14:paraId="0000021C" w14:textId="5D856E32" w:rsidR="006B72B0" w:rsidRDefault="00845012" w:rsidP="00DE19C9">
      <w:pPr>
        <w:jc w:val="both"/>
        <w:rPr>
          <w:rFonts w:asciiTheme="minorHAnsi" w:hAnsiTheme="minorHAnsi" w:cstheme="minorHAnsi"/>
        </w:rPr>
      </w:pPr>
      <w:r w:rsidRPr="009C793F">
        <w:rPr>
          <w:rFonts w:asciiTheme="minorHAnsi" w:hAnsiTheme="minorHAnsi" w:cstheme="minorHAnsi"/>
        </w:rPr>
        <w:t xml:space="preserve">Civil society plays an important role in advancing and supporting the climate agenda in Trinidad and Tobago. Institutions such as the Caribbean Natural Resources Institute continue to be active including calling on the government to become a party to the Regional Agreement on Access to Information, Public Participation and Justice in Environmental Matters in Latin America and the </w:t>
      </w:r>
      <w:r w:rsidR="006509DB" w:rsidRPr="009C793F">
        <w:rPr>
          <w:rFonts w:asciiTheme="minorHAnsi" w:hAnsiTheme="minorHAnsi" w:cstheme="minorHAnsi"/>
        </w:rPr>
        <w:t>Caribbean (</w:t>
      </w:r>
      <w:r w:rsidRPr="009C793F">
        <w:rPr>
          <w:rFonts w:asciiTheme="minorHAnsi" w:hAnsiTheme="minorHAnsi" w:cstheme="minorHAnsi"/>
        </w:rPr>
        <w:t>Escazú Agreement)</w:t>
      </w:r>
      <w:r w:rsidRPr="009C793F">
        <w:rPr>
          <w:rFonts w:asciiTheme="minorHAnsi" w:hAnsiTheme="minorHAnsi" w:cstheme="minorHAnsi"/>
          <w:vertAlign w:val="superscript"/>
        </w:rPr>
        <w:footnoteReference w:id="185"/>
      </w:r>
      <w:r w:rsidRPr="009C793F">
        <w:rPr>
          <w:rFonts w:asciiTheme="minorHAnsi" w:hAnsiTheme="minorHAnsi" w:cstheme="minorHAnsi"/>
        </w:rPr>
        <w:t xml:space="preserve">. Thus far, 24 out of 33 countries have signed on to this agreement.  </w:t>
      </w:r>
    </w:p>
    <w:p w14:paraId="62E15379" w14:textId="77777777" w:rsidR="00F21F4A" w:rsidRPr="009C793F" w:rsidRDefault="00F21F4A" w:rsidP="00DE19C9">
      <w:pPr>
        <w:jc w:val="both"/>
        <w:rPr>
          <w:rFonts w:asciiTheme="minorHAnsi" w:hAnsiTheme="minorHAnsi" w:cstheme="minorHAnsi"/>
          <w:color w:val="400005"/>
        </w:rPr>
      </w:pPr>
    </w:p>
    <w:p w14:paraId="0000021D" w14:textId="77777777" w:rsidR="006B72B0" w:rsidRPr="009C793F" w:rsidRDefault="00845012" w:rsidP="00DE19C9">
      <w:pPr>
        <w:keepNext/>
        <w:keepLines/>
        <w:jc w:val="both"/>
        <w:rPr>
          <w:rFonts w:asciiTheme="minorHAnsi" w:hAnsiTheme="minorHAnsi" w:cstheme="minorHAnsi"/>
          <w:b/>
          <w:color w:val="000000"/>
        </w:rPr>
      </w:pPr>
      <w:r w:rsidRPr="009C793F">
        <w:rPr>
          <w:rFonts w:asciiTheme="minorHAnsi" w:hAnsiTheme="minorHAnsi" w:cstheme="minorHAnsi"/>
          <w:b/>
        </w:rPr>
        <w:t>5.5 Support to implementation of the Paris Agreement</w:t>
      </w:r>
    </w:p>
    <w:p w14:paraId="7924BAAD" w14:textId="77777777" w:rsidR="00F21F4A" w:rsidRDefault="00F21F4A" w:rsidP="00DE19C9">
      <w:pPr>
        <w:jc w:val="both"/>
        <w:rPr>
          <w:rFonts w:asciiTheme="minorHAnsi" w:hAnsiTheme="minorHAnsi" w:cstheme="minorHAnsi"/>
        </w:rPr>
      </w:pPr>
    </w:p>
    <w:p w14:paraId="1E35B9EC" w14:textId="1F0430D1" w:rsidR="00432C49" w:rsidRPr="009C793F" w:rsidRDefault="00845012" w:rsidP="00F21F4A">
      <w:pPr>
        <w:jc w:val="both"/>
        <w:rPr>
          <w:rFonts w:asciiTheme="minorHAnsi" w:hAnsiTheme="minorHAnsi" w:cstheme="minorHAnsi"/>
        </w:rPr>
      </w:pPr>
      <w:r w:rsidRPr="009C793F">
        <w:rPr>
          <w:rFonts w:asciiTheme="minorHAnsi" w:hAnsiTheme="minorHAnsi" w:cstheme="minorHAnsi"/>
        </w:rPr>
        <w:t>Trinidad and Tobago ratified the Paris Agreement on February 22, 2018. The NDCs goals are based on the carbon reduction strategy specifically developed for the following three sectors which are heavily dependent on fossil fuels</w:t>
      </w:r>
      <w:r w:rsidR="00432C49" w:rsidRPr="009C793F">
        <w:rPr>
          <w:rFonts w:asciiTheme="minorHAnsi" w:hAnsiTheme="minorHAnsi" w:cstheme="minorHAnsi"/>
        </w:rPr>
        <w:t>:</w:t>
      </w:r>
      <w:r w:rsidRPr="009C793F">
        <w:rPr>
          <w:rFonts w:asciiTheme="minorHAnsi" w:hAnsiTheme="minorHAnsi" w:cstheme="minorHAnsi"/>
        </w:rPr>
        <w:t xml:space="preserve"> Power generation; Transportation and Industry. The aim is to: </w:t>
      </w:r>
    </w:p>
    <w:p w14:paraId="43834BEA" w14:textId="77777777" w:rsidR="00F21F4A" w:rsidRDefault="00F21F4A" w:rsidP="00DE19C9">
      <w:pPr>
        <w:jc w:val="both"/>
        <w:rPr>
          <w:rFonts w:asciiTheme="minorHAnsi" w:hAnsiTheme="minorHAnsi" w:cstheme="minorHAnsi"/>
        </w:rPr>
      </w:pPr>
    </w:p>
    <w:p w14:paraId="5F2646B1" w14:textId="24A0AFC1" w:rsidR="00432C49" w:rsidRPr="009C793F" w:rsidRDefault="00845012" w:rsidP="00DE19C9">
      <w:pPr>
        <w:jc w:val="both"/>
        <w:rPr>
          <w:rFonts w:asciiTheme="minorHAnsi" w:hAnsiTheme="minorHAnsi" w:cstheme="minorHAnsi"/>
        </w:rPr>
      </w:pPr>
      <w:r w:rsidRPr="009C793F">
        <w:rPr>
          <w:rFonts w:asciiTheme="minorHAnsi" w:hAnsiTheme="minorHAnsi" w:cstheme="minorHAnsi"/>
        </w:rPr>
        <w:t>1. Reduce greenhouse gas emissions by 15</w:t>
      </w:r>
      <w:r w:rsidR="00432C49" w:rsidRPr="009C793F">
        <w:rPr>
          <w:rFonts w:asciiTheme="minorHAnsi" w:hAnsiTheme="minorHAnsi" w:cstheme="minorHAnsi"/>
        </w:rPr>
        <w:t xml:space="preserve"> </w:t>
      </w:r>
      <w:r w:rsidR="00E408E0" w:rsidRPr="009C793F">
        <w:rPr>
          <w:rFonts w:asciiTheme="minorHAnsi" w:hAnsiTheme="minorHAnsi" w:cstheme="minorHAnsi"/>
        </w:rPr>
        <w:t>per cent</w:t>
      </w:r>
      <w:r w:rsidRPr="009C793F">
        <w:rPr>
          <w:rFonts w:asciiTheme="minorHAnsi" w:hAnsiTheme="minorHAnsi" w:cstheme="minorHAnsi"/>
        </w:rPr>
        <w:t xml:space="preserve">, by the year 2030, which costs approximately US$ 2 billion; and </w:t>
      </w:r>
    </w:p>
    <w:p w14:paraId="028E9EEB" w14:textId="77777777" w:rsidR="00432C49" w:rsidRPr="009C793F" w:rsidRDefault="00845012" w:rsidP="00DE19C9">
      <w:pPr>
        <w:jc w:val="both"/>
        <w:rPr>
          <w:rFonts w:asciiTheme="minorHAnsi" w:hAnsiTheme="minorHAnsi" w:cstheme="minorHAnsi"/>
        </w:rPr>
      </w:pPr>
      <w:r w:rsidRPr="009C793F">
        <w:rPr>
          <w:rFonts w:asciiTheme="minorHAnsi" w:hAnsiTheme="minorHAnsi" w:cstheme="minorHAnsi"/>
        </w:rPr>
        <w:t>2. Reduce public transport emissions by 30</w:t>
      </w:r>
      <w:r w:rsidR="00E408E0" w:rsidRPr="009C793F">
        <w:rPr>
          <w:rFonts w:asciiTheme="minorHAnsi" w:hAnsiTheme="minorHAnsi" w:cstheme="minorHAnsi"/>
        </w:rPr>
        <w:t>per cent</w:t>
      </w:r>
      <w:r w:rsidRPr="009C793F">
        <w:rPr>
          <w:rFonts w:asciiTheme="minorHAnsi" w:hAnsiTheme="minorHAnsi" w:cstheme="minorHAnsi"/>
        </w:rPr>
        <w:t xml:space="preserve"> or 1,700,000 tonnes of CO2 (compared to 2013 levels), by December 2030</w:t>
      </w:r>
      <w:r w:rsidR="00A84633" w:rsidRPr="009C793F">
        <w:rPr>
          <w:rStyle w:val="FootnoteReference"/>
          <w:rFonts w:asciiTheme="minorHAnsi" w:hAnsiTheme="minorHAnsi" w:cstheme="minorHAnsi"/>
        </w:rPr>
        <w:footnoteReference w:id="186"/>
      </w:r>
      <w:r w:rsidRPr="009C793F">
        <w:rPr>
          <w:rFonts w:asciiTheme="minorHAnsi" w:hAnsiTheme="minorHAnsi" w:cstheme="minorHAnsi"/>
        </w:rPr>
        <w:t xml:space="preserve">. </w:t>
      </w:r>
    </w:p>
    <w:p w14:paraId="0000021F" w14:textId="7ED18F79"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 </w:t>
      </w:r>
      <w:sdt>
        <w:sdtPr>
          <w:rPr>
            <w:rFonts w:asciiTheme="minorHAnsi" w:hAnsiTheme="minorHAnsi" w:cstheme="minorHAnsi"/>
          </w:rPr>
          <w:tag w:val="goog_rdk_44"/>
          <w:id w:val="279385040"/>
          <w:showingPlcHdr/>
        </w:sdtPr>
        <w:sdtContent>
          <w:r w:rsidR="00F21F4A">
            <w:rPr>
              <w:rFonts w:asciiTheme="minorHAnsi" w:hAnsiTheme="minorHAnsi" w:cstheme="minorHAnsi"/>
            </w:rPr>
            <w:t xml:space="preserve">     </w:t>
          </w:r>
        </w:sdtContent>
      </w:sdt>
    </w:p>
    <w:p w14:paraId="6FAFAB9E" w14:textId="77777777" w:rsidR="00432C49"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 some respects, Trinidad and Tobago has been pioneering. For example, it has established </w:t>
      </w:r>
      <w:r w:rsidR="00660966" w:rsidRPr="009C793F">
        <w:rPr>
          <w:rFonts w:asciiTheme="minorHAnsi" w:hAnsiTheme="minorHAnsi" w:cstheme="minorHAnsi"/>
        </w:rPr>
        <w:t>a Monitoring</w:t>
      </w:r>
      <w:r w:rsidRPr="009C793F">
        <w:rPr>
          <w:rFonts w:asciiTheme="minorHAnsi" w:hAnsiTheme="minorHAnsi" w:cstheme="minorHAnsi"/>
        </w:rPr>
        <w:t xml:space="preserve">, Reporting and Verification (MRV) system which serves to track the implementation of the NDC and by extension, the Paris Agreement. Cabinet has also approved the establishment of a Climate Change Focal Point Network bringing together government ministries and partners in business, civil society and academia to foster collaboration and knowledge sharing. </w:t>
      </w:r>
      <w:r w:rsidR="00A84633" w:rsidRPr="009C793F">
        <w:rPr>
          <w:rFonts w:asciiTheme="minorHAnsi" w:hAnsiTheme="minorHAnsi" w:cstheme="minorHAnsi"/>
        </w:rPr>
        <w:t xml:space="preserve">The United Nations is already assisting in this area. UNDP’s NDC </w:t>
      </w:r>
      <w:r w:rsidRPr="009C793F">
        <w:rPr>
          <w:rFonts w:asciiTheme="minorHAnsi" w:hAnsiTheme="minorHAnsi" w:cstheme="minorHAnsi"/>
        </w:rPr>
        <w:t>Support Programme,</w:t>
      </w:r>
      <w:r w:rsidR="00A84633" w:rsidRPr="009C793F">
        <w:rPr>
          <w:rFonts w:asciiTheme="minorHAnsi" w:hAnsiTheme="minorHAnsi" w:cstheme="minorHAnsi"/>
        </w:rPr>
        <w:t xml:space="preserve"> which works with countries to achieve transformational development, is also assisting Trinidad and Tobago in the implementation of its NDCs.</w:t>
      </w:r>
      <w:r w:rsidRPr="009C793F">
        <w:rPr>
          <w:rFonts w:asciiTheme="minorHAnsi" w:hAnsiTheme="minorHAnsi" w:cstheme="minorHAnsi"/>
        </w:rPr>
        <w:t xml:space="preserve"> </w:t>
      </w:r>
    </w:p>
    <w:p w14:paraId="5D09A774" w14:textId="77777777" w:rsidR="00432C49" w:rsidRPr="009C793F" w:rsidRDefault="00432C49" w:rsidP="00DE19C9">
      <w:pPr>
        <w:jc w:val="both"/>
        <w:rPr>
          <w:rFonts w:asciiTheme="minorHAnsi" w:hAnsiTheme="minorHAnsi" w:cstheme="minorHAnsi"/>
        </w:rPr>
      </w:pPr>
    </w:p>
    <w:p w14:paraId="00000223" w14:textId="487A1516" w:rsidR="006B72B0" w:rsidRDefault="00845012" w:rsidP="00DE19C9">
      <w:pPr>
        <w:jc w:val="both"/>
        <w:rPr>
          <w:rFonts w:asciiTheme="minorHAnsi" w:hAnsiTheme="minorHAnsi" w:cstheme="minorHAnsi"/>
          <w:b/>
        </w:rPr>
      </w:pPr>
      <w:r w:rsidRPr="009C793F">
        <w:rPr>
          <w:rFonts w:asciiTheme="minorHAnsi" w:hAnsiTheme="minorHAnsi" w:cstheme="minorHAnsi"/>
          <w:b/>
        </w:rPr>
        <w:t>5.6</w:t>
      </w:r>
      <w:r w:rsidRPr="009C793F">
        <w:rPr>
          <w:rFonts w:asciiTheme="minorHAnsi" w:hAnsiTheme="minorHAnsi" w:cstheme="minorHAnsi"/>
          <w:b/>
        </w:rPr>
        <w:tab/>
        <w:t>Natural Disasters and Resilience</w:t>
      </w:r>
    </w:p>
    <w:p w14:paraId="0E87B7D9" w14:textId="77777777" w:rsidR="00F21F4A" w:rsidRPr="009C793F" w:rsidRDefault="00F21F4A" w:rsidP="00DE19C9">
      <w:pPr>
        <w:jc w:val="both"/>
        <w:rPr>
          <w:rFonts w:asciiTheme="minorHAnsi" w:hAnsiTheme="minorHAnsi" w:cstheme="minorHAnsi"/>
          <w:b/>
        </w:rPr>
      </w:pPr>
    </w:p>
    <w:p w14:paraId="00000224" w14:textId="44AA4380"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In recent years, floods, strong winds and landslides </w:t>
      </w:r>
      <w:r w:rsidRPr="009C793F">
        <w:rPr>
          <w:rFonts w:asciiTheme="minorHAnsi" w:hAnsiTheme="minorHAnsi" w:cstheme="minorHAnsi"/>
        </w:rPr>
        <w:t xml:space="preserve">have been </w:t>
      </w:r>
      <w:r w:rsidRPr="009C793F">
        <w:rPr>
          <w:rFonts w:asciiTheme="minorHAnsi" w:hAnsiTheme="minorHAnsi" w:cstheme="minorHAnsi"/>
          <w:color w:val="000000"/>
        </w:rPr>
        <w:t xml:space="preserve">the main type of hazards affecting Trinidad and Tobago. </w:t>
      </w:r>
      <w:r w:rsidRPr="009C793F">
        <w:rPr>
          <w:rFonts w:asciiTheme="minorHAnsi" w:hAnsiTheme="minorHAnsi" w:cstheme="minorHAnsi"/>
        </w:rPr>
        <w:t xml:space="preserve">These hazards </w:t>
      </w:r>
      <w:r w:rsidRPr="009C793F">
        <w:rPr>
          <w:rFonts w:asciiTheme="minorHAnsi" w:hAnsiTheme="minorHAnsi" w:cstheme="minorHAnsi"/>
          <w:color w:val="000000"/>
        </w:rPr>
        <w:t xml:space="preserve">had </w:t>
      </w:r>
      <w:r w:rsidRPr="009C793F">
        <w:rPr>
          <w:rFonts w:asciiTheme="minorHAnsi" w:hAnsiTheme="minorHAnsi" w:cstheme="minorHAnsi"/>
        </w:rPr>
        <w:t xml:space="preserve">a </w:t>
      </w:r>
      <w:r w:rsidRPr="009C793F">
        <w:rPr>
          <w:rFonts w:asciiTheme="minorHAnsi" w:hAnsiTheme="minorHAnsi" w:cstheme="minorHAnsi"/>
          <w:color w:val="000000"/>
        </w:rPr>
        <w:t>heav</w:t>
      </w:r>
      <w:r w:rsidRPr="009C793F">
        <w:rPr>
          <w:rFonts w:asciiTheme="minorHAnsi" w:hAnsiTheme="minorHAnsi" w:cstheme="minorHAnsi"/>
        </w:rPr>
        <w:t>y</w:t>
      </w:r>
      <w:r w:rsidRPr="009C793F">
        <w:rPr>
          <w:rFonts w:asciiTheme="minorHAnsi" w:hAnsiTheme="minorHAnsi" w:cstheme="minorHAnsi"/>
          <w:color w:val="000000"/>
        </w:rPr>
        <w:t xml:space="preserve"> impact on vulnerable communities.  Geographically, the areas mostly impacted by disasters in the country </w:t>
      </w:r>
      <w:r w:rsidRPr="009C793F">
        <w:rPr>
          <w:rFonts w:asciiTheme="minorHAnsi" w:hAnsiTheme="minorHAnsi" w:cstheme="minorHAnsi"/>
        </w:rPr>
        <w:t xml:space="preserve">have been </w:t>
      </w:r>
      <w:r w:rsidRPr="009C793F">
        <w:rPr>
          <w:rFonts w:asciiTheme="minorHAnsi" w:hAnsiTheme="minorHAnsi" w:cstheme="minorHAnsi"/>
          <w:color w:val="000000"/>
        </w:rPr>
        <w:t>the central a</w:t>
      </w:r>
      <w:r w:rsidRPr="009C793F">
        <w:rPr>
          <w:rFonts w:asciiTheme="minorHAnsi" w:hAnsiTheme="minorHAnsi" w:cstheme="minorHAnsi"/>
        </w:rPr>
        <w:t xml:space="preserve">nd northern </w:t>
      </w:r>
      <w:r w:rsidRPr="009C793F">
        <w:rPr>
          <w:rFonts w:asciiTheme="minorHAnsi" w:hAnsiTheme="minorHAnsi" w:cstheme="minorHAnsi"/>
          <w:color w:val="000000"/>
        </w:rPr>
        <w:t>parts of Trinidad. In the period 2000-2017</w:t>
      </w:r>
      <w:r w:rsidR="00432C49" w:rsidRPr="009C793F">
        <w:rPr>
          <w:rFonts w:asciiTheme="minorHAnsi" w:hAnsiTheme="minorHAnsi" w:cstheme="minorHAnsi"/>
          <w:color w:val="000000"/>
        </w:rPr>
        <w:t>,</w:t>
      </w:r>
      <w:r w:rsidRPr="009C793F">
        <w:rPr>
          <w:rFonts w:asciiTheme="minorHAnsi" w:hAnsiTheme="minorHAnsi" w:cstheme="minorHAnsi"/>
          <w:color w:val="000000"/>
        </w:rPr>
        <w:t xml:space="preserve"> natural disasters have never presented a significant cost to the country’s economy</w:t>
      </w:r>
      <w:r w:rsidRPr="009C793F">
        <w:rPr>
          <w:rFonts w:asciiTheme="minorHAnsi" w:hAnsiTheme="minorHAnsi" w:cstheme="minorHAnsi"/>
          <w:color w:val="000000"/>
          <w:vertAlign w:val="superscript"/>
        </w:rPr>
        <w:footnoteReference w:id="187"/>
      </w:r>
      <w:r w:rsidRPr="009C793F">
        <w:rPr>
          <w:rFonts w:asciiTheme="minorHAnsi" w:hAnsiTheme="minorHAnsi" w:cstheme="minorHAnsi"/>
          <w:color w:val="000000"/>
        </w:rPr>
        <w:t xml:space="preserve"> with losses amounting to less than 0.01</w:t>
      </w:r>
      <w:r w:rsidR="00432C49"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of GDP - the lowest figure amongst countries in the Caribbean region. </w:t>
      </w:r>
    </w:p>
    <w:p w14:paraId="00000225" w14:textId="77777777" w:rsidR="006B72B0" w:rsidRPr="009C793F" w:rsidRDefault="006B72B0" w:rsidP="00DE19C9">
      <w:pPr>
        <w:jc w:val="both"/>
        <w:rPr>
          <w:rFonts w:asciiTheme="minorHAnsi" w:hAnsiTheme="minorHAnsi" w:cstheme="minorHAnsi"/>
          <w:color w:val="000000"/>
        </w:rPr>
      </w:pPr>
    </w:p>
    <w:p w14:paraId="00000226" w14:textId="36A4CA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In 2019, at least one extreme </w:t>
      </w:r>
      <w:r w:rsidRPr="009C793F">
        <w:rPr>
          <w:rFonts w:asciiTheme="minorHAnsi" w:hAnsiTheme="minorHAnsi" w:cstheme="minorHAnsi"/>
        </w:rPr>
        <w:t xml:space="preserve">weather </w:t>
      </w:r>
      <w:r w:rsidRPr="009C793F">
        <w:rPr>
          <w:rFonts w:asciiTheme="minorHAnsi" w:hAnsiTheme="minorHAnsi" w:cstheme="minorHAnsi"/>
          <w:color w:val="000000"/>
        </w:rPr>
        <w:t>event was registered in the country, a tropical cyclone which lasted for 2 days in September 2019</w:t>
      </w:r>
      <w:r w:rsidR="00432C49" w:rsidRPr="009C793F">
        <w:rPr>
          <w:rFonts w:asciiTheme="minorHAnsi" w:hAnsiTheme="minorHAnsi" w:cstheme="minorHAnsi"/>
          <w:color w:val="000000"/>
        </w:rPr>
        <w:t>.</w:t>
      </w:r>
      <w:r w:rsidRPr="009C793F">
        <w:rPr>
          <w:rFonts w:asciiTheme="minorHAnsi" w:hAnsiTheme="minorHAnsi" w:cstheme="minorHAnsi"/>
          <w:color w:val="000000"/>
          <w:vertAlign w:val="superscript"/>
        </w:rPr>
        <w:footnoteReference w:id="188"/>
      </w:r>
      <w:r w:rsidRPr="009C793F">
        <w:rPr>
          <w:rFonts w:asciiTheme="minorHAnsi" w:hAnsiTheme="minorHAnsi" w:cstheme="minorHAnsi"/>
          <w:color w:val="000000"/>
        </w:rPr>
        <w:t xml:space="preserve"> The October 2018 floods occurred when Trinidad and Tobago experienced torrential rainfall, receiving the equivalent of a month’s worth of rain in just two days. The resulting flooding and landslides affected 80</w:t>
      </w:r>
      <w:r w:rsidR="00432C49" w:rsidRPr="009C793F">
        <w:rPr>
          <w:rFonts w:asciiTheme="minorHAnsi" w:hAnsiTheme="minorHAnsi" w:cstheme="minorHAnsi"/>
          <w:color w:val="000000"/>
        </w:rPr>
        <w:t xml:space="preserve"> </w:t>
      </w:r>
      <w:r w:rsidR="00E408E0" w:rsidRPr="009C793F">
        <w:rPr>
          <w:rFonts w:asciiTheme="minorHAnsi" w:hAnsiTheme="minorHAnsi" w:cstheme="minorHAnsi"/>
          <w:color w:val="000000"/>
        </w:rPr>
        <w:t>per cent</w:t>
      </w:r>
      <w:r w:rsidRPr="009C793F">
        <w:rPr>
          <w:rFonts w:asciiTheme="minorHAnsi" w:hAnsiTheme="minorHAnsi" w:cstheme="minorHAnsi"/>
          <w:color w:val="000000"/>
        </w:rPr>
        <w:t xml:space="preserve"> of the country and an estimated 150,000 people</w:t>
      </w:r>
      <w:r w:rsidRPr="009C793F">
        <w:rPr>
          <w:rFonts w:asciiTheme="minorHAnsi" w:hAnsiTheme="minorHAnsi" w:cstheme="minorHAnsi"/>
          <w:color w:val="000000"/>
          <w:vertAlign w:val="superscript"/>
        </w:rPr>
        <w:footnoteReference w:id="189"/>
      </w:r>
      <w:r w:rsidRPr="009C793F">
        <w:rPr>
          <w:rFonts w:asciiTheme="minorHAnsi" w:hAnsiTheme="minorHAnsi" w:cstheme="minorHAnsi"/>
          <w:color w:val="000000"/>
        </w:rPr>
        <w:t>.</w:t>
      </w:r>
    </w:p>
    <w:p w14:paraId="00000227" w14:textId="77777777" w:rsidR="006B72B0" w:rsidRPr="009C793F" w:rsidRDefault="006B72B0" w:rsidP="00DE19C9">
      <w:pPr>
        <w:jc w:val="both"/>
        <w:rPr>
          <w:rFonts w:asciiTheme="minorHAnsi" w:hAnsiTheme="minorHAnsi" w:cstheme="minorHAnsi"/>
          <w:color w:val="000000"/>
        </w:rPr>
      </w:pPr>
    </w:p>
    <w:p w14:paraId="00000228" w14:textId="6DBCB852"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The generation of secondary hazards arising from moderate to severe impact events also occurs. For example, floods and landslides are often triggered by periods of severe rainfall, as fog and smoke issues usually come after intense fire occurrences. Moreover, natural and climate-induced disasters can also lead to other types of disasters - related to economic activities - of equally adverse consequences to society and environment. </w:t>
      </w:r>
    </w:p>
    <w:p w14:paraId="00000229" w14:textId="77777777" w:rsidR="006B72B0" w:rsidRPr="009C793F" w:rsidRDefault="006B72B0" w:rsidP="00DE19C9">
      <w:pPr>
        <w:jc w:val="both"/>
        <w:rPr>
          <w:rFonts w:asciiTheme="minorHAnsi" w:hAnsiTheme="minorHAnsi" w:cstheme="minorHAnsi"/>
          <w:color w:val="000000"/>
        </w:rPr>
      </w:pPr>
    </w:p>
    <w:p w14:paraId="0000022A" w14:textId="512EBF20" w:rsidR="006B72B0" w:rsidRPr="009C793F" w:rsidRDefault="00845012" w:rsidP="00DE19C9">
      <w:pPr>
        <w:jc w:val="both"/>
        <w:rPr>
          <w:rFonts w:asciiTheme="minorHAnsi" w:hAnsiTheme="minorHAnsi" w:cstheme="minorHAnsi"/>
        </w:rPr>
      </w:pPr>
      <w:r w:rsidRPr="009C793F">
        <w:rPr>
          <w:rFonts w:asciiTheme="minorHAnsi" w:hAnsiTheme="minorHAnsi" w:cstheme="minorHAnsi"/>
          <w:color w:val="000000"/>
        </w:rPr>
        <w:t xml:space="preserve">In terms of building </w:t>
      </w:r>
      <w:r w:rsidRPr="009C793F">
        <w:rPr>
          <w:rFonts w:asciiTheme="minorHAnsi" w:hAnsiTheme="minorHAnsi" w:cstheme="minorHAnsi"/>
          <w:b/>
          <w:color w:val="000000"/>
        </w:rPr>
        <w:t>disaster risk resilience</w:t>
      </w:r>
      <w:r w:rsidRPr="009C793F">
        <w:rPr>
          <w:rFonts w:asciiTheme="minorHAnsi" w:hAnsiTheme="minorHAnsi" w:cstheme="minorHAnsi"/>
          <w:color w:val="000000"/>
        </w:rPr>
        <w:t xml:space="preserve">, </w:t>
      </w:r>
      <w:r w:rsidR="00432C49" w:rsidRPr="009C793F">
        <w:rPr>
          <w:rFonts w:asciiTheme="minorHAnsi" w:hAnsiTheme="minorHAnsi" w:cstheme="minorHAnsi"/>
          <w:color w:val="000000"/>
        </w:rPr>
        <w:t>key factors to consider include</w:t>
      </w:r>
      <w:r w:rsidRPr="009C793F">
        <w:rPr>
          <w:rFonts w:asciiTheme="minorHAnsi" w:hAnsiTheme="minorHAnsi" w:cstheme="minorHAnsi"/>
          <w:color w:val="000000"/>
        </w:rPr>
        <w:t xml:space="preserve">: </w:t>
      </w:r>
      <w:r w:rsidRPr="009C793F">
        <w:rPr>
          <w:rFonts w:asciiTheme="minorHAnsi" w:hAnsiTheme="minorHAnsi" w:cstheme="minorHAnsi"/>
        </w:rPr>
        <w:t xml:space="preserve"> the  institutional ability to plan and respond to climate borne calamities, communities and individual adaptive capacity to more recurrent and intense climate events and the ability to finance policies and programmes aimed at making both citizens and institutions able to live  the life they want and prosper in a climate vulnerable context.</w:t>
      </w:r>
    </w:p>
    <w:p w14:paraId="0000022B" w14:textId="77777777" w:rsidR="006B72B0" w:rsidRPr="009C793F" w:rsidRDefault="006B72B0" w:rsidP="00DE19C9">
      <w:pPr>
        <w:jc w:val="both"/>
        <w:rPr>
          <w:rFonts w:asciiTheme="minorHAnsi" w:hAnsiTheme="minorHAnsi" w:cstheme="minorHAnsi"/>
        </w:rPr>
      </w:pPr>
    </w:p>
    <w:p w14:paraId="0000022C" w14:textId="60EDBC48"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At the institutional level, the lack of a regulatory framework, strategies and plans has been one of the main constraints affecting disaster risk management (DRM). Currently, the primary piece of legislation governing DRM is the Disaster Measures Act of 1987. Since the passage of this Act, there have been major changes in the approach on DRM. There is now a shift from an approach </w:t>
      </w:r>
      <w:r w:rsidR="00660966" w:rsidRPr="009C793F">
        <w:rPr>
          <w:rFonts w:asciiTheme="minorHAnsi" w:hAnsiTheme="minorHAnsi" w:cstheme="minorHAnsi"/>
        </w:rPr>
        <w:t>of response</w:t>
      </w:r>
      <w:r w:rsidRPr="009C793F">
        <w:rPr>
          <w:rFonts w:asciiTheme="minorHAnsi" w:hAnsiTheme="minorHAnsi" w:cstheme="minorHAnsi"/>
        </w:rPr>
        <w:t xml:space="preserve"> to the current approach in which DRM involves all the phases of the disaster management cycle. The Act is also not aligned with current institutional arrangements and affects the capacity of the Office of Disaster Preparedness and Management (ODPM) to coordinate DRM. There is currently no public mechanism to set national targets for adaptation to climate change in Trinidad and Tobago. One report notes that planning and response to climate borne events seem to be characterised among others by a projectised approach that is not funded through the national budget but </w:t>
      </w:r>
      <w:r w:rsidR="006509DB" w:rsidRPr="009C793F">
        <w:rPr>
          <w:rFonts w:asciiTheme="minorHAnsi" w:hAnsiTheme="minorHAnsi" w:cstheme="minorHAnsi"/>
        </w:rPr>
        <w:t>rather through</w:t>
      </w:r>
      <w:r w:rsidRPr="009C793F">
        <w:rPr>
          <w:rFonts w:asciiTheme="minorHAnsi" w:hAnsiTheme="minorHAnsi" w:cstheme="minorHAnsi"/>
        </w:rPr>
        <w:t xml:space="preserve"> the IADB, UNDP or the </w:t>
      </w:r>
      <w:r w:rsidR="0035358C" w:rsidRPr="009C793F">
        <w:rPr>
          <w:rFonts w:asciiTheme="minorHAnsi" w:hAnsiTheme="minorHAnsi" w:cstheme="minorHAnsi"/>
        </w:rPr>
        <w:t>United Nations Framework Convention on Climate Change (</w:t>
      </w:r>
      <w:r w:rsidRPr="009C793F">
        <w:rPr>
          <w:rFonts w:asciiTheme="minorHAnsi" w:hAnsiTheme="minorHAnsi" w:cstheme="minorHAnsi"/>
        </w:rPr>
        <w:t>UNFCCC</w:t>
      </w:r>
      <w:r w:rsidR="0035358C" w:rsidRPr="009C793F">
        <w:rPr>
          <w:rFonts w:asciiTheme="minorHAnsi" w:hAnsiTheme="minorHAnsi" w:cstheme="minorHAnsi"/>
        </w:rPr>
        <w:t>)</w:t>
      </w:r>
      <w:r w:rsidRPr="009C793F">
        <w:rPr>
          <w:rFonts w:asciiTheme="minorHAnsi" w:hAnsiTheme="minorHAnsi" w:cstheme="minorHAnsi"/>
        </w:rPr>
        <w:t xml:space="preserve"> Adaptation Fund (WRI et al., 2014)</w:t>
      </w:r>
      <w:r w:rsidRPr="009C793F">
        <w:rPr>
          <w:rFonts w:asciiTheme="minorHAnsi" w:hAnsiTheme="minorHAnsi" w:cstheme="minorHAnsi"/>
          <w:vertAlign w:val="superscript"/>
        </w:rPr>
        <w:footnoteReference w:id="190"/>
      </w:r>
      <w:r w:rsidRPr="009C793F">
        <w:rPr>
          <w:rFonts w:asciiTheme="minorHAnsi" w:hAnsiTheme="minorHAnsi" w:cstheme="minorHAnsi"/>
        </w:rPr>
        <w:t xml:space="preserve">. </w:t>
      </w:r>
    </w:p>
    <w:p w14:paraId="0000022D" w14:textId="77777777" w:rsidR="006B72B0" w:rsidRPr="009C793F" w:rsidRDefault="006B72B0" w:rsidP="00DE19C9">
      <w:pPr>
        <w:jc w:val="both"/>
        <w:rPr>
          <w:rFonts w:asciiTheme="minorHAnsi" w:hAnsiTheme="minorHAnsi" w:cstheme="minorHAnsi"/>
        </w:rPr>
      </w:pPr>
    </w:p>
    <w:p w14:paraId="0000022E" w14:textId="7452B4A6" w:rsidR="006B72B0" w:rsidRPr="009C793F" w:rsidRDefault="00845012" w:rsidP="00DE19C9">
      <w:pPr>
        <w:jc w:val="both"/>
        <w:rPr>
          <w:rFonts w:asciiTheme="minorHAnsi" w:hAnsiTheme="minorHAnsi" w:cstheme="minorHAnsi"/>
        </w:rPr>
      </w:pPr>
      <w:r w:rsidRPr="009C793F">
        <w:rPr>
          <w:rFonts w:asciiTheme="minorHAnsi" w:hAnsiTheme="minorHAnsi" w:cstheme="minorHAnsi"/>
          <w:highlight w:val="white"/>
        </w:rPr>
        <w:t>Climate change adaptation consist in a series of behavioural and systemic changes that equip households and communities to cope with problematic climate exposures and sensitivities. These are embodiments of adaptive capability that reflect ways to minimize vulnerability. While adaptation has traditionally been relegated to behaviours connected to livelihoods and agricultural production, most recently adaptive capacity has been also linked to socio - economic and demographic behaviours that have the potential to reduce vulnerability overtime.</w:t>
      </w:r>
      <w:r w:rsidRPr="009C793F">
        <w:rPr>
          <w:rFonts w:asciiTheme="minorHAnsi" w:hAnsiTheme="minorHAnsi" w:cstheme="minorHAnsi"/>
        </w:rPr>
        <w:t xml:space="preserve"> Adaptive capacities of communities are also key to develop through participation of community leaders and members in the planning of critical infrastructures or residential areas. As of today, the adaptive capacity and resilience are reduced at the systemic level by anthropogenic interventions that: from one hand deplete the coast and its natural defenses from climate events; and from another hand create unsustainable livelihood strategies that can make the households and the communities that practice them more vulnerable to poverty</w:t>
      </w:r>
      <w:r w:rsidRPr="009C793F">
        <w:rPr>
          <w:rFonts w:asciiTheme="minorHAnsi" w:hAnsiTheme="minorHAnsi" w:cstheme="minorHAnsi"/>
          <w:vertAlign w:val="superscript"/>
        </w:rPr>
        <w:footnoteReference w:id="191"/>
      </w:r>
      <w:r w:rsidRPr="009C793F">
        <w:rPr>
          <w:rFonts w:asciiTheme="minorHAnsi" w:hAnsiTheme="minorHAnsi" w:cstheme="minorHAnsi"/>
        </w:rPr>
        <w:t xml:space="preserve">. </w:t>
      </w:r>
    </w:p>
    <w:p w14:paraId="0000022F" w14:textId="77777777" w:rsidR="006B72B0" w:rsidRPr="009C793F" w:rsidRDefault="006B72B0" w:rsidP="00DE19C9">
      <w:pPr>
        <w:jc w:val="both"/>
        <w:rPr>
          <w:rFonts w:asciiTheme="minorHAnsi" w:hAnsiTheme="minorHAnsi" w:cstheme="minorHAnsi"/>
        </w:rPr>
      </w:pPr>
    </w:p>
    <w:p w14:paraId="0000023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Social protection systems and programmes have been increasingly identified as powerful allies to contribute to disaster risk management and to mitigating shocks in Trinidad and Tobago. In this Framework, a National Social Mitigation Plan has also been developed to improve access to social protection programmes and boost people’s capacities to better manage risks and other stressors, and there is interest in making the overall social protection and disaster risk management systems more shock-responsive. While social protection’s current role in disaster risk management is significant, this function would have to be adapted and improved if it were to respond more adequately to the shocks and stressors affecting the country. </w:t>
      </w:r>
    </w:p>
    <w:p w14:paraId="00000231" w14:textId="77777777" w:rsidR="006B72B0" w:rsidRPr="009C793F" w:rsidRDefault="006B72B0" w:rsidP="00DE19C9">
      <w:pPr>
        <w:jc w:val="both"/>
        <w:rPr>
          <w:rFonts w:asciiTheme="minorHAnsi" w:hAnsiTheme="minorHAnsi" w:cstheme="minorHAnsi"/>
        </w:rPr>
      </w:pPr>
    </w:p>
    <w:p w14:paraId="00000232" w14:textId="6FDC9612" w:rsidR="006B72B0" w:rsidRDefault="00432C49" w:rsidP="00DE19C9">
      <w:pPr>
        <w:jc w:val="both"/>
        <w:rPr>
          <w:rFonts w:asciiTheme="minorHAnsi" w:hAnsiTheme="minorHAnsi" w:cstheme="minorHAnsi"/>
        </w:rPr>
      </w:pPr>
      <w:r w:rsidRPr="009C793F">
        <w:rPr>
          <w:rFonts w:asciiTheme="minorHAnsi" w:hAnsiTheme="minorHAnsi" w:cstheme="minorHAnsi"/>
        </w:rPr>
        <w:t>A</w:t>
      </w:r>
      <w:r w:rsidR="0035358C" w:rsidRPr="009C793F">
        <w:rPr>
          <w:rFonts w:asciiTheme="minorHAnsi" w:hAnsiTheme="minorHAnsi" w:cstheme="minorHAnsi"/>
        </w:rPr>
        <w:t xml:space="preserve">dequate </w:t>
      </w:r>
      <w:r w:rsidR="00845012" w:rsidRPr="009C793F">
        <w:rPr>
          <w:rFonts w:asciiTheme="minorHAnsi" w:hAnsiTheme="minorHAnsi" w:cstheme="minorHAnsi"/>
        </w:rPr>
        <w:t xml:space="preserve">finance remains a big issue given fiscal constraints faced by the country. </w:t>
      </w:r>
      <w:r w:rsidR="0035358C" w:rsidRPr="009C793F">
        <w:rPr>
          <w:rFonts w:asciiTheme="minorHAnsi" w:hAnsiTheme="minorHAnsi" w:cstheme="minorHAnsi"/>
        </w:rPr>
        <w:t>Therefore,</w:t>
      </w:r>
      <w:r w:rsidR="00845012" w:rsidRPr="009C793F">
        <w:rPr>
          <w:rFonts w:asciiTheme="minorHAnsi" w:hAnsiTheme="minorHAnsi" w:cstheme="minorHAnsi"/>
        </w:rPr>
        <w:t xml:space="preserve"> new approaches to finance including blended financing and </w:t>
      </w:r>
      <w:r w:rsidR="0035358C" w:rsidRPr="009C793F">
        <w:rPr>
          <w:rFonts w:asciiTheme="minorHAnsi" w:hAnsiTheme="minorHAnsi" w:cstheme="minorHAnsi"/>
        </w:rPr>
        <w:t>PPPs are critically needed</w:t>
      </w:r>
      <w:r w:rsidR="00845012" w:rsidRPr="009C793F">
        <w:rPr>
          <w:rFonts w:asciiTheme="minorHAnsi" w:hAnsiTheme="minorHAnsi" w:cstheme="minorHAnsi"/>
        </w:rPr>
        <w:t>. However, the current regulatory regime does not facilitate and enable such financing models.</w:t>
      </w:r>
      <w:r w:rsidR="0035358C" w:rsidRPr="009C793F">
        <w:rPr>
          <w:rFonts w:asciiTheme="minorHAnsi" w:hAnsiTheme="minorHAnsi" w:cstheme="minorHAnsi"/>
        </w:rPr>
        <w:t xml:space="preserve"> In addition to limited </w:t>
      </w:r>
      <w:r w:rsidR="00660966" w:rsidRPr="009C793F">
        <w:rPr>
          <w:rFonts w:asciiTheme="minorHAnsi" w:hAnsiTheme="minorHAnsi" w:cstheme="minorHAnsi"/>
        </w:rPr>
        <w:t>finance, there</w:t>
      </w:r>
      <w:r w:rsidR="00845012" w:rsidRPr="009C793F">
        <w:rPr>
          <w:rFonts w:asciiTheme="minorHAnsi" w:hAnsiTheme="minorHAnsi" w:cstheme="minorHAnsi"/>
        </w:rPr>
        <w:t xml:space="preserve"> is the continuing challenge of weak implementati</w:t>
      </w:r>
      <w:r w:rsidR="0035358C" w:rsidRPr="009C793F">
        <w:rPr>
          <w:rFonts w:asciiTheme="minorHAnsi" w:hAnsiTheme="minorHAnsi" w:cstheme="minorHAnsi"/>
        </w:rPr>
        <w:t xml:space="preserve">on and </w:t>
      </w:r>
      <w:r w:rsidR="00660966" w:rsidRPr="009C793F">
        <w:rPr>
          <w:rFonts w:asciiTheme="minorHAnsi" w:hAnsiTheme="minorHAnsi" w:cstheme="minorHAnsi"/>
        </w:rPr>
        <w:t xml:space="preserve">the </w:t>
      </w:r>
      <w:r w:rsidR="00845012" w:rsidRPr="009C793F">
        <w:rPr>
          <w:rFonts w:asciiTheme="minorHAnsi" w:hAnsiTheme="minorHAnsi" w:cstheme="minorHAnsi"/>
        </w:rPr>
        <w:t xml:space="preserve">need to strengthen monitoring, evaluation, and reporting systems. </w:t>
      </w:r>
    </w:p>
    <w:p w14:paraId="7C761CBB" w14:textId="5A393D39" w:rsidR="00BC3127" w:rsidRDefault="00BC3127" w:rsidP="00DE19C9">
      <w:pPr>
        <w:jc w:val="both"/>
        <w:rPr>
          <w:rFonts w:asciiTheme="minorHAnsi" w:hAnsiTheme="minorHAnsi" w:cstheme="minorHAnsi"/>
        </w:rPr>
      </w:pPr>
    </w:p>
    <w:p w14:paraId="7F48FAF7" w14:textId="0369CDD7" w:rsidR="00F21F4A" w:rsidRDefault="00F21F4A" w:rsidP="00E405C9">
      <w:pPr>
        <w:rPr>
          <w:rFonts w:asciiTheme="minorHAnsi" w:hAnsiTheme="minorHAnsi" w:cstheme="minorHAnsi"/>
          <w:b/>
          <w:bCs/>
        </w:rPr>
      </w:pPr>
      <w:r>
        <w:rPr>
          <w:rFonts w:asciiTheme="minorHAnsi" w:hAnsiTheme="minorHAnsi" w:cstheme="minorHAnsi"/>
          <w:b/>
          <w:bCs/>
        </w:rPr>
        <w:br w:type="page"/>
      </w:r>
      <w:r w:rsidR="00BC3127">
        <w:rPr>
          <w:rFonts w:asciiTheme="minorHAnsi" w:hAnsiTheme="minorHAnsi" w:cstheme="minorHAnsi"/>
          <w:b/>
          <w:bCs/>
        </w:rPr>
        <w:t>Chapter 6</w:t>
      </w:r>
    </w:p>
    <w:p w14:paraId="60EEA752" w14:textId="28B93680" w:rsidR="00BC3127" w:rsidRDefault="00F21F4A" w:rsidP="00DE19C9">
      <w:pPr>
        <w:jc w:val="both"/>
        <w:rPr>
          <w:rFonts w:asciiTheme="minorHAnsi" w:hAnsiTheme="minorHAnsi" w:cstheme="minorHAnsi"/>
          <w:b/>
          <w:bCs/>
        </w:rPr>
      </w:pPr>
      <w:r>
        <w:rPr>
          <w:rFonts w:asciiTheme="minorHAnsi" w:hAnsiTheme="minorHAnsi" w:cstheme="minorHAnsi"/>
          <w:b/>
          <w:bCs/>
        </w:rPr>
        <w:t>THE WAY FORWARD</w:t>
      </w:r>
    </w:p>
    <w:p w14:paraId="052DA9B1" w14:textId="43D3B0C2" w:rsidR="00223DE4" w:rsidRDefault="00223DE4" w:rsidP="00DE19C9">
      <w:pPr>
        <w:jc w:val="both"/>
        <w:rPr>
          <w:rFonts w:asciiTheme="minorHAnsi" w:hAnsiTheme="minorHAnsi" w:cstheme="minorHAnsi"/>
          <w:b/>
          <w:bCs/>
        </w:rPr>
      </w:pPr>
    </w:p>
    <w:p w14:paraId="0EB167E2" w14:textId="597DBA46" w:rsidR="00223DE4" w:rsidRDefault="00223DE4" w:rsidP="00DE19C9">
      <w:pPr>
        <w:jc w:val="both"/>
        <w:rPr>
          <w:rFonts w:asciiTheme="minorHAnsi" w:hAnsiTheme="minorHAnsi" w:cstheme="minorHAnsi"/>
        </w:rPr>
      </w:pPr>
      <w:r>
        <w:rPr>
          <w:rFonts w:asciiTheme="minorHAnsi" w:hAnsiTheme="minorHAnsi" w:cstheme="minorHAnsi"/>
        </w:rPr>
        <w:t xml:space="preserve">6.1 </w:t>
      </w:r>
      <w:r>
        <w:rPr>
          <w:rFonts w:asciiTheme="minorHAnsi" w:hAnsiTheme="minorHAnsi" w:cstheme="minorHAnsi"/>
        </w:rPr>
        <w:tab/>
      </w:r>
      <w:r w:rsidRPr="00F21F4A">
        <w:rPr>
          <w:rFonts w:asciiTheme="minorHAnsi" w:hAnsiTheme="minorHAnsi" w:cstheme="minorHAnsi"/>
          <w:b/>
          <w:bCs/>
        </w:rPr>
        <w:t>UN System in Trinidad and Tobago – Strengths, Weaknesses, Opportunities and Threats</w:t>
      </w:r>
    </w:p>
    <w:p w14:paraId="3758A7BA" w14:textId="77777777" w:rsidR="00F21F4A" w:rsidRDefault="00F21F4A" w:rsidP="00DE19C9">
      <w:pPr>
        <w:jc w:val="both"/>
        <w:rPr>
          <w:rFonts w:asciiTheme="minorHAnsi" w:hAnsiTheme="minorHAnsi" w:cstheme="minorHAnsi"/>
        </w:rPr>
      </w:pPr>
    </w:p>
    <w:p w14:paraId="475FF70E" w14:textId="5F2758DE" w:rsidR="00223DE4" w:rsidRDefault="00223DE4" w:rsidP="00DE19C9">
      <w:pPr>
        <w:jc w:val="both"/>
        <w:rPr>
          <w:rFonts w:asciiTheme="minorHAnsi" w:hAnsiTheme="minorHAnsi" w:cstheme="minorHAnsi"/>
        </w:rPr>
      </w:pPr>
      <w:r w:rsidRPr="00223DE4">
        <w:rPr>
          <w:rFonts w:asciiTheme="minorHAnsi" w:hAnsiTheme="minorHAnsi" w:cstheme="minorHAnsi"/>
        </w:rPr>
        <w:t xml:space="preserve">Existing collaboration efforts </w:t>
      </w:r>
      <w:r w:rsidR="00643D14">
        <w:rPr>
          <w:rFonts w:asciiTheme="minorHAnsi" w:hAnsiTheme="minorHAnsi" w:cstheme="minorHAnsi"/>
        </w:rPr>
        <w:t>underscore</w:t>
      </w:r>
      <w:r w:rsidRPr="00223DE4">
        <w:rPr>
          <w:rFonts w:asciiTheme="minorHAnsi" w:hAnsiTheme="minorHAnsi" w:cstheme="minorHAnsi"/>
        </w:rPr>
        <w:t xml:space="preserve"> that working together leverages the comparative advantages of the UN system. </w:t>
      </w:r>
      <w:r>
        <w:rPr>
          <w:rFonts w:asciiTheme="minorHAnsi" w:hAnsiTheme="minorHAnsi" w:cstheme="minorHAnsi"/>
        </w:rPr>
        <w:t>I</w:t>
      </w:r>
      <w:r w:rsidRPr="00223DE4">
        <w:rPr>
          <w:rFonts w:asciiTheme="minorHAnsi" w:hAnsiTheme="minorHAnsi" w:cstheme="minorHAnsi"/>
        </w:rPr>
        <w:t xml:space="preserve">n order to support the identification of potential areas of future joint programming, formal or informal, the recognition of the strengths, weaknesses, opportunities and threats which present themselves to the UN in Trinidad and Tobago </w:t>
      </w:r>
      <w:r>
        <w:rPr>
          <w:rFonts w:asciiTheme="minorHAnsi" w:hAnsiTheme="minorHAnsi" w:cstheme="minorHAnsi"/>
        </w:rPr>
        <w:t>is necessary</w:t>
      </w:r>
      <w:r w:rsidR="00643D14">
        <w:rPr>
          <w:rFonts w:asciiTheme="minorHAnsi" w:hAnsiTheme="minorHAnsi" w:cstheme="minorHAnsi"/>
        </w:rPr>
        <w:t>.</w:t>
      </w:r>
    </w:p>
    <w:p w14:paraId="038935BD" w14:textId="77777777" w:rsidR="00F21F4A" w:rsidRDefault="00F21F4A" w:rsidP="00DE19C9">
      <w:pPr>
        <w:jc w:val="both"/>
        <w:rPr>
          <w:rFonts w:asciiTheme="minorHAnsi" w:hAnsiTheme="minorHAnsi" w:cstheme="minorHAnsi"/>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812"/>
      </w:tblGrid>
      <w:tr w:rsidR="00643D14" w:rsidRPr="00E405C9" w14:paraId="784CE8B5" w14:textId="77777777" w:rsidTr="00F21F4A">
        <w:trPr>
          <w:trHeight w:val="1962"/>
          <w:jc w:val="center"/>
        </w:trPr>
        <w:tc>
          <w:tcPr>
            <w:tcW w:w="4962" w:type="dxa"/>
          </w:tcPr>
          <w:p w14:paraId="2C40B7C1" w14:textId="77777777" w:rsidR="00643D14" w:rsidRPr="00E405C9" w:rsidRDefault="00643D14" w:rsidP="00F21F4A">
            <w:pPr>
              <w:autoSpaceDE w:val="0"/>
              <w:autoSpaceDN w:val="0"/>
              <w:adjustRightInd w:val="0"/>
              <w:jc w:val="center"/>
              <w:rPr>
                <w:rFonts w:eastAsiaTheme="minorEastAsia"/>
                <w:b/>
                <w:bCs/>
                <w:color w:val="000000"/>
                <w:sz w:val="18"/>
                <w:szCs w:val="18"/>
              </w:rPr>
            </w:pPr>
            <w:bookmarkStart w:id="6" w:name="_Hlk58500791"/>
            <w:r w:rsidRPr="00E405C9">
              <w:rPr>
                <w:rFonts w:eastAsiaTheme="minorEastAsia"/>
                <w:b/>
                <w:bCs/>
                <w:color w:val="4472C4" w:themeColor="accent1"/>
                <w:sz w:val="18"/>
                <w:szCs w:val="18"/>
              </w:rPr>
              <w:t>STRENGTHS</w:t>
            </w:r>
          </w:p>
          <w:p w14:paraId="49D63543"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Brand UN resonates strongly with stakeholders and the general public.</w:t>
            </w:r>
          </w:p>
          <w:p w14:paraId="39C6367D"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Individual agencies have strong relationships with specific counterparts in respective line ministries and have created multiple entry points across sectors </w:t>
            </w:r>
          </w:p>
          <w:p w14:paraId="04252983" w14:textId="57309E2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Long standing ties to civil society </w:t>
            </w:r>
            <w:r w:rsidR="006509DB" w:rsidRPr="00E405C9">
              <w:rPr>
                <w:rFonts w:eastAsiaTheme="minorEastAsia"/>
                <w:color w:val="000000"/>
                <w:sz w:val="18"/>
                <w:szCs w:val="18"/>
              </w:rPr>
              <w:t>organizations</w:t>
            </w:r>
            <w:r w:rsidRPr="00E405C9">
              <w:rPr>
                <w:rFonts w:eastAsiaTheme="minorEastAsia"/>
                <w:color w:val="000000"/>
                <w:sz w:val="18"/>
                <w:szCs w:val="18"/>
              </w:rPr>
              <w:t xml:space="preserve"> with proven track record of project implementation.</w:t>
            </w:r>
          </w:p>
          <w:p w14:paraId="20B640BD"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A global network to access technical expertise and best practice in all areas of development, human rights and peace and security </w:t>
            </w:r>
          </w:p>
          <w:p w14:paraId="0ADE4457"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Access to and strong reputation with the donor community, including joint initiatives with IFI’s.</w:t>
            </w:r>
          </w:p>
          <w:p w14:paraId="0BF0817E"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Operational expertise in results-based management and delivery of programmes </w:t>
            </w:r>
          </w:p>
          <w:p w14:paraId="24A487FB"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Legitimacy derived from international conventions and declarations </w:t>
            </w:r>
          </w:p>
          <w:p w14:paraId="57016D6B"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Neutrality and impartiality as a basis for advocacy and leadership </w:t>
            </w:r>
          </w:p>
          <w:p w14:paraId="6CCF756A" w14:textId="77777777" w:rsidR="00643D14" w:rsidRPr="00E405C9" w:rsidRDefault="00643D14" w:rsidP="00DE19C9">
            <w:pPr>
              <w:numPr>
                <w:ilvl w:val="0"/>
                <w:numId w:val="10"/>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Strengthened RCO capacities allow for greater system wide coherence, creation of new joint initiatives and helping the UN system with evidence and data-based decision making.</w:t>
            </w:r>
          </w:p>
          <w:p w14:paraId="6DD851A6" w14:textId="77777777" w:rsidR="00643D14" w:rsidRPr="00E405C9" w:rsidRDefault="00643D14" w:rsidP="00DE19C9">
            <w:pPr>
              <w:autoSpaceDE w:val="0"/>
              <w:autoSpaceDN w:val="0"/>
              <w:adjustRightInd w:val="0"/>
              <w:jc w:val="both"/>
              <w:rPr>
                <w:rFonts w:eastAsiaTheme="minorEastAsia"/>
                <w:color w:val="000000"/>
                <w:sz w:val="18"/>
                <w:szCs w:val="18"/>
              </w:rPr>
            </w:pPr>
          </w:p>
        </w:tc>
        <w:tc>
          <w:tcPr>
            <w:tcW w:w="5812" w:type="dxa"/>
          </w:tcPr>
          <w:p w14:paraId="1EC14E1C" w14:textId="77777777" w:rsidR="00643D14" w:rsidRPr="00E405C9" w:rsidRDefault="00643D14" w:rsidP="00F21F4A">
            <w:pPr>
              <w:autoSpaceDE w:val="0"/>
              <w:autoSpaceDN w:val="0"/>
              <w:adjustRightInd w:val="0"/>
              <w:jc w:val="center"/>
              <w:rPr>
                <w:rFonts w:eastAsiaTheme="minorEastAsia"/>
                <w:b/>
                <w:bCs/>
                <w:color w:val="000000"/>
                <w:sz w:val="18"/>
                <w:szCs w:val="18"/>
              </w:rPr>
            </w:pPr>
            <w:r w:rsidRPr="00E405C9">
              <w:rPr>
                <w:rFonts w:eastAsiaTheme="minorEastAsia"/>
                <w:b/>
                <w:bCs/>
                <w:color w:val="4472C4" w:themeColor="accent1"/>
                <w:sz w:val="18"/>
                <w:szCs w:val="18"/>
              </w:rPr>
              <w:t>WEAKNESSES</w:t>
            </w:r>
          </w:p>
          <w:p w14:paraId="78DE44F0"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Driven by the individual mandates of each UN agency/office, often resulting in siloed approaches.</w:t>
            </w:r>
          </w:p>
          <w:p w14:paraId="020790F2"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Slow pace of reform implementation and integration both within UN and towards external partners </w:t>
            </w:r>
          </w:p>
          <w:p w14:paraId="77503ACC"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Ineffective communications between agencies and towards the wider public.</w:t>
            </w:r>
          </w:p>
          <w:p w14:paraId="5BECAEBA"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Limited resources on the ground, above all in terms of funding;</w:t>
            </w:r>
          </w:p>
          <w:p w14:paraId="21F807D7"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Agency programming cycles are not synchronized with the MSDF/CIP mechanism.</w:t>
            </w:r>
          </w:p>
          <w:p w14:paraId="435176A8"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MSDF approach dilutes focus on national sustainable development priorities. </w:t>
            </w:r>
          </w:p>
          <w:p w14:paraId="2741E3AC"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Limited scope and reach of results and assistance. </w:t>
            </w:r>
          </w:p>
          <w:p w14:paraId="25C812C1"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p>
          <w:p w14:paraId="078444B8" w14:textId="77777777" w:rsidR="00643D14" w:rsidRPr="00E405C9" w:rsidRDefault="00643D14" w:rsidP="00DE19C9">
            <w:pPr>
              <w:autoSpaceDE w:val="0"/>
              <w:autoSpaceDN w:val="0"/>
              <w:adjustRightInd w:val="0"/>
              <w:jc w:val="both"/>
              <w:rPr>
                <w:rFonts w:eastAsiaTheme="minorEastAsia"/>
                <w:color w:val="000000"/>
                <w:sz w:val="18"/>
                <w:szCs w:val="18"/>
              </w:rPr>
            </w:pPr>
          </w:p>
        </w:tc>
      </w:tr>
      <w:bookmarkEnd w:id="6"/>
      <w:tr w:rsidR="00643D14" w:rsidRPr="00E405C9" w14:paraId="12936EDA" w14:textId="77777777" w:rsidTr="00F21F4A">
        <w:trPr>
          <w:trHeight w:val="1550"/>
          <w:jc w:val="center"/>
        </w:trPr>
        <w:tc>
          <w:tcPr>
            <w:tcW w:w="4962" w:type="dxa"/>
          </w:tcPr>
          <w:p w14:paraId="39886BDA" w14:textId="77777777" w:rsidR="00643D14" w:rsidRPr="00E405C9" w:rsidRDefault="00643D14" w:rsidP="00F21F4A">
            <w:pPr>
              <w:autoSpaceDE w:val="0"/>
              <w:autoSpaceDN w:val="0"/>
              <w:adjustRightInd w:val="0"/>
              <w:jc w:val="center"/>
              <w:rPr>
                <w:rFonts w:eastAsiaTheme="minorEastAsia"/>
                <w:b/>
                <w:bCs/>
                <w:color w:val="000000"/>
                <w:sz w:val="18"/>
                <w:szCs w:val="18"/>
              </w:rPr>
            </w:pPr>
            <w:r w:rsidRPr="00E405C9">
              <w:rPr>
                <w:rFonts w:eastAsiaTheme="minorEastAsia"/>
                <w:b/>
                <w:bCs/>
                <w:color w:val="4472C4" w:themeColor="accent1"/>
                <w:sz w:val="18"/>
                <w:szCs w:val="18"/>
              </w:rPr>
              <w:t>OPPORTUNITIES</w:t>
            </w:r>
          </w:p>
          <w:p w14:paraId="419E6D07"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The new, reformed Cooperation Framework gives flexibility and brings innovative modes of collaborating with the Government on niche areas in which the UN is uniquely positioned to offer support and assistance.</w:t>
            </w:r>
          </w:p>
          <w:p w14:paraId="75C96F6B"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Support with socioeconomic response to COVID-19</w:t>
            </w:r>
          </w:p>
          <w:p w14:paraId="4BC45FD2"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Convening and synergizing engagement from the private sector on SDG achievement.</w:t>
            </w:r>
          </w:p>
          <w:p w14:paraId="479CD02F"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Support Government plans to enhance agriculture and food production through UN’s unique multifaceted and multisectoral approach.</w:t>
            </w:r>
          </w:p>
          <w:p w14:paraId="65EB6D32"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Serving as a catalyst to mainstreaming use of big data in decision making processes and evaluation.   </w:t>
            </w:r>
          </w:p>
          <w:p w14:paraId="13C8F401"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Upcoming universal periodic review of human rights in Oct 2021 </w:t>
            </w:r>
          </w:p>
          <w:p w14:paraId="1F457FDD"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Convener of South-South Collaboration.</w:t>
            </w:r>
          </w:p>
          <w:p w14:paraId="48470F49"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Stronger collaboration with the Ministry of Foreign Affairs. </w:t>
            </w:r>
          </w:p>
          <w:p w14:paraId="692240BA" w14:textId="77777777" w:rsidR="00643D14" w:rsidRPr="00E405C9" w:rsidRDefault="00643D14" w:rsidP="00DE19C9">
            <w:pPr>
              <w:autoSpaceDE w:val="0"/>
              <w:autoSpaceDN w:val="0"/>
              <w:adjustRightInd w:val="0"/>
              <w:jc w:val="both"/>
              <w:rPr>
                <w:rFonts w:eastAsiaTheme="minorEastAsia"/>
                <w:color w:val="000000"/>
                <w:sz w:val="18"/>
                <w:szCs w:val="18"/>
              </w:rPr>
            </w:pPr>
          </w:p>
        </w:tc>
        <w:tc>
          <w:tcPr>
            <w:tcW w:w="5812" w:type="dxa"/>
          </w:tcPr>
          <w:p w14:paraId="621A1E46" w14:textId="77777777" w:rsidR="00643D14" w:rsidRPr="00E405C9" w:rsidRDefault="00643D14" w:rsidP="00F21F4A">
            <w:pPr>
              <w:autoSpaceDE w:val="0"/>
              <w:autoSpaceDN w:val="0"/>
              <w:adjustRightInd w:val="0"/>
              <w:jc w:val="center"/>
              <w:rPr>
                <w:rFonts w:eastAsiaTheme="minorEastAsia"/>
                <w:b/>
                <w:bCs/>
                <w:color w:val="4472C4" w:themeColor="accent1"/>
                <w:sz w:val="18"/>
                <w:szCs w:val="18"/>
              </w:rPr>
            </w:pPr>
            <w:r w:rsidRPr="00E405C9">
              <w:rPr>
                <w:rFonts w:eastAsiaTheme="minorEastAsia"/>
                <w:b/>
                <w:bCs/>
                <w:color w:val="4472C4" w:themeColor="accent1"/>
                <w:sz w:val="18"/>
                <w:szCs w:val="18"/>
              </w:rPr>
              <w:t>THREATS</w:t>
            </w:r>
          </w:p>
          <w:p w14:paraId="1F084331"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Lack of general understanding of what the UN does in T&amp;T and how is works</w:t>
            </w:r>
          </w:p>
          <w:p w14:paraId="1B066786"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Limited global financial opportunities for development </w:t>
            </w:r>
          </w:p>
          <w:p w14:paraId="5FBE4669"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Perceived inability and slow pace to delivering results</w:t>
            </w:r>
          </w:p>
          <w:p w14:paraId="21A015F8"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Reduced access to decision makers in Government, especially at ministerial level.</w:t>
            </w:r>
          </w:p>
          <w:p w14:paraId="15778D2F"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Strained relationship with the Government over the issue of Venezuelan migrants.</w:t>
            </w:r>
          </w:p>
          <w:p w14:paraId="266FFF7F" w14:textId="77777777"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Lack of results in MSDF (2017-2022) spilling over into MSDF II and raising questions about the utility of the UN at the regional level.</w:t>
            </w:r>
          </w:p>
          <w:p w14:paraId="31A96030" w14:textId="751B3F1E" w:rsidR="00643D14" w:rsidRPr="00E405C9" w:rsidRDefault="00643D14" w:rsidP="00DE19C9">
            <w:pPr>
              <w:numPr>
                <w:ilvl w:val="0"/>
                <w:numId w:val="9"/>
              </w:numPr>
              <w:autoSpaceDE w:val="0"/>
              <w:autoSpaceDN w:val="0"/>
              <w:adjustRightInd w:val="0"/>
              <w:jc w:val="both"/>
              <w:rPr>
                <w:rFonts w:eastAsiaTheme="minorEastAsia"/>
                <w:color w:val="000000"/>
                <w:sz w:val="18"/>
                <w:szCs w:val="18"/>
              </w:rPr>
            </w:pPr>
            <w:r w:rsidRPr="00E405C9">
              <w:rPr>
                <w:rFonts w:eastAsiaTheme="minorEastAsia"/>
                <w:color w:val="000000"/>
                <w:sz w:val="18"/>
                <w:szCs w:val="18"/>
              </w:rPr>
              <w:t xml:space="preserve">Limited ‘space’ in which to operate alongside other development </w:t>
            </w:r>
            <w:r w:rsidR="006509DB" w:rsidRPr="00E405C9">
              <w:rPr>
                <w:rFonts w:eastAsiaTheme="minorEastAsia"/>
                <w:color w:val="000000"/>
                <w:sz w:val="18"/>
                <w:szCs w:val="18"/>
              </w:rPr>
              <w:t>organizations</w:t>
            </w:r>
            <w:r w:rsidRPr="00E405C9">
              <w:rPr>
                <w:rFonts w:eastAsiaTheme="minorEastAsia"/>
                <w:color w:val="000000"/>
                <w:sz w:val="18"/>
                <w:szCs w:val="18"/>
              </w:rPr>
              <w:t xml:space="preserve"> with more resources. </w:t>
            </w:r>
          </w:p>
          <w:p w14:paraId="49DBDBFE" w14:textId="77777777" w:rsidR="00643D14" w:rsidRPr="00E405C9" w:rsidRDefault="00643D14" w:rsidP="00DE19C9">
            <w:pPr>
              <w:autoSpaceDE w:val="0"/>
              <w:autoSpaceDN w:val="0"/>
              <w:adjustRightInd w:val="0"/>
              <w:jc w:val="both"/>
              <w:rPr>
                <w:rFonts w:eastAsiaTheme="minorEastAsia"/>
                <w:color w:val="000000"/>
                <w:sz w:val="18"/>
                <w:szCs w:val="18"/>
              </w:rPr>
            </w:pPr>
          </w:p>
        </w:tc>
      </w:tr>
    </w:tbl>
    <w:p w14:paraId="4746AFCB" w14:textId="4CD092AB" w:rsidR="00643D14" w:rsidRDefault="00643D14" w:rsidP="00DE19C9">
      <w:pPr>
        <w:jc w:val="both"/>
        <w:rPr>
          <w:rFonts w:asciiTheme="minorHAnsi" w:hAnsiTheme="minorHAnsi" w:cstheme="minorHAnsi"/>
        </w:rPr>
      </w:pPr>
    </w:p>
    <w:p w14:paraId="789796FD" w14:textId="183367F5" w:rsidR="00643D14" w:rsidRDefault="00643D14" w:rsidP="00DE19C9">
      <w:pPr>
        <w:jc w:val="both"/>
        <w:rPr>
          <w:rFonts w:asciiTheme="minorHAnsi" w:hAnsiTheme="minorHAnsi" w:cstheme="minorHAnsi"/>
        </w:rPr>
      </w:pPr>
      <w:r>
        <w:rPr>
          <w:rFonts w:asciiTheme="minorHAnsi" w:hAnsiTheme="minorHAnsi" w:cstheme="minorHAnsi"/>
        </w:rPr>
        <w:t xml:space="preserve">Successful mitigation against weaknesses and threats requires self-awareness of internal issues and regular analysis of external factors and trends. The UN system in Trinidad and Tobago is well positioned to address both – the UNCT is a proactive and potent mechanism for joint action and can be a conduit for improved productive collaborative attitudes and a spirit of common purpose. As a team, it </w:t>
      </w:r>
      <w:r w:rsidR="006509DB">
        <w:rPr>
          <w:rFonts w:asciiTheme="minorHAnsi" w:hAnsiTheme="minorHAnsi" w:cstheme="minorHAnsi"/>
        </w:rPr>
        <w:t>can</w:t>
      </w:r>
      <w:r>
        <w:rPr>
          <w:rFonts w:asciiTheme="minorHAnsi" w:hAnsiTheme="minorHAnsi" w:cstheme="minorHAnsi"/>
        </w:rPr>
        <w:t xml:space="preserve"> effectively address issues and obstacles to joint engagements and programming. Information and knowledge sharing is encouraged and practiced and the overall coordination from the enhanced Resident Coordinator’s Office is improving coordination between agencies, </w:t>
      </w:r>
      <w:r w:rsidR="00E50F67">
        <w:rPr>
          <w:rFonts w:asciiTheme="minorHAnsi" w:hAnsiTheme="minorHAnsi" w:cstheme="minorHAnsi"/>
        </w:rPr>
        <w:t xml:space="preserve">relationship with the Government, </w:t>
      </w:r>
      <w:r>
        <w:rPr>
          <w:rFonts w:asciiTheme="minorHAnsi" w:hAnsiTheme="minorHAnsi" w:cstheme="minorHAnsi"/>
        </w:rPr>
        <w:t>monitoring, reporting, developing new partnerships and reaching the wider public through effective communication. Externally, increased</w:t>
      </w:r>
      <w:r w:rsidR="00E50F67">
        <w:rPr>
          <w:rFonts w:asciiTheme="minorHAnsi" w:hAnsiTheme="minorHAnsi" w:cstheme="minorHAnsi"/>
        </w:rPr>
        <w:t xml:space="preserve"> UN</w:t>
      </w:r>
      <w:r>
        <w:rPr>
          <w:rFonts w:asciiTheme="minorHAnsi" w:hAnsiTheme="minorHAnsi" w:cstheme="minorHAnsi"/>
        </w:rPr>
        <w:t xml:space="preserve"> capacities</w:t>
      </w:r>
      <w:r w:rsidR="00E50F67">
        <w:rPr>
          <w:rFonts w:asciiTheme="minorHAnsi" w:hAnsiTheme="minorHAnsi" w:cstheme="minorHAnsi"/>
        </w:rPr>
        <w:t xml:space="preserve"> are allowing for better, more informed, evidence-driven analysis that allows the UN system to adapt to changes in political, socioeconomic, financial and humanitarian spheres.</w:t>
      </w:r>
    </w:p>
    <w:p w14:paraId="1CBB2C61" w14:textId="77777777" w:rsidR="00643D14" w:rsidRDefault="00643D14" w:rsidP="00DE19C9">
      <w:pPr>
        <w:jc w:val="both"/>
        <w:rPr>
          <w:rFonts w:asciiTheme="minorHAnsi" w:hAnsiTheme="minorHAnsi" w:cstheme="minorHAnsi"/>
        </w:rPr>
      </w:pPr>
    </w:p>
    <w:p w14:paraId="46EAFE27" w14:textId="129E76C9" w:rsidR="00223DE4" w:rsidRDefault="00223DE4" w:rsidP="00DE19C9">
      <w:pPr>
        <w:jc w:val="both"/>
        <w:rPr>
          <w:rFonts w:asciiTheme="minorHAnsi" w:hAnsiTheme="minorHAnsi" w:cstheme="minorHAnsi"/>
          <w:b/>
          <w:bCs/>
        </w:rPr>
      </w:pPr>
      <w:r>
        <w:rPr>
          <w:rFonts w:asciiTheme="minorHAnsi" w:hAnsiTheme="minorHAnsi" w:cstheme="minorHAnsi"/>
        </w:rPr>
        <w:t xml:space="preserve">6.2 </w:t>
      </w:r>
      <w:r>
        <w:rPr>
          <w:rFonts w:asciiTheme="minorHAnsi" w:hAnsiTheme="minorHAnsi" w:cstheme="minorHAnsi"/>
        </w:rPr>
        <w:tab/>
      </w:r>
      <w:r w:rsidRPr="00E405C9">
        <w:rPr>
          <w:rFonts w:asciiTheme="minorHAnsi" w:hAnsiTheme="minorHAnsi" w:cstheme="minorHAnsi"/>
          <w:b/>
          <w:bCs/>
        </w:rPr>
        <w:t>Joint Cooperation Mechanism</w:t>
      </w:r>
    </w:p>
    <w:p w14:paraId="643FC566" w14:textId="77777777" w:rsidR="00E405C9" w:rsidRDefault="00E405C9" w:rsidP="00DE19C9">
      <w:pPr>
        <w:jc w:val="both"/>
        <w:rPr>
          <w:rFonts w:asciiTheme="minorHAnsi" w:hAnsiTheme="minorHAnsi" w:cstheme="minorHAnsi"/>
        </w:rPr>
      </w:pPr>
    </w:p>
    <w:p w14:paraId="6BF650C4" w14:textId="77777777" w:rsidR="00E405C9" w:rsidRDefault="00E50F67" w:rsidP="00DE19C9">
      <w:pPr>
        <w:jc w:val="both"/>
        <w:rPr>
          <w:rFonts w:asciiTheme="minorHAnsi" w:hAnsiTheme="minorHAnsi" w:cstheme="minorHAnsi"/>
        </w:rPr>
      </w:pPr>
      <w:r>
        <w:rPr>
          <w:rFonts w:asciiTheme="minorHAnsi" w:hAnsiTheme="minorHAnsi" w:cstheme="minorHAnsi"/>
        </w:rPr>
        <w:t>Greater coherence in the operations of the UN system in Trinidad and Tobago, as well as the wider Caribbean region, can be achieved through a more streamlined sustainable development cooperation framework. In this regard, the intent of the MSDF represents a strategic mechanism to allow the UNCT to synchronize its approach to</w:t>
      </w:r>
      <w:r w:rsidR="00313D0F">
        <w:rPr>
          <w:rFonts w:asciiTheme="minorHAnsi" w:hAnsiTheme="minorHAnsi" w:cstheme="minorHAnsi"/>
        </w:rPr>
        <w:t xml:space="preserve"> national</w:t>
      </w:r>
      <w:r>
        <w:rPr>
          <w:rFonts w:asciiTheme="minorHAnsi" w:hAnsiTheme="minorHAnsi" w:cstheme="minorHAnsi"/>
        </w:rPr>
        <w:t xml:space="preserve"> sustainable development. </w:t>
      </w:r>
      <w:r w:rsidR="00313D0F">
        <w:rPr>
          <w:rFonts w:asciiTheme="minorHAnsi" w:hAnsiTheme="minorHAnsi" w:cstheme="minorHAnsi"/>
        </w:rPr>
        <w:t>Through the Country Implementation Plan (CIP), developed in consultation with ministries and national agencies, the UNCT contributes to the imperatives of the national development strategy.</w:t>
      </w:r>
      <w:r w:rsidR="008F211E">
        <w:rPr>
          <w:rFonts w:asciiTheme="minorHAnsi" w:hAnsiTheme="minorHAnsi" w:cstheme="minorHAnsi"/>
        </w:rPr>
        <w:t xml:space="preserve"> </w:t>
      </w:r>
    </w:p>
    <w:p w14:paraId="0FDF083D" w14:textId="77777777" w:rsidR="00E405C9" w:rsidRDefault="00E405C9" w:rsidP="00DE19C9">
      <w:pPr>
        <w:jc w:val="both"/>
        <w:rPr>
          <w:rFonts w:asciiTheme="minorHAnsi" w:hAnsiTheme="minorHAnsi" w:cstheme="minorHAnsi"/>
        </w:rPr>
      </w:pPr>
    </w:p>
    <w:p w14:paraId="7A922665" w14:textId="63856776" w:rsidR="008F211E" w:rsidRDefault="008F211E" w:rsidP="00DE19C9">
      <w:pPr>
        <w:jc w:val="both"/>
        <w:rPr>
          <w:rFonts w:asciiTheme="minorHAnsi" w:hAnsiTheme="minorHAnsi" w:cstheme="minorHAnsi"/>
        </w:rPr>
      </w:pPr>
      <w:r w:rsidRPr="008F211E">
        <w:rPr>
          <w:rFonts w:asciiTheme="minorHAnsi" w:hAnsiTheme="minorHAnsi" w:cstheme="minorHAnsi"/>
        </w:rPr>
        <w:t>The formulation of the CIP TT included collaboration between UNCT agency representatives and senior officials of government Ministries. The initiatives and projects agreed to under the CIP TT are aligned to the outcomes of the MSDF and therefore advance the work required to achieve the SDG 2030 Agenda. Government in 2019 approved the five-year rolling CIP TT 2017-2021 and included the requirement for Ministries and other government agencies to report yearly on the progress of implementation of the CIP TT and the value added to country development.</w:t>
      </w:r>
      <w:r w:rsidR="00313D0F">
        <w:rPr>
          <w:rFonts w:asciiTheme="minorHAnsi" w:hAnsiTheme="minorHAnsi" w:cstheme="minorHAnsi"/>
        </w:rPr>
        <w:t xml:space="preserve"> This is operationalized through Results Groups representing each pillar of the MSDF. The Results Group are co-chaired UN and Government representatives. </w:t>
      </w:r>
    </w:p>
    <w:p w14:paraId="7A668379" w14:textId="77777777" w:rsidR="00E405C9" w:rsidRDefault="00E405C9" w:rsidP="00DE19C9">
      <w:pPr>
        <w:jc w:val="both"/>
        <w:rPr>
          <w:rFonts w:asciiTheme="minorHAnsi" w:hAnsiTheme="minorHAnsi" w:cstheme="minorHAnsi"/>
        </w:rPr>
      </w:pPr>
    </w:p>
    <w:p w14:paraId="1D12EFC2" w14:textId="70189828" w:rsidR="00E50F67" w:rsidRDefault="00313D0F" w:rsidP="00DE19C9">
      <w:pPr>
        <w:jc w:val="both"/>
        <w:rPr>
          <w:rFonts w:asciiTheme="minorHAnsi" w:hAnsiTheme="minorHAnsi" w:cstheme="minorHAnsi"/>
        </w:rPr>
      </w:pPr>
      <w:r>
        <w:rPr>
          <w:rFonts w:asciiTheme="minorHAnsi" w:hAnsiTheme="minorHAnsi" w:cstheme="minorHAnsi"/>
        </w:rPr>
        <w:t>The CIP that is produced annually is approved by the Minister of Planning and Development and submitted to Cabinet for noting. The UN and the Government report on progress annually, both individually and collaboratively. The UN produces an annual One UN Results Report that highlights the joint work of the UNCT against the CIP. The Government produces their independent results assessment which is submitted to the Cabinet for noting.</w:t>
      </w:r>
    </w:p>
    <w:p w14:paraId="19F2D39C" w14:textId="77777777" w:rsidR="00E405C9" w:rsidRDefault="00E405C9" w:rsidP="00DE19C9">
      <w:pPr>
        <w:jc w:val="both"/>
        <w:rPr>
          <w:rFonts w:asciiTheme="minorHAnsi" w:hAnsiTheme="minorHAnsi" w:cstheme="minorHAnsi"/>
        </w:rPr>
      </w:pPr>
    </w:p>
    <w:p w14:paraId="533E172E" w14:textId="49CEB497" w:rsidR="00313D0F" w:rsidRDefault="00313D0F" w:rsidP="00DE19C9">
      <w:pPr>
        <w:jc w:val="both"/>
        <w:rPr>
          <w:rFonts w:asciiTheme="minorHAnsi" w:hAnsiTheme="minorHAnsi" w:cstheme="minorHAnsi"/>
        </w:rPr>
      </w:pPr>
      <w:r>
        <w:rPr>
          <w:rFonts w:asciiTheme="minorHAnsi" w:hAnsiTheme="minorHAnsi" w:cstheme="minorHAnsi"/>
        </w:rPr>
        <w:t>Outside of the MSDF/CIP mechanism, the UN worked collaboratively with Government and other stakeholders on processes such as the first ever VNR for Trinidad and Tobago, joint marking of 16 Days of Activism Against Gender Based Violence,</w:t>
      </w:r>
      <w:r w:rsidR="0067627C">
        <w:rPr>
          <w:rFonts w:asciiTheme="minorHAnsi" w:hAnsiTheme="minorHAnsi" w:cstheme="minorHAnsi"/>
        </w:rPr>
        <w:t xml:space="preserve"> the Spotlight Initiative</w:t>
      </w:r>
      <w:r w:rsidR="000D1E00">
        <w:rPr>
          <w:rFonts w:asciiTheme="minorHAnsi" w:hAnsiTheme="minorHAnsi" w:cstheme="minorHAnsi"/>
        </w:rPr>
        <w:t>,</w:t>
      </w:r>
      <w:r>
        <w:rPr>
          <w:rFonts w:asciiTheme="minorHAnsi" w:hAnsiTheme="minorHAnsi" w:cstheme="minorHAnsi"/>
        </w:rPr>
        <w:t xml:space="preserve"> the inaugural Trinidad and Tobago Big Data Forum and Agenda 2030 orientation sessions for Government officials.</w:t>
      </w:r>
      <w:r w:rsidR="000D1E00">
        <w:rPr>
          <w:rFonts w:asciiTheme="minorHAnsi" w:hAnsiTheme="minorHAnsi" w:cstheme="minorHAnsi"/>
        </w:rPr>
        <w:t xml:space="preserve"> Moreover, the United Nations supported the Government-led registration of Venezuelan migrants in 2019</w:t>
      </w:r>
      <w:r w:rsidR="008F211E">
        <w:rPr>
          <w:rFonts w:asciiTheme="minorHAnsi" w:hAnsiTheme="minorHAnsi" w:cstheme="minorHAnsi"/>
        </w:rPr>
        <w:t>.</w:t>
      </w:r>
    </w:p>
    <w:p w14:paraId="640798D0" w14:textId="77777777" w:rsidR="00E405C9" w:rsidRDefault="00E405C9" w:rsidP="00DE19C9">
      <w:pPr>
        <w:jc w:val="both"/>
        <w:rPr>
          <w:rFonts w:asciiTheme="minorHAnsi" w:hAnsiTheme="minorHAnsi" w:cstheme="minorHAnsi"/>
        </w:rPr>
      </w:pPr>
    </w:p>
    <w:p w14:paraId="12D497CD" w14:textId="13ACB77B" w:rsidR="008F211E" w:rsidRPr="008F211E" w:rsidRDefault="008F211E" w:rsidP="00DE19C9">
      <w:pPr>
        <w:jc w:val="both"/>
        <w:rPr>
          <w:rFonts w:asciiTheme="minorHAnsi" w:hAnsiTheme="minorHAnsi" w:cstheme="minorHAnsi"/>
        </w:rPr>
      </w:pPr>
      <w:r w:rsidRPr="008F211E">
        <w:rPr>
          <w:rFonts w:asciiTheme="minorHAnsi" w:hAnsiTheme="minorHAnsi" w:cstheme="minorHAnsi"/>
        </w:rPr>
        <w:t xml:space="preserve">The Ministries and other government agencies therefore contribute to the 2030 Development Agenda through the development and implementation of national programs and initiatives that are aligned to the NDS. Importantly, the localization allows for a direct linking of activities related to Agenda 2030 to the government financing mechanism through its Public Sector Investment Program. </w:t>
      </w:r>
    </w:p>
    <w:p w14:paraId="11793969" w14:textId="77777777" w:rsidR="00E405C9" w:rsidRDefault="00E405C9" w:rsidP="00DE19C9">
      <w:pPr>
        <w:jc w:val="both"/>
        <w:rPr>
          <w:rFonts w:asciiTheme="minorHAnsi" w:hAnsiTheme="minorHAnsi" w:cstheme="minorHAnsi"/>
        </w:rPr>
      </w:pPr>
    </w:p>
    <w:p w14:paraId="373BD2C7" w14:textId="127E4712" w:rsidR="008F211E" w:rsidRPr="008F211E" w:rsidRDefault="008F211E" w:rsidP="00DE19C9">
      <w:pPr>
        <w:jc w:val="both"/>
        <w:rPr>
          <w:rFonts w:asciiTheme="minorHAnsi" w:hAnsiTheme="minorHAnsi" w:cstheme="minorHAnsi"/>
        </w:rPr>
      </w:pPr>
      <w:r w:rsidRPr="008F211E">
        <w:rPr>
          <w:rFonts w:asciiTheme="minorHAnsi" w:hAnsiTheme="minorHAnsi" w:cstheme="minorHAnsi"/>
        </w:rPr>
        <w:t>The implementation of joint coordination efforts is challenged by operational risks arising from attrition within the public service of Government Ministries. Representation from the same public service Officers from key Ministries as part of the Results groups of the joint UN/Government Country Implementation Plan is not consistent with respect to attendance and participation. This has affected strategic planning and direction of the CIP TT work agenda and has stymied implementation rates.</w:t>
      </w:r>
    </w:p>
    <w:p w14:paraId="4A36DD07" w14:textId="77777777" w:rsidR="00E405C9" w:rsidRDefault="00E405C9" w:rsidP="00DE19C9">
      <w:pPr>
        <w:jc w:val="both"/>
        <w:rPr>
          <w:rFonts w:asciiTheme="minorHAnsi" w:hAnsiTheme="minorHAnsi" w:cstheme="minorHAnsi"/>
        </w:rPr>
      </w:pPr>
    </w:p>
    <w:p w14:paraId="0D11FB9B" w14:textId="7A4BD4FD" w:rsidR="008F211E" w:rsidRPr="008F211E" w:rsidRDefault="008F211E" w:rsidP="00DE19C9">
      <w:pPr>
        <w:jc w:val="both"/>
        <w:rPr>
          <w:rFonts w:asciiTheme="minorHAnsi" w:hAnsiTheme="minorHAnsi" w:cstheme="minorHAnsi"/>
        </w:rPr>
      </w:pPr>
      <w:r w:rsidRPr="008F211E">
        <w:rPr>
          <w:rFonts w:asciiTheme="minorHAnsi" w:hAnsiTheme="minorHAnsi" w:cstheme="minorHAnsi"/>
        </w:rPr>
        <w:t xml:space="preserve">The integration of the MSDF/CIP process into the National Development Strategy of Government and the national work agenda was only recently accelerated in 2019. This delayed ownership of the process resulted in delayed implementation and slower progress towards SDGs achievement. </w:t>
      </w:r>
    </w:p>
    <w:p w14:paraId="2AB07B72" w14:textId="77777777" w:rsidR="00E405C9" w:rsidRDefault="00E405C9" w:rsidP="00DE19C9">
      <w:pPr>
        <w:jc w:val="both"/>
        <w:rPr>
          <w:rFonts w:asciiTheme="minorHAnsi" w:hAnsiTheme="minorHAnsi" w:cstheme="minorHAnsi"/>
        </w:rPr>
      </w:pPr>
    </w:p>
    <w:p w14:paraId="05EE1E96" w14:textId="35CA3DC5" w:rsidR="008F211E" w:rsidRPr="008F211E" w:rsidRDefault="008F211E" w:rsidP="00DE19C9">
      <w:pPr>
        <w:jc w:val="both"/>
        <w:rPr>
          <w:rFonts w:asciiTheme="minorHAnsi" w:hAnsiTheme="minorHAnsi" w:cstheme="minorHAnsi"/>
        </w:rPr>
      </w:pPr>
      <w:r w:rsidRPr="008F211E">
        <w:rPr>
          <w:rFonts w:asciiTheme="minorHAnsi" w:hAnsiTheme="minorHAnsi" w:cstheme="minorHAnsi"/>
        </w:rPr>
        <w:t>The absence of counterpart resource financing from the private sector and other government financing mechanisms towards the MSDF/CIP process has curtailed the extent to which the joint efforts could be scaled up. Many joint UNCT/Government initiatives face financial risk as a result of declining government revenues.</w:t>
      </w:r>
    </w:p>
    <w:p w14:paraId="7726DF71" w14:textId="77777777" w:rsidR="00E405C9" w:rsidRDefault="00E405C9" w:rsidP="00DE19C9">
      <w:pPr>
        <w:jc w:val="both"/>
        <w:rPr>
          <w:rFonts w:asciiTheme="minorHAnsi" w:hAnsiTheme="minorHAnsi" w:cstheme="minorHAnsi"/>
        </w:rPr>
      </w:pPr>
    </w:p>
    <w:p w14:paraId="2470360F" w14:textId="4F7C85D3" w:rsidR="008F211E" w:rsidRDefault="008F211E" w:rsidP="00DE19C9">
      <w:pPr>
        <w:jc w:val="both"/>
        <w:rPr>
          <w:rFonts w:asciiTheme="minorHAnsi" w:hAnsiTheme="minorHAnsi" w:cstheme="minorHAnsi"/>
        </w:rPr>
      </w:pPr>
      <w:r w:rsidRPr="008F211E">
        <w:rPr>
          <w:rFonts w:asciiTheme="minorHAnsi" w:hAnsiTheme="minorHAnsi" w:cstheme="minorHAnsi"/>
        </w:rPr>
        <w:t>Reporting risks-the inadequacy of innovative processes required for capturing, analyzing and submitting high quality data sets in a meaningful and useable format to determine development severely hampers key analyses on the progress of achievement of the SDGs.</w:t>
      </w:r>
    </w:p>
    <w:p w14:paraId="3458732D" w14:textId="67737436" w:rsidR="00313D0F" w:rsidRDefault="00313D0F" w:rsidP="00DE19C9">
      <w:pPr>
        <w:jc w:val="both"/>
        <w:rPr>
          <w:rFonts w:asciiTheme="minorHAnsi" w:hAnsiTheme="minorHAnsi" w:cstheme="minorHAnsi"/>
        </w:rPr>
      </w:pPr>
      <w:r>
        <w:rPr>
          <w:rFonts w:asciiTheme="minorHAnsi" w:hAnsiTheme="minorHAnsi" w:cstheme="minorHAnsi"/>
        </w:rPr>
        <w:t xml:space="preserve"> </w:t>
      </w:r>
    </w:p>
    <w:p w14:paraId="4024E8B9" w14:textId="7D84D13A" w:rsidR="00223DE4" w:rsidRDefault="00223DE4" w:rsidP="00DE19C9">
      <w:pPr>
        <w:jc w:val="both"/>
        <w:rPr>
          <w:rFonts w:asciiTheme="minorHAnsi" w:hAnsiTheme="minorHAnsi" w:cstheme="minorHAnsi"/>
        </w:rPr>
      </w:pPr>
      <w:r>
        <w:rPr>
          <w:rFonts w:asciiTheme="minorHAnsi" w:hAnsiTheme="minorHAnsi" w:cstheme="minorHAnsi"/>
        </w:rPr>
        <w:t>6.3</w:t>
      </w:r>
      <w:r>
        <w:rPr>
          <w:rFonts w:asciiTheme="minorHAnsi" w:hAnsiTheme="minorHAnsi" w:cstheme="minorHAnsi"/>
        </w:rPr>
        <w:tab/>
      </w:r>
      <w:r w:rsidRPr="00E405C9">
        <w:rPr>
          <w:rFonts w:asciiTheme="minorHAnsi" w:hAnsiTheme="minorHAnsi" w:cstheme="minorHAnsi"/>
          <w:b/>
          <w:bCs/>
        </w:rPr>
        <w:t>Conclusion</w:t>
      </w:r>
    </w:p>
    <w:p w14:paraId="6B5B8744" w14:textId="77777777" w:rsidR="00E405C9" w:rsidRPr="006C28A6" w:rsidRDefault="00E405C9" w:rsidP="00DE19C9">
      <w:pPr>
        <w:jc w:val="both"/>
        <w:rPr>
          <w:rFonts w:asciiTheme="minorHAnsi" w:hAnsiTheme="minorHAnsi" w:cstheme="minorHAnsi"/>
        </w:rPr>
      </w:pPr>
    </w:p>
    <w:p w14:paraId="20CA1254" w14:textId="77777777" w:rsidR="00550EC3" w:rsidRPr="00550EC3" w:rsidRDefault="00550EC3" w:rsidP="00DE19C9">
      <w:pPr>
        <w:jc w:val="both"/>
        <w:rPr>
          <w:rFonts w:asciiTheme="minorHAnsi" w:hAnsiTheme="minorHAnsi" w:cstheme="minorHAnsi"/>
        </w:rPr>
      </w:pPr>
      <w:r w:rsidRPr="00550EC3">
        <w:rPr>
          <w:rFonts w:asciiTheme="minorHAnsi" w:hAnsiTheme="minorHAnsi" w:cstheme="minorHAnsi"/>
        </w:rPr>
        <w:t xml:space="preserve">The establishment of the RCO has streamlined the coordination function and overall joint UNCT approach to country development with government. Such a coordinated approach will remove duplication of efforts and can result in a more coordinated UNCT response to the country needs while maximizing comingled UNCT financial resources available. Simultaneously, the ownership of the CIP TT process by the Government through the authority of a Cabinet decision, including the additional requirement for the reporting on the progress of implementation annually by Ministries to the Cabinet as part of the national monitoring and evaluation country system, pointedly provides the impetus for accelerated implementation and accountability of the joint CIP TT as part of government’s overall work agenda. </w:t>
      </w:r>
    </w:p>
    <w:p w14:paraId="032DF5A3" w14:textId="77777777" w:rsidR="00550EC3" w:rsidRPr="00550EC3" w:rsidRDefault="00550EC3" w:rsidP="00DE19C9">
      <w:pPr>
        <w:jc w:val="both"/>
        <w:rPr>
          <w:rFonts w:asciiTheme="minorHAnsi" w:hAnsiTheme="minorHAnsi" w:cstheme="minorHAnsi"/>
        </w:rPr>
      </w:pPr>
    </w:p>
    <w:p w14:paraId="15352EE2" w14:textId="77777777" w:rsidR="00550EC3" w:rsidRPr="00550EC3" w:rsidRDefault="00550EC3" w:rsidP="00DE19C9">
      <w:pPr>
        <w:jc w:val="both"/>
        <w:rPr>
          <w:rFonts w:asciiTheme="minorHAnsi" w:hAnsiTheme="minorHAnsi" w:cstheme="minorHAnsi"/>
        </w:rPr>
      </w:pPr>
      <w:r w:rsidRPr="00550EC3">
        <w:rPr>
          <w:rFonts w:asciiTheme="minorHAnsi" w:hAnsiTheme="minorHAnsi" w:cstheme="minorHAnsi"/>
        </w:rPr>
        <w:t xml:space="preserve">While the ongoing Venezuelan migration challenge has the potential to increase in number and intensity in the future, a UNCT coordinated approach will support government with appropriate interventions to address the influx, the development of standard operating procedures to treat with the migrants and development programs to adequately address the needs of the migrants.              </w:t>
      </w:r>
    </w:p>
    <w:p w14:paraId="34543E37" w14:textId="77777777" w:rsidR="00550EC3" w:rsidRPr="00550EC3" w:rsidRDefault="00550EC3" w:rsidP="00DE19C9">
      <w:pPr>
        <w:jc w:val="both"/>
        <w:rPr>
          <w:rFonts w:asciiTheme="minorHAnsi" w:hAnsiTheme="minorHAnsi" w:cstheme="minorHAnsi"/>
        </w:rPr>
      </w:pPr>
    </w:p>
    <w:p w14:paraId="23DCCFF2" w14:textId="77777777" w:rsidR="00C07365" w:rsidRDefault="00550EC3" w:rsidP="00DE19C9">
      <w:pPr>
        <w:jc w:val="both"/>
        <w:rPr>
          <w:rFonts w:asciiTheme="minorHAnsi" w:hAnsiTheme="minorHAnsi" w:cstheme="minorHAnsi"/>
        </w:rPr>
      </w:pPr>
      <w:r w:rsidRPr="00550EC3">
        <w:rPr>
          <w:rFonts w:asciiTheme="minorHAnsi" w:hAnsiTheme="minorHAnsi" w:cstheme="minorHAnsi"/>
        </w:rPr>
        <w:t>The ability to produce and collect quality data for analysis and reporting remains a cross cutting issue.   The UNCT will be required to support the efforts of the country to identify practical solutions that address the data gaps and challenges in the local data ecosystem.</w:t>
      </w:r>
    </w:p>
    <w:p w14:paraId="1EE3919C" w14:textId="3ABA9B19" w:rsidR="00550EC3" w:rsidRPr="00550EC3" w:rsidRDefault="00550EC3" w:rsidP="00DE19C9">
      <w:pPr>
        <w:jc w:val="both"/>
        <w:rPr>
          <w:rFonts w:asciiTheme="minorHAnsi" w:hAnsiTheme="minorHAnsi" w:cstheme="minorHAnsi"/>
        </w:rPr>
      </w:pPr>
      <w:r w:rsidRPr="00550EC3">
        <w:rPr>
          <w:rFonts w:asciiTheme="minorHAnsi" w:hAnsiTheme="minorHAnsi" w:cstheme="minorHAnsi"/>
        </w:rPr>
        <w:t xml:space="preserve"> </w:t>
      </w:r>
    </w:p>
    <w:p w14:paraId="2B30EAEE" w14:textId="1B55C80B" w:rsidR="00223DE4" w:rsidRPr="00550EC3" w:rsidRDefault="00550EC3" w:rsidP="00DE19C9">
      <w:pPr>
        <w:jc w:val="both"/>
        <w:rPr>
          <w:rFonts w:asciiTheme="minorHAnsi" w:hAnsiTheme="minorHAnsi" w:cstheme="minorHAnsi"/>
        </w:rPr>
      </w:pPr>
      <w:r w:rsidRPr="00550EC3">
        <w:rPr>
          <w:rFonts w:asciiTheme="minorHAnsi" w:hAnsiTheme="minorHAnsi" w:cstheme="minorHAnsi"/>
        </w:rPr>
        <w:t>The absence of meaningful growth in the economy may affect resource mobilization and may negatively affect the scaling up of joint UNCT/Government interventions that can accelerate implementation and achievement of Agenda 2030. The prevalent crime situation and the number of homicides in Trinidad and Tobago can also be a deterrent for foreign investment, the development of multinational and private sector partnerships; and the equitable distribution of interventions and resources to the vulnerable in affected high risk communities. In this regard, opportunities exist for expanding and deepening relations with the Government, to further strengthen its strategic partnership, focusing on sustaining (and where possible increasing) the previously-received levels of contributions received, while strengthening predictability and early disbursement. Additionally, initiatives that involve one agency are more-narrowly focused, and therefore less likely to attract support from political and financial advocates, who typically have broader and more-generic concerns.</w:t>
      </w:r>
    </w:p>
    <w:p w14:paraId="0000023A" w14:textId="1D751EB0" w:rsidR="006B72B0" w:rsidRPr="009C793F" w:rsidRDefault="00845012" w:rsidP="00DE19C9">
      <w:pPr>
        <w:jc w:val="both"/>
        <w:rPr>
          <w:rFonts w:asciiTheme="minorHAnsi" w:hAnsiTheme="minorHAnsi" w:cstheme="minorHAnsi"/>
          <w:b/>
          <w:color w:val="000000"/>
        </w:rPr>
      </w:pPr>
      <w:bookmarkStart w:id="7" w:name="_heading=h.30j0zll" w:colFirst="0" w:colLast="0"/>
      <w:bookmarkEnd w:id="7"/>
      <w:r w:rsidRPr="009C793F">
        <w:rPr>
          <w:rFonts w:asciiTheme="minorHAnsi" w:hAnsiTheme="minorHAnsi" w:cstheme="minorHAnsi"/>
          <w:b/>
          <w:color w:val="000000"/>
        </w:rPr>
        <w:t xml:space="preserve">Appendix 1 </w:t>
      </w:r>
    </w:p>
    <w:p w14:paraId="0000023B" w14:textId="77777777" w:rsidR="006B72B0" w:rsidRPr="009C793F" w:rsidRDefault="00845012" w:rsidP="00DE19C9">
      <w:pPr>
        <w:ind w:left="10" w:hanging="10"/>
        <w:jc w:val="both"/>
        <w:rPr>
          <w:rFonts w:asciiTheme="minorHAnsi" w:hAnsiTheme="minorHAnsi" w:cstheme="minorHAnsi"/>
          <w:b/>
          <w:color w:val="000000"/>
        </w:rPr>
      </w:pPr>
      <w:r w:rsidRPr="009C793F">
        <w:rPr>
          <w:rFonts w:asciiTheme="minorHAnsi" w:hAnsiTheme="minorHAnsi" w:cstheme="minorHAnsi"/>
          <w:b/>
          <w:color w:val="000000"/>
        </w:rPr>
        <w:t>Trinidad and Tobago CCA Questionnaire</w:t>
      </w:r>
    </w:p>
    <w:p w14:paraId="0000023C" w14:textId="77777777" w:rsidR="006B72B0" w:rsidRPr="009C793F" w:rsidRDefault="006B72B0" w:rsidP="00DE19C9">
      <w:pPr>
        <w:ind w:left="-5" w:hanging="10"/>
        <w:jc w:val="both"/>
        <w:rPr>
          <w:rFonts w:asciiTheme="minorHAnsi" w:hAnsiTheme="minorHAnsi" w:cstheme="minorHAnsi"/>
          <w:b/>
          <w:color w:val="000000"/>
          <w:u w:val="single"/>
        </w:rPr>
      </w:pPr>
    </w:p>
    <w:p w14:paraId="0000023D" w14:textId="77777777" w:rsidR="006B72B0" w:rsidRPr="009C793F" w:rsidRDefault="00845012" w:rsidP="00DE19C9">
      <w:pPr>
        <w:ind w:left="-5" w:hanging="10"/>
        <w:jc w:val="both"/>
        <w:rPr>
          <w:rFonts w:asciiTheme="minorHAnsi" w:hAnsiTheme="minorHAnsi" w:cstheme="minorHAnsi"/>
          <w:color w:val="000000"/>
        </w:rPr>
      </w:pPr>
      <w:r w:rsidRPr="009C793F">
        <w:rPr>
          <w:rFonts w:asciiTheme="minorHAnsi" w:hAnsiTheme="minorHAnsi" w:cstheme="minorHAnsi"/>
          <w:b/>
          <w:color w:val="000000"/>
          <w:u w:val="single"/>
        </w:rPr>
        <w:t>Instructions:</w:t>
      </w:r>
      <w:r w:rsidRPr="009C793F">
        <w:rPr>
          <w:rFonts w:asciiTheme="minorHAnsi" w:hAnsiTheme="minorHAnsi" w:cstheme="minorHAnsi"/>
          <w:b/>
          <w:color w:val="000000"/>
        </w:rPr>
        <w:t xml:space="preserve"> </w:t>
      </w:r>
    </w:p>
    <w:p w14:paraId="0000023E" w14:textId="77777777" w:rsidR="006B72B0" w:rsidRPr="009C793F" w:rsidRDefault="00845012" w:rsidP="00DE19C9">
      <w:pPr>
        <w:ind w:left="-5" w:right="29" w:hanging="10"/>
        <w:jc w:val="both"/>
        <w:rPr>
          <w:rFonts w:asciiTheme="minorHAnsi" w:hAnsiTheme="minorHAnsi" w:cstheme="minorHAnsi"/>
          <w:color w:val="000000"/>
        </w:rPr>
      </w:pPr>
      <w:r w:rsidRPr="009C793F">
        <w:rPr>
          <w:rFonts w:asciiTheme="minorHAnsi" w:hAnsiTheme="minorHAnsi" w:cstheme="minorHAnsi"/>
          <w:color w:val="000000"/>
        </w:rPr>
        <w:t xml:space="preserve">Referring to the SDGs, use evidence and the table below to assess the positioning of your agency against each as applicable.  </w:t>
      </w:r>
    </w:p>
    <w:p w14:paraId="0000023F" w14:textId="77777777" w:rsidR="006B72B0" w:rsidRPr="009C793F" w:rsidRDefault="00845012" w:rsidP="00DE19C9">
      <w:pPr>
        <w:ind w:left="-5" w:right="29" w:hanging="10"/>
        <w:jc w:val="both"/>
        <w:rPr>
          <w:rFonts w:asciiTheme="minorHAnsi" w:hAnsiTheme="minorHAnsi" w:cstheme="minorHAnsi"/>
          <w:color w:val="000000"/>
        </w:rPr>
      </w:pPr>
      <w:r w:rsidRPr="009C793F">
        <w:rPr>
          <w:rFonts w:asciiTheme="minorHAnsi" w:hAnsiTheme="minorHAnsi" w:cstheme="minorHAnsi"/>
          <w:color w:val="000000"/>
        </w:rPr>
        <w:t xml:space="preserve">Reflect on past achievements, current and future capacity, and the overall strategic role of the agency vis-à-vis the SDGs including future roles and value addition.  </w:t>
      </w:r>
    </w:p>
    <w:p w14:paraId="00000240"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 </w:t>
      </w:r>
    </w:p>
    <w:tbl>
      <w:tblPr>
        <w:tblStyle w:val="a0"/>
        <w:tblW w:w="8277" w:type="dxa"/>
        <w:tblInd w:w="-108" w:type="dxa"/>
        <w:tblLayout w:type="fixed"/>
        <w:tblLook w:val="0400" w:firstRow="0" w:lastRow="0" w:firstColumn="0" w:lastColumn="0" w:noHBand="0" w:noVBand="1"/>
      </w:tblPr>
      <w:tblGrid>
        <w:gridCol w:w="1879"/>
        <w:gridCol w:w="6398"/>
      </w:tblGrid>
      <w:tr w:rsidR="006B72B0" w:rsidRPr="009C793F" w14:paraId="765D55D9" w14:textId="77777777">
        <w:trPr>
          <w:trHeight w:val="514"/>
        </w:trPr>
        <w:tc>
          <w:tcPr>
            <w:tcW w:w="8277" w:type="dxa"/>
            <w:gridSpan w:val="2"/>
            <w:tcBorders>
              <w:top w:val="single" w:sz="4" w:space="0" w:color="000000"/>
              <w:left w:val="single" w:sz="4" w:space="0" w:color="000000"/>
              <w:bottom w:val="single" w:sz="4" w:space="0" w:color="000000"/>
              <w:right w:val="single" w:sz="4" w:space="0" w:color="000000"/>
            </w:tcBorders>
          </w:tcPr>
          <w:p w14:paraId="00000241" w14:textId="77777777" w:rsidR="006B72B0" w:rsidRPr="009C793F" w:rsidRDefault="00845012" w:rsidP="00DE19C9">
            <w:pPr>
              <w:jc w:val="both"/>
              <w:rPr>
                <w:rFonts w:asciiTheme="minorHAnsi" w:hAnsiTheme="minorHAnsi" w:cstheme="minorHAnsi"/>
                <w:color w:val="000000"/>
                <w:u w:val="single"/>
              </w:rPr>
            </w:pPr>
            <w:r w:rsidRPr="009C793F">
              <w:rPr>
                <w:rFonts w:asciiTheme="minorHAnsi" w:hAnsiTheme="minorHAnsi" w:cstheme="minorHAnsi"/>
                <w:color w:val="000000"/>
                <w:u w:val="single"/>
              </w:rPr>
              <w:t xml:space="preserve">Sustainable Development Goal(s) </w:t>
            </w:r>
          </w:p>
          <w:p w14:paraId="00000242"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u w:val="single"/>
              </w:rPr>
              <w:t xml:space="preserve">Eg. SDG1 </w:t>
            </w:r>
            <w:r w:rsidRPr="009C793F">
              <w:rPr>
                <w:rFonts w:asciiTheme="minorHAnsi" w:hAnsiTheme="minorHAnsi" w:cstheme="minorHAnsi"/>
                <w:color w:val="000000"/>
              </w:rPr>
              <w:t xml:space="preserve"> </w:t>
            </w:r>
          </w:p>
        </w:tc>
      </w:tr>
      <w:tr w:rsidR="006B72B0" w:rsidRPr="009C793F" w14:paraId="75B36355" w14:textId="77777777">
        <w:trPr>
          <w:trHeight w:val="350"/>
        </w:trPr>
        <w:tc>
          <w:tcPr>
            <w:tcW w:w="8277" w:type="dxa"/>
            <w:gridSpan w:val="2"/>
            <w:tcBorders>
              <w:top w:val="single" w:sz="4" w:space="0" w:color="000000"/>
              <w:left w:val="single" w:sz="4" w:space="0" w:color="000000"/>
              <w:bottom w:val="single" w:sz="4" w:space="0" w:color="000000"/>
              <w:right w:val="single" w:sz="4" w:space="0" w:color="000000"/>
            </w:tcBorders>
          </w:tcPr>
          <w:p w14:paraId="00000244"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Agency Name: </w:t>
            </w:r>
          </w:p>
        </w:tc>
      </w:tr>
      <w:tr w:rsidR="006B72B0" w:rsidRPr="009C793F" w14:paraId="7DF6BDAB" w14:textId="77777777">
        <w:trPr>
          <w:trHeight w:val="910"/>
        </w:trPr>
        <w:tc>
          <w:tcPr>
            <w:tcW w:w="1879" w:type="dxa"/>
            <w:tcBorders>
              <w:top w:val="single" w:sz="4" w:space="0" w:color="000000"/>
              <w:left w:val="single" w:sz="4" w:space="0" w:color="000000"/>
              <w:bottom w:val="single" w:sz="4" w:space="0" w:color="000000"/>
              <w:right w:val="single" w:sz="4" w:space="0" w:color="000000"/>
            </w:tcBorders>
          </w:tcPr>
          <w:p w14:paraId="00000246"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Agency Track Record </w:t>
            </w:r>
          </w:p>
        </w:tc>
        <w:tc>
          <w:tcPr>
            <w:tcW w:w="6398" w:type="dxa"/>
            <w:tcBorders>
              <w:top w:val="single" w:sz="4" w:space="0" w:color="000000"/>
              <w:left w:val="single" w:sz="4" w:space="0" w:color="000000"/>
              <w:bottom w:val="single" w:sz="4" w:space="0" w:color="000000"/>
              <w:right w:val="single" w:sz="4" w:space="0" w:color="000000"/>
            </w:tcBorders>
          </w:tcPr>
          <w:p w14:paraId="00000247"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Outcomes (evaluation results): </w:t>
            </w:r>
          </w:p>
          <w:p w14:paraId="00000248"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Activities and outputs: </w:t>
            </w:r>
          </w:p>
          <w:p w14:paraId="00000249"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Partner feedback and evaluation information on track record relative to others: </w:t>
            </w:r>
          </w:p>
        </w:tc>
      </w:tr>
      <w:tr w:rsidR="006B72B0" w:rsidRPr="009C793F" w14:paraId="7DD74AD2" w14:textId="77777777">
        <w:trPr>
          <w:trHeight w:val="2268"/>
        </w:trPr>
        <w:tc>
          <w:tcPr>
            <w:tcW w:w="1879" w:type="dxa"/>
            <w:tcBorders>
              <w:top w:val="single" w:sz="4" w:space="0" w:color="000000"/>
              <w:left w:val="single" w:sz="4" w:space="0" w:color="000000"/>
              <w:bottom w:val="single" w:sz="4" w:space="0" w:color="000000"/>
              <w:right w:val="single" w:sz="4" w:space="0" w:color="000000"/>
            </w:tcBorders>
          </w:tcPr>
          <w:p w14:paraId="0000024A"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Agency Capacity </w:t>
            </w:r>
          </w:p>
        </w:tc>
        <w:tc>
          <w:tcPr>
            <w:tcW w:w="6398" w:type="dxa"/>
            <w:tcBorders>
              <w:top w:val="single" w:sz="4" w:space="0" w:color="000000"/>
              <w:left w:val="single" w:sz="4" w:space="0" w:color="000000"/>
              <w:bottom w:val="single" w:sz="4" w:space="0" w:color="000000"/>
              <w:right w:val="single" w:sz="4" w:space="0" w:color="000000"/>
            </w:tcBorders>
          </w:tcPr>
          <w:p w14:paraId="0000024B"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Technical/advisory expertise: </w:t>
            </w:r>
          </w:p>
          <w:p w14:paraId="0000024C"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Program management/administrative capacity: </w:t>
            </w:r>
          </w:p>
          <w:p w14:paraId="0000024D"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Relationships with key actors: </w:t>
            </w:r>
          </w:p>
          <w:p w14:paraId="0000024E"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Staff: </w:t>
            </w:r>
          </w:p>
          <w:p w14:paraId="0000024F"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Budget:  </w:t>
            </w:r>
          </w:p>
          <w:p w14:paraId="00000250"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Geographic presence: </w:t>
            </w:r>
          </w:p>
          <w:p w14:paraId="00000251"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Other: </w:t>
            </w:r>
          </w:p>
        </w:tc>
      </w:tr>
      <w:tr w:rsidR="006B72B0" w:rsidRPr="009C793F" w14:paraId="475E4450" w14:textId="77777777">
        <w:trPr>
          <w:trHeight w:val="1930"/>
        </w:trPr>
        <w:tc>
          <w:tcPr>
            <w:tcW w:w="1879" w:type="dxa"/>
            <w:tcBorders>
              <w:top w:val="single" w:sz="4" w:space="0" w:color="000000"/>
              <w:left w:val="single" w:sz="4" w:space="0" w:color="000000"/>
              <w:bottom w:val="single" w:sz="4" w:space="0" w:color="000000"/>
              <w:right w:val="single" w:sz="4" w:space="0" w:color="000000"/>
            </w:tcBorders>
          </w:tcPr>
          <w:p w14:paraId="00000252"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Evidence of Better </w:t>
            </w:r>
          </w:p>
          <w:p w14:paraId="00000253"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Positioning/ </w:t>
            </w:r>
          </w:p>
          <w:p w14:paraId="00000254"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Unique Roles </w:t>
            </w:r>
          </w:p>
          <w:p w14:paraId="00000255"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Recognized by </w:t>
            </w:r>
          </w:p>
          <w:p w14:paraId="00000256"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Partners </w:t>
            </w:r>
          </w:p>
        </w:tc>
        <w:tc>
          <w:tcPr>
            <w:tcW w:w="6398" w:type="dxa"/>
            <w:tcBorders>
              <w:top w:val="single" w:sz="4" w:space="0" w:color="000000"/>
              <w:left w:val="single" w:sz="4" w:space="0" w:color="000000"/>
              <w:bottom w:val="single" w:sz="4" w:space="0" w:color="000000"/>
              <w:right w:val="single" w:sz="4" w:space="0" w:color="000000"/>
            </w:tcBorders>
          </w:tcPr>
          <w:p w14:paraId="00000257"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Convening: </w:t>
            </w:r>
          </w:p>
          <w:p w14:paraId="00000258"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Technical/policy advising: </w:t>
            </w:r>
          </w:p>
          <w:p w14:paraId="00000259"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Capacity building: </w:t>
            </w:r>
          </w:p>
          <w:p w14:paraId="0000025A"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Normative dialogue/ advocacy: </w:t>
            </w:r>
          </w:p>
          <w:p w14:paraId="0000025B"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Specific work focused on those left behind and those left furthest behind:</w:t>
            </w:r>
          </w:p>
          <w:p w14:paraId="0000025C"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Monitoring &amp; evaluation: </w:t>
            </w:r>
          </w:p>
          <w:p w14:paraId="0000025D"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Other: </w:t>
            </w:r>
          </w:p>
        </w:tc>
      </w:tr>
    </w:tbl>
    <w:p w14:paraId="0000025E"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color w:val="000000"/>
        </w:rPr>
        <w:t xml:space="preserve"> </w:t>
      </w:r>
    </w:p>
    <w:p w14:paraId="0000025F" w14:textId="77777777" w:rsidR="006B72B0" w:rsidRPr="009C793F" w:rsidRDefault="00845012" w:rsidP="00DE19C9">
      <w:pPr>
        <w:jc w:val="both"/>
        <w:rPr>
          <w:rFonts w:asciiTheme="minorHAnsi" w:hAnsiTheme="minorHAnsi" w:cstheme="minorHAnsi"/>
          <w:color w:val="000000"/>
        </w:rPr>
      </w:pPr>
      <w:r w:rsidRPr="009C793F">
        <w:rPr>
          <w:rFonts w:asciiTheme="minorHAnsi" w:hAnsiTheme="minorHAnsi" w:cstheme="minorHAnsi"/>
        </w:rPr>
        <w:br w:type="page"/>
      </w:r>
    </w:p>
    <w:p w14:paraId="00000260" w14:textId="391650AD" w:rsidR="006B72B0" w:rsidRPr="009C793F" w:rsidRDefault="00845012" w:rsidP="00DE19C9">
      <w:pPr>
        <w:keepNext/>
        <w:keepLines/>
        <w:tabs>
          <w:tab w:val="left" w:pos="1134"/>
        </w:tabs>
        <w:jc w:val="both"/>
        <w:rPr>
          <w:rFonts w:asciiTheme="minorHAnsi" w:hAnsiTheme="minorHAnsi" w:cstheme="minorHAnsi"/>
          <w:color w:val="0070C0"/>
        </w:rPr>
      </w:pPr>
      <w:r w:rsidRPr="009C793F">
        <w:rPr>
          <w:rFonts w:asciiTheme="minorHAnsi" w:hAnsiTheme="minorHAnsi" w:cstheme="minorHAnsi"/>
          <w:b/>
          <w:color w:val="0070C0"/>
        </w:rPr>
        <w:t xml:space="preserve">Appendix </w:t>
      </w:r>
      <w:r w:rsidR="00660966" w:rsidRPr="009C793F">
        <w:rPr>
          <w:rFonts w:asciiTheme="minorHAnsi" w:hAnsiTheme="minorHAnsi" w:cstheme="minorHAnsi"/>
          <w:b/>
          <w:color w:val="0070C0"/>
        </w:rPr>
        <w:t>2.</w:t>
      </w:r>
      <w:r w:rsidRPr="009C793F">
        <w:rPr>
          <w:rFonts w:asciiTheme="minorHAnsi" w:hAnsiTheme="minorHAnsi" w:cstheme="minorHAnsi"/>
          <w:b/>
          <w:color w:val="0070C0"/>
        </w:rPr>
        <w:tab/>
        <w:t>Individuals consulted</w:t>
      </w:r>
    </w:p>
    <w:tbl>
      <w:tblPr>
        <w:tblStyle w:val="a1"/>
        <w:tblW w:w="8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8"/>
        <w:gridCol w:w="2181"/>
        <w:gridCol w:w="2383"/>
        <w:gridCol w:w="3146"/>
      </w:tblGrid>
      <w:tr w:rsidR="006B72B0" w:rsidRPr="009C793F" w14:paraId="066F8BCE" w14:textId="77777777">
        <w:tc>
          <w:tcPr>
            <w:tcW w:w="768" w:type="dxa"/>
            <w:tcBorders>
              <w:bottom w:val="single" w:sz="4" w:space="0" w:color="000000"/>
            </w:tcBorders>
            <w:shd w:val="clear" w:color="auto" w:fill="FBD4B4"/>
          </w:tcPr>
          <w:p w14:paraId="00000261"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w:t>
            </w:r>
          </w:p>
        </w:tc>
        <w:tc>
          <w:tcPr>
            <w:tcW w:w="2181" w:type="dxa"/>
            <w:tcBorders>
              <w:bottom w:val="single" w:sz="4" w:space="0" w:color="000000"/>
            </w:tcBorders>
            <w:shd w:val="clear" w:color="auto" w:fill="FBD4B4"/>
          </w:tcPr>
          <w:p w14:paraId="00000262"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 xml:space="preserve">Name </w:t>
            </w:r>
          </w:p>
        </w:tc>
        <w:tc>
          <w:tcPr>
            <w:tcW w:w="2383" w:type="dxa"/>
            <w:tcBorders>
              <w:bottom w:val="single" w:sz="4" w:space="0" w:color="000000"/>
            </w:tcBorders>
            <w:shd w:val="clear" w:color="auto" w:fill="FBD4B4"/>
          </w:tcPr>
          <w:p w14:paraId="00000263"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 xml:space="preserve">Organization </w:t>
            </w:r>
          </w:p>
        </w:tc>
        <w:tc>
          <w:tcPr>
            <w:tcW w:w="3146" w:type="dxa"/>
            <w:tcBorders>
              <w:bottom w:val="single" w:sz="4" w:space="0" w:color="000000"/>
            </w:tcBorders>
            <w:shd w:val="clear" w:color="auto" w:fill="FBD4B4"/>
          </w:tcPr>
          <w:p w14:paraId="00000264"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rPr>
              <w:t xml:space="preserve">Position </w:t>
            </w:r>
          </w:p>
        </w:tc>
      </w:tr>
      <w:tr w:rsidR="006B72B0" w:rsidRPr="009C793F" w14:paraId="0053100B" w14:textId="77777777">
        <w:tc>
          <w:tcPr>
            <w:tcW w:w="8478" w:type="dxa"/>
            <w:gridSpan w:val="4"/>
            <w:shd w:val="clear" w:color="auto" w:fill="0070C0"/>
          </w:tcPr>
          <w:p w14:paraId="00000265" w14:textId="77777777" w:rsidR="006B72B0" w:rsidRPr="009C793F" w:rsidRDefault="00845012" w:rsidP="00DE19C9">
            <w:pPr>
              <w:jc w:val="both"/>
              <w:rPr>
                <w:rFonts w:asciiTheme="minorHAnsi" w:hAnsiTheme="minorHAnsi" w:cstheme="minorHAnsi"/>
                <w:b/>
              </w:rPr>
            </w:pPr>
            <w:r w:rsidRPr="009C793F">
              <w:rPr>
                <w:rFonts w:asciiTheme="minorHAnsi" w:hAnsiTheme="minorHAnsi" w:cstheme="minorHAnsi"/>
                <w:b/>
                <w:color w:val="FFFFFF"/>
              </w:rPr>
              <w:t>UN AGENCIES</w:t>
            </w:r>
          </w:p>
        </w:tc>
      </w:tr>
      <w:tr w:rsidR="006B72B0" w:rsidRPr="009C793F" w14:paraId="0D9B1DF0" w14:textId="77777777">
        <w:tc>
          <w:tcPr>
            <w:tcW w:w="768" w:type="dxa"/>
          </w:tcPr>
          <w:p w14:paraId="0000026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w:t>
            </w:r>
          </w:p>
        </w:tc>
        <w:tc>
          <w:tcPr>
            <w:tcW w:w="2181" w:type="dxa"/>
          </w:tcPr>
          <w:p w14:paraId="0000026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Reuben Robertson</w:t>
            </w:r>
          </w:p>
        </w:tc>
        <w:tc>
          <w:tcPr>
            <w:tcW w:w="2383" w:type="dxa"/>
          </w:tcPr>
          <w:p w14:paraId="0000026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FAO</w:t>
            </w:r>
          </w:p>
        </w:tc>
        <w:tc>
          <w:tcPr>
            <w:tcW w:w="3146" w:type="dxa"/>
          </w:tcPr>
          <w:p w14:paraId="0000026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Representative</w:t>
            </w:r>
          </w:p>
        </w:tc>
      </w:tr>
      <w:tr w:rsidR="006B72B0" w:rsidRPr="009C793F" w14:paraId="12D82C8D" w14:textId="77777777">
        <w:tc>
          <w:tcPr>
            <w:tcW w:w="768" w:type="dxa"/>
          </w:tcPr>
          <w:p w14:paraId="0000026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2</w:t>
            </w:r>
          </w:p>
        </w:tc>
        <w:tc>
          <w:tcPr>
            <w:tcW w:w="2181" w:type="dxa"/>
          </w:tcPr>
          <w:p w14:paraId="0000026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Neila Bobb-Prescott</w:t>
            </w:r>
          </w:p>
        </w:tc>
        <w:tc>
          <w:tcPr>
            <w:tcW w:w="2383" w:type="dxa"/>
          </w:tcPr>
          <w:p w14:paraId="0000026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FAO</w:t>
            </w:r>
          </w:p>
        </w:tc>
        <w:tc>
          <w:tcPr>
            <w:tcW w:w="3146" w:type="dxa"/>
          </w:tcPr>
          <w:p w14:paraId="0000027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Administrative Financial Consultant</w:t>
            </w:r>
          </w:p>
        </w:tc>
      </w:tr>
      <w:tr w:rsidR="006B72B0" w:rsidRPr="009C793F" w14:paraId="0A31CD16" w14:textId="77777777">
        <w:tc>
          <w:tcPr>
            <w:tcW w:w="768" w:type="dxa"/>
          </w:tcPr>
          <w:p w14:paraId="0000027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3</w:t>
            </w:r>
          </w:p>
        </w:tc>
        <w:tc>
          <w:tcPr>
            <w:tcW w:w="2181" w:type="dxa"/>
          </w:tcPr>
          <w:p w14:paraId="0000027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Marion Alleyne</w:t>
            </w:r>
          </w:p>
        </w:tc>
        <w:tc>
          <w:tcPr>
            <w:tcW w:w="2383" w:type="dxa"/>
          </w:tcPr>
          <w:p w14:paraId="0000027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FAO</w:t>
            </w:r>
          </w:p>
        </w:tc>
        <w:tc>
          <w:tcPr>
            <w:tcW w:w="3146" w:type="dxa"/>
          </w:tcPr>
          <w:p w14:paraId="0000027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Assistant Representative (Programme)</w:t>
            </w:r>
          </w:p>
        </w:tc>
      </w:tr>
      <w:tr w:rsidR="006B72B0" w:rsidRPr="009C793F" w14:paraId="339582F1" w14:textId="77777777">
        <w:tc>
          <w:tcPr>
            <w:tcW w:w="768" w:type="dxa"/>
          </w:tcPr>
          <w:p w14:paraId="0000027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4</w:t>
            </w:r>
          </w:p>
        </w:tc>
        <w:tc>
          <w:tcPr>
            <w:tcW w:w="2181" w:type="dxa"/>
          </w:tcPr>
          <w:p w14:paraId="0000027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Marissa Shepherd </w:t>
            </w:r>
          </w:p>
        </w:tc>
        <w:tc>
          <w:tcPr>
            <w:tcW w:w="2383" w:type="dxa"/>
          </w:tcPr>
          <w:p w14:paraId="0000027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FAO</w:t>
            </w:r>
          </w:p>
        </w:tc>
        <w:tc>
          <w:tcPr>
            <w:tcW w:w="3146" w:type="dxa"/>
          </w:tcPr>
          <w:p w14:paraId="0000027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Programme Assistant</w:t>
            </w:r>
          </w:p>
        </w:tc>
      </w:tr>
      <w:tr w:rsidR="006B72B0" w:rsidRPr="009C793F" w14:paraId="09CD1B32" w14:textId="77777777">
        <w:tc>
          <w:tcPr>
            <w:tcW w:w="768" w:type="dxa"/>
          </w:tcPr>
          <w:p w14:paraId="0000027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5</w:t>
            </w:r>
          </w:p>
        </w:tc>
        <w:tc>
          <w:tcPr>
            <w:tcW w:w="2181" w:type="dxa"/>
          </w:tcPr>
          <w:p w14:paraId="0000027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Devern Calvin-Smith</w:t>
            </w:r>
          </w:p>
        </w:tc>
        <w:tc>
          <w:tcPr>
            <w:tcW w:w="2383" w:type="dxa"/>
          </w:tcPr>
          <w:p w14:paraId="0000027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FAO</w:t>
            </w:r>
          </w:p>
        </w:tc>
        <w:tc>
          <w:tcPr>
            <w:tcW w:w="3146" w:type="dxa"/>
          </w:tcPr>
          <w:p w14:paraId="0000027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Programme Assistant </w:t>
            </w:r>
          </w:p>
        </w:tc>
      </w:tr>
      <w:tr w:rsidR="006B72B0" w:rsidRPr="009C793F" w14:paraId="1C990955" w14:textId="77777777">
        <w:tc>
          <w:tcPr>
            <w:tcW w:w="768" w:type="dxa"/>
          </w:tcPr>
          <w:p w14:paraId="0000027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6</w:t>
            </w:r>
          </w:p>
        </w:tc>
        <w:tc>
          <w:tcPr>
            <w:tcW w:w="2181" w:type="dxa"/>
          </w:tcPr>
          <w:p w14:paraId="0000027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Curtra Spence </w:t>
            </w:r>
          </w:p>
        </w:tc>
        <w:tc>
          <w:tcPr>
            <w:tcW w:w="2383" w:type="dxa"/>
          </w:tcPr>
          <w:p w14:paraId="0000027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IOM</w:t>
            </w:r>
          </w:p>
        </w:tc>
        <w:tc>
          <w:tcPr>
            <w:tcW w:w="3146" w:type="dxa"/>
          </w:tcPr>
          <w:p w14:paraId="0000028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Migration Protection Assistant</w:t>
            </w:r>
          </w:p>
        </w:tc>
      </w:tr>
      <w:tr w:rsidR="006B72B0" w:rsidRPr="009C793F" w14:paraId="3607D640" w14:textId="77777777">
        <w:tc>
          <w:tcPr>
            <w:tcW w:w="768" w:type="dxa"/>
          </w:tcPr>
          <w:p w14:paraId="0000028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7</w:t>
            </w:r>
          </w:p>
        </w:tc>
        <w:tc>
          <w:tcPr>
            <w:tcW w:w="2181" w:type="dxa"/>
          </w:tcPr>
          <w:p w14:paraId="0000028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Kandy Serrant</w:t>
            </w:r>
          </w:p>
        </w:tc>
        <w:tc>
          <w:tcPr>
            <w:tcW w:w="2383" w:type="dxa"/>
          </w:tcPr>
          <w:p w14:paraId="0000028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IOM</w:t>
            </w:r>
          </w:p>
        </w:tc>
        <w:tc>
          <w:tcPr>
            <w:tcW w:w="3146" w:type="dxa"/>
          </w:tcPr>
          <w:p w14:paraId="0000028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Reporting and Communications Consultant </w:t>
            </w:r>
          </w:p>
        </w:tc>
      </w:tr>
      <w:tr w:rsidR="006B72B0" w:rsidRPr="009C793F" w14:paraId="65B31CF4" w14:textId="77777777">
        <w:tc>
          <w:tcPr>
            <w:tcW w:w="768" w:type="dxa"/>
          </w:tcPr>
          <w:p w14:paraId="0000028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8. </w:t>
            </w:r>
          </w:p>
        </w:tc>
        <w:tc>
          <w:tcPr>
            <w:tcW w:w="2181" w:type="dxa"/>
          </w:tcPr>
          <w:p w14:paraId="0000028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Diego Rei</w:t>
            </w:r>
          </w:p>
        </w:tc>
        <w:tc>
          <w:tcPr>
            <w:tcW w:w="2383" w:type="dxa"/>
          </w:tcPr>
          <w:p w14:paraId="0000028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ILO</w:t>
            </w:r>
          </w:p>
        </w:tc>
        <w:tc>
          <w:tcPr>
            <w:tcW w:w="3146" w:type="dxa"/>
          </w:tcPr>
          <w:p w14:paraId="0000028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Employment and Labour Market Specialist</w:t>
            </w:r>
          </w:p>
        </w:tc>
      </w:tr>
      <w:tr w:rsidR="006B72B0" w:rsidRPr="009C793F" w14:paraId="236AB654" w14:textId="77777777">
        <w:tc>
          <w:tcPr>
            <w:tcW w:w="768" w:type="dxa"/>
          </w:tcPr>
          <w:p w14:paraId="0000028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9. </w:t>
            </w:r>
          </w:p>
        </w:tc>
        <w:tc>
          <w:tcPr>
            <w:tcW w:w="2181" w:type="dxa"/>
          </w:tcPr>
          <w:p w14:paraId="0000028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Sylvester Cadette</w:t>
            </w:r>
          </w:p>
        </w:tc>
        <w:tc>
          <w:tcPr>
            <w:tcW w:w="2383" w:type="dxa"/>
          </w:tcPr>
          <w:p w14:paraId="0000028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ITU</w:t>
            </w:r>
          </w:p>
        </w:tc>
        <w:tc>
          <w:tcPr>
            <w:tcW w:w="3146" w:type="dxa"/>
          </w:tcPr>
          <w:p w14:paraId="0000028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Programme Officer</w:t>
            </w:r>
          </w:p>
        </w:tc>
      </w:tr>
      <w:tr w:rsidR="006B72B0" w:rsidRPr="009C793F" w14:paraId="4FE16764" w14:textId="77777777">
        <w:tc>
          <w:tcPr>
            <w:tcW w:w="768" w:type="dxa"/>
          </w:tcPr>
          <w:p w14:paraId="0000028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10. </w:t>
            </w:r>
          </w:p>
        </w:tc>
        <w:tc>
          <w:tcPr>
            <w:tcW w:w="2181" w:type="dxa"/>
          </w:tcPr>
          <w:p w14:paraId="0000028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Paul Edwards</w:t>
            </w:r>
          </w:p>
        </w:tc>
        <w:tc>
          <w:tcPr>
            <w:tcW w:w="2383" w:type="dxa"/>
          </w:tcPr>
          <w:p w14:paraId="0000028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PAHO</w:t>
            </w:r>
          </w:p>
        </w:tc>
        <w:tc>
          <w:tcPr>
            <w:tcW w:w="3146" w:type="dxa"/>
          </w:tcPr>
          <w:p w14:paraId="0000029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Health Systems and Services Advisor</w:t>
            </w:r>
          </w:p>
        </w:tc>
      </w:tr>
      <w:tr w:rsidR="006B72B0" w:rsidRPr="009C793F" w14:paraId="15484DFC" w14:textId="77777777">
        <w:tc>
          <w:tcPr>
            <w:tcW w:w="768" w:type="dxa"/>
          </w:tcPr>
          <w:p w14:paraId="0000029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11. </w:t>
            </w:r>
          </w:p>
        </w:tc>
        <w:tc>
          <w:tcPr>
            <w:tcW w:w="2181" w:type="dxa"/>
          </w:tcPr>
          <w:p w14:paraId="0000029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Aurora Noguera-Ramkissoon</w:t>
            </w:r>
          </w:p>
        </w:tc>
        <w:tc>
          <w:tcPr>
            <w:tcW w:w="2383" w:type="dxa"/>
          </w:tcPr>
          <w:p w14:paraId="0000029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UNFPA</w:t>
            </w:r>
          </w:p>
        </w:tc>
        <w:tc>
          <w:tcPr>
            <w:tcW w:w="3146" w:type="dxa"/>
          </w:tcPr>
          <w:p w14:paraId="0000029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Liaison Officer</w:t>
            </w:r>
          </w:p>
        </w:tc>
      </w:tr>
      <w:tr w:rsidR="006B72B0" w:rsidRPr="009C793F" w14:paraId="11E46A2E" w14:textId="77777777">
        <w:tc>
          <w:tcPr>
            <w:tcW w:w="768" w:type="dxa"/>
          </w:tcPr>
          <w:p w14:paraId="0000029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12. </w:t>
            </w:r>
          </w:p>
        </w:tc>
        <w:tc>
          <w:tcPr>
            <w:tcW w:w="2181" w:type="dxa"/>
          </w:tcPr>
          <w:p w14:paraId="0000029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Shemuel London </w:t>
            </w:r>
          </w:p>
        </w:tc>
        <w:tc>
          <w:tcPr>
            <w:tcW w:w="2383" w:type="dxa"/>
          </w:tcPr>
          <w:p w14:paraId="0000029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UNHCR</w:t>
            </w:r>
          </w:p>
        </w:tc>
        <w:tc>
          <w:tcPr>
            <w:tcW w:w="3146" w:type="dxa"/>
          </w:tcPr>
          <w:p w14:paraId="0000029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Senior Reporting Assistant</w:t>
            </w:r>
          </w:p>
        </w:tc>
      </w:tr>
      <w:tr w:rsidR="006B72B0" w:rsidRPr="009C793F" w14:paraId="02CA31F1" w14:textId="77777777">
        <w:tc>
          <w:tcPr>
            <w:tcW w:w="768" w:type="dxa"/>
          </w:tcPr>
          <w:p w14:paraId="0000029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13. </w:t>
            </w:r>
          </w:p>
        </w:tc>
        <w:tc>
          <w:tcPr>
            <w:tcW w:w="2181" w:type="dxa"/>
          </w:tcPr>
          <w:p w14:paraId="0000029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Alexandru Nartea </w:t>
            </w:r>
          </w:p>
        </w:tc>
        <w:tc>
          <w:tcPr>
            <w:tcW w:w="2383" w:type="dxa"/>
          </w:tcPr>
          <w:p w14:paraId="0000029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UNICEF</w:t>
            </w:r>
          </w:p>
        </w:tc>
        <w:tc>
          <w:tcPr>
            <w:tcW w:w="3146" w:type="dxa"/>
          </w:tcPr>
          <w:p w14:paraId="0000029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Monitoring and Evaluation Specialist</w:t>
            </w:r>
          </w:p>
        </w:tc>
      </w:tr>
      <w:tr w:rsidR="006B72B0" w:rsidRPr="009C793F" w14:paraId="21EAAC1D" w14:textId="77777777">
        <w:tc>
          <w:tcPr>
            <w:tcW w:w="768" w:type="dxa"/>
          </w:tcPr>
          <w:p w14:paraId="0000029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14. </w:t>
            </w:r>
          </w:p>
        </w:tc>
        <w:tc>
          <w:tcPr>
            <w:tcW w:w="2181" w:type="dxa"/>
          </w:tcPr>
          <w:p w14:paraId="0000029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Stephanie Bishop</w:t>
            </w:r>
          </w:p>
        </w:tc>
        <w:tc>
          <w:tcPr>
            <w:tcW w:w="2383" w:type="dxa"/>
          </w:tcPr>
          <w:p w14:paraId="0000029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UNICEF</w:t>
            </w:r>
          </w:p>
        </w:tc>
        <w:tc>
          <w:tcPr>
            <w:tcW w:w="3146" w:type="dxa"/>
          </w:tcPr>
          <w:p w14:paraId="000002A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Monitoring and Evaluation Officer</w:t>
            </w:r>
          </w:p>
        </w:tc>
      </w:tr>
      <w:tr w:rsidR="006B72B0" w:rsidRPr="009C793F" w14:paraId="42D9ABE7" w14:textId="77777777">
        <w:tc>
          <w:tcPr>
            <w:tcW w:w="768" w:type="dxa"/>
          </w:tcPr>
          <w:p w14:paraId="000002A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15.</w:t>
            </w:r>
          </w:p>
        </w:tc>
        <w:tc>
          <w:tcPr>
            <w:tcW w:w="2181" w:type="dxa"/>
          </w:tcPr>
          <w:p w14:paraId="000002A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Jason Francis</w:t>
            </w:r>
          </w:p>
        </w:tc>
        <w:tc>
          <w:tcPr>
            <w:tcW w:w="2383" w:type="dxa"/>
          </w:tcPr>
          <w:p w14:paraId="000002A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UNLIREC</w:t>
            </w:r>
          </w:p>
        </w:tc>
        <w:tc>
          <w:tcPr>
            <w:tcW w:w="3146" w:type="dxa"/>
          </w:tcPr>
          <w:p w14:paraId="000002A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Senior Advisor</w:t>
            </w:r>
          </w:p>
        </w:tc>
      </w:tr>
      <w:tr w:rsidR="006B72B0" w:rsidRPr="009C793F" w14:paraId="33A4A5D2" w14:textId="77777777">
        <w:tc>
          <w:tcPr>
            <w:tcW w:w="768" w:type="dxa"/>
          </w:tcPr>
          <w:p w14:paraId="000002A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16.</w:t>
            </w:r>
          </w:p>
        </w:tc>
        <w:tc>
          <w:tcPr>
            <w:tcW w:w="2181" w:type="dxa"/>
          </w:tcPr>
          <w:p w14:paraId="000002A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Sharifa Ali-Abdullah</w:t>
            </w:r>
          </w:p>
        </w:tc>
        <w:tc>
          <w:tcPr>
            <w:tcW w:w="2383" w:type="dxa"/>
          </w:tcPr>
          <w:p w14:paraId="000002A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UNDP</w:t>
            </w:r>
          </w:p>
        </w:tc>
        <w:tc>
          <w:tcPr>
            <w:tcW w:w="3146" w:type="dxa"/>
          </w:tcPr>
          <w:p w14:paraId="000002A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Assistant Resident Representative</w:t>
            </w:r>
          </w:p>
        </w:tc>
      </w:tr>
      <w:tr w:rsidR="006B72B0" w:rsidRPr="009C793F" w14:paraId="4E7A2827" w14:textId="77777777">
        <w:tc>
          <w:tcPr>
            <w:tcW w:w="768" w:type="dxa"/>
          </w:tcPr>
          <w:p w14:paraId="000002A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17.</w:t>
            </w:r>
          </w:p>
        </w:tc>
        <w:tc>
          <w:tcPr>
            <w:tcW w:w="2181" w:type="dxa"/>
          </w:tcPr>
          <w:p w14:paraId="000002A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Rosemary Lal </w:t>
            </w:r>
          </w:p>
        </w:tc>
        <w:tc>
          <w:tcPr>
            <w:tcW w:w="2383" w:type="dxa"/>
          </w:tcPr>
          <w:p w14:paraId="000002A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UNDP</w:t>
            </w:r>
          </w:p>
        </w:tc>
        <w:tc>
          <w:tcPr>
            <w:tcW w:w="3146" w:type="dxa"/>
          </w:tcPr>
          <w:p w14:paraId="000002A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 </w:t>
            </w:r>
          </w:p>
        </w:tc>
      </w:tr>
      <w:tr w:rsidR="006B72B0" w:rsidRPr="009C793F" w14:paraId="3F634938" w14:textId="77777777">
        <w:tc>
          <w:tcPr>
            <w:tcW w:w="768" w:type="dxa"/>
          </w:tcPr>
          <w:p w14:paraId="000002A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18.</w:t>
            </w:r>
          </w:p>
        </w:tc>
        <w:tc>
          <w:tcPr>
            <w:tcW w:w="2181" w:type="dxa"/>
          </w:tcPr>
          <w:p w14:paraId="000002A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Alexandra Karekaho </w:t>
            </w:r>
          </w:p>
        </w:tc>
        <w:tc>
          <w:tcPr>
            <w:tcW w:w="2383" w:type="dxa"/>
          </w:tcPr>
          <w:p w14:paraId="000002A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UNEP</w:t>
            </w:r>
          </w:p>
        </w:tc>
        <w:tc>
          <w:tcPr>
            <w:tcW w:w="3146" w:type="dxa"/>
          </w:tcPr>
          <w:p w14:paraId="000002B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Programme Management Officer</w:t>
            </w:r>
          </w:p>
        </w:tc>
      </w:tr>
      <w:tr w:rsidR="006B72B0" w:rsidRPr="009C793F" w14:paraId="5EFCB625" w14:textId="77777777">
        <w:tc>
          <w:tcPr>
            <w:tcW w:w="768" w:type="dxa"/>
          </w:tcPr>
          <w:p w14:paraId="000002B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19.</w:t>
            </w:r>
          </w:p>
        </w:tc>
        <w:tc>
          <w:tcPr>
            <w:tcW w:w="2181" w:type="dxa"/>
          </w:tcPr>
          <w:p w14:paraId="000002B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Felipe Dal</w:t>
            </w:r>
          </w:p>
        </w:tc>
        <w:tc>
          <w:tcPr>
            <w:tcW w:w="2383" w:type="dxa"/>
          </w:tcPr>
          <w:p w14:paraId="000002B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UNEP</w:t>
            </w:r>
          </w:p>
        </w:tc>
        <w:tc>
          <w:tcPr>
            <w:tcW w:w="3146" w:type="dxa"/>
          </w:tcPr>
          <w:p w14:paraId="000002B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International Consultant </w:t>
            </w:r>
          </w:p>
        </w:tc>
      </w:tr>
      <w:tr w:rsidR="006B72B0" w:rsidRPr="009C793F" w14:paraId="1FE48A40" w14:textId="77777777">
        <w:tc>
          <w:tcPr>
            <w:tcW w:w="768" w:type="dxa"/>
          </w:tcPr>
          <w:p w14:paraId="000002B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20.</w:t>
            </w:r>
          </w:p>
        </w:tc>
        <w:tc>
          <w:tcPr>
            <w:tcW w:w="2181" w:type="dxa"/>
          </w:tcPr>
          <w:p w14:paraId="000002B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Bianca Young</w:t>
            </w:r>
          </w:p>
        </w:tc>
        <w:tc>
          <w:tcPr>
            <w:tcW w:w="2383" w:type="dxa"/>
          </w:tcPr>
          <w:p w14:paraId="000002B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UNEP</w:t>
            </w:r>
          </w:p>
        </w:tc>
        <w:tc>
          <w:tcPr>
            <w:tcW w:w="3146" w:type="dxa"/>
          </w:tcPr>
          <w:p w14:paraId="000002B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Consultant - National Environmental Analyst</w:t>
            </w:r>
          </w:p>
        </w:tc>
      </w:tr>
      <w:tr w:rsidR="006B72B0" w:rsidRPr="009C793F" w14:paraId="1D9886CE" w14:textId="77777777">
        <w:tc>
          <w:tcPr>
            <w:tcW w:w="768" w:type="dxa"/>
          </w:tcPr>
          <w:p w14:paraId="000002B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21.</w:t>
            </w:r>
          </w:p>
        </w:tc>
        <w:tc>
          <w:tcPr>
            <w:tcW w:w="2181" w:type="dxa"/>
          </w:tcPr>
          <w:p w14:paraId="000002B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Bo Shakira Harris </w:t>
            </w:r>
          </w:p>
        </w:tc>
        <w:tc>
          <w:tcPr>
            <w:tcW w:w="2383" w:type="dxa"/>
          </w:tcPr>
          <w:p w14:paraId="000002B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UNODC</w:t>
            </w:r>
          </w:p>
        </w:tc>
        <w:tc>
          <w:tcPr>
            <w:tcW w:w="3146" w:type="dxa"/>
          </w:tcPr>
          <w:p w14:paraId="000002B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Associate Programme Management Officer</w:t>
            </w:r>
          </w:p>
        </w:tc>
      </w:tr>
      <w:tr w:rsidR="006B72B0" w:rsidRPr="009C793F" w14:paraId="7F78403C" w14:textId="77777777">
        <w:tc>
          <w:tcPr>
            <w:tcW w:w="768" w:type="dxa"/>
          </w:tcPr>
          <w:p w14:paraId="000002B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22.</w:t>
            </w:r>
          </w:p>
        </w:tc>
        <w:tc>
          <w:tcPr>
            <w:tcW w:w="2181" w:type="dxa"/>
          </w:tcPr>
          <w:p w14:paraId="000002BE" w14:textId="1EA5BC50" w:rsidR="006B72B0" w:rsidRPr="009C793F" w:rsidRDefault="00845012" w:rsidP="00DE19C9">
            <w:pPr>
              <w:jc w:val="both"/>
              <w:rPr>
                <w:rFonts w:asciiTheme="minorHAnsi" w:hAnsiTheme="minorHAnsi" w:cstheme="minorHAnsi"/>
              </w:rPr>
            </w:pPr>
            <w:r w:rsidRPr="009C793F">
              <w:rPr>
                <w:rFonts w:asciiTheme="minorHAnsi" w:hAnsiTheme="minorHAnsi" w:cstheme="minorHAnsi"/>
              </w:rPr>
              <w:t>Tonni Ann Brod</w:t>
            </w:r>
            <w:r w:rsidR="006509DB">
              <w:rPr>
                <w:rFonts w:asciiTheme="minorHAnsi" w:hAnsiTheme="minorHAnsi" w:cstheme="minorHAnsi"/>
              </w:rPr>
              <w:t>b</w:t>
            </w:r>
            <w:r w:rsidRPr="009C793F">
              <w:rPr>
                <w:rFonts w:asciiTheme="minorHAnsi" w:hAnsiTheme="minorHAnsi" w:cstheme="minorHAnsi"/>
              </w:rPr>
              <w:t>er</w:t>
            </w:r>
          </w:p>
        </w:tc>
        <w:tc>
          <w:tcPr>
            <w:tcW w:w="2383" w:type="dxa"/>
          </w:tcPr>
          <w:p w14:paraId="000002B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UNWOMEN</w:t>
            </w:r>
          </w:p>
        </w:tc>
        <w:tc>
          <w:tcPr>
            <w:tcW w:w="3146" w:type="dxa"/>
          </w:tcPr>
          <w:p w14:paraId="000002C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Deputy Resident Representative</w:t>
            </w:r>
          </w:p>
        </w:tc>
      </w:tr>
      <w:tr w:rsidR="006B72B0" w:rsidRPr="009C793F" w14:paraId="43452EDD" w14:textId="77777777">
        <w:tc>
          <w:tcPr>
            <w:tcW w:w="768" w:type="dxa"/>
          </w:tcPr>
          <w:p w14:paraId="000002C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23.</w:t>
            </w:r>
          </w:p>
        </w:tc>
        <w:tc>
          <w:tcPr>
            <w:tcW w:w="2181" w:type="dxa"/>
          </w:tcPr>
          <w:p w14:paraId="000002C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Je’Nille Maraj</w:t>
            </w:r>
          </w:p>
        </w:tc>
        <w:tc>
          <w:tcPr>
            <w:tcW w:w="2383" w:type="dxa"/>
          </w:tcPr>
          <w:p w14:paraId="000002C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UNWOMEN</w:t>
            </w:r>
          </w:p>
        </w:tc>
        <w:tc>
          <w:tcPr>
            <w:tcW w:w="3146" w:type="dxa"/>
          </w:tcPr>
          <w:p w14:paraId="000002C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Coordination and Planning Specialist </w:t>
            </w:r>
          </w:p>
        </w:tc>
      </w:tr>
      <w:tr w:rsidR="006B72B0" w:rsidRPr="009C793F" w14:paraId="5023B1DF" w14:textId="77777777">
        <w:tc>
          <w:tcPr>
            <w:tcW w:w="768" w:type="dxa"/>
          </w:tcPr>
          <w:p w14:paraId="000002C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24.</w:t>
            </w:r>
          </w:p>
        </w:tc>
        <w:tc>
          <w:tcPr>
            <w:tcW w:w="2181" w:type="dxa"/>
          </w:tcPr>
          <w:p w14:paraId="000002C6" w14:textId="51BDB6E9"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Lisbeth </w:t>
            </w:r>
            <w:r w:rsidR="006509DB" w:rsidRPr="009C793F">
              <w:rPr>
                <w:rFonts w:asciiTheme="minorHAnsi" w:hAnsiTheme="minorHAnsi" w:cstheme="minorHAnsi"/>
              </w:rPr>
              <w:t>Mjøs</w:t>
            </w:r>
          </w:p>
        </w:tc>
        <w:tc>
          <w:tcPr>
            <w:tcW w:w="2383" w:type="dxa"/>
          </w:tcPr>
          <w:p w14:paraId="000002C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WFP</w:t>
            </w:r>
          </w:p>
        </w:tc>
        <w:tc>
          <w:tcPr>
            <w:tcW w:w="3146" w:type="dxa"/>
          </w:tcPr>
          <w:p w14:paraId="000002C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Country Strategic Planning Consultant</w:t>
            </w:r>
          </w:p>
        </w:tc>
      </w:tr>
      <w:tr w:rsidR="006B72B0" w:rsidRPr="009C793F" w14:paraId="046B8CD6" w14:textId="77777777">
        <w:tc>
          <w:tcPr>
            <w:tcW w:w="8478" w:type="dxa"/>
            <w:gridSpan w:val="4"/>
            <w:shd w:val="clear" w:color="auto" w:fill="0070C0"/>
          </w:tcPr>
          <w:p w14:paraId="000002C9" w14:textId="77777777" w:rsidR="006B72B0" w:rsidRPr="009C793F" w:rsidRDefault="00845012" w:rsidP="00DE19C9">
            <w:pPr>
              <w:jc w:val="both"/>
              <w:rPr>
                <w:rFonts w:asciiTheme="minorHAnsi" w:hAnsiTheme="minorHAnsi" w:cstheme="minorHAnsi"/>
                <w:b/>
                <w:color w:val="1D2228"/>
                <w:highlight w:val="white"/>
              </w:rPr>
            </w:pPr>
            <w:r w:rsidRPr="009C793F">
              <w:rPr>
                <w:rFonts w:asciiTheme="minorHAnsi" w:hAnsiTheme="minorHAnsi" w:cstheme="minorHAnsi"/>
                <w:b/>
                <w:color w:val="1D2228"/>
                <w:highlight w:val="white"/>
              </w:rPr>
              <w:t>GOVERNMENT</w:t>
            </w:r>
          </w:p>
        </w:tc>
      </w:tr>
      <w:tr w:rsidR="006B72B0" w:rsidRPr="009C793F" w14:paraId="2D069289" w14:textId="77777777">
        <w:tc>
          <w:tcPr>
            <w:tcW w:w="768" w:type="dxa"/>
          </w:tcPr>
          <w:p w14:paraId="000002CD" w14:textId="26157B41" w:rsidR="006B72B0" w:rsidRPr="009C793F" w:rsidRDefault="002B2568" w:rsidP="00DE19C9">
            <w:pPr>
              <w:jc w:val="both"/>
              <w:rPr>
                <w:rFonts w:asciiTheme="minorHAnsi" w:hAnsiTheme="minorHAnsi" w:cstheme="minorHAnsi"/>
              </w:rPr>
            </w:pPr>
            <w:r w:rsidRPr="009C793F">
              <w:rPr>
                <w:rFonts w:asciiTheme="minorHAnsi" w:hAnsiTheme="minorHAnsi" w:cstheme="minorHAnsi"/>
              </w:rPr>
              <w:t>25.</w:t>
            </w:r>
          </w:p>
        </w:tc>
        <w:tc>
          <w:tcPr>
            <w:tcW w:w="2181" w:type="dxa"/>
          </w:tcPr>
          <w:p w14:paraId="000002C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Hon Penelope Beckles</w:t>
            </w:r>
          </w:p>
        </w:tc>
        <w:tc>
          <w:tcPr>
            <w:tcW w:w="2383" w:type="dxa"/>
          </w:tcPr>
          <w:p w14:paraId="000002C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Housing and Urban Infrastructure</w:t>
            </w:r>
          </w:p>
        </w:tc>
        <w:tc>
          <w:tcPr>
            <w:tcW w:w="3146" w:type="dxa"/>
          </w:tcPr>
          <w:p w14:paraId="000002D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color w:val="1D2228"/>
                <w:highlight w:val="white"/>
              </w:rPr>
              <w:t xml:space="preserve">Minister </w:t>
            </w:r>
          </w:p>
        </w:tc>
      </w:tr>
      <w:tr w:rsidR="006B72B0" w:rsidRPr="009C793F" w14:paraId="70304C5C" w14:textId="77777777">
        <w:tc>
          <w:tcPr>
            <w:tcW w:w="768" w:type="dxa"/>
          </w:tcPr>
          <w:p w14:paraId="000002D1" w14:textId="076F5373" w:rsidR="006B72B0" w:rsidRPr="009C793F" w:rsidRDefault="002B2568" w:rsidP="00DE19C9">
            <w:pPr>
              <w:jc w:val="both"/>
              <w:rPr>
                <w:rFonts w:asciiTheme="minorHAnsi" w:hAnsiTheme="minorHAnsi" w:cstheme="minorHAnsi"/>
              </w:rPr>
            </w:pPr>
            <w:r w:rsidRPr="009C793F">
              <w:rPr>
                <w:rFonts w:asciiTheme="minorHAnsi" w:hAnsiTheme="minorHAnsi" w:cstheme="minorHAnsi"/>
              </w:rPr>
              <w:t>26.</w:t>
            </w:r>
          </w:p>
        </w:tc>
        <w:tc>
          <w:tcPr>
            <w:tcW w:w="2181" w:type="dxa"/>
          </w:tcPr>
          <w:p w14:paraId="000002D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Joanne Deoraj </w:t>
            </w:r>
          </w:p>
        </w:tc>
        <w:tc>
          <w:tcPr>
            <w:tcW w:w="2383" w:type="dxa"/>
          </w:tcPr>
          <w:p w14:paraId="000002D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Ministry of Planning and Development </w:t>
            </w:r>
          </w:p>
        </w:tc>
        <w:tc>
          <w:tcPr>
            <w:tcW w:w="3146" w:type="dxa"/>
          </w:tcPr>
          <w:p w14:paraId="000002D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highlight w:val="white"/>
              </w:rPr>
              <w:t xml:space="preserve">Permanent Secretary </w:t>
            </w:r>
          </w:p>
        </w:tc>
      </w:tr>
      <w:tr w:rsidR="006B72B0" w:rsidRPr="009C793F" w14:paraId="07EE6747" w14:textId="77777777">
        <w:tc>
          <w:tcPr>
            <w:tcW w:w="768" w:type="dxa"/>
          </w:tcPr>
          <w:p w14:paraId="000002D5" w14:textId="40768D5D" w:rsidR="006B72B0" w:rsidRPr="009C793F" w:rsidRDefault="002B2568" w:rsidP="00DE19C9">
            <w:pPr>
              <w:jc w:val="both"/>
              <w:rPr>
                <w:rFonts w:asciiTheme="minorHAnsi" w:hAnsiTheme="minorHAnsi" w:cstheme="minorHAnsi"/>
              </w:rPr>
            </w:pPr>
            <w:r w:rsidRPr="009C793F">
              <w:rPr>
                <w:rFonts w:asciiTheme="minorHAnsi" w:hAnsiTheme="minorHAnsi" w:cstheme="minorHAnsi"/>
              </w:rPr>
              <w:t>27.</w:t>
            </w:r>
          </w:p>
        </w:tc>
        <w:tc>
          <w:tcPr>
            <w:tcW w:w="2181" w:type="dxa"/>
          </w:tcPr>
          <w:p w14:paraId="000002D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Debra Dipchansingh</w:t>
            </w:r>
          </w:p>
        </w:tc>
        <w:tc>
          <w:tcPr>
            <w:tcW w:w="2383" w:type="dxa"/>
          </w:tcPr>
          <w:p w14:paraId="000002D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Planning and Development</w:t>
            </w:r>
          </w:p>
        </w:tc>
        <w:tc>
          <w:tcPr>
            <w:tcW w:w="3146" w:type="dxa"/>
          </w:tcPr>
          <w:p w14:paraId="000002D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Assistant Director</w:t>
            </w:r>
          </w:p>
        </w:tc>
      </w:tr>
      <w:tr w:rsidR="006B72B0" w:rsidRPr="009C793F" w14:paraId="5FFCBA06" w14:textId="77777777">
        <w:tc>
          <w:tcPr>
            <w:tcW w:w="768" w:type="dxa"/>
          </w:tcPr>
          <w:p w14:paraId="000002D9" w14:textId="62D353B9" w:rsidR="006B72B0" w:rsidRPr="009C793F" w:rsidRDefault="002B2568" w:rsidP="00DE19C9">
            <w:pPr>
              <w:jc w:val="both"/>
              <w:rPr>
                <w:rFonts w:asciiTheme="minorHAnsi" w:hAnsiTheme="minorHAnsi" w:cstheme="minorHAnsi"/>
              </w:rPr>
            </w:pPr>
            <w:r w:rsidRPr="009C793F">
              <w:rPr>
                <w:rFonts w:asciiTheme="minorHAnsi" w:hAnsiTheme="minorHAnsi" w:cstheme="minorHAnsi"/>
              </w:rPr>
              <w:t>28.</w:t>
            </w:r>
          </w:p>
        </w:tc>
        <w:tc>
          <w:tcPr>
            <w:tcW w:w="2181" w:type="dxa"/>
          </w:tcPr>
          <w:p w14:paraId="000002D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Joy Mapp-Jobity</w:t>
            </w:r>
          </w:p>
        </w:tc>
        <w:tc>
          <w:tcPr>
            <w:tcW w:w="2383" w:type="dxa"/>
          </w:tcPr>
          <w:p w14:paraId="000002D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Planning and Development</w:t>
            </w:r>
          </w:p>
        </w:tc>
        <w:tc>
          <w:tcPr>
            <w:tcW w:w="3146" w:type="dxa"/>
          </w:tcPr>
          <w:p w14:paraId="000002D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Reporting Officer</w:t>
            </w:r>
          </w:p>
        </w:tc>
      </w:tr>
      <w:tr w:rsidR="006B72B0" w:rsidRPr="009C793F" w14:paraId="7D7970F6" w14:textId="77777777">
        <w:tc>
          <w:tcPr>
            <w:tcW w:w="768" w:type="dxa"/>
          </w:tcPr>
          <w:p w14:paraId="000002DD" w14:textId="67038B5A" w:rsidR="006B72B0" w:rsidRPr="009C793F" w:rsidRDefault="002B2568" w:rsidP="00DE19C9">
            <w:pPr>
              <w:jc w:val="both"/>
              <w:rPr>
                <w:rFonts w:asciiTheme="minorHAnsi" w:hAnsiTheme="minorHAnsi" w:cstheme="minorHAnsi"/>
              </w:rPr>
            </w:pPr>
            <w:r w:rsidRPr="009C793F">
              <w:rPr>
                <w:rFonts w:asciiTheme="minorHAnsi" w:hAnsiTheme="minorHAnsi" w:cstheme="minorHAnsi"/>
              </w:rPr>
              <w:t>29.</w:t>
            </w:r>
          </w:p>
        </w:tc>
        <w:tc>
          <w:tcPr>
            <w:tcW w:w="2181" w:type="dxa"/>
          </w:tcPr>
          <w:p w14:paraId="000002DE" w14:textId="761EE481" w:rsidR="006B72B0" w:rsidRPr="009C793F" w:rsidRDefault="00845012" w:rsidP="00DE19C9">
            <w:pPr>
              <w:jc w:val="both"/>
              <w:rPr>
                <w:rFonts w:asciiTheme="minorHAnsi" w:hAnsiTheme="minorHAnsi" w:cstheme="minorHAnsi"/>
              </w:rPr>
            </w:pPr>
            <w:r w:rsidRPr="009C793F">
              <w:rPr>
                <w:rFonts w:asciiTheme="minorHAnsi" w:hAnsiTheme="minorHAnsi" w:cstheme="minorHAnsi"/>
              </w:rPr>
              <w:t>Kishan Ku</w:t>
            </w:r>
            <w:r w:rsidR="006509DB">
              <w:rPr>
                <w:rFonts w:asciiTheme="minorHAnsi" w:hAnsiTheme="minorHAnsi" w:cstheme="minorHAnsi"/>
              </w:rPr>
              <w:t>m</w:t>
            </w:r>
            <w:r w:rsidRPr="009C793F">
              <w:rPr>
                <w:rFonts w:asciiTheme="minorHAnsi" w:hAnsiTheme="minorHAnsi" w:cstheme="minorHAnsi"/>
              </w:rPr>
              <w:t>arsingh</w:t>
            </w:r>
          </w:p>
        </w:tc>
        <w:tc>
          <w:tcPr>
            <w:tcW w:w="2383" w:type="dxa"/>
          </w:tcPr>
          <w:p w14:paraId="000002D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Ministry of Planning and Development </w:t>
            </w:r>
          </w:p>
        </w:tc>
        <w:tc>
          <w:tcPr>
            <w:tcW w:w="3146" w:type="dxa"/>
          </w:tcPr>
          <w:p w14:paraId="000002E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Director, Multilateral Division for Climate Change and the Environment </w:t>
            </w:r>
          </w:p>
        </w:tc>
      </w:tr>
      <w:tr w:rsidR="006B72B0" w:rsidRPr="009C793F" w14:paraId="36EF8614" w14:textId="77777777">
        <w:tc>
          <w:tcPr>
            <w:tcW w:w="768" w:type="dxa"/>
          </w:tcPr>
          <w:p w14:paraId="000002E1" w14:textId="4E2FF8A3" w:rsidR="006B72B0" w:rsidRPr="009C793F" w:rsidRDefault="002B2568" w:rsidP="00DE19C9">
            <w:pPr>
              <w:jc w:val="both"/>
              <w:rPr>
                <w:rFonts w:asciiTheme="minorHAnsi" w:hAnsiTheme="minorHAnsi" w:cstheme="minorHAnsi"/>
              </w:rPr>
            </w:pPr>
            <w:r w:rsidRPr="009C793F">
              <w:rPr>
                <w:rFonts w:asciiTheme="minorHAnsi" w:hAnsiTheme="minorHAnsi" w:cstheme="minorHAnsi"/>
              </w:rPr>
              <w:t>30.</w:t>
            </w:r>
          </w:p>
        </w:tc>
        <w:tc>
          <w:tcPr>
            <w:tcW w:w="2181" w:type="dxa"/>
          </w:tcPr>
          <w:p w14:paraId="000002E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Lawrence Jaisingh</w:t>
            </w:r>
          </w:p>
        </w:tc>
        <w:tc>
          <w:tcPr>
            <w:tcW w:w="2383" w:type="dxa"/>
          </w:tcPr>
          <w:p w14:paraId="000002E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Health</w:t>
            </w:r>
          </w:p>
        </w:tc>
        <w:tc>
          <w:tcPr>
            <w:tcW w:w="3146" w:type="dxa"/>
          </w:tcPr>
          <w:p w14:paraId="000002E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Director, Health Policy, Research and Planning</w:t>
            </w:r>
          </w:p>
        </w:tc>
      </w:tr>
      <w:tr w:rsidR="006B72B0" w:rsidRPr="009C793F" w14:paraId="1DF778B9" w14:textId="77777777">
        <w:tc>
          <w:tcPr>
            <w:tcW w:w="768" w:type="dxa"/>
          </w:tcPr>
          <w:p w14:paraId="000002E5" w14:textId="4BF6EEC2" w:rsidR="006B72B0" w:rsidRPr="009C793F" w:rsidRDefault="002B2568" w:rsidP="00DE19C9">
            <w:pPr>
              <w:jc w:val="both"/>
              <w:rPr>
                <w:rFonts w:asciiTheme="minorHAnsi" w:hAnsiTheme="minorHAnsi" w:cstheme="minorHAnsi"/>
              </w:rPr>
            </w:pPr>
            <w:r w:rsidRPr="009C793F">
              <w:rPr>
                <w:rFonts w:asciiTheme="minorHAnsi" w:hAnsiTheme="minorHAnsi" w:cstheme="minorHAnsi"/>
              </w:rPr>
              <w:t>31.</w:t>
            </w:r>
          </w:p>
        </w:tc>
        <w:tc>
          <w:tcPr>
            <w:tcW w:w="2181" w:type="dxa"/>
          </w:tcPr>
          <w:p w14:paraId="000002E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Farook Hosein </w:t>
            </w:r>
          </w:p>
        </w:tc>
        <w:tc>
          <w:tcPr>
            <w:tcW w:w="2383" w:type="dxa"/>
          </w:tcPr>
          <w:p w14:paraId="000002E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Ministry of Youth Development and National Service </w:t>
            </w:r>
          </w:p>
        </w:tc>
        <w:tc>
          <w:tcPr>
            <w:tcW w:w="3146" w:type="dxa"/>
          </w:tcPr>
          <w:p w14:paraId="000002E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Permanent Secretary (Ag.)</w:t>
            </w:r>
          </w:p>
        </w:tc>
      </w:tr>
      <w:tr w:rsidR="006B72B0" w:rsidRPr="009C793F" w14:paraId="39DF0150" w14:textId="77777777">
        <w:tc>
          <w:tcPr>
            <w:tcW w:w="768" w:type="dxa"/>
          </w:tcPr>
          <w:p w14:paraId="000002E9" w14:textId="75267FDE" w:rsidR="006B72B0" w:rsidRPr="009C793F" w:rsidRDefault="002B2568" w:rsidP="00DE19C9">
            <w:pPr>
              <w:jc w:val="both"/>
              <w:rPr>
                <w:rFonts w:asciiTheme="minorHAnsi" w:hAnsiTheme="minorHAnsi" w:cstheme="minorHAnsi"/>
              </w:rPr>
            </w:pPr>
            <w:r w:rsidRPr="009C793F">
              <w:rPr>
                <w:rFonts w:asciiTheme="minorHAnsi" w:hAnsiTheme="minorHAnsi" w:cstheme="minorHAnsi"/>
              </w:rPr>
              <w:t>32.</w:t>
            </w:r>
          </w:p>
        </w:tc>
        <w:tc>
          <w:tcPr>
            <w:tcW w:w="2181" w:type="dxa"/>
          </w:tcPr>
          <w:p w14:paraId="000002E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Claire Davidson-Williams</w:t>
            </w:r>
          </w:p>
        </w:tc>
        <w:tc>
          <w:tcPr>
            <w:tcW w:w="2383" w:type="dxa"/>
          </w:tcPr>
          <w:p w14:paraId="000002E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Youth Development and National Service</w:t>
            </w:r>
          </w:p>
        </w:tc>
        <w:tc>
          <w:tcPr>
            <w:tcW w:w="3146" w:type="dxa"/>
          </w:tcPr>
          <w:p w14:paraId="000002E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Deputy Permanent Secretary</w:t>
            </w:r>
          </w:p>
        </w:tc>
      </w:tr>
      <w:tr w:rsidR="006B72B0" w:rsidRPr="009C793F" w14:paraId="3B422511" w14:textId="77777777">
        <w:tc>
          <w:tcPr>
            <w:tcW w:w="768" w:type="dxa"/>
          </w:tcPr>
          <w:p w14:paraId="000002ED" w14:textId="435D01C5" w:rsidR="006B72B0" w:rsidRPr="009C793F" w:rsidRDefault="002B2568" w:rsidP="00DE19C9">
            <w:pPr>
              <w:jc w:val="both"/>
              <w:rPr>
                <w:rFonts w:asciiTheme="minorHAnsi" w:hAnsiTheme="minorHAnsi" w:cstheme="minorHAnsi"/>
              </w:rPr>
            </w:pPr>
            <w:r w:rsidRPr="009C793F">
              <w:rPr>
                <w:rFonts w:asciiTheme="minorHAnsi" w:hAnsiTheme="minorHAnsi" w:cstheme="minorHAnsi"/>
              </w:rPr>
              <w:t>33.</w:t>
            </w:r>
          </w:p>
        </w:tc>
        <w:tc>
          <w:tcPr>
            <w:tcW w:w="2181" w:type="dxa"/>
          </w:tcPr>
          <w:p w14:paraId="000002E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Marcia London-McKellar</w:t>
            </w:r>
          </w:p>
        </w:tc>
        <w:tc>
          <w:tcPr>
            <w:tcW w:w="2383" w:type="dxa"/>
          </w:tcPr>
          <w:p w14:paraId="000002E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Youth Development and National Service</w:t>
            </w:r>
          </w:p>
        </w:tc>
        <w:tc>
          <w:tcPr>
            <w:tcW w:w="3146" w:type="dxa"/>
          </w:tcPr>
          <w:p w14:paraId="000002F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Deputy Permanent Secretary</w:t>
            </w:r>
          </w:p>
        </w:tc>
      </w:tr>
      <w:tr w:rsidR="006B72B0" w:rsidRPr="009C793F" w14:paraId="7394D032" w14:textId="77777777">
        <w:tc>
          <w:tcPr>
            <w:tcW w:w="768" w:type="dxa"/>
          </w:tcPr>
          <w:p w14:paraId="000002F1" w14:textId="131D72BB" w:rsidR="006B72B0" w:rsidRPr="009C793F" w:rsidRDefault="002B2568" w:rsidP="00DE19C9">
            <w:pPr>
              <w:jc w:val="both"/>
              <w:rPr>
                <w:rFonts w:asciiTheme="minorHAnsi" w:hAnsiTheme="minorHAnsi" w:cstheme="minorHAnsi"/>
              </w:rPr>
            </w:pPr>
            <w:r w:rsidRPr="009C793F">
              <w:rPr>
                <w:rFonts w:asciiTheme="minorHAnsi" w:hAnsiTheme="minorHAnsi" w:cstheme="minorHAnsi"/>
              </w:rPr>
              <w:t>34.</w:t>
            </w:r>
          </w:p>
        </w:tc>
        <w:tc>
          <w:tcPr>
            <w:tcW w:w="2181" w:type="dxa"/>
          </w:tcPr>
          <w:p w14:paraId="000002F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Sheila Seecharan</w:t>
            </w:r>
          </w:p>
        </w:tc>
        <w:tc>
          <w:tcPr>
            <w:tcW w:w="2383" w:type="dxa"/>
          </w:tcPr>
          <w:p w14:paraId="000002F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Social Development and Family Services</w:t>
            </w:r>
          </w:p>
        </w:tc>
        <w:tc>
          <w:tcPr>
            <w:tcW w:w="3146" w:type="dxa"/>
          </w:tcPr>
          <w:p w14:paraId="000002F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Permanent Secretary</w:t>
            </w:r>
          </w:p>
        </w:tc>
      </w:tr>
      <w:tr w:rsidR="006B72B0" w:rsidRPr="009C793F" w14:paraId="2F03F1E5" w14:textId="77777777">
        <w:tc>
          <w:tcPr>
            <w:tcW w:w="768" w:type="dxa"/>
          </w:tcPr>
          <w:p w14:paraId="000002F5" w14:textId="066A7699" w:rsidR="006B72B0" w:rsidRPr="009C793F" w:rsidRDefault="002B2568" w:rsidP="00DE19C9">
            <w:pPr>
              <w:jc w:val="both"/>
              <w:rPr>
                <w:rFonts w:asciiTheme="minorHAnsi" w:hAnsiTheme="minorHAnsi" w:cstheme="minorHAnsi"/>
              </w:rPr>
            </w:pPr>
            <w:r w:rsidRPr="009C793F">
              <w:rPr>
                <w:rFonts w:asciiTheme="minorHAnsi" w:hAnsiTheme="minorHAnsi" w:cstheme="minorHAnsi"/>
              </w:rPr>
              <w:t>35.</w:t>
            </w:r>
          </w:p>
        </w:tc>
        <w:tc>
          <w:tcPr>
            <w:tcW w:w="2181" w:type="dxa"/>
          </w:tcPr>
          <w:p w14:paraId="000002F6"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Vijay Gangapersad</w:t>
            </w:r>
          </w:p>
        </w:tc>
        <w:tc>
          <w:tcPr>
            <w:tcW w:w="2383" w:type="dxa"/>
          </w:tcPr>
          <w:p w14:paraId="000002F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Social Development and Family Services</w:t>
            </w:r>
          </w:p>
        </w:tc>
        <w:tc>
          <w:tcPr>
            <w:tcW w:w="3146" w:type="dxa"/>
          </w:tcPr>
          <w:p w14:paraId="000002F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Deputy Permanent Secretary</w:t>
            </w:r>
          </w:p>
        </w:tc>
      </w:tr>
      <w:tr w:rsidR="006B72B0" w:rsidRPr="009C793F" w14:paraId="4563AF0A" w14:textId="77777777">
        <w:tc>
          <w:tcPr>
            <w:tcW w:w="768" w:type="dxa"/>
          </w:tcPr>
          <w:p w14:paraId="000002F9" w14:textId="211B0205" w:rsidR="006B72B0" w:rsidRPr="009C793F" w:rsidRDefault="002B2568" w:rsidP="00DE19C9">
            <w:pPr>
              <w:jc w:val="both"/>
              <w:rPr>
                <w:rFonts w:asciiTheme="minorHAnsi" w:hAnsiTheme="minorHAnsi" w:cstheme="minorHAnsi"/>
              </w:rPr>
            </w:pPr>
            <w:r w:rsidRPr="009C793F">
              <w:rPr>
                <w:rFonts w:asciiTheme="minorHAnsi" w:hAnsiTheme="minorHAnsi" w:cstheme="minorHAnsi"/>
              </w:rPr>
              <w:t>36.</w:t>
            </w:r>
          </w:p>
        </w:tc>
        <w:tc>
          <w:tcPr>
            <w:tcW w:w="2181" w:type="dxa"/>
          </w:tcPr>
          <w:p w14:paraId="000002F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Michael Reid</w:t>
            </w:r>
          </w:p>
        </w:tc>
        <w:tc>
          <w:tcPr>
            <w:tcW w:w="2383" w:type="dxa"/>
          </w:tcPr>
          <w:p w14:paraId="000002F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Ministry of Social Development and Family Services</w:t>
            </w:r>
          </w:p>
        </w:tc>
        <w:tc>
          <w:tcPr>
            <w:tcW w:w="3146" w:type="dxa"/>
          </w:tcPr>
          <w:p w14:paraId="000002F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Director, Disability Affairs Unit</w:t>
            </w:r>
          </w:p>
        </w:tc>
      </w:tr>
      <w:tr w:rsidR="006B72B0" w:rsidRPr="009C793F" w14:paraId="1C3EEC1A" w14:textId="77777777">
        <w:tc>
          <w:tcPr>
            <w:tcW w:w="768" w:type="dxa"/>
          </w:tcPr>
          <w:p w14:paraId="000002FD" w14:textId="67C6B386" w:rsidR="006B72B0" w:rsidRPr="009C793F" w:rsidRDefault="002B2568" w:rsidP="00DE19C9">
            <w:pPr>
              <w:jc w:val="both"/>
              <w:rPr>
                <w:rFonts w:asciiTheme="minorHAnsi" w:hAnsiTheme="minorHAnsi" w:cstheme="minorHAnsi"/>
              </w:rPr>
            </w:pPr>
            <w:r w:rsidRPr="009C793F">
              <w:rPr>
                <w:rFonts w:asciiTheme="minorHAnsi" w:hAnsiTheme="minorHAnsi" w:cstheme="minorHAnsi"/>
              </w:rPr>
              <w:t>37.</w:t>
            </w:r>
          </w:p>
        </w:tc>
        <w:tc>
          <w:tcPr>
            <w:tcW w:w="2181" w:type="dxa"/>
          </w:tcPr>
          <w:p w14:paraId="000002F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Mary-Ann Brathwaite-Leonce</w:t>
            </w:r>
          </w:p>
        </w:tc>
        <w:tc>
          <w:tcPr>
            <w:tcW w:w="2383" w:type="dxa"/>
          </w:tcPr>
          <w:p w14:paraId="000002F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Tobago House of Assembly</w:t>
            </w:r>
          </w:p>
        </w:tc>
        <w:tc>
          <w:tcPr>
            <w:tcW w:w="3146" w:type="dxa"/>
          </w:tcPr>
          <w:p w14:paraId="0000030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Director, Management Services Unit</w:t>
            </w:r>
          </w:p>
        </w:tc>
      </w:tr>
      <w:tr w:rsidR="006B72B0" w:rsidRPr="009C793F" w14:paraId="34F45047" w14:textId="77777777">
        <w:tc>
          <w:tcPr>
            <w:tcW w:w="768" w:type="dxa"/>
          </w:tcPr>
          <w:p w14:paraId="00000301" w14:textId="7BB82501" w:rsidR="006B72B0" w:rsidRPr="009C793F" w:rsidRDefault="002B2568" w:rsidP="00DE19C9">
            <w:pPr>
              <w:jc w:val="both"/>
              <w:rPr>
                <w:rFonts w:asciiTheme="minorHAnsi" w:hAnsiTheme="minorHAnsi" w:cstheme="minorHAnsi"/>
              </w:rPr>
            </w:pPr>
            <w:r w:rsidRPr="009C793F">
              <w:rPr>
                <w:rFonts w:asciiTheme="minorHAnsi" w:hAnsiTheme="minorHAnsi" w:cstheme="minorHAnsi"/>
              </w:rPr>
              <w:t>38.</w:t>
            </w:r>
          </w:p>
        </w:tc>
        <w:tc>
          <w:tcPr>
            <w:tcW w:w="2181" w:type="dxa"/>
          </w:tcPr>
          <w:p w14:paraId="00000302"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Bobby Andrews</w:t>
            </w:r>
          </w:p>
        </w:tc>
        <w:tc>
          <w:tcPr>
            <w:tcW w:w="2383" w:type="dxa"/>
          </w:tcPr>
          <w:p w14:paraId="0000030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Tobago House of Assembly</w:t>
            </w:r>
          </w:p>
        </w:tc>
        <w:tc>
          <w:tcPr>
            <w:tcW w:w="3146" w:type="dxa"/>
          </w:tcPr>
          <w:p w14:paraId="0000030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Planning Coordinator</w:t>
            </w:r>
          </w:p>
        </w:tc>
      </w:tr>
      <w:tr w:rsidR="006B72B0" w:rsidRPr="009C793F" w14:paraId="1BB87B6D" w14:textId="77777777">
        <w:tc>
          <w:tcPr>
            <w:tcW w:w="768" w:type="dxa"/>
          </w:tcPr>
          <w:p w14:paraId="00000305" w14:textId="77777777" w:rsidR="006B72B0" w:rsidRPr="009C793F" w:rsidRDefault="006B72B0" w:rsidP="00DE19C9">
            <w:pPr>
              <w:jc w:val="both"/>
              <w:rPr>
                <w:rFonts w:asciiTheme="minorHAnsi" w:hAnsiTheme="minorHAnsi" w:cstheme="minorHAnsi"/>
              </w:rPr>
            </w:pPr>
          </w:p>
        </w:tc>
        <w:tc>
          <w:tcPr>
            <w:tcW w:w="2181" w:type="dxa"/>
          </w:tcPr>
          <w:p w14:paraId="00000306" w14:textId="77777777" w:rsidR="006B72B0" w:rsidRPr="009C793F" w:rsidRDefault="006B72B0" w:rsidP="00DE19C9">
            <w:pPr>
              <w:jc w:val="both"/>
              <w:rPr>
                <w:rFonts w:asciiTheme="minorHAnsi" w:hAnsiTheme="minorHAnsi" w:cstheme="minorHAnsi"/>
              </w:rPr>
            </w:pPr>
          </w:p>
        </w:tc>
        <w:tc>
          <w:tcPr>
            <w:tcW w:w="2383" w:type="dxa"/>
          </w:tcPr>
          <w:p w14:paraId="00000307" w14:textId="77777777" w:rsidR="006B72B0" w:rsidRPr="009C793F" w:rsidRDefault="006B72B0" w:rsidP="00DE19C9">
            <w:pPr>
              <w:jc w:val="both"/>
              <w:rPr>
                <w:rFonts w:asciiTheme="minorHAnsi" w:hAnsiTheme="minorHAnsi" w:cstheme="minorHAnsi"/>
              </w:rPr>
            </w:pPr>
          </w:p>
        </w:tc>
        <w:tc>
          <w:tcPr>
            <w:tcW w:w="3146" w:type="dxa"/>
          </w:tcPr>
          <w:p w14:paraId="00000308" w14:textId="77777777" w:rsidR="006B72B0" w:rsidRPr="009C793F" w:rsidRDefault="006B72B0" w:rsidP="00DE19C9">
            <w:pPr>
              <w:jc w:val="both"/>
              <w:rPr>
                <w:rFonts w:asciiTheme="minorHAnsi" w:hAnsiTheme="minorHAnsi" w:cstheme="minorHAnsi"/>
              </w:rPr>
            </w:pPr>
          </w:p>
        </w:tc>
      </w:tr>
      <w:tr w:rsidR="006B72B0" w:rsidRPr="009C793F" w14:paraId="0F63D0F4" w14:textId="77777777">
        <w:tc>
          <w:tcPr>
            <w:tcW w:w="8478" w:type="dxa"/>
            <w:gridSpan w:val="4"/>
          </w:tcPr>
          <w:p w14:paraId="00000309" w14:textId="77777777" w:rsidR="006B72B0" w:rsidRPr="009C793F" w:rsidRDefault="006B72B0" w:rsidP="00DE19C9">
            <w:pPr>
              <w:jc w:val="both"/>
              <w:rPr>
                <w:rFonts w:asciiTheme="minorHAnsi" w:hAnsiTheme="minorHAnsi" w:cstheme="minorHAnsi"/>
              </w:rPr>
            </w:pPr>
          </w:p>
          <w:p w14:paraId="0000030A"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highlight w:val="blue"/>
              </w:rPr>
              <w:t>CIVIL SOCIETY</w:t>
            </w:r>
          </w:p>
        </w:tc>
      </w:tr>
      <w:tr w:rsidR="006B72B0" w:rsidRPr="009C793F" w14:paraId="0353D7A4" w14:textId="77777777">
        <w:tc>
          <w:tcPr>
            <w:tcW w:w="768" w:type="dxa"/>
          </w:tcPr>
          <w:p w14:paraId="0000030E" w14:textId="43C7BE10" w:rsidR="006B72B0" w:rsidRPr="009C793F" w:rsidRDefault="002B2568" w:rsidP="00DE19C9">
            <w:pPr>
              <w:jc w:val="both"/>
              <w:rPr>
                <w:rFonts w:asciiTheme="minorHAnsi" w:hAnsiTheme="minorHAnsi" w:cstheme="minorHAnsi"/>
              </w:rPr>
            </w:pPr>
            <w:r w:rsidRPr="009C793F">
              <w:rPr>
                <w:rFonts w:asciiTheme="minorHAnsi" w:hAnsiTheme="minorHAnsi" w:cstheme="minorHAnsi"/>
              </w:rPr>
              <w:t>39.</w:t>
            </w:r>
          </w:p>
        </w:tc>
        <w:tc>
          <w:tcPr>
            <w:tcW w:w="2181" w:type="dxa"/>
          </w:tcPr>
          <w:p w14:paraId="0000030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Stephanie Leitch</w:t>
            </w:r>
          </w:p>
        </w:tc>
        <w:tc>
          <w:tcPr>
            <w:tcW w:w="2383" w:type="dxa"/>
          </w:tcPr>
          <w:p w14:paraId="0000031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WOMANTRA</w:t>
            </w:r>
          </w:p>
        </w:tc>
        <w:tc>
          <w:tcPr>
            <w:tcW w:w="3146" w:type="dxa"/>
          </w:tcPr>
          <w:p w14:paraId="00000311" w14:textId="77777777" w:rsidR="006B72B0" w:rsidRPr="009C793F" w:rsidRDefault="006B72B0" w:rsidP="00DE19C9">
            <w:pPr>
              <w:jc w:val="both"/>
              <w:rPr>
                <w:rFonts w:asciiTheme="minorHAnsi" w:hAnsiTheme="minorHAnsi" w:cstheme="minorHAnsi"/>
              </w:rPr>
            </w:pPr>
          </w:p>
        </w:tc>
      </w:tr>
      <w:tr w:rsidR="006B72B0" w:rsidRPr="009C793F" w14:paraId="42846E7E" w14:textId="77777777">
        <w:tc>
          <w:tcPr>
            <w:tcW w:w="768" w:type="dxa"/>
          </w:tcPr>
          <w:p w14:paraId="00000312" w14:textId="1A3DFC51" w:rsidR="006B72B0" w:rsidRPr="009C793F" w:rsidRDefault="002B2568" w:rsidP="00DE19C9">
            <w:pPr>
              <w:jc w:val="both"/>
              <w:rPr>
                <w:rFonts w:asciiTheme="minorHAnsi" w:hAnsiTheme="minorHAnsi" w:cstheme="minorHAnsi"/>
              </w:rPr>
            </w:pPr>
            <w:r w:rsidRPr="009C793F">
              <w:rPr>
                <w:rFonts w:asciiTheme="minorHAnsi" w:hAnsiTheme="minorHAnsi" w:cstheme="minorHAnsi"/>
              </w:rPr>
              <w:t>40.</w:t>
            </w:r>
          </w:p>
        </w:tc>
        <w:tc>
          <w:tcPr>
            <w:tcW w:w="2181" w:type="dxa"/>
          </w:tcPr>
          <w:p w14:paraId="0000031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Nicole Leotaud</w:t>
            </w:r>
          </w:p>
        </w:tc>
        <w:tc>
          <w:tcPr>
            <w:tcW w:w="2383" w:type="dxa"/>
          </w:tcPr>
          <w:p w14:paraId="0000031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Caribbean Natural Resources Institute</w:t>
            </w:r>
          </w:p>
        </w:tc>
        <w:tc>
          <w:tcPr>
            <w:tcW w:w="3146" w:type="dxa"/>
          </w:tcPr>
          <w:p w14:paraId="0000031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Executive Director</w:t>
            </w:r>
          </w:p>
        </w:tc>
      </w:tr>
      <w:tr w:rsidR="006B72B0" w:rsidRPr="009C793F" w14:paraId="6D8FAF4A" w14:textId="77777777">
        <w:tc>
          <w:tcPr>
            <w:tcW w:w="768" w:type="dxa"/>
          </w:tcPr>
          <w:p w14:paraId="00000316" w14:textId="4E831FC5" w:rsidR="006B72B0" w:rsidRPr="009C793F" w:rsidRDefault="002B2568" w:rsidP="00DE19C9">
            <w:pPr>
              <w:jc w:val="both"/>
              <w:rPr>
                <w:rFonts w:asciiTheme="minorHAnsi" w:hAnsiTheme="minorHAnsi" w:cstheme="minorHAnsi"/>
              </w:rPr>
            </w:pPr>
            <w:r w:rsidRPr="009C793F">
              <w:rPr>
                <w:rFonts w:asciiTheme="minorHAnsi" w:hAnsiTheme="minorHAnsi" w:cstheme="minorHAnsi"/>
              </w:rPr>
              <w:t>41.</w:t>
            </w:r>
          </w:p>
        </w:tc>
        <w:tc>
          <w:tcPr>
            <w:tcW w:w="2181" w:type="dxa"/>
          </w:tcPr>
          <w:p w14:paraId="0000031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Candice Ramkissoon</w:t>
            </w:r>
          </w:p>
        </w:tc>
        <w:tc>
          <w:tcPr>
            <w:tcW w:w="2383" w:type="dxa"/>
          </w:tcPr>
          <w:p w14:paraId="00000318" w14:textId="00626F73" w:rsidR="006B72B0" w:rsidRPr="009C793F" w:rsidRDefault="00845012" w:rsidP="00DE19C9">
            <w:pPr>
              <w:jc w:val="both"/>
              <w:rPr>
                <w:rFonts w:asciiTheme="minorHAnsi" w:hAnsiTheme="minorHAnsi" w:cstheme="minorHAnsi"/>
              </w:rPr>
            </w:pPr>
            <w:r w:rsidRPr="009C793F">
              <w:rPr>
                <w:rFonts w:asciiTheme="minorHAnsi" w:hAnsiTheme="minorHAnsi" w:cstheme="minorHAnsi"/>
              </w:rPr>
              <w:t>Caribbean Natural Resources Insti</w:t>
            </w:r>
            <w:r w:rsidR="00B43CA4">
              <w:rPr>
                <w:rFonts w:asciiTheme="minorHAnsi" w:hAnsiTheme="minorHAnsi" w:cstheme="minorHAnsi"/>
              </w:rPr>
              <w:t>t</w:t>
            </w:r>
            <w:r w:rsidRPr="009C793F">
              <w:rPr>
                <w:rFonts w:asciiTheme="minorHAnsi" w:hAnsiTheme="minorHAnsi" w:cstheme="minorHAnsi"/>
              </w:rPr>
              <w:t>ute</w:t>
            </w:r>
          </w:p>
        </w:tc>
        <w:tc>
          <w:tcPr>
            <w:tcW w:w="3146" w:type="dxa"/>
          </w:tcPr>
          <w:p w14:paraId="0000031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Technical Officer</w:t>
            </w:r>
          </w:p>
        </w:tc>
      </w:tr>
      <w:tr w:rsidR="006B72B0" w:rsidRPr="009C793F" w14:paraId="3C44A0B8" w14:textId="77777777">
        <w:tc>
          <w:tcPr>
            <w:tcW w:w="768" w:type="dxa"/>
          </w:tcPr>
          <w:p w14:paraId="0000031A" w14:textId="270F0E10" w:rsidR="006B72B0" w:rsidRPr="009C793F" w:rsidRDefault="002B2568" w:rsidP="00DE19C9">
            <w:pPr>
              <w:jc w:val="both"/>
              <w:rPr>
                <w:rFonts w:asciiTheme="minorHAnsi" w:hAnsiTheme="minorHAnsi" w:cstheme="minorHAnsi"/>
              </w:rPr>
            </w:pPr>
            <w:r w:rsidRPr="009C793F">
              <w:rPr>
                <w:rFonts w:asciiTheme="minorHAnsi" w:hAnsiTheme="minorHAnsi" w:cstheme="minorHAnsi"/>
              </w:rPr>
              <w:t>42.</w:t>
            </w:r>
          </w:p>
        </w:tc>
        <w:tc>
          <w:tcPr>
            <w:tcW w:w="2181" w:type="dxa"/>
          </w:tcPr>
          <w:p w14:paraId="0000031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Jonathan Barcant</w:t>
            </w:r>
          </w:p>
        </w:tc>
        <w:tc>
          <w:tcPr>
            <w:tcW w:w="2383" w:type="dxa"/>
          </w:tcPr>
          <w:p w14:paraId="0000031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IAMovement</w:t>
            </w:r>
          </w:p>
        </w:tc>
        <w:tc>
          <w:tcPr>
            <w:tcW w:w="3146" w:type="dxa"/>
          </w:tcPr>
          <w:p w14:paraId="0000031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Managing Director</w:t>
            </w:r>
          </w:p>
        </w:tc>
      </w:tr>
      <w:tr w:rsidR="006B72B0" w:rsidRPr="009C793F" w14:paraId="2FD68FFB" w14:textId="77777777">
        <w:tc>
          <w:tcPr>
            <w:tcW w:w="768" w:type="dxa"/>
          </w:tcPr>
          <w:p w14:paraId="0000031E" w14:textId="3BBD0699" w:rsidR="006B72B0" w:rsidRPr="009C793F" w:rsidRDefault="002B2568" w:rsidP="00DE19C9">
            <w:pPr>
              <w:jc w:val="both"/>
              <w:rPr>
                <w:rFonts w:asciiTheme="minorHAnsi" w:hAnsiTheme="minorHAnsi" w:cstheme="minorHAnsi"/>
              </w:rPr>
            </w:pPr>
            <w:r w:rsidRPr="009C793F">
              <w:rPr>
                <w:rFonts w:asciiTheme="minorHAnsi" w:hAnsiTheme="minorHAnsi" w:cstheme="minorHAnsi"/>
              </w:rPr>
              <w:t>43.</w:t>
            </w:r>
          </w:p>
        </w:tc>
        <w:tc>
          <w:tcPr>
            <w:tcW w:w="2181" w:type="dxa"/>
          </w:tcPr>
          <w:p w14:paraId="0000031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Rochelle Nakhid</w:t>
            </w:r>
          </w:p>
        </w:tc>
        <w:tc>
          <w:tcPr>
            <w:tcW w:w="2383" w:type="dxa"/>
          </w:tcPr>
          <w:p w14:paraId="0000032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Living Waters Community</w:t>
            </w:r>
          </w:p>
        </w:tc>
        <w:tc>
          <w:tcPr>
            <w:tcW w:w="3146" w:type="dxa"/>
          </w:tcPr>
          <w:p w14:paraId="0000032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Coordinator, Migrants and Refugee Ministry</w:t>
            </w:r>
          </w:p>
        </w:tc>
      </w:tr>
      <w:tr w:rsidR="006B72B0" w:rsidRPr="009C793F" w14:paraId="555E618E" w14:textId="77777777">
        <w:tc>
          <w:tcPr>
            <w:tcW w:w="768" w:type="dxa"/>
          </w:tcPr>
          <w:p w14:paraId="00000322" w14:textId="77B216A8" w:rsidR="006B72B0" w:rsidRPr="009C793F" w:rsidRDefault="002B2568" w:rsidP="00DE19C9">
            <w:pPr>
              <w:jc w:val="both"/>
              <w:rPr>
                <w:rFonts w:asciiTheme="minorHAnsi" w:hAnsiTheme="minorHAnsi" w:cstheme="minorHAnsi"/>
              </w:rPr>
            </w:pPr>
            <w:r w:rsidRPr="009C793F">
              <w:rPr>
                <w:rFonts w:asciiTheme="minorHAnsi" w:hAnsiTheme="minorHAnsi" w:cstheme="minorHAnsi"/>
              </w:rPr>
              <w:t>44.</w:t>
            </w:r>
          </w:p>
        </w:tc>
        <w:tc>
          <w:tcPr>
            <w:tcW w:w="2181" w:type="dxa"/>
          </w:tcPr>
          <w:p w14:paraId="00000323" w14:textId="4182476B" w:rsidR="006B72B0" w:rsidRPr="009C793F" w:rsidRDefault="00845012" w:rsidP="00DE19C9">
            <w:pPr>
              <w:jc w:val="both"/>
              <w:rPr>
                <w:rFonts w:asciiTheme="minorHAnsi" w:hAnsiTheme="minorHAnsi" w:cstheme="minorHAnsi"/>
              </w:rPr>
            </w:pPr>
            <w:r w:rsidRPr="009C793F">
              <w:rPr>
                <w:rFonts w:asciiTheme="minorHAnsi" w:hAnsiTheme="minorHAnsi" w:cstheme="minorHAnsi"/>
              </w:rPr>
              <w:t>Shivonne D</w:t>
            </w:r>
            <w:r w:rsidR="00B43CA4">
              <w:rPr>
                <w:rFonts w:asciiTheme="minorHAnsi" w:hAnsiTheme="minorHAnsi" w:cstheme="minorHAnsi"/>
              </w:rPr>
              <w:t>u</w:t>
            </w:r>
            <w:r w:rsidRPr="009C793F">
              <w:rPr>
                <w:rFonts w:asciiTheme="minorHAnsi" w:hAnsiTheme="minorHAnsi" w:cstheme="minorHAnsi"/>
              </w:rPr>
              <w:t>barry</w:t>
            </w:r>
          </w:p>
        </w:tc>
        <w:tc>
          <w:tcPr>
            <w:tcW w:w="2383" w:type="dxa"/>
          </w:tcPr>
          <w:p w14:paraId="0000032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Living Waters Community</w:t>
            </w:r>
          </w:p>
        </w:tc>
        <w:tc>
          <w:tcPr>
            <w:tcW w:w="3146" w:type="dxa"/>
          </w:tcPr>
          <w:p w14:paraId="0000032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Community Based Protection Officer</w:t>
            </w:r>
          </w:p>
        </w:tc>
      </w:tr>
      <w:tr w:rsidR="000918BE" w:rsidRPr="009C793F" w14:paraId="15E120F2" w14:textId="77777777">
        <w:tc>
          <w:tcPr>
            <w:tcW w:w="768" w:type="dxa"/>
          </w:tcPr>
          <w:p w14:paraId="27ED174A" w14:textId="00481C81" w:rsidR="000918BE" w:rsidRPr="009C793F" w:rsidRDefault="000918BE" w:rsidP="00DE19C9">
            <w:pPr>
              <w:jc w:val="both"/>
              <w:rPr>
                <w:rFonts w:asciiTheme="minorHAnsi" w:hAnsiTheme="minorHAnsi" w:cstheme="minorHAnsi"/>
              </w:rPr>
            </w:pPr>
            <w:r>
              <w:rPr>
                <w:rFonts w:asciiTheme="minorHAnsi" w:hAnsiTheme="minorHAnsi" w:cstheme="minorHAnsi"/>
              </w:rPr>
              <w:t>45.</w:t>
            </w:r>
          </w:p>
        </w:tc>
        <w:tc>
          <w:tcPr>
            <w:tcW w:w="2181" w:type="dxa"/>
          </w:tcPr>
          <w:p w14:paraId="4DA32941" w14:textId="5F0B1BEF" w:rsidR="000918BE" w:rsidRPr="009C793F" w:rsidRDefault="00B43CA4" w:rsidP="00DE19C9">
            <w:pPr>
              <w:jc w:val="both"/>
              <w:rPr>
                <w:rFonts w:asciiTheme="minorHAnsi" w:hAnsiTheme="minorHAnsi" w:cstheme="minorHAnsi"/>
              </w:rPr>
            </w:pPr>
            <w:r>
              <w:rPr>
                <w:rFonts w:asciiTheme="minorHAnsi" w:hAnsiTheme="minorHAnsi" w:cstheme="minorHAnsi"/>
              </w:rPr>
              <w:t>Colin Robinson</w:t>
            </w:r>
          </w:p>
        </w:tc>
        <w:tc>
          <w:tcPr>
            <w:tcW w:w="2383" w:type="dxa"/>
          </w:tcPr>
          <w:p w14:paraId="0772855F" w14:textId="47083D82" w:rsidR="000918BE" w:rsidRPr="009C793F" w:rsidRDefault="00B43CA4" w:rsidP="00DE19C9">
            <w:pPr>
              <w:jc w:val="both"/>
              <w:rPr>
                <w:rFonts w:asciiTheme="minorHAnsi" w:hAnsiTheme="minorHAnsi" w:cstheme="minorHAnsi"/>
              </w:rPr>
            </w:pPr>
            <w:r>
              <w:rPr>
                <w:rFonts w:asciiTheme="minorHAnsi" w:hAnsiTheme="minorHAnsi" w:cstheme="minorHAnsi"/>
              </w:rPr>
              <w:t>Caiso TT</w:t>
            </w:r>
          </w:p>
        </w:tc>
        <w:tc>
          <w:tcPr>
            <w:tcW w:w="3146" w:type="dxa"/>
          </w:tcPr>
          <w:p w14:paraId="4F73506C" w14:textId="0C60432A" w:rsidR="000918BE" w:rsidRPr="009C793F" w:rsidRDefault="00B43CA4" w:rsidP="00DE19C9">
            <w:pPr>
              <w:jc w:val="both"/>
              <w:rPr>
                <w:rFonts w:asciiTheme="minorHAnsi" w:hAnsiTheme="minorHAnsi" w:cstheme="minorHAnsi"/>
              </w:rPr>
            </w:pPr>
            <w:r>
              <w:rPr>
                <w:rFonts w:asciiTheme="minorHAnsi" w:hAnsiTheme="minorHAnsi" w:cstheme="minorHAnsi"/>
              </w:rPr>
              <w:t>Director of Imagination</w:t>
            </w:r>
          </w:p>
        </w:tc>
      </w:tr>
      <w:tr w:rsidR="000918BE" w:rsidRPr="009C793F" w14:paraId="6D1DC676" w14:textId="77777777">
        <w:tc>
          <w:tcPr>
            <w:tcW w:w="768" w:type="dxa"/>
          </w:tcPr>
          <w:p w14:paraId="59927B8B" w14:textId="249AB76D" w:rsidR="000918BE" w:rsidRPr="009C793F" w:rsidRDefault="00B43CA4" w:rsidP="00DE19C9">
            <w:pPr>
              <w:jc w:val="both"/>
              <w:rPr>
                <w:rFonts w:asciiTheme="minorHAnsi" w:hAnsiTheme="minorHAnsi" w:cstheme="minorHAnsi"/>
              </w:rPr>
            </w:pPr>
            <w:r>
              <w:rPr>
                <w:rFonts w:asciiTheme="minorHAnsi" w:hAnsiTheme="minorHAnsi" w:cstheme="minorHAnsi"/>
              </w:rPr>
              <w:t>46.</w:t>
            </w:r>
          </w:p>
        </w:tc>
        <w:tc>
          <w:tcPr>
            <w:tcW w:w="2181" w:type="dxa"/>
          </w:tcPr>
          <w:p w14:paraId="639A7802" w14:textId="2C8222BC" w:rsidR="000918BE" w:rsidRPr="009C793F" w:rsidRDefault="00B43CA4" w:rsidP="00DE19C9">
            <w:pPr>
              <w:jc w:val="both"/>
              <w:rPr>
                <w:rFonts w:asciiTheme="minorHAnsi" w:hAnsiTheme="minorHAnsi" w:cstheme="minorHAnsi"/>
              </w:rPr>
            </w:pPr>
            <w:r>
              <w:rPr>
                <w:rFonts w:asciiTheme="minorHAnsi" w:hAnsiTheme="minorHAnsi" w:cstheme="minorHAnsi"/>
              </w:rPr>
              <w:t>Wayde Ramharack</w:t>
            </w:r>
          </w:p>
        </w:tc>
        <w:tc>
          <w:tcPr>
            <w:tcW w:w="2383" w:type="dxa"/>
          </w:tcPr>
          <w:p w14:paraId="37FACFE0" w14:textId="788E223F" w:rsidR="000918BE" w:rsidRPr="009C793F" w:rsidRDefault="00B43CA4" w:rsidP="00DE19C9">
            <w:pPr>
              <w:jc w:val="both"/>
              <w:rPr>
                <w:rFonts w:asciiTheme="minorHAnsi" w:hAnsiTheme="minorHAnsi" w:cstheme="minorHAnsi"/>
              </w:rPr>
            </w:pPr>
            <w:r>
              <w:rPr>
                <w:rFonts w:asciiTheme="minorHAnsi" w:hAnsiTheme="minorHAnsi" w:cstheme="minorHAnsi"/>
              </w:rPr>
              <w:t>Trinidad and Tobago Trans Gender Coalition</w:t>
            </w:r>
          </w:p>
        </w:tc>
        <w:tc>
          <w:tcPr>
            <w:tcW w:w="3146" w:type="dxa"/>
          </w:tcPr>
          <w:p w14:paraId="2C05947A" w14:textId="1AF94B42" w:rsidR="000918BE" w:rsidRPr="009C793F" w:rsidRDefault="00B43CA4" w:rsidP="00DE19C9">
            <w:pPr>
              <w:jc w:val="both"/>
              <w:rPr>
                <w:rFonts w:asciiTheme="minorHAnsi" w:hAnsiTheme="minorHAnsi" w:cstheme="minorHAnsi"/>
              </w:rPr>
            </w:pPr>
            <w:r>
              <w:rPr>
                <w:rFonts w:asciiTheme="minorHAnsi" w:hAnsiTheme="minorHAnsi" w:cstheme="minorHAnsi"/>
              </w:rPr>
              <w:t>Community Liaison Officer</w:t>
            </w:r>
          </w:p>
        </w:tc>
      </w:tr>
      <w:tr w:rsidR="006B72B0" w:rsidRPr="009C793F" w14:paraId="20D16878" w14:textId="77777777">
        <w:tc>
          <w:tcPr>
            <w:tcW w:w="768" w:type="dxa"/>
          </w:tcPr>
          <w:p w14:paraId="00000326" w14:textId="004A3E9B" w:rsidR="006B72B0" w:rsidRPr="009C793F" w:rsidRDefault="002B2568" w:rsidP="00DE19C9">
            <w:pPr>
              <w:jc w:val="both"/>
              <w:rPr>
                <w:rFonts w:asciiTheme="minorHAnsi" w:hAnsiTheme="minorHAnsi" w:cstheme="minorHAnsi"/>
              </w:rPr>
            </w:pPr>
            <w:r w:rsidRPr="009C793F">
              <w:rPr>
                <w:rFonts w:asciiTheme="minorHAnsi" w:hAnsiTheme="minorHAnsi" w:cstheme="minorHAnsi"/>
              </w:rPr>
              <w:t>4</w:t>
            </w:r>
            <w:r w:rsidR="00B43CA4">
              <w:rPr>
                <w:rFonts w:asciiTheme="minorHAnsi" w:hAnsiTheme="minorHAnsi" w:cstheme="minorHAnsi"/>
              </w:rPr>
              <w:t>7</w:t>
            </w:r>
            <w:r w:rsidRPr="009C793F">
              <w:rPr>
                <w:rFonts w:asciiTheme="minorHAnsi" w:hAnsiTheme="minorHAnsi" w:cstheme="minorHAnsi"/>
              </w:rPr>
              <w:t>.</w:t>
            </w:r>
          </w:p>
        </w:tc>
        <w:tc>
          <w:tcPr>
            <w:tcW w:w="2181" w:type="dxa"/>
          </w:tcPr>
          <w:p w14:paraId="0000032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Simone Aguilera-Hay</w:t>
            </w:r>
          </w:p>
        </w:tc>
        <w:tc>
          <w:tcPr>
            <w:tcW w:w="2383" w:type="dxa"/>
          </w:tcPr>
          <w:p w14:paraId="0000032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Living Waters Community</w:t>
            </w:r>
          </w:p>
        </w:tc>
        <w:tc>
          <w:tcPr>
            <w:tcW w:w="3146" w:type="dxa"/>
          </w:tcPr>
          <w:p w14:paraId="0000032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Education Manager</w:t>
            </w:r>
          </w:p>
        </w:tc>
      </w:tr>
      <w:tr w:rsidR="006B72B0" w:rsidRPr="009C793F" w14:paraId="1CA17BF1" w14:textId="77777777">
        <w:tc>
          <w:tcPr>
            <w:tcW w:w="768" w:type="dxa"/>
          </w:tcPr>
          <w:p w14:paraId="0000032A" w14:textId="154C1C2A" w:rsidR="006B72B0" w:rsidRPr="009C793F" w:rsidRDefault="002B2568" w:rsidP="00DE19C9">
            <w:pPr>
              <w:jc w:val="both"/>
              <w:rPr>
                <w:rFonts w:asciiTheme="minorHAnsi" w:hAnsiTheme="minorHAnsi" w:cstheme="minorHAnsi"/>
              </w:rPr>
            </w:pPr>
            <w:r w:rsidRPr="009C793F">
              <w:rPr>
                <w:rFonts w:asciiTheme="minorHAnsi" w:hAnsiTheme="minorHAnsi" w:cstheme="minorHAnsi"/>
              </w:rPr>
              <w:t>4</w:t>
            </w:r>
            <w:r w:rsidR="00B43CA4">
              <w:rPr>
                <w:rFonts w:asciiTheme="minorHAnsi" w:hAnsiTheme="minorHAnsi" w:cstheme="minorHAnsi"/>
              </w:rPr>
              <w:t>8</w:t>
            </w:r>
            <w:r w:rsidRPr="009C793F">
              <w:rPr>
                <w:rFonts w:asciiTheme="minorHAnsi" w:hAnsiTheme="minorHAnsi" w:cstheme="minorHAnsi"/>
              </w:rPr>
              <w:t>.</w:t>
            </w:r>
          </w:p>
        </w:tc>
        <w:tc>
          <w:tcPr>
            <w:tcW w:w="7710" w:type="dxa"/>
            <w:gridSpan w:val="3"/>
          </w:tcPr>
          <w:p w14:paraId="0000032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National Conversations Whatsapp Group</w:t>
            </w:r>
          </w:p>
        </w:tc>
      </w:tr>
      <w:tr w:rsidR="006B72B0" w:rsidRPr="009C793F" w14:paraId="7A1C96CD" w14:textId="77777777">
        <w:tc>
          <w:tcPr>
            <w:tcW w:w="8478" w:type="dxa"/>
            <w:gridSpan w:val="4"/>
            <w:shd w:val="clear" w:color="auto" w:fill="0070C0"/>
          </w:tcPr>
          <w:p w14:paraId="0000032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b/>
                <w:color w:val="FFFFFF"/>
              </w:rPr>
              <w:t>PRIVATE SECTOR</w:t>
            </w:r>
          </w:p>
        </w:tc>
      </w:tr>
      <w:tr w:rsidR="006B72B0" w:rsidRPr="009C793F" w14:paraId="35D236E7" w14:textId="77777777">
        <w:tc>
          <w:tcPr>
            <w:tcW w:w="768" w:type="dxa"/>
          </w:tcPr>
          <w:p w14:paraId="00000332" w14:textId="13F71485" w:rsidR="006B72B0" w:rsidRPr="009C793F" w:rsidRDefault="002B2568" w:rsidP="00DE19C9">
            <w:pPr>
              <w:jc w:val="both"/>
              <w:rPr>
                <w:rFonts w:asciiTheme="minorHAnsi" w:hAnsiTheme="minorHAnsi" w:cstheme="minorHAnsi"/>
              </w:rPr>
            </w:pPr>
            <w:r w:rsidRPr="009C793F">
              <w:rPr>
                <w:rFonts w:asciiTheme="minorHAnsi" w:hAnsiTheme="minorHAnsi" w:cstheme="minorHAnsi"/>
              </w:rPr>
              <w:t>4</w:t>
            </w:r>
            <w:r w:rsidR="00B43CA4">
              <w:rPr>
                <w:rFonts w:asciiTheme="minorHAnsi" w:hAnsiTheme="minorHAnsi" w:cstheme="minorHAnsi"/>
              </w:rPr>
              <w:t>9</w:t>
            </w:r>
            <w:r w:rsidRPr="009C793F">
              <w:rPr>
                <w:rFonts w:asciiTheme="minorHAnsi" w:hAnsiTheme="minorHAnsi" w:cstheme="minorHAnsi"/>
              </w:rPr>
              <w:t>.</w:t>
            </w:r>
          </w:p>
        </w:tc>
        <w:tc>
          <w:tcPr>
            <w:tcW w:w="2181" w:type="dxa"/>
          </w:tcPr>
          <w:p w14:paraId="0000033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Keston Nancoo</w:t>
            </w:r>
          </w:p>
        </w:tc>
        <w:tc>
          <w:tcPr>
            <w:tcW w:w="2383" w:type="dxa"/>
          </w:tcPr>
          <w:p w14:paraId="0000033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Guardian Holdings Limited</w:t>
            </w:r>
          </w:p>
        </w:tc>
        <w:tc>
          <w:tcPr>
            <w:tcW w:w="3146" w:type="dxa"/>
          </w:tcPr>
          <w:p w14:paraId="0000033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Senior Vice President and Chairman of Employers Consultative Association</w:t>
            </w:r>
          </w:p>
        </w:tc>
      </w:tr>
      <w:tr w:rsidR="006B72B0" w:rsidRPr="009C793F" w14:paraId="5C90FC48" w14:textId="77777777">
        <w:tc>
          <w:tcPr>
            <w:tcW w:w="768" w:type="dxa"/>
          </w:tcPr>
          <w:p w14:paraId="00000336" w14:textId="0BF4822B" w:rsidR="006B72B0" w:rsidRPr="009C793F" w:rsidRDefault="00B43CA4" w:rsidP="00DE19C9">
            <w:pPr>
              <w:jc w:val="both"/>
              <w:rPr>
                <w:rFonts w:asciiTheme="minorHAnsi" w:hAnsiTheme="minorHAnsi" w:cstheme="minorHAnsi"/>
              </w:rPr>
            </w:pPr>
            <w:r>
              <w:rPr>
                <w:rFonts w:asciiTheme="minorHAnsi" w:hAnsiTheme="minorHAnsi" w:cstheme="minorHAnsi"/>
              </w:rPr>
              <w:t>50</w:t>
            </w:r>
            <w:r w:rsidR="002B2568" w:rsidRPr="009C793F">
              <w:rPr>
                <w:rFonts w:asciiTheme="minorHAnsi" w:hAnsiTheme="minorHAnsi" w:cstheme="minorHAnsi"/>
              </w:rPr>
              <w:t>.</w:t>
            </w:r>
          </w:p>
        </w:tc>
        <w:tc>
          <w:tcPr>
            <w:tcW w:w="2181" w:type="dxa"/>
          </w:tcPr>
          <w:p w14:paraId="0000033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Giselle Thompson</w:t>
            </w:r>
          </w:p>
        </w:tc>
        <w:tc>
          <w:tcPr>
            <w:tcW w:w="2383" w:type="dxa"/>
          </w:tcPr>
          <w:p w14:paraId="0000033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British Petroleum</w:t>
            </w:r>
          </w:p>
        </w:tc>
        <w:tc>
          <w:tcPr>
            <w:tcW w:w="3146" w:type="dxa"/>
          </w:tcPr>
          <w:p w14:paraId="0000033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Vice-President, Corporate Operations</w:t>
            </w:r>
          </w:p>
        </w:tc>
      </w:tr>
      <w:tr w:rsidR="006B72B0" w:rsidRPr="009C793F" w14:paraId="412B311F" w14:textId="77777777">
        <w:tc>
          <w:tcPr>
            <w:tcW w:w="768" w:type="dxa"/>
          </w:tcPr>
          <w:p w14:paraId="0000033A" w14:textId="13FEE0BB" w:rsidR="006B72B0" w:rsidRPr="009C793F" w:rsidRDefault="00B43CA4" w:rsidP="00DE19C9">
            <w:pPr>
              <w:jc w:val="both"/>
              <w:rPr>
                <w:rFonts w:asciiTheme="minorHAnsi" w:hAnsiTheme="minorHAnsi" w:cstheme="minorHAnsi"/>
              </w:rPr>
            </w:pPr>
            <w:r>
              <w:rPr>
                <w:rFonts w:asciiTheme="minorHAnsi" w:hAnsiTheme="minorHAnsi" w:cstheme="minorHAnsi"/>
              </w:rPr>
              <w:t>51</w:t>
            </w:r>
            <w:r w:rsidR="002B2568" w:rsidRPr="009C793F">
              <w:rPr>
                <w:rFonts w:asciiTheme="minorHAnsi" w:hAnsiTheme="minorHAnsi" w:cstheme="minorHAnsi"/>
              </w:rPr>
              <w:t>.</w:t>
            </w:r>
          </w:p>
        </w:tc>
        <w:tc>
          <w:tcPr>
            <w:tcW w:w="2181" w:type="dxa"/>
          </w:tcPr>
          <w:p w14:paraId="0000033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Rhonda Francis</w:t>
            </w:r>
          </w:p>
        </w:tc>
        <w:tc>
          <w:tcPr>
            <w:tcW w:w="2383" w:type="dxa"/>
          </w:tcPr>
          <w:p w14:paraId="0000033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British Petroleum</w:t>
            </w:r>
          </w:p>
        </w:tc>
        <w:tc>
          <w:tcPr>
            <w:tcW w:w="3146" w:type="dxa"/>
          </w:tcPr>
          <w:p w14:paraId="0000033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Corporate Responsibility Manager</w:t>
            </w:r>
          </w:p>
        </w:tc>
      </w:tr>
      <w:tr w:rsidR="006B72B0" w:rsidRPr="009C793F" w14:paraId="3108395F" w14:textId="77777777">
        <w:tc>
          <w:tcPr>
            <w:tcW w:w="768" w:type="dxa"/>
          </w:tcPr>
          <w:p w14:paraId="0000033E" w14:textId="06931803"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2</w:t>
            </w:r>
            <w:r w:rsidRPr="009C793F">
              <w:rPr>
                <w:rFonts w:asciiTheme="minorHAnsi" w:hAnsiTheme="minorHAnsi" w:cstheme="minorHAnsi"/>
              </w:rPr>
              <w:t>.</w:t>
            </w:r>
          </w:p>
        </w:tc>
        <w:tc>
          <w:tcPr>
            <w:tcW w:w="2181" w:type="dxa"/>
          </w:tcPr>
          <w:p w14:paraId="0000033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Gabriel Faria</w:t>
            </w:r>
          </w:p>
        </w:tc>
        <w:tc>
          <w:tcPr>
            <w:tcW w:w="2383" w:type="dxa"/>
          </w:tcPr>
          <w:p w14:paraId="0000034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Trinidad and Tobago Chamber of Industry and Commerce</w:t>
            </w:r>
          </w:p>
        </w:tc>
        <w:tc>
          <w:tcPr>
            <w:tcW w:w="3146" w:type="dxa"/>
          </w:tcPr>
          <w:p w14:paraId="0000034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Chief Executive Officer</w:t>
            </w:r>
          </w:p>
        </w:tc>
      </w:tr>
      <w:tr w:rsidR="006B72B0" w:rsidRPr="009C793F" w14:paraId="238DB373" w14:textId="77777777">
        <w:tc>
          <w:tcPr>
            <w:tcW w:w="768" w:type="dxa"/>
          </w:tcPr>
          <w:p w14:paraId="00000342" w14:textId="0F3E75C5"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3</w:t>
            </w:r>
            <w:r w:rsidRPr="009C793F">
              <w:rPr>
                <w:rFonts w:asciiTheme="minorHAnsi" w:hAnsiTheme="minorHAnsi" w:cstheme="minorHAnsi"/>
              </w:rPr>
              <w:t>.</w:t>
            </w:r>
          </w:p>
        </w:tc>
        <w:tc>
          <w:tcPr>
            <w:tcW w:w="2181" w:type="dxa"/>
          </w:tcPr>
          <w:p w14:paraId="0000034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Anthony Sabga III</w:t>
            </w:r>
          </w:p>
        </w:tc>
        <w:tc>
          <w:tcPr>
            <w:tcW w:w="2383" w:type="dxa"/>
          </w:tcPr>
          <w:p w14:paraId="0000034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ANSA McAl Group of Companies</w:t>
            </w:r>
          </w:p>
        </w:tc>
        <w:tc>
          <w:tcPr>
            <w:tcW w:w="3146" w:type="dxa"/>
          </w:tcPr>
          <w:p w14:paraId="0000034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Chief Executive Officer</w:t>
            </w:r>
          </w:p>
        </w:tc>
      </w:tr>
      <w:tr w:rsidR="006B72B0" w:rsidRPr="009C793F" w14:paraId="0E2A16A0" w14:textId="77777777">
        <w:tc>
          <w:tcPr>
            <w:tcW w:w="768" w:type="dxa"/>
            <w:tcBorders>
              <w:bottom w:val="single" w:sz="4" w:space="0" w:color="000000"/>
            </w:tcBorders>
          </w:tcPr>
          <w:p w14:paraId="00000346" w14:textId="1EB3193F"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4</w:t>
            </w:r>
            <w:r w:rsidRPr="009C793F">
              <w:rPr>
                <w:rFonts w:asciiTheme="minorHAnsi" w:hAnsiTheme="minorHAnsi" w:cstheme="minorHAnsi"/>
              </w:rPr>
              <w:t>.</w:t>
            </w:r>
          </w:p>
        </w:tc>
        <w:tc>
          <w:tcPr>
            <w:tcW w:w="2181" w:type="dxa"/>
            <w:tcBorders>
              <w:bottom w:val="single" w:sz="4" w:space="0" w:color="000000"/>
            </w:tcBorders>
          </w:tcPr>
          <w:p w14:paraId="0000034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Thackwray Driver</w:t>
            </w:r>
          </w:p>
        </w:tc>
        <w:tc>
          <w:tcPr>
            <w:tcW w:w="2383" w:type="dxa"/>
            <w:tcBorders>
              <w:bottom w:val="single" w:sz="4" w:space="0" w:color="000000"/>
            </w:tcBorders>
          </w:tcPr>
          <w:p w14:paraId="0000034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Energy Chamber</w:t>
            </w:r>
          </w:p>
        </w:tc>
        <w:tc>
          <w:tcPr>
            <w:tcW w:w="3146" w:type="dxa"/>
            <w:tcBorders>
              <w:bottom w:val="single" w:sz="4" w:space="0" w:color="000000"/>
            </w:tcBorders>
          </w:tcPr>
          <w:p w14:paraId="0000034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Chief Executive Officer</w:t>
            </w:r>
          </w:p>
        </w:tc>
      </w:tr>
      <w:tr w:rsidR="006B72B0" w:rsidRPr="009C793F" w14:paraId="7FB2B56A" w14:textId="77777777">
        <w:tc>
          <w:tcPr>
            <w:tcW w:w="768" w:type="dxa"/>
            <w:tcBorders>
              <w:bottom w:val="single" w:sz="4" w:space="0" w:color="000000"/>
            </w:tcBorders>
          </w:tcPr>
          <w:p w14:paraId="0000034A" w14:textId="388E3F91"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5</w:t>
            </w:r>
            <w:r w:rsidRPr="009C793F">
              <w:rPr>
                <w:rFonts w:asciiTheme="minorHAnsi" w:hAnsiTheme="minorHAnsi" w:cstheme="minorHAnsi"/>
              </w:rPr>
              <w:t>.</w:t>
            </w:r>
          </w:p>
        </w:tc>
        <w:tc>
          <w:tcPr>
            <w:tcW w:w="2181" w:type="dxa"/>
            <w:tcBorders>
              <w:bottom w:val="single" w:sz="4" w:space="0" w:color="000000"/>
            </w:tcBorders>
          </w:tcPr>
          <w:p w14:paraId="0000034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Liam Donnelly</w:t>
            </w:r>
          </w:p>
        </w:tc>
        <w:tc>
          <w:tcPr>
            <w:tcW w:w="2383" w:type="dxa"/>
            <w:tcBorders>
              <w:bottom w:val="single" w:sz="4" w:space="0" w:color="000000"/>
            </w:tcBorders>
          </w:tcPr>
          <w:p w14:paraId="0000034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Digicel</w:t>
            </w:r>
          </w:p>
        </w:tc>
        <w:tc>
          <w:tcPr>
            <w:tcW w:w="3146" w:type="dxa"/>
            <w:tcBorders>
              <w:bottom w:val="single" w:sz="4" w:space="0" w:color="000000"/>
            </w:tcBorders>
          </w:tcPr>
          <w:p w14:paraId="0000034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General Manager </w:t>
            </w:r>
          </w:p>
        </w:tc>
      </w:tr>
      <w:tr w:rsidR="006B72B0" w:rsidRPr="009C793F" w14:paraId="05E693AE" w14:textId="77777777">
        <w:tc>
          <w:tcPr>
            <w:tcW w:w="8478" w:type="dxa"/>
            <w:gridSpan w:val="4"/>
            <w:shd w:val="clear" w:color="auto" w:fill="0070C0"/>
          </w:tcPr>
          <w:p w14:paraId="0000034E"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b/>
                <w:color w:val="FFFFFF"/>
              </w:rPr>
              <w:t>DEVELOPMENT PARTNERS</w:t>
            </w:r>
          </w:p>
        </w:tc>
      </w:tr>
      <w:tr w:rsidR="006B72B0" w:rsidRPr="009C793F" w14:paraId="79BC2A89" w14:textId="77777777">
        <w:tc>
          <w:tcPr>
            <w:tcW w:w="768" w:type="dxa"/>
          </w:tcPr>
          <w:p w14:paraId="00000352" w14:textId="05B5764F"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6</w:t>
            </w:r>
            <w:r w:rsidRPr="009C793F">
              <w:rPr>
                <w:rFonts w:asciiTheme="minorHAnsi" w:hAnsiTheme="minorHAnsi" w:cstheme="minorHAnsi"/>
              </w:rPr>
              <w:t>.</w:t>
            </w:r>
          </w:p>
        </w:tc>
        <w:tc>
          <w:tcPr>
            <w:tcW w:w="2181" w:type="dxa"/>
          </w:tcPr>
          <w:p w14:paraId="0000035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Joelene Josse</w:t>
            </w:r>
          </w:p>
        </w:tc>
        <w:tc>
          <w:tcPr>
            <w:tcW w:w="2383" w:type="dxa"/>
          </w:tcPr>
          <w:p w14:paraId="0000035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British High Commission</w:t>
            </w:r>
          </w:p>
        </w:tc>
        <w:tc>
          <w:tcPr>
            <w:tcW w:w="3146" w:type="dxa"/>
          </w:tcPr>
          <w:p w14:paraId="0000035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Head, Political and Economic Team</w:t>
            </w:r>
          </w:p>
        </w:tc>
      </w:tr>
      <w:tr w:rsidR="006B72B0" w:rsidRPr="009C793F" w14:paraId="42B8D00B" w14:textId="77777777">
        <w:tc>
          <w:tcPr>
            <w:tcW w:w="768" w:type="dxa"/>
          </w:tcPr>
          <w:p w14:paraId="00000356" w14:textId="17479E8C"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7</w:t>
            </w:r>
            <w:r w:rsidRPr="009C793F">
              <w:rPr>
                <w:rFonts w:asciiTheme="minorHAnsi" w:hAnsiTheme="minorHAnsi" w:cstheme="minorHAnsi"/>
              </w:rPr>
              <w:t>.</w:t>
            </w:r>
          </w:p>
        </w:tc>
        <w:tc>
          <w:tcPr>
            <w:tcW w:w="2181" w:type="dxa"/>
          </w:tcPr>
          <w:p w14:paraId="00000357"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Samantha Montanari</w:t>
            </w:r>
          </w:p>
        </w:tc>
        <w:tc>
          <w:tcPr>
            <w:tcW w:w="2383" w:type="dxa"/>
          </w:tcPr>
          <w:p w14:paraId="00000358"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British High Commission</w:t>
            </w:r>
          </w:p>
        </w:tc>
        <w:tc>
          <w:tcPr>
            <w:tcW w:w="3146" w:type="dxa"/>
          </w:tcPr>
          <w:p w14:paraId="00000359"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Second Secretary, Regional Security</w:t>
            </w:r>
          </w:p>
        </w:tc>
      </w:tr>
      <w:tr w:rsidR="006B72B0" w:rsidRPr="009C793F" w14:paraId="4711FCA7" w14:textId="77777777">
        <w:tc>
          <w:tcPr>
            <w:tcW w:w="768" w:type="dxa"/>
          </w:tcPr>
          <w:p w14:paraId="0000035A" w14:textId="7E0B246C"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8</w:t>
            </w:r>
            <w:r w:rsidRPr="009C793F">
              <w:rPr>
                <w:rFonts w:asciiTheme="minorHAnsi" w:hAnsiTheme="minorHAnsi" w:cstheme="minorHAnsi"/>
              </w:rPr>
              <w:t>.</w:t>
            </w:r>
          </w:p>
        </w:tc>
        <w:tc>
          <w:tcPr>
            <w:tcW w:w="2181" w:type="dxa"/>
          </w:tcPr>
          <w:p w14:paraId="0000035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Maia Hibben</w:t>
            </w:r>
          </w:p>
        </w:tc>
        <w:tc>
          <w:tcPr>
            <w:tcW w:w="2383" w:type="dxa"/>
          </w:tcPr>
          <w:p w14:paraId="0000035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British High Commission </w:t>
            </w:r>
          </w:p>
        </w:tc>
        <w:tc>
          <w:tcPr>
            <w:tcW w:w="3146" w:type="dxa"/>
          </w:tcPr>
          <w:p w14:paraId="0000035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Justice and Policy Security Officer</w:t>
            </w:r>
          </w:p>
        </w:tc>
      </w:tr>
      <w:tr w:rsidR="006B72B0" w:rsidRPr="009C793F" w14:paraId="18167786" w14:textId="77777777">
        <w:tc>
          <w:tcPr>
            <w:tcW w:w="768" w:type="dxa"/>
          </w:tcPr>
          <w:p w14:paraId="0000035E" w14:textId="536CEF3C" w:rsidR="006B72B0" w:rsidRPr="009C793F" w:rsidRDefault="002B2568" w:rsidP="00DE19C9">
            <w:pPr>
              <w:jc w:val="both"/>
              <w:rPr>
                <w:rFonts w:asciiTheme="minorHAnsi" w:hAnsiTheme="minorHAnsi" w:cstheme="minorHAnsi"/>
              </w:rPr>
            </w:pPr>
            <w:r w:rsidRPr="009C793F">
              <w:rPr>
                <w:rFonts w:asciiTheme="minorHAnsi" w:hAnsiTheme="minorHAnsi" w:cstheme="minorHAnsi"/>
              </w:rPr>
              <w:t>5</w:t>
            </w:r>
            <w:r w:rsidR="00B43CA4">
              <w:rPr>
                <w:rFonts w:asciiTheme="minorHAnsi" w:hAnsiTheme="minorHAnsi" w:cstheme="minorHAnsi"/>
              </w:rPr>
              <w:t>9</w:t>
            </w:r>
            <w:r w:rsidRPr="009C793F">
              <w:rPr>
                <w:rFonts w:asciiTheme="minorHAnsi" w:hAnsiTheme="minorHAnsi" w:cstheme="minorHAnsi"/>
              </w:rPr>
              <w:t>.</w:t>
            </w:r>
          </w:p>
        </w:tc>
        <w:tc>
          <w:tcPr>
            <w:tcW w:w="2181" w:type="dxa"/>
          </w:tcPr>
          <w:p w14:paraId="0000035F" w14:textId="77777777" w:rsidR="006B72B0" w:rsidRPr="009C793F" w:rsidRDefault="006B72B0" w:rsidP="00DE19C9">
            <w:pPr>
              <w:jc w:val="both"/>
              <w:rPr>
                <w:rFonts w:asciiTheme="minorHAnsi" w:hAnsiTheme="minorHAnsi" w:cstheme="minorHAnsi"/>
              </w:rPr>
            </w:pPr>
          </w:p>
        </w:tc>
        <w:tc>
          <w:tcPr>
            <w:tcW w:w="2383" w:type="dxa"/>
          </w:tcPr>
          <w:p w14:paraId="0000036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Caribbean Development Bank </w:t>
            </w:r>
          </w:p>
        </w:tc>
        <w:tc>
          <w:tcPr>
            <w:tcW w:w="3146" w:type="dxa"/>
          </w:tcPr>
          <w:p w14:paraId="00000361" w14:textId="77777777" w:rsidR="006B72B0" w:rsidRPr="009C793F" w:rsidRDefault="006B72B0" w:rsidP="00DE19C9">
            <w:pPr>
              <w:jc w:val="both"/>
              <w:rPr>
                <w:rFonts w:asciiTheme="minorHAnsi" w:hAnsiTheme="minorHAnsi" w:cstheme="minorHAnsi"/>
              </w:rPr>
            </w:pPr>
          </w:p>
        </w:tc>
      </w:tr>
      <w:tr w:rsidR="006B72B0" w:rsidRPr="009C793F" w14:paraId="30F415E4" w14:textId="77777777">
        <w:tc>
          <w:tcPr>
            <w:tcW w:w="768" w:type="dxa"/>
          </w:tcPr>
          <w:p w14:paraId="5682346C" w14:textId="5067444E" w:rsidR="002B2568" w:rsidRPr="009C793F" w:rsidRDefault="00B43CA4" w:rsidP="00DE19C9">
            <w:pPr>
              <w:jc w:val="both"/>
              <w:rPr>
                <w:rFonts w:asciiTheme="minorHAnsi" w:hAnsiTheme="minorHAnsi" w:cstheme="minorHAnsi"/>
              </w:rPr>
            </w:pPr>
            <w:r>
              <w:rPr>
                <w:rFonts w:asciiTheme="minorHAnsi" w:hAnsiTheme="minorHAnsi" w:cstheme="minorHAnsi"/>
              </w:rPr>
              <w:t>60</w:t>
            </w:r>
            <w:r w:rsidR="000C43C1" w:rsidRPr="009C793F">
              <w:rPr>
                <w:rFonts w:asciiTheme="minorHAnsi" w:hAnsiTheme="minorHAnsi" w:cstheme="minorHAnsi"/>
              </w:rPr>
              <w:t>.</w:t>
            </w:r>
          </w:p>
          <w:p w14:paraId="00000362" w14:textId="5642AA0A" w:rsidR="002B2568" w:rsidRPr="009C793F" w:rsidRDefault="002B2568" w:rsidP="00DE19C9">
            <w:pPr>
              <w:jc w:val="both"/>
              <w:rPr>
                <w:rFonts w:asciiTheme="minorHAnsi" w:hAnsiTheme="minorHAnsi" w:cstheme="minorHAnsi"/>
              </w:rPr>
            </w:pPr>
          </w:p>
        </w:tc>
        <w:tc>
          <w:tcPr>
            <w:tcW w:w="2181" w:type="dxa"/>
          </w:tcPr>
          <w:p w14:paraId="00000363"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Gianpiero Leoncini</w:t>
            </w:r>
          </w:p>
        </w:tc>
        <w:tc>
          <w:tcPr>
            <w:tcW w:w="2383" w:type="dxa"/>
          </w:tcPr>
          <w:p w14:paraId="00000364"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CAF Bank </w:t>
            </w:r>
          </w:p>
        </w:tc>
        <w:tc>
          <w:tcPr>
            <w:tcW w:w="3146" w:type="dxa"/>
          </w:tcPr>
          <w:p w14:paraId="00000365"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Director and Representative </w:t>
            </w:r>
          </w:p>
        </w:tc>
      </w:tr>
      <w:tr w:rsidR="006B72B0" w:rsidRPr="009C793F" w14:paraId="1EF886E0" w14:textId="77777777">
        <w:tc>
          <w:tcPr>
            <w:tcW w:w="768" w:type="dxa"/>
          </w:tcPr>
          <w:p w14:paraId="00000366" w14:textId="56323CFA" w:rsidR="006B72B0" w:rsidRPr="009C793F" w:rsidRDefault="00B43CA4" w:rsidP="00DE19C9">
            <w:pPr>
              <w:jc w:val="both"/>
              <w:rPr>
                <w:rFonts w:asciiTheme="minorHAnsi" w:hAnsiTheme="minorHAnsi" w:cstheme="minorHAnsi"/>
              </w:rPr>
            </w:pPr>
            <w:r>
              <w:rPr>
                <w:rFonts w:asciiTheme="minorHAnsi" w:hAnsiTheme="minorHAnsi" w:cstheme="minorHAnsi"/>
              </w:rPr>
              <w:t>61</w:t>
            </w:r>
            <w:r w:rsidR="000C43C1" w:rsidRPr="009C793F">
              <w:rPr>
                <w:rFonts w:asciiTheme="minorHAnsi" w:hAnsiTheme="minorHAnsi" w:cstheme="minorHAnsi"/>
              </w:rPr>
              <w:t>.</w:t>
            </w:r>
          </w:p>
        </w:tc>
        <w:tc>
          <w:tcPr>
            <w:tcW w:w="2181" w:type="dxa"/>
          </w:tcPr>
          <w:p w14:paraId="00000367" w14:textId="51834843" w:rsidR="006B72B0" w:rsidRPr="009C793F" w:rsidRDefault="000C43C1" w:rsidP="00DE19C9">
            <w:pPr>
              <w:jc w:val="both"/>
              <w:rPr>
                <w:rFonts w:asciiTheme="minorHAnsi" w:hAnsiTheme="minorHAnsi" w:cstheme="minorHAnsi"/>
              </w:rPr>
            </w:pPr>
            <w:r w:rsidRPr="009C793F">
              <w:rPr>
                <w:rFonts w:asciiTheme="minorHAnsi" w:hAnsiTheme="minorHAnsi" w:cstheme="minorHAnsi"/>
              </w:rPr>
              <w:t>Donna Jeffrey-Kaidou</w:t>
            </w:r>
          </w:p>
        </w:tc>
        <w:tc>
          <w:tcPr>
            <w:tcW w:w="2383" w:type="dxa"/>
          </w:tcPr>
          <w:p w14:paraId="00000368" w14:textId="325F8B06" w:rsidR="006B72B0" w:rsidRPr="009C793F" w:rsidRDefault="000C43C1" w:rsidP="00DE19C9">
            <w:pPr>
              <w:jc w:val="both"/>
              <w:rPr>
                <w:rFonts w:asciiTheme="minorHAnsi" w:hAnsiTheme="minorHAnsi" w:cstheme="minorHAnsi"/>
              </w:rPr>
            </w:pPr>
            <w:r w:rsidRPr="009C793F">
              <w:rPr>
                <w:rFonts w:asciiTheme="minorHAnsi" w:hAnsiTheme="minorHAnsi" w:cstheme="minorHAnsi"/>
              </w:rPr>
              <w:t>Economist</w:t>
            </w:r>
          </w:p>
        </w:tc>
        <w:tc>
          <w:tcPr>
            <w:tcW w:w="3146" w:type="dxa"/>
          </w:tcPr>
          <w:p w14:paraId="00000369" w14:textId="3490FD0D" w:rsidR="006B72B0" w:rsidRPr="009C793F" w:rsidRDefault="000C43C1" w:rsidP="00DE19C9">
            <w:pPr>
              <w:jc w:val="both"/>
              <w:rPr>
                <w:rFonts w:asciiTheme="minorHAnsi" w:hAnsiTheme="minorHAnsi" w:cstheme="minorHAnsi"/>
              </w:rPr>
            </w:pPr>
            <w:r w:rsidRPr="009C793F">
              <w:rPr>
                <w:rFonts w:asciiTheme="minorHAnsi" w:hAnsiTheme="minorHAnsi" w:cstheme="minorHAnsi"/>
              </w:rPr>
              <w:t xml:space="preserve">Caribbean Development Bank </w:t>
            </w:r>
          </w:p>
        </w:tc>
      </w:tr>
      <w:tr w:rsidR="006B72B0" w:rsidRPr="009C793F" w14:paraId="3F5AF7F2" w14:textId="77777777">
        <w:tc>
          <w:tcPr>
            <w:tcW w:w="768" w:type="dxa"/>
          </w:tcPr>
          <w:p w14:paraId="0000036A" w14:textId="7CC80887" w:rsidR="006B72B0" w:rsidRPr="009C793F" w:rsidRDefault="000C43C1" w:rsidP="00DE19C9">
            <w:pPr>
              <w:jc w:val="both"/>
              <w:rPr>
                <w:rFonts w:asciiTheme="minorHAnsi" w:hAnsiTheme="minorHAnsi" w:cstheme="minorHAnsi"/>
              </w:rPr>
            </w:pPr>
            <w:r w:rsidRPr="009C793F">
              <w:rPr>
                <w:rFonts w:asciiTheme="minorHAnsi" w:hAnsiTheme="minorHAnsi" w:cstheme="minorHAnsi"/>
              </w:rPr>
              <w:t>6</w:t>
            </w:r>
            <w:r w:rsidR="00B43CA4">
              <w:rPr>
                <w:rFonts w:asciiTheme="minorHAnsi" w:hAnsiTheme="minorHAnsi" w:cstheme="minorHAnsi"/>
              </w:rPr>
              <w:t>2</w:t>
            </w:r>
            <w:r w:rsidRPr="009C793F">
              <w:rPr>
                <w:rFonts w:asciiTheme="minorHAnsi" w:hAnsiTheme="minorHAnsi" w:cstheme="minorHAnsi"/>
              </w:rPr>
              <w:t>.</w:t>
            </w:r>
          </w:p>
        </w:tc>
        <w:tc>
          <w:tcPr>
            <w:tcW w:w="2181" w:type="dxa"/>
          </w:tcPr>
          <w:p w14:paraId="0000036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Juan-Luis Molinuevo</w:t>
            </w:r>
          </w:p>
        </w:tc>
        <w:tc>
          <w:tcPr>
            <w:tcW w:w="2383" w:type="dxa"/>
          </w:tcPr>
          <w:p w14:paraId="0000036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European Union </w:t>
            </w:r>
          </w:p>
        </w:tc>
        <w:tc>
          <w:tcPr>
            <w:tcW w:w="3146" w:type="dxa"/>
          </w:tcPr>
          <w:p w14:paraId="0000036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Programme Manager and OiC</w:t>
            </w:r>
          </w:p>
        </w:tc>
      </w:tr>
      <w:tr w:rsidR="006B72B0" w:rsidRPr="009C793F" w14:paraId="1FE6DE13" w14:textId="77777777">
        <w:tc>
          <w:tcPr>
            <w:tcW w:w="768" w:type="dxa"/>
          </w:tcPr>
          <w:p w14:paraId="0000036E" w14:textId="034B805D" w:rsidR="006B72B0" w:rsidRPr="009C793F" w:rsidRDefault="000C43C1" w:rsidP="00DE19C9">
            <w:pPr>
              <w:jc w:val="both"/>
              <w:rPr>
                <w:rFonts w:asciiTheme="minorHAnsi" w:hAnsiTheme="minorHAnsi" w:cstheme="minorHAnsi"/>
              </w:rPr>
            </w:pPr>
            <w:r w:rsidRPr="009C793F">
              <w:rPr>
                <w:rFonts w:asciiTheme="minorHAnsi" w:hAnsiTheme="minorHAnsi" w:cstheme="minorHAnsi"/>
              </w:rPr>
              <w:t>6</w:t>
            </w:r>
            <w:r w:rsidR="00B43CA4">
              <w:rPr>
                <w:rFonts w:asciiTheme="minorHAnsi" w:hAnsiTheme="minorHAnsi" w:cstheme="minorHAnsi"/>
              </w:rPr>
              <w:t>3</w:t>
            </w:r>
            <w:r w:rsidRPr="009C793F">
              <w:rPr>
                <w:rFonts w:asciiTheme="minorHAnsi" w:hAnsiTheme="minorHAnsi" w:cstheme="minorHAnsi"/>
              </w:rPr>
              <w:t>.</w:t>
            </w:r>
          </w:p>
        </w:tc>
        <w:tc>
          <w:tcPr>
            <w:tcW w:w="2181" w:type="dxa"/>
          </w:tcPr>
          <w:p w14:paraId="0000036F"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Jeetendra Khadan</w:t>
            </w:r>
          </w:p>
        </w:tc>
        <w:tc>
          <w:tcPr>
            <w:tcW w:w="2383" w:type="dxa"/>
          </w:tcPr>
          <w:p w14:paraId="00000370"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Inter-American Development Bank </w:t>
            </w:r>
          </w:p>
        </w:tc>
        <w:tc>
          <w:tcPr>
            <w:tcW w:w="3146" w:type="dxa"/>
          </w:tcPr>
          <w:p w14:paraId="00000371"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Senior Economic Specialist</w:t>
            </w:r>
          </w:p>
        </w:tc>
      </w:tr>
      <w:tr w:rsidR="006B72B0" w:rsidRPr="009C793F" w14:paraId="6C437DC4" w14:textId="77777777">
        <w:tc>
          <w:tcPr>
            <w:tcW w:w="768" w:type="dxa"/>
          </w:tcPr>
          <w:p w14:paraId="0000037A" w14:textId="3A56432E" w:rsidR="006B72B0" w:rsidRPr="009C793F" w:rsidRDefault="000C43C1" w:rsidP="00DE19C9">
            <w:pPr>
              <w:jc w:val="both"/>
              <w:rPr>
                <w:rFonts w:asciiTheme="minorHAnsi" w:hAnsiTheme="minorHAnsi" w:cstheme="minorHAnsi"/>
              </w:rPr>
            </w:pPr>
            <w:r w:rsidRPr="009C793F">
              <w:rPr>
                <w:rFonts w:asciiTheme="minorHAnsi" w:hAnsiTheme="minorHAnsi" w:cstheme="minorHAnsi"/>
              </w:rPr>
              <w:t>6</w:t>
            </w:r>
            <w:r w:rsidR="00B43CA4">
              <w:rPr>
                <w:rFonts w:asciiTheme="minorHAnsi" w:hAnsiTheme="minorHAnsi" w:cstheme="minorHAnsi"/>
              </w:rPr>
              <w:t>4</w:t>
            </w:r>
            <w:r w:rsidRPr="009C793F">
              <w:rPr>
                <w:rFonts w:asciiTheme="minorHAnsi" w:hAnsiTheme="minorHAnsi" w:cstheme="minorHAnsi"/>
              </w:rPr>
              <w:t>.</w:t>
            </w:r>
          </w:p>
        </w:tc>
        <w:tc>
          <w:tcPr>
            <w:tcW w:w="2181" w:type="dxa"/>
          </w:tcPr>
          <w:p w14:paraId="0000037B"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Matt Ciesielski</w:t>
            </w:r>
          </w:p>
        </w:tc>
        <w:tc>
          <w:tcPr>
            <w:tcW w:w="2383" w:type="dxa"/>
          </w:tcPr>
          <w:p w14:paraId="0000037C"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 xml:space="preserve">Embassy, United States of America </w:t>
            </w:r>
          </w:p>
        </w:tc>
        <w:tc>
          <w:tcPr>
            <w:tcW w:w="3146" w:type="dxa"/>
          </w:tcPr>
          <w:p w14:paraId="0000037D" w14:textId="77777777" w:rsidR="006B72B0" w:rsidRPr="009C793F" w:rsidRDefault="00845012" w:rsidP="00DE19C9">
            <w:pPr>
              <w:jc w:val="both"/>
              <w:rPr>
                <w:rFonts w:asciiTheme="minorHAnsi" w:hAnsiTheme="minorHAnsi" w:cstheme="minorHAnsi"/>
              </w:rPr>
            </w:pPr>
            <w:r w:rsidRPr="009C793F">
              <w:rPr>
                <w:rFonts w:asciiTheme="minorHAnsi" w:hAnsiTheme="minorHAnsi" w:cstheme="minorHAnsi"/>
              </w:rPr>
              <w:t>Political-Economic Officer</w:t>
            </w:r>
          </w:p>
        </w:tc>
      </w:tr>
    </w:tbl>
    <w:p w14:paraId="0000037E" w14:textId="77777777" w:rsidR="006B72B0" w:rsidRPr="009C793F" w:rsidRDefault="006B72B0" w:rsidP="00DE19C9">
      <w:pPr>
        <w:jc w:val="both"/>
        <w:rPr>
          <w:rFonts w:asciiTheme="minorHAnsi" w:hAnsiTheme="minorHAnsi" w:cstheme="minorHAnsi"/>
          <w:b/>
          <w:color w:val="0070C0"/>
        </w:rPr>
      </w:pPr>
    </w:p>
    <w:p w14:paraId="00000381" w14:textId="438081CA" w:rsidR="006B72B0" w:rsidRPr="009C793F" w:rsidRDefault="006B72B0" w:rsidP="00DE19C9">
      <w:pPr>
        <w:jc w:val="both"/>
        <w:rPr>
          <w:rFonts w:asciiTheme="minorHAnsi" w:hAnsiTheme="minorHAnsi" w:cstheme="minorHAnsi"/>
        </w:rPr>
      </w:pPr>
    </w:p>
    <w:sectPr w:rsidR="006B72B0" w:rsidRPr="009C793F" w:rsidSect="0066096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AA732" w14:textId="77777777" w:rsidR="00AC259B" w:rsidRDefault="00AC259B">
      <w:r>
        <w:separator/>
      </w:r>
    </w:p>
  </w:endnote>
  <w:endnote w:type="continuationSeparator" w:id="0">
    <w:p w14:paraId="12554D6A" w14:textId="77777777" w:rsidR="00AC259B" w:rsidRDefault="00AC25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3547927"/>
      <w:docPartObj>
        <w:docPartGallery w:val="Page Numbers (Bottom of Page)"/>
        <w:docPartUnique/>
      </w:docPartObj>
    </w:sdtPr>
    <w:sdtEndPr>
      <w:rPr>
        <w:noProof/>
      </w:rPr>
    </w:sdtEndPr>
    <w:sdtContent>
      <w:p w14:paraId="6A89E13D" w14:textId="0A780E7F" w:rsidR="00C86F4B" w:rsidRDefault="00C86F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00044F" w14:textId="4F1CB57A" w:rsidR="00C86F4B" w:rsidRDefault="00C86F4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8910490"/>
      <w:docPartObj>
        <w:docPartGallery w:val="Page Numbers (Bottom of Page)"/>
        <w:docPartUnique/>
      </w:docPartObj>
    </w:sdtPr>
    <w:sdtEndPr>
      <w:rPr>
        <w:noProof/>
      </w:rPr>
    </w:sdtEndPr>
    <w:sdtContent>
      <w:p w14:paraId="05BFD13E" w14:textId="47020106" w:rsidR="00C86F4B" w:rsidRDefault="00C86F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FD4A446" w14:textId="77777777" w:rsidR="00C86F4B" w:rsidRDefault="00C86F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4F39B" w14:textId="77777777" w:rsidR="00AC259B" w:rsidRDefault="00AC259B">
      <w:r>
        <w:separator/>
      </w:r>
    </w:p>
  </w:footnote>
  <w:footnote w:type="continuationSeparator" w:id="0">
    <w:p w14:paraId="19163006" w14:textId="77777777" w:rsidR="00AC259B" w:rsidRDefault="00AC259B">
      <w:r>
        <w:continuationSeparator/>
      </w:r>
    </w:p>
  </w:footnote>
  <w:footnote w:id="1">
    <w:p w14:paraId="00000382"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1">
        <w:r w:rsidRPr="00DE19C9">
          <w:rPr>
            <w:rFonts w:asciiTheme="minorHAnsi" w:hAnsiTheme="minorHAnsi" w:cstheme="minorHAnsi"/>
            <w:color w:val="0000FF"/>
            <w:sz w:val="18"/>
            <w:szCs w:val="18"/>
            <w:u w:val="single"/>
          </w:rPr>
          <w:t>State of World Population 2019 | UNFPA - United Nations Population Fund</w:t>
        </w:r>
      </w:hyperlink>
    </w:p>
  </w:footnote>
  <w:footnote w:id="2">
    <w:p w14:paraId="00000383"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eastAsia="Arial" w:hAnsiTheme="minorHAnsi" w:cstheme="minorHAnsi"/>
          <w:color w:val="000000"/>
          <w:sz w:val="18"/>
          <w:szCs w:val="18"/>
        </w:rPr>
        <w:t>World Bank: https://data.worldbank.org/indicator/NY.GNP.PCAP.CD?locations=TT</w:t>
      </w:r>
    </w:p>
  </w:footnote>
  <w:footnote w:id="3">
    <w:p w14:paraId="00000384"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2">
        <w:r w:rsidRPr="00DE19C9">
          <w:rPr>
            <w:rFonts w:asciiTheme="minorHAnsi" w:hAnsiTheme="minorHAnsi" w:cstheme="minorHAnsi"/>
            <w:color w:val="0000FF"/>
            <w:sz w:val="18"/>
            <w:szCs w:val="18"/>
            <w:u w:val="single"/>
          </w:rPr>
          <w:t>Report of the Roadmap to Recovery Committee -July 2020 | Ministry of Planning and Development</w:t>
        </w:r>
      </w:hyperlink>
    </w:p>
  </w:footnote>
  <w:footnote w:id="4">
    <w:p w14:paraId="0000038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3">
        <w:r w:rsidRPr="00DE19C9">
          <w:rPr>
            <w:rFonts w:asciiTheme="minorHAnsi" w:hAnsiTheme="minorHAnsi" w:cstheme="minorHAnsi"/>
            <w:color w:val="0563C1"/>
            <w:sz w:val="18"/>
            <w:szCs w:val="18"/>
            <w:u w:val="single"/>
          </w:rPr>
          <w:t>https://tradingeconomics.com/trinidad-and-tobago/balance-of-trade</w:t>
        </w:r>
      </w:hyperlink>
      <w:r w:rsidRPr="00DE19C9">
        <w:rPr>
          <w:rFonts w:asciiTheme="minorHAnsi" w:hAnsiTheme="minorHAnsi" w:cstheme="minorHAnsi"/>
          <w:color w:val="000000"/>
          <w:sz w:val="18"/>
          <w:szCs w:val="18"/>
        </w:rPr>
        <w:t xml:space="preserve">  </w:t>
      </w:r>
    </w:p>
  </w:footnote>
  <w:footnote w:id="5">
    <w:p w14:paraId="00000388" w14:textId="5F94157A" w:rsidR="00C86F4B" w:rsidRPr="00DE19C9" w:rsidRDefault="00C86F4B" w:rsidP="00DE19C9">
      <w:pPr>
        <w:pBdr>
          <w:top w:val="nil"/>
          <w:left w:val="nil"/>
          <w:bottom w:val="nil"/>
          <w:right w:val="nil"/>
          <w:between w:val="nil"/>
        </w:pBdr>
        <w:rPr>
          <w:rFonts w:asciiTheme="minorHAnsi" w:hAnsiTheme="minorHAnsi" w:cstheme="minorHAnsi"/>
          <w:color w:val="0563C1"/>
          <w:sz w:val="18"/>
          <w:szCs w:val="18"/>
          <w:u w:val="single"/>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4">
        <w:r w:rsidRPr="00DE19C9">
          <w:rPr>
            <w:rFonts w:asciiTheme="minorHAnsi" w:hAnsiTheme="minorHAnsi" w:cstheme="minorHAnsi"/>
            <w:color w:val="0000FF"/>
            <w:sz w:val="18"/>
            <w:szCs w:val="18"/>
            <w:u w:val="single"/>
          </w:rPr>
          <w:t>https://www.worldbank.org/en/topic/labormarkets/brief/migration-and-remittances</w:t>
        </w:r>
      </w:hyperlink>
    </w:p>
  </w:footnote>
  <w:footnote w:id="6">
    <w:p w14:paraId="00000389" w14:textId="7D51BC8E"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COVAX, formally known as the COVID-19 Vaccines Global Access Facility is a global initiative aimed at working with vaccine manufacturers to provide countries worldwide equitable access to safe and effective vaccines, once they are licensed and approved.</w:t>
      </w:r>
    </w:p>
  </w:footnote>
  <w:footnote w:id="7">
    <w:p w14:paraId="0000038A"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5">
        <w:r w:rsidRPr="00DE19C9">
          <w:rPr>
            <w:rFonts w:asciiTheme="minorHAnsi" w:hAnsiTheme="minorHAnsi" w:cstheme="minorHAnsi"/>
            <w:color w:val="0000FF"/>
            <w:sz w:val="18"/>
            <w:szCs w:val="18"/>
            <w:u w:val="single"/>
          </w:rPr>
          <w:t>https://www.guardian.co.tt/news/pm-tt-will-not-have-opendoor-policy-for-migrants-6.2.1235030.e773ce4f77</w:t>
        </w:r>
      </w:hyperlink>
      <w:r w:rsidRPr="00DE19C9">
        <w:rPr>
          <w:rFonts w:asciiTheme="minorHAnsi" w:hAnsiTheme="minorHAnsi" w:cstheme="minorHAnsi"/>
          <w:color w:val="000000"/>
          <w:sz w:val="18"/>
          <w:szCs w:val="18"/>
        </w:rPr>
        <w:t xml:space="preserve"> </w:t>
      </w:r>
    </w:p>
  </w:footnote>
  <w:footnote w:id="8">
    <w:p w14:paraId="0000038B" w14:textId="77777777" w:rsidR="00C86F4B" w:rsidRPr="00DE19C9" w:rsidRDefault="00C86F4B">
      <w:pPr>
        <w:jc w:val="both"/>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hAnsiTheme="minorHAnsi" w:cstheme="minorHAnsi"/>
          <w:color w:val="0000FF"/>
          <w:sz w:val="18"/>
          <w:szCs w:val="18"/>
          <w:u w:val="single"/>
        </w:rPr>
        <w:t xml:space="preserve"> www.finance.gov.tt/wp-content/uploads/2020/10/Budget-Statement-2021-1.pdf</w:t>
      </w:r>
    </w:p>
    <w:p w14:paraId="0000038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9">
    <w:p w14:paraId="0000038D" w14:textId="3680AD07" w:rsidR="00C86F4B" w:rsidRPr="00DE19C9" w:rsidRDefault="00C86F4B">
      <w:pPr>
        <w:jc w:val="both"/>
        <w:rPr>
          <w:rFonts w:asciiTheme="minorHAnsi" w:hAnsiTheme="minorHAnsi" w:cstheme="minorHAnsi"/>
          <w:color w:val="0563C1"/>
          <w:sz w:val="18"/>
          <w:szCs w:val="18"/>
          <w:u w:val="single"/>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6" w:history="1">
        <w:r w:rsidRPr="00DE19C9">
          <w:rPr>
            <w:rStyle w:val="Hyperlink"/>
            <w:rFonts w:asciiTheme="minorHAnsi" w:hAnsiTheme="minorHAnsi" w:cstheme="minorHAnsi"/>
            <w:sz w:val="18"/>
            <w:szCs w:val="18"/>
          </w:rPr>
          <w:t>https://planning.gov.tt/sites/default/files/Vision%202030-</w:t>
        </w:r>
      </w:hyperlink>
    </w:p>
    <w:p w14:paraId="0000038E" w14:textId="77777777" w:rsidR="00C86F4B" w:rsidRPr="00DE19C9" w:rsidRDefault="00C86F4B">
      <w:pPr>
        <w:jc w:val="both"/>
        <w:rPr>
          <w:rFonts w:asciiTheme="minorHAnsi" w:hAnsiTheme="minorHAnsi" w:cstheme="minorHAnsi"/>
          <w:b/>
          <w:sz w:val="18"/>
          <w:szCs w:val="18"/>
        </w:rPr>
      </w:pPr>
    </w:p>
    <w:p w14:paraId="0000038F"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0">
    <w:p w14:paraId="79749ECC" w14:textId="6BC1681A"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7" w:history="1">
        <w:r w:rsidRPr="00DE19C9">
          <w:rPr>
            <w:rStyle w:val="Hyperlink"/>
            <w:rFonts w:asciiTheme="minorHAnsi" w:hAnsiTheme="minorHAnsi" w:cstheme="minorHAnsi"/>
            <w:sz w:val="18"/>
            <w:szCs w:val="18"/>
          </w:rPr>
          <w:t>https://www.finance.gov.tt/wp-content/uploads/2020/01/Estimates-of-Development-Programme-2020.pdf</w:t>
        </w:r>
      </w:hyperlink>
      <w:r w:rsidRPr="00DE19C9">
        <w:rPr>
          <w:rFonts w:asciiTheme="minorHAnsi" w:hAnsiTheme="minorHAnsi" w:cstheme="minorHAnsi"/>
          <w:sz w:val="18"/>
          <w:szCs w:val="18"/>
        </w:rPr>
        <w:t xml:space="preserve"> </w:t>
      </w:r>
    </w:p>
  </w:footnote>
  <w:footnote w:id="11">
    <w:p w14:paraId="1DE85FF4" w14:textId="4B98EDAC"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8" w:history="1">
        <w:r w:rsidRPr="00DE19C9">
          <w:rPr>
            <w:rStyle w:val="Hyperlink"/>
            <w:rFonts w:asciiTheme="minorHAnsi" w:hAnsiTheme="minorHAnsi" w:cstheme="minorHAnsi"/>
            <w:sz w:val="18"/>
            <w:szCs w:val="18"/>
          </w:rPr>
          <w:t>https://www.guardian.co.tt/business/imf-tts-gdp-to-decline-by-56-per-cent-in-2020-6.2.1238002.e30925b1ba</w:t>
        </w:r>
      </w:hyperlink>
      <w:r w:rsidRPr="00DE19C9">
        <w:rPr>
          <w:rFonts w:asciiTheme="minorHAnsi" w:hAnsiTheme="minorHAnsi" w:cstheme="minorHAnsi"/>
          <w:sz w:val="18"/>
          <w:szCs w:val="18"/>
        </w:rPr>
        <w:t xml:space="preserve"> </w:t>
      </w:r>
    </w:p>
  </w:footnote>
  <w:footnote w:id="12">
    <w:p w14:paraId="00000390"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Government of the Republic of Trinidad and Tobago, 2020 “Budget Statement 2021 – Resetting the Economy for Growth and Innovation” Port of Spain, p.14 </w:t>
      </w:r>
    </w:p>
    <w:p w14:paraId="00000391" w14:textId="77777777" w:rsidR="00C86F4B" w:rsidRPr="00DE19C9" w:rsidRDefault="00000000">
      <w:pPr>
        <w:pBdr>
          <w:top w:val="nil"/>
          <w:left w:val="nil"/>
          <w:bottom w:val="nil"/>
          <w:right w:val="nil"/>
          <w:between w:val="nil"/>
        </w:pBdr>
        <w:rPr>
          <w:rFonts w:asciiTheme="minorHAnsi" w:hAnsiTheme="minorHAnsi" w:cstheme="minorHAnsi"/>
          <w:color w:val="000000"/>
          <w:sz w:val="18"/>
          <w:szCs w:val="18"/>
        </w:rPr>
      </w:pPr>
      <w:hyperlink r:id="rId9">
        <w:r w:rsidR="00C86F4B" w:rsidRPr="00DE19C9">
          <w:rPr>
            <w:rFonts w:asciiTheme="minorHAnsi" w:hAnsiTheme="minorHAnsi" w:cstheme="minorHAnsi"/>
            <w:color w:val="0563C1"/>
            <w:sz w:val="18"/>
            <w:szCs w:val="18"/>
            <w:u w:val="single"/>
          </w:rPr>
          <w:t>https://www.finance.gov.tt/wp-content/uploads/2020/10/Budget-Statement-2021-1.pdf</w:t>
        </w:r>
      </w:hyperlink>
      <w:r w:rsidR="00C86F4B" w:rsidRPr="00DE19C9">
        <w:rPr>
          <w:rFonts w:asciiTheme="minorHAnsi" w:hAnsiTheme="minorHAnsi" w:cstheme="minorHAnsi"/>
          <w:color w:val="000000"/>
          <w:sz w:val="18"/>
          <w:szCs w:val="18"/>
        </w:rPr>
        <w:t xml:space="preserve"> </w:t>
      </w:r>
    </w:p>
  </w:footnote>
  <w:footnote w:id="13">
    <w:p w14:paraId="00000392"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Ibid.</w:t>
      </w:r>
    </w:p>
  </w:footnote>
  <w:footnote w:id="14">
    <w:p w14:paraId="00000393" w14:textId="09265483"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CSO, Central Bank, World Development Indicators 2016 in Shik, Olga, IDB 2018. </w:t>
      </w:r>
      <w:r w:rsidRPr="00DE19C9">
        <w:rPr>
          <w:rFonts w:asciiTheme="minorHAnsi" w:hAnsiTheme="minorHAnsi" w:cstheme="minorHAnsi"/>
          <w:i/>
          <w:color w:val="000000"/>
          <w:sz w:val="18"/>
          <w:szCs w:val="18"/>
        </w:rPr>
        <w:t>Analysis of Agricultural Policies in Trinidad and Tobago</w:t>
      </w:r>
      <w:r w:rsidRPr="00DE19C9">
        <w:rPr>
          <w:rFonts w:asciiTheme="minorHAnsi" w:hAnsiTheme="minorHAnsi" w:cstheme="minorHAnsi"/>
          <w:color w:val="000000"/>
          <w:sz w:val="18"/>
          <w:szCs w:val="18"/>
        </w:rPr>
        <w:t xml:space="preserve">. IDB p.9 </w:t>
      </w:r>
    </w:p>
    <w:p w14:paraId="00000394" w14:textId="77777777" w:rsidR="00C86F4B" w:rsidRPr="00DE19C9" w:rsidRDefault="00000000">
      <w:pPr>
        <w:pBdr>
          <w:top w:val="nil"/>
          <w:left w:val="nil"/>
          <w:bottom w:val="nil"/>
          <w:right w:val="nil"/>
          <w:between w:val="nil"/>
        </w:pBdr>
        <w:rPr>
          <w:rFonts w:asciiTheme="minorHAnsi" w:hAnsiTheme="minorHAnsi" w:cstheme="minorHAnsi"/>
          <w:color w:val="000000"/>
          <w:sz w:val="18"/>
          <w:szCs w:val="18"/>
        </w:rPr>
      </w:pPr>
      <w:hyperlink r:id="rId10">
        <w:r w:rsidR="00C86F4B" w:rsidRPr="00DE19C9">
          <w:rPr>
            <w:rFonts w:asciiTheme="minorHAnsi" w:hAnsiTheme="minorHAnsi" w:cstheme="minorHAnsi"/>
            <w:color w:val="0563C1"/>
            <w:sz w:val="18"/>
            <w:szCs w:val="18"/>
            <w:u w:val="single"/>
          </w:rPr>
          <w:t>https://publications.iadb.org/publications/english/document/Analysis-of-Agricultural-Policies-in-Trinidad-and-Tobago.pdf</w:t>
        </w:r>
      </w:hyperlink>
      <w:r w:rsidR="00C86F4B" w:rsidRPr="00DE19C9">
        <w:rPr>
          <w:rFonts w:asciiTheme="minorHAnsi" w:hAnsiTheme="minorHAnsi" w:cstheme="minorHAnsi"/>
          <w:color w:val="000000"/>
          <w:sz w:val="18"/>
          <w:szCs w:val="18"/>
        </w:rPr>
        <w:t xml:space="preserve">  </w:t>
      </w:r>
    </w:p>
  </w:footnote>
  <w:footnote w:id="15">
    <w:p w14:paraId="0000039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Grimes N., August 2018. Agroecology Assessment of Agriculture Production Systems in Trinidad and Tobago.</w:t>
      </w:r>
    </w:p>
  </w:footnote>
  <w:footnote w:id="16">
    <w:sdt>
      <w:sdtPr>
        <w:rPr>
          <w:rFonts w:asciiTheme="minorHAnsi" w:hAnsiTheme="minorHAnsi" w:cstheme="minorHAnsi"/>
          <w:sz w:val="18"/>
          <w:szCs w:val="18"/>
        </w:rPr>
        <w:tag w:val="goog_rdk_54"/>
        <w:id w:val="1287858218"/>
      </w:sdtPr>
      <w:sdtContent>
        <w:p w14:paraId="00000450"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bookmarkStart w:id="1" w:name="_heading=h.gjdgxs" w:colFirst="0" w:colLast="0"/>
          <w:bookmarkEnd w:id="1"/>
          <w:sdt>
            <w:sdtPr>
              <w:rPr>
                <w:rFonts w:asciiTheme="minorHAnsi" w:hAnsiTheme="minorHAnsi" w:cstheme="minorHAnsi"/>
                <w:sz w:val="18"/>
                <w:szCs w:val="18"/>
              </w:rPr>
              <w:tag w:val="goog_rdk_53"/>
              <w:id w:val="-1091081004"/>
            </w:sdtPr>
            <w:sdtContent>
              <w:r w:rsidRPr="00DE19C9">
                <w:rPr>
                  <w:rFonts w:asciiTheme="minorHAnsi" w:hAnsiTheme="minorHAnsi" w:cstheme="minorHAnsi"/>
                  <w:color w:val="000000"/>
                  <w:sz w:val="18"/>
                  <w:szCs w:val="18"/>
                </w:rPr>
                <w:t xml:space="preserve">Trinidad and Tobago 2011 Multiple Indicator Cluster Survey (MICS) </w:t>
              </w:r>
              <w:hyperlink r:id="rId11" w:history="1">
                <w:r w:rsidRPr="00DE19C9">
                  <w:rPr>
                    <w:rFonts w:asciiTheme="minorHAnsi" w:hAnsiTheme="minorHAnsi" w:cstheme="minorHAnsi"/>
                    <w:color w:val="000000"/>
                    <w:sz w:val="18"/>
                    <w:szCs w:val="18"/>
                  </w:rPr>
                  <w:t>https://www.unicef.org/easterncaribbean/media/1221/file/ECA-Trinidad-2011-MICS-Report-2017.pdf</w:t>
                </w:r>
              </w:hyperlink>
              <w:r w:rsidRPr="00DE19C9">
                <w:rPr>
                  <w:rFonts w:asciiTheme="minorHAnsi" w:hAnsiTheme="minorHAnsi" w:cstheme="minorHAnsi"/>
                  <w:color w:val="000000"/>
                  <w:sz w:val="18"/>
                  <w:szCs w:val="18"/>
                </w:rPr>
                <w:t xml:space="preserve"> </w:t>
              </w:r>
            </w:sdtContent>
          </w:sdt>
        </w:p>
      </w:sdtContent>
    </w:sdt>
  </w:footnote>
  <w:footnote w:id="17">
    <w:sdt>
      <w:sdtPr>
        <w:rPr>
          <w:rFonts w:asciiTheme="minorHAnsi" w:hAnsiTheme="minorHAnsi" w:cstheme="minorHAnsi"/>
          <w:sz w:val="18"/>
          <w:szCs w:val="18"/>
        </w:rPr>
        <w:tag w:val="goog_rdk_60"/>
        <w:id w:val="2019502920"/>
      </w:sdtPr>
      <w:sdtContent>
        <w:p w14:paraId="00000451"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sdt>
            <w:sdtPr>
              <w:rPr>
                <w:rFonts w:asciiTheme="minorHAnsi" w:hAnsiTheme="minorHAnsi" w:cstheme="minorHAnsi"/>
                <w:sz w:val="18"/>
                <w:szCs w:val="18"/>
              </w:rPr>
              <w:tag w:val="goog_rdk_56"/>
              <w:id w:val="944806848"/>
            </w:sdtPr>
            <w:sdtContent>
              <w:sdt>
                <w:sdtPr>
                  <w:rPr>
                    <w:rFonts w:asciiTheme="minorHAnsi" w:hAnsiTheme="minorHAnsi" w:cstheme="minorHAnsi"/>
                    <w:sz w:val="18"/>
                    <w:szCs w:val="18"/>
                  </w:rPr>
                  <w:tag w:val="goog_rdk_57"/>
                  <w:id w:val="588816034"/>
                </w:sdtPr>
                <w:sdtContent>
                  <w:r w:rsidRPr="00DE19C9">
                    <w:rPr>
                      <w:rFonts w:asciiTheme="minorHAnsi" w:hAnsiTheme="minorHAnsi" w:cstheme="minorHAnsi"/>
                      <w:sz w:val="18"/>
                      <w:szCs w:val="18"/>
                    </w:rPr>
                    <w:t xml:space="preserve"> UNICEF, Situation Analysis of Children in the Eastern Caribbean, </w:t>
                  </w:r>
                </w:sdtContent>
              </w:sdt>
              <w:sdt>
                <w:sdtPr>
                  <w:rPr>
                    <w:rFonts w:asciiTheme="minorHAnsi" w:hAnsiTheme="minorHAnsi" w:cstheme="minorHAnsi"/>
                    <w:sz w:val="18"/>
                    <w:szCs w:val="18"/>
                  </w:rPr>
                  <w:tag w:val="goog_rdk_58"/>
                  <w:id w:val="318546443"/>
                </w:sdtPr>
                <w:sdtContent>
                  <w:r w:rsidRPr="00DE19C9">
                    <w:rPr>
                      <w:rFonts w:asciiTheme="minorHAnsi" w:hAnsiTheme="minorHAnsi" w:cstheme="minorHAnsi"/>
                      <w:sz w:val="18"/>
                      <w:szCs w:val="18"/>
                    </w:rPr>
                    <w:t>Bridgetown</w:t>
                  </w:r>
                </w:sdtContent>
              </w:sdt>
              <w:sdt>
                <w:sdtPr>
                  <w:rPr>
                    <w:rFonts w:asciiTheme="minorHAnsi" w:hAnsiTheme="minorHAnsi" w:cstheme="minorHAnsi"/>
                    <w:sz w:val="18"/>
                    <w:szCs w:val="18"/>
                  </w:rPr>
                  <w:tag w:val="goog_rdk_59"/>
                  <w:id w:val="-261843073"/>
                </w:sdtPr>
                <w:sdtContent>
                  <w:r w:rsidRPr="00DE19C9">
                    <w:rPr>
                      <w:rFonts w:asciiTheme="minorHAnsi" w:hAnsiTheme="minorHAnsi" w:cstheme="minorHAnsi"/>
                      <w:sz w:val="18"/>
                      <w:szCs w:val="18"/>
                    </w:rPr>
                    <w:t xml:space="preserve"> Barbados, 2019.</w:t>
                  </w:r>
                </w:sdtContent>
              </w:sdt>
            </w:sdtContent>
          </w:sdt>
        </w:p>
      </w:sdtContent>
    </w:sdt>
  </w:footnote>
  <w:footnote w:id="18">
    <w:sdt>
      <w:sdtPr>
        <w:rPr>
          <w:rFonts w:asciiTheme="minorHAnsi" w:hAnsiTheme="minorHAnsi" w:cstheme="minorHAnsi"/>
          <w:sz w:val="18"/>
          <w:szCs w:val="18"/>
        </w:rPr>
        <w:tag w:val="goog_rdk_64"/>
        <w:id w:val="-50466158"/>
      </w:sdtPr>
      <w:sdtContent>
        <w:p w14:paraId="00000452"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sdt>
            <w:sdtPr>
              <w:rPr>
                <w:rFonts w:asciiTheme="minorHAnsi" w:hAnsiTheme="minorHAnsi" w:cstheme="minorHAnsi"/>
                <w:sz w:val="18"/>
                <w:szCs w:val="18"/>
              </w:rPr>
              <w:tag w:val="goog_rdk_62"/>
              <w:id w:val="-365294456"/>
            </w:sdtPr>
            <w:sdtContent>
              <w:sdt>
                <w:sdtPr>
                  <w:rPr>
                    <w:rFonts w:asciiTheme="minorHAnsi" w:hAnsiTheme="minorHAnsi" w:cstheme="minorHAnsi"/>
                    <w:sz w:val="18"/>
                    <w:szCs w:val="18"/>
                  </w:rPr>
                  <w:tag w:val="goog_rdk_63"/>
                  <w:id w:val="-1473436235"/>
                </w:sdtPr>
                <w:sdtContent>
                  <w:r w:rsidRPr="00DE19C9">
                    <w:rPr>
                      <w:rFonts w:asciiTheme="minorHAnsi" w:hAnsiTheme="minorHAnsi" w:cstheme="minorHAnsi"/>
                      <w:sz w:val="18"/>
                      <w:szCs w:val="18"/>
                    </w:rPr>
                    <w:t xml:space="preserve"> Ibid.</w:t>
                  </w:r>
                </w:sdtContent>
              </w:sdt>
            </w:sdtContent>
          </w:sdt>
        </w:p>
      </w:sdtContent>
    </w:sdt>
  </w:footnote>
  <w:footnote w:id="19">
    <w:p w14:paraId="00000396"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FAO, IFAD, UNICEF, WFP and WHO. 2020. </w:t>
      </w:r>
      <w:r w:rsidRPr="00DE19C9">
        <w:rPr>
          <w:rFonts w:asciiTheme="minorHAnsi" w:hAnsiTheme="minorHAnsi" w:cstheme="minorHAnsi"/>
          <w:i/>
          <w:sz w:val="18"/>
          <w:szCs w:val="18"/>
        </w:rPr>
        <w:t>The State of Food Security and Nutrition in the World 2020</w:t>
      </w:r>
      <w:r w:rsidRPr="00DE19C9">
        <w:rPr>
          <w:rFonts w:asciiTheme="minorHAnsi" w:hAnsiTheme="minorHAnsi" w:cstheme="minorHAnsi"/>
          <w:sz w:val="18"/>
          <w:szCs w:val="18"/>
        </w:rPr>
        <w:t>.</w:t>
      </w:r>
    </w:p>
    <w:p w14:paraId="00000397" w14:textId="77777777" w:rsidR="00C86F4B" w:rsidRPr="00DE19C9" w:rsidRDefault="00C86F4B">
      <w:pPr>
        <w:rPr>
          <w:rFonts w:asciiTheme="minorHAnsi" w:hAnsiTheme="minorHAnsi" w:cstheme="minorHAnsi"/>
          <w:sz w:val="18"/>
          <w:szCs w:val="18"/>
        </w:rPr>
      </w:pPr>
      <w:r w:rsidRPr="00DE19C9">
        <w:rPr>
          <w:rFonts w:asciiTheme="minorHAnsi" w:hAnsiTheme="minorHAnsi" w:cstheme="minorHAnsi"/>
          <w:i/>
          <w:sz w:val="18"/>
          <w:szCs w:val="18"/>
        </w:rPr>
        <w:t>Transforming food systems for affordable healthy diets</w:t>
      </w:r>
      <w:r w:rsidRPr="00DE19C9">
        <w:rPr>
          <w:rFonts w:asciiTheme="minorHAnsi" w:hAnsiTheme="minorHAnsi" w:cstheme="minorHAnsi"/>
          <w:sz w:val="18"/>
          <w:szCs w:val="18"/>
        </w:rPr>
        <w:t>. Rome, FAO.</w:t>
      </w:r>
    </w:p>
    <w:p w14:paraId="00000398" w14:textId="77777777" w:rsidR="00C86F4B" w:rsidRPr="00DE19C9" w:rsidRDefault="00000000">
      <w:pPr>
        <w:pBdr>
          <w:top w:val="nil"/>
          <w:left w:val="nil"/>
          <w:bottom w:val="nil"/>
          <w:right w:val="nil"/>
          <w:between w:val="nil"/>
        </w:pBdr>
        <w:rPr>
          <w:rFonts w:asciiTheme="minorHAnsi" w:hAnsiTheme="minorHAnsi" w:cstheme="minorHAnsi"/>
          <w:color w:val="000000"/>
          <w:sz w:val="18"/>
          <w:szCs w:val="18"/>
        </w:rPr>
      </w:pPr>
      <w:hyperlink r:id="rId12">
        <w:r w:rsidR="00C86F4B" w:rsidRPr="00DE19C9">
          <w:rPr>
            <w:rFonts w:asciiTheme="minorHAnsi" w:hAnsiTheme="minorHAnsi" w:cstheme="minorHAnsi"/>
            <w:color w:val="0563C1"/>
            <w:sz w:val="18"/>
            <w:szCs w:val="18"/>
            <w:u w:val="single"/>
          </w:rPr>
          <w:t>https://doi.org/10.4060/ca9692en</w:t>
        </w:r>
      </w:hyperlink>
      <w:r w:rsidR="00C86F4B" w:rsidRPr="00DE19C9">
        <w:rPr>
          <w:rFonts w:asciiTheme="minorHAnsi" w:hAnsiTheme="minorHAnsi" w:cstheme="minorHAnsi"/>
          <w:color w:val="000000"/>
          <w:sz w:val="18"/>
          <w:szCs w:val="18"/>
        </w:rPr>
        <w:t xml:space="preserve"> </w:t>
      </w:r>
    </w:p>
  </w:footnote>
  <w:footnote w:id="20">
    <w:p w14:paraId="0000039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Ibid.</w:t>
      </w:r>
    </w:p>
  </w:footnote>
  <w:footnote w:id="21">
    <w:p w14:paraId="0000039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Spalding MD, Fox HE, Allen GR, Davidson N, Ferdana ZA, Finlayson M, Halpern BS, Jorge MA, Lombana A, Lourie SA. 2007. </w:t>
      </w:r>
      <w:r w:rsidRPr="00DE19C9">
        <w:rPr>
          <w:rFonts w:asciiTheme="minorHAnsi" w:hAnsiTheme="minorHAnsi" w:cstheme="minorHAnsi"/>
          <w:i/>
          <w:color w:val="000000"/>
          <w:sz w:val="18"/>
          <w:szCs w:val="18"/>
        </w:rPr>
        <w:t xml:space="preserve">Marine ecoregions of the world: a bioregionalization of coastal and shelf areas.” </w:t>
      </w:r>
      <w:r w:rsidRPr="00DE19C9">
        <w:rPr>
          <w:rFonts w:asciiTheme="minorHAnsi" w:hAnsiTheme="minorHAnsi" w:cstheme="minorHAnsi"/>
          <w:color w:val="000000"/>
          <w:sz w:val="18"/>
          <w:szCs w:val="18"/>
        </w:rPr>
        <w:t>BioScience 57:573-583.</w:t>
      </w:r>
    </w:p>
    <w:p w14:paraId="0000039D"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Fonts w:asciiTheme="minorHAnsi" w:hAnsiTheme="minorHAnsi" w:cstheme="minorHAnsi"/>
          <w:color w:val="000000"/>
          <w:sz w:val="18"/>
          <w:szCs w:val="18"/>
        </w:rPr>
        <w:t xml:space="preserve">Kenny JS. 2008. </w:t>
      </w:r>
      <w:r w:rsidRPr="00DE19C9">
        <w:rPr>
          <w:rFonts w:asciiTheme="minorHAnsi" w:hAnsiTheme="minorHAnsi" w:cstheme="minorHAnsi"/>
          <w:i/>
          <w:color w:val="000000"/>
          <w:sz w:val="18"/>
          <w:szCs w:val="18"/>
        </w:rPr>
        <w:t>The biological diversity of Trinidad and Tobago: a naturalist's notes</w:t>
      </w:r>
      <w:r w:rsidRPr="00DE19C9">
        <w:rPr>
          <w:rFonts w:asciiTheme="minorHAnsi" w:hAnsiTheme="minorHAnsi" w:cstheme="minorHAnsi"/>
          <w:color w:val="000000"/>
          <w:sz w:val="18"/>
          <w:szCs w:val="18"/>
        </w:rPr>
        <w:t>. Prospect Press, Trinidad and Tobago.</w:t>
      </w:r>
    </w:p>
  </w:footnote>
  <w:footnote w:id="22">
    <w:p w14:paraId="0000039E"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Amon DJA, Gobin J, Van Dover CL, Levin LA, Marsh L, Raineault NA. 2017. </w:t>
      </w:r>
      <w:r w:rsidRPr="00DE19C9">
        <w:rPr>
          <w:rFonts w:asciiTheme="minorHAnsi" w:hAnsiTheme="minorHAnsi" w:cstheme="minorHAnsi"/>
          <w:i/>
          <w:color w:val="000000"/>
          <w:sz w:val="18"/>
          <w:szCs w:val="18"/>
        </w:rPr>
        <w:t>Characterisation of methane-seep communities in a deep-sea area designated for oil and natural gas exploitation off Trinidad and Tobago</w:t>
      </w:r>
      <w:r w:rsidRPr="00DE19C9">
        <w:rPr>
          <w:rFonts w:asciiTheme="minorHAnsi" w:hAnsiTheme="minorHAnsi" w:cstheme="minorHAnsi"/>
          <w:color w:val="000000"/>
          <w:sz w:val="18"/>
          <w:szCs w:val="18"/>
        </w:rPr>
        <w:t>. Frontiers in Marine Science 4:342.</w:t>
      </w:r>
    </w:p>
  </w:footnote>
  <w:footnote w:id="23">
    <w:p w14:paraId="0000039F"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Government of the Republic of Trinidad and Tobago 2010. </w:t>
      </w:r>
      <w:r w:rsidRPr="00DE19C9">
        <w:rPr>
          <w:rFonts w:asciiTheme="minorHAnsi" w:hAnsiTheme="minorHAnsi" w:cstheme="minorHAnsi"/>
          <w:i/>
          <w:color w:val="000000"/>
          <w:sz w:val="18"/>
          <w:szCs w:val="18"/>
        </w:rPr>
        <w:t>Fourth National Report of Trinidad and Tobago to the Convention on Biological Diversity.</w:t>
      </w:r>
      <w:r w:rsidRPr="00DE19C9">
        <w:rPr>
          <w:rFonts w:asciiTheme="minorHAnsi" w:hAnsiTheme="minorHAnsi" w:cstheme="minorHAnsi"/>
          <w:color w:val="000000"/>
          <w:sz w:val="18"/>
          <w:szCs w:val="18"/>
        </w:rPr>
        <w:t xml:space="preserve"> Government of the Republic of Trinidad and Tobago, Port of Spain.</w:t>
      </w:r>
    </w:p>
  </w:footnote>
  <w:footnote w:id="24">
    <w:p w14:paraId="000003A0"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Ibid.</w:t>
      </w:r>
    </w:p>
  </w:footnote>
  <w:footnote w:id="25">
    <w:p w14:paraId="000003A1"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Helmer EH, Ruzycki TS, Benner J, Voggesser SM, Scobie BP, Park C, Fanning DW, Ramnarine S. 2012. Detailed maps of tropical forest types are within reach: Forest tree communities for Trinidad and Tobago mapped with multi season Lands at and multi season fine-resolution imagery. Forest Ecology and Management 279:147-166.</w:t>
      </w:r>
    </w:p>
  </w:footnote>
  <w:footnote w:id="26">
    <w:p w14:paraId="000003A2"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IMA. 2016. </w:t>
      </w:r>
      <w:r w:rsidRPr="00DE19C9">
        <w:rPr>
          <w:rFonts w:asciiTheme="minorHAnsi" w:hAnsiTheme="minorHAnsi" w:cstheme="minorHAnsi"/>
          <w:i/>
          <w:color w:val="000000"/>
          <w:sz w:val="18"/>
          <w:szCs w:val="18"/>
        </w:rPr>
        <w:t>State of the Marine Environment Trinidad &amp; Tobago - 2016</w:t>
      </w:r>
      <w:r w:rsidRPr="00DE19C9">
        <w:rPr>
          <w:rFonts w:asciiTheme="minorHAnsi" w:hAnsiTheme="minorHAnsi" w:cstheme="minorHAnsi"/>
          <w:color w:val="000000"/>
          <w:sz w:val="18"/>
          <w:szCs w:val="18"/>
        </w:rPr>
        <w:t>. Institute of Marine Affairs GotRoTaT, Chaguaramas, Trinidad.</w:t>
      </w:r>
    </w:p>
  </w:footnote>
  <w:footnote w:id="27">
    <w:p w14:paraId="000003A3"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Wilkinson CR, Souter DN 2008. </w:t>
      </w:r>
      <w:r w:rsidRPr="00DE19C9">
        <w:rPr>
          <w:rFonts w:asciiTheme="minorHAnsi" w:hAnsiTheme="minorHAnsi" w:cstheme="minorHAnsi"/>
          <w:i/>
          <w:color w:val="000000"/>
          <w:sz w:val="18"/>
          <w:szCs w:val="18"/>
        </w:rPr>
        <w:t>Status of Caribbean coral reefs after bleaching and hurricanes in 2005</w:t>
      </w:r>
      <w:r w:rsidRPr="00DE19C9">
        <w:rPr>
          <w:rFonts w:asciiTheme="minorHAnsi" w:hAnsiTheme="minorHAnsi" w:cstheme="minorHAnsi"/>
          <w:color w:val="000000"/>
          <w:sz w:val="18"/>
          <w:szCs w:val="18"/>
        </w:rPr>
        <w:t>. Global Coral Reef Monitoring Network.</w:t>
      </w:r>
    </w:p>
  </w:footnote>
  <w:footnote w:id="28">
    <w:p w14:paraId="000003A4"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Phillip DAT. 1998. Biodiversity of freshwater fishes of Trinidad and Tobago, West Indies. PhD Thesis. University of St Andrews.</w:t>
      </w:r>
    </w:p>
    <w:p w14:paraId="000003A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Fonts w:asciiTheme="minorHAnsi" w:hAnsiTheme="minorHAnsi" w:cstheme="minorHAnsi"/>
          <w:color w:val="000000"/>
          <w:sz w:val="18"/>
          <w:szCs w:val="18"/>
        </w:rPr>
        <w:t xml:space="preserve">Magurran AE, Phillip DA. 2001. </w:t>
      </w:r>
      <w:r w:rsidRPr="00DE19C9">
        <w:rPr>
          <w:rFonts w:asciiTheme="minorHAnsi" w:hAnsiTheme="minorHAnsi" w:cstheme="minorHAnsi"/>
          <w:i/>
          <w:color w:val="000000"/>
          <w:sz w:val="18"/>
          <w:szCs w:val="18"/>
        </w:rPr>
        <w:t>Implications of species loss in freshwater fish assemblages</w:t>
      </w:r>
      <w:r w:rsidRPr="00DE19C9">
        <w:rPr>
          <w:rFonts w:asciiTheme="minorHAnsi" w:hAnsiTheme="minorHAnsi" w:cstheme="minorHAnsi"/>
          <w:color w:val="000000"/>
          <w:sz w:val="18"/>
          <w:szCs w:val="18"/>
        </w:rPr>
        <w:t>. Ecography 24:645-650.</w:t>
      </w:r>
    </w:p>
    <w:p w14:paraId="000003A6"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Fonts w:asciiTheme="minorHAnsi" w:hAnsiTheme="minorHAnsi" w:cstheme="minorHAnsi"/>
          <w:color w:val="000000"/>
          <w:sz w:val="18"/>
          <w:szCs w:val="18"/>
        </w:rPr>
        <w:t xml:space="preserve">Bass D. 2003. </w:t>
      </w:r>
      <w:r w:rsidRPr="00DE19C9">
        <w:rPr>
          <w:rFonts w:asciiTheme="minorHAnsi" w:hAnsiTheme="minorHAnsi" w:cstheme="minorHAnsi"/>
          <w:i/>
          <w:color w:val="000000"/>
          <w:sz w:val="18"/>
          <w:szCs w:val="18"/>
        </w:rPr>
        <w:t>A comparison of freshwater macroinvertebrate communities on small Caribbean islands</w:t>
      </w:r>
      <w:r w:rsidRPr="00DE19C9">
        <w:rPr>
          <w:rFonts w:asciiTheme="minorHAnsi" w:hAnsiTheme="minorHAnsi" w:cstheme="minorHAnsi"/>
          <w:color w:val="000000"/>
          <w:sz w:val="18"/>
          <w:szCs w:val="18"/>
        </w:rPr>
        <w:t>. AIBS Bulletin 53:1094-1100</w:t>
      </w:r>
    </w:p>
    <w:p w14:paraId="000003A8" w14:textId="3569E185" w:rsidR="00C86F4B" w:rsidRPr="00DE19C9" w:rsidRDefault="00C86F4B" w:rsidP="00C86F4B">
      <w:pPr>
        <w:pBdr>
          <w:top w:val="nil"/>
          <w:left w:val="nil"/>
          <w:bottom w:val="nil"/>
          <w:right w:val="nil"/>
          <w:between w:val="nil"/>
        </w:pBdr>
        <w:rPr>
          <w:rFonts w:asciiTheme="minorHAnsi" w:hAnsiTheme="minorHAnsi" w:cstheme="minorHAnsi"/>
          <w:color w:val="000000"/>
          <w:sz w:val="18"/>
          <w:szCs w:val="18"/>
        </w:rPr>
      </w:pPr>
      <w:r w:rsidRPr="00DE19C9">
        <w:rPr>
          <w:rFonts w:asciiTheme="minorHAnsi" w:hAnsiTheme="minorHAnsi" w:cstheme="minorHAnsi"/>
          <w:color w:val="000000"/>
          <w:sz w:val="18"/>
          <w:szCs w:val="18"/>
        </w:rPr>
        <w:t xml:space="preserve">Leotaud N. 2006. </w:t>
      </w:r>
      <w:r w:rsidRPr="00DE19C9">
        <w:rPr>
          <w:rFonts w:asciiTheme="minorHAnsi" w:hAnsiTheme="minorHAnsi" w:cstheme="minorHAnsi"/>
          <w:i/>
          <w:color w:val="000000"/>
          <w:sz w:val="18"/>
          <w:szCs w:val="18"/>
        </w:rPr>
        <w:t>Linking tourism to watersheds and people: a preliminary analysis of the potential of the tourism sector to contribute to payments for watershed services in Dunns River, Ocho Rios, Jamaica and Speyside, Tobago.</w:t>
      </w:r>
      <w:r w:rsidRPr="00DE19C9">
        <w:rPr>
          <w:rFonts w:asciiTheme="minorHAnsi" w:hAnsiTheme="minorHAnsi" w:cstheme="minorHAnsi"/>
          <w:color w:val="000000"/>
          <w:sz w:val="18"/>
          <w:szCs w:val="18"/>
        </w:rPr>
        <w:t xml:space="preserve"> Port of Spain, Trinidad.</w:t>
      </w:r>
    </w:p>
  </w:footnote>
  <w:footnote w:id="29">
    <w:p w14:paraId="000003A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13">
        <w:r w:rsidRPr="00DE19C9">
          <w:rPr>
            <w:rFonts w:asciiTheme="minorHAnsi" w:hAnsiTheme="minorHAnsi" w:cstheme="minorHAnsi"/>
            <w:color w:val="0000FF"/>
            <w:sz w:val="18"/>
            <w:szCs w:val="18"/>
            <w:u w:val="single"/>
          </w:rPr>
          <w:t>Countries ranked by Human capital index (HCI) (scale 0-1) (indexmundi.com)</w:t>
        </w:r>
      </w:hyperlink>
    </w:p>
  </w:footnote>
  <w:footnote w:id="30">
    <w:p w14:paraId="000003AA"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14">
        <w:r w:rsidRPr="00DE19C9">
          <w:rPr>
            <w:rFonts w:asciiTheme="minorHAnsi" w:eastAsia="Times New Roman" w:hAnsiTheme="minorHAnsi" w:cstheme="minorHAnsi"/>
            <w:color w:val="0563C1"/>
            <w:sz w:val="18"/>
            <w:szCs w:val="18"/>
            <w:u w:val="single"/>
          </w:rPr>
          <w:t>https://sdg-tracker.org/</w:t>
        </w:r>
      </w:hyperlink>
    </w:p>
  </w:footnote>
  <w:footnote w:id="31">
    <w:p w14:paraId="000003AC" w14:textId="12978CC0"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15">
        <w:r w:rsidRPr="00DE19C9">
          <w:rPr>
            <w:rFonts w:asciiTheme="minorHAnsi" w:eastAsia="Times New Roman" w:hAnsiTheme="minorHAnsi" w:cstheme="minorHAnsi"/>
            <w:color w:val="0563C1"/>
            <w:sz w:val="18"/>
            <w:szCs w:val="18"/>
            <w:u w:val="single"/>
          </w:rPr>
          <w:t>http://www.opm-gca.gov.tt/portals/0/Documents/National%20Gender%20Policy/NATIONAL%20POLICY%20ON%20GENDER%20AND%20DEVELOPMENT.pdf?ver=2018-03-08-134857-323</w:t>
        </w:r>
      </w:hyperlink>
      <w:r w:rsidRPr="00DE19C9">
        <w:rPr>
          <w:rFonts w:asciiTheme="minorHAnsi" w:eastAsia="Times New Roman" w:hAnsiTheme="minorHAnsi" w:cstheme="minorHAnsi"/>
          <w:color w:val="000000"/>
          <w:sz w:val="18"/>
          <w:szCs w:val="18"/>
        </w:rPr>
        <w:t xml:space="preserve"> </w:t>
      </w:r>
    </w:p>
  </w:footnote>
  <w:footnote w:id="32">
    <w:p w14:paraId="000003AD"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16" w:anchor=":~:text=National%20Women%27s%20Health%20Survey%20for%20Trinidad%20and%20Tobago%3A,%20%20Domestic%20violence%2FIntimate%20partner%20viole%20...%20">
        <w:r w:rsidRPr="00DE19C9">
          <w:rPr>
            <w:rFonts w:asciiTheme="minorHAnsi" w:hAnsiTheme="minorHAnsi" w:cstheme="minorHAnsi"/>
            <w:color w:val="0000FF"/>
            <w:sz w:val="18"/>
            <w:szCs w:val="18"/>
            <w:u w:val="single"/>
          </w:rPr>
          <w:t>National Women's Health Survey for Trinidad and Tobago: Final Report (unwomen.org)</w:t>
        </w:r>
      </w:hyperlink>
    </w:p>
  </w:footnote>
  <w:footnote w:id="33">
    <w:p w14:paraId="000003AE" w14:textId="1C555E65"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eastAsia="Times New Roman" w:hAnsiTheme="minorHAnsi" w:cstheme="minorHAnsi"/>
          <w:color w:val="0563C1"/>
          <w:sz w:val="18"/>
          <w:szCs w:val="18"/>
          <w:u w:val="single"/>
        </w:rPr>
        <w:t>https://www2.unwomen.org/-/media/field%20office%20caribbean/attachments/publications/2018/20190208%20tt%20summaryf%205%20single%20pages.pdf?la=en&amp;vs=4003</w:t>
      </w:r>
    </w:p>
  </w:footnote>
  <w:footnote w:id="34">
    <w:p w14:paraId="000003AF" w14:textId="0E581BC0" w:rsidR="00C86F4B" w:rsidRPr="00DE19C9" w:rsidRDefault="00C86F4B">
      <w:pPr>
        <w:rPr>
          <w:rFonts w:asciiTheme="minorHAnsi" w:eastAsia="Times New Roman"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eastAsia="Times New Roman" w:hAnsiTheme="minorHAnsi" w:cstheme="minorHAnsi"/>
          <w:sz w:val="18"/>
          <w:szCs w:val="18"/>
        </w:rPr>
        <w:t xml:space="preserve">Trinidad and Tobago </w:t>
      </w:r>
      <w:r w:rsidRPr="00DE19C9">
        <w:rPr>
          <w:rFonts w:asciiTheme="minorHAnsi" w:eastAsia="Times New Roman" w:hAnsiTheme="minorHAnsi" w:cstheme="minorHAnsi"/>
          <w:strike/>
          <w:sz w:val="18"/>
          <w:szCs w:val="18"/>
        </w:rPr>
        <w:t>2010-</w:t>
      </w:r>
      <w:r w:rsidRPr="00DE19C9">
        <w:rPr>
          <w:rFonts w:asciiTheme="minorHAnsi" w:eastAsia="Times New Roman" w:hAnsiTheme="minorHAnsi" w:cstheme="minorHAnsi"/>
          <w:sz w:val="18"/>
          <w:szCs w:val="18"/>
        </w:rPr>
        <w:t>2011 Population and Housing Census (PHC)</w:t>
      </w:r>
    </w:p>
  </w:footnote>
  <w:footnote w:id="35">
    <w:p w14:paraId="000003B0"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eastAsia="Times New Roman" w:hAnsiTheme="minorHAnsi" w:cstheme="minorHAnsi"/>
          <w:sz w:val="18"/>
          <w:szCs w:val="18"/>
        </w:rPr>
        <w:t xml:space="preserve">Trinidad and Tobago 2011 Multiple Indicator Cluster Survey (MICS) </w:t>
      </w:r>
      <w:hyperlink r:id="rId17">
        <w:r w:rsidRPr="00DE19C9">
          <w:rPr>
            <w:rFonts w:asciiTheme="minorHAnsi" w:eastAsia="Times New Roman" w:hAnsiTheme="minorHAnsi" w:cstheme="minorHAnsi"/>
            <w:sz w:val="18"/>
            <w:szCs w:val="18"/>
            <w:u w:val="single"/>
          </w:rPr>
          <w:t>https://www.unicef.org/easterncaribbean/media/1221/file/ECA-Trinidad-2011-MICS-Report-2017.pdf</w:t>
        </w:r>
      </w:hyperlink>
      <w:r w:rsidRPr="00DE19C9">
        <w:rPr>
          <w:rFonts w:asciiTheme="minorHAnsi" w:eastAsia="Times New Roman" w:hAnsiTheme="minorHAnsi" w:cstheme="minorHAnsi"/>
          <w:sz w:val="18"/>
          <w:szCs w:val="18"/>
        </w:rPr>
        <w:t xml:space="preserve"> </w:t>
      </w:r>
    </w:p>
  </w:footnote>
  <w:footnote w:id="36">
    <w:sdt>
      <w:sdtPr>
        <w:rPr>
          <w:rFonts w:asciiTheme="minorHAnsi" w:hAnsiTheme="minorHAnsi" w:cstheme="minorHAnsi"/>
          <w:sz w:val="18"/>
          <w:szCs w:val="18"/>
        </w:rPr>
        <w:tag w:val="goog_rdk_70"/>
        <w:id w:val="-1231697951"/>
      </w:sdtPr>
      <w:sdtContent>
        <w:p w14:paraId="00000453" w14:textId="4074A52C" w:rsidR="00C86F4B" w:rsidRPr="00DE19C9" w:rsidRDefault="00C86F4B">
          <w:pPr>
            <w:rPr>
              <w:rFonts w:asciiTheme="minorHAnsi" w:hAnsiTheme="minorHAnsi" w:cstheme="minorHAnsi"/>
              <w:sz w:val="18"/>
              <w:szCs w:val="18"/>
              <w:lang w:val="es-ES"/>
            </w:rPr>
          </w:pPr>
          <w:r w:rsidRPr="00DE19C9">
            <w:rPr>
              <w:rStyle w:val="FootnoteReference"/>
              <w:rFonts w:asciiTheme="minorHAnsi" w:hAnsiTheme="minorHAnsi" w:cstheme="minorHAnsi"/>
              <w:sz w:val="18"/>
              <w:szCs w:val="18"/>
            </w:rPr>
            <w:footnoteRef/>
          </w:r>
          <w:sdt>
            <w:sdtPr>
              <w:rPr>
                <w:rFonts w:asciiTheme="minorHAnsi" w:hAnsiTheme="minorHAnsi" w:cstheme="minorHAnsi"/>
                <w:sz w:val="18"/>
                <w:szCs w:val="18"/>
              </w:rPr>
              <w:tag w:val="goog_rdk_66"/>
              <w:id w:val="-433511001"/>
            </w:sdtPr>
            <w:sdtContent>
              <w:sdt>
                <w:sdtPr>
                  <w:rPr>
                    <w:rFonts w:asciiTheme="minorHAnsi" w:hAnsiTheme="minorHAnsi" w:cstheme="minorHAnsi"/>
                    <w:sz w:val="18"/>
                    <w:szCs w:val="18"/>
                  </w:rPr>
                  <w:tag w:val="goog_rdk_67"/>
                  <w:id w:val="701675901"/>
                </w:sdtPr>
                <w:sdtContent>
                  <w:r w:rsidRPr="00DE19C9">
                    <w:rPr>
                      <w:rFonts w:asciiTheme="minorHAnsi" w:hAnsiTheme="minorHAnsi" w:cstheme="minorHAnsi"/>
                      <w:sz w:val="18"/>
                      <w:szCs w:val="18"/>
                      <w:lang w:val="es-ES"/>
                    </w:rPr>
                    <w:t xml:space="preserve"> </w:t>
                  </w:r>
                </w:sdtContent>
              </w:sdt>
              <w:sdt>
                <w:sdtPr>
                  <w:rPr>
                    <w:rFonts w:asciiTheme="minorHAnsi" w:hAnsiTheme="minorHAnsi" w:cstheme="minorHAnsi"/>
                    <w:sz w:val="18"/>
                    <w:szCs w:val="18"/>
                  </w:rPr>
                  <w:tag w:val="goog_rdk_68"/>
                  <w:id w:val="1287774129"/>
                </w:sdtPr>
                <w:sdtContent>
                  <w:r w:rsidRPr="00DE19C9">
                    <w:rPr>
                      <w:rFonts w:asciiTheme="minorHAnsi" w:hAnsiTheme="minorHAnsi" w:cstheme="minorHAnsi"/>
                      <w:sz w:val="18"/>
                      <w:szCs w:val="18"/>
                      <w:lang w:val="es-ES"/>
                    </w:rPr>
                    <w:t>Ibid.</w:t>
                  </w:r>
                </w:sdtContent>
              </w:sdt>
              <w:sdt>
                <w:sdtPr>
                  <w:rPr>
                    <w:rFonts w:asciiTheme="minorHAnsi" w:hAnsiTheme="minorHAnsi" w:cstheme="minorHAnsi"/>
                    <w:sz w:val="18"/>
                    <w:szCs w:val="18"/>
                  </w:rPr>
                  <w:tag w:val="goog_rdk_69"/>
                  <w:id w:val="-134334703"/>
                  <w:showingPlcHdr/>
                </w:sdtPr>
                <w:sdtContent>
                  <w:r w:rsidRPr="00DE19C9">
                    <w:rPr>
                      <w:rFonts w:asciiTheme="minorHAnsi" w:hAnsiTheme="minorHAnsi" w:cstheme="minorHAnsi"/>
                      <w:sz w:val="18"/>
                      <w:szCs w:val="18"/>
                      <w:lang w:val="es-ES"/>
                    </w:rPr>
                    <w:t xml:space="preserve">     </w:t>
                  </w:r>
                </w:sdtContent>
              </w:sdt>
            </w:sdtContent>
          </w:sdt>
        </w:p>
      </w:sdtContent>
    </w:sdt>
  </w:footnote>
  <w:footnote w:id="37">
    <w:p w14:paraId="45961A43" w14:textId="5CEEC527" w:rsidR="00C86F4B" w:rsidRPr="00DE19C9" w:rsidRDefault="00C86F4B">
      <w:pPr>
        <w:pStyle w:val="FootnoteText"/>
        <w:rPr>
          <w:rFonts w:asciiTheme="minorHAnsi" w:hAnsiTheme="minorHAnsi" w:cstheme="minorHAnsi"/>
          <w:sz w:val="18"/>
          <w:szCs w:val="18"/>
          <w:lang w:val="es-ES"/>
        </w:rPr>
      </w:pPr>
      <w:r w:rsidRPr="00DE19C9">
        <w:rPr>
          <w:rStyle w:val="FootnoteReference"/>
          <w:rFonts w:asciiTheme="minorHAnsi" w:hAnsiTheme="minorHAnsi" w:cstheme="minorHAnsi"/>
          <w:sz w:val="18"/>
          <w:szCs w:val="18"/>
        </w:rPr>
        <w:footnoteRef/>
      </w:r>
      <w:hyperlink r:id="rId18" w:history="1">
        <w:r w:rsidRPr="00DE19C9">
          <w:rPr>
            <w:rStyle w:val="Hyperlink"/>
            <w:rFonts w:asciiTheme="minorHAnsi" w:hAnsiTheme="minorHAnsi" w:cstheme="minorHAnsi"/>
            <w:sz w:val="18"/>
            <w:szCs w:val="18"/>
            <w:lang w:val="es-ES"/>
          </w:rPr>
          <w:t>https://data.miraquetemiro.org/sites/default/files/documentos/National%20Sexual%20and%20Reproductive%20Health%20Policy.pdf</w:t>
        </w:r>
      </w:hyperlink>
      <w:r w:rsidRPr="00DE19C9">
        <w:rPr>
          <w:rFonts w:asciiTheme="minorHAnsi" w:hAnsiTheme="minorHAnsi" w:cstheme="minorHAnsi"/>
          <w:sz w:val="18"/>
          <w:szCs w:val="18"/>
          <w:lang w:val="es-ES"/>
        </w:rPr>
        <w:t xml:space="preserve"> </w:t>
      </w:r>
    </w:p>
  </w:footnote>
  <w:footnote w:id="38">
    <w:p w14:paraId="4551A3FD" w14:textId="45E33297" w:rsidR="00C86F4B" w:rsidRPr="00DE19C9" w:rsidRDefault="00C86F4B">
      <w:pPr>
        <w:pStyle w:val="FootnoteText"/>
        <w:rPr>
          <w:rFonts w:asciiTheme="minorHAnsi" w:hAnsiTheme="minorHAnsi" w:cstheme="minorHAnsi"/>
          <w:sz w:val="18"/>
          <w:szCs w:val="18"/>
          <w:lang w:val="es-ES"/>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lang w:val="es-ES"/>
        </w:rPr>
        <w:t xml:space="preserve"> </w:t>
      </w:r>
      <w:hyperlink r:id="rId19" w:history="1">
        <w:r w:rsidRPr="00DE19C9">
          <w:rPr>
            <w:rStyle w:val="Hyperlink"/>
            <w:rFonts w:asciiTheme="minorHAnsi" w:hAnsiTheme="minorHAnsi" w:cstheme="minorHAnsi"/>
            <w:sz w:val="18"/>
            <w:szCs w:val="18"/>
            <w:lang w:val="es-ES"/>
          </w:rPr>
          <w:t>http://www.archive.healthycaribbean.org/publications/documents/NCD-in-LAC-USAID.pdf</w:t>
        </w:r>
      </w:hyperlink>
      <w:r w:rsidRPr="00DE19C9">
        <w:rPr>
          <w:rFonts w:asciiTheme="minorHAnsi" w:hAnsiTheme="minorHAnsi" w:cstheme="minorHAnsi"/>
          <w:sz w:val="18"/>
          <w:szCs w:val="18"/>
          <w:lang w:val="es-ES"/>
        </w:rPr>
        <w:t xml:space="preserve"> </w:t>
      </w:r>
    </w:p>
  </w:footnote>
  <w:footnote w:id="39">
    <w:p w14:paraId="000003B1" w14:textId="7A5CA3C7" w:rsidR="00C86F4B" w:rsidRPr="00DE19C9" w:rsidRDefault="00C86F4B">
      <w:pPr>
        <w:pBdr>
          <w:top w:val="nil"/>
          <w:left w:val="nil"/>
          <w:bottom w:val="nil"/>
          <w:right w:val="nil"/>
          <w:between w:val="nil"/>
        </w:pBd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20">
        <w:r w:rsidRPr="00DE19C9">
          <w:rPr>
            <w:rFonts w:asciiTheme="minorHAnsi" w:hAnsiTheme="minorHAnsi" w:cstheme="minorHAnsi"/>
            <w:sz w:val="18"/>
            <w:szCs w:val="18"/>
            <w:u w:val="single"/>
          </w:rPr>
          <w:t>Please</w:t>
        </w:r>
      </w:hyperlink>
      <w:r w:rsidRPr="00DE19C9">
        <w:rPr>
          <w:rFonts w:asciiTheme="minorHAnsi" w:hAnsiTheme="minorHAnsi" w:cstheme="minorHAnsi"/>
          <w:sz w:val="18"/>
          <w:szCs w:val="18"/>
          <w:u w:val="single"/>
        </w:rPr>
        <w:t xml:space="preserve"> see the SDG Data Repository in Appendix III</w:t>
      </w:r>
    </w:p>
  </w:footnote>
  <w:footnote w:id="40">
    <w:p w14:paraId="3B0FF833" w14:textId="7ECC3852"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2021 Budget Statement – Ministry of Finance.</w:t>
      </w:r>
    </w:p>
  </w:footnote>
  <w:footnote w:id="41">
    <w:p w14:paraId="000003B3"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21">
        <w:r w:rsidRPr="00DE19C9">
          <w:rPr>
            <w:rFonts w:asciiTheme="minorHAnsi" w:hAnsiTheme="minorHAnsi" w:cstheme="minorHAnsi"/>
            <w:color w:val="0000FF"/>
            <w:sz w:val="18"/>
            <w:szCs w:val="18"/>
            <w:u w:val="single"/>
          </w:rPr>
          <w:t>Report of the Roadmap to Recovery Committee -July 2020 | Ministry of Planning and Development</w:t>
        </w:r>
      </w:hyperlink>
    </w:p>
  </w:footnote>
  <w:footnote w:id="42">
    <w:p w14:paraId="4F05BC46" w14:textId="114B681C"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22" w:history="1">
        <w:r w:rsidRPr="00DE19C9">
          <w:rPr>
            <w:rStyle w:val="Hyperlink"/>
            <w:rFonts w:asciiTheme="minorHAnsi" w:hAnsiTheme="minorHAnsi" w:cstheme="minorHAnsi"/>
            <w:sz w:val="18"/>
            <w:szCs w:val="18"/>
          </w:rPr>
          <w:t>https://unctad.org/en/PublicationsLibrary/wir2020_en.pdf</w:t>
        </w:r>
      </w:hyperlink>
      <w:r w:rsidRPr="00DE19C9">
        <w:rPr>
          <w:rFonts w:asciiTheme="minorHAnsi" w:hAnsiTheme="minorHAnsi" w:cstheme="minorHAnsi"/>
          <w:sz w:val="18"/>
          <w:szCs w:val="18"/>
        </w:rPr>
        <w:t xml:space="preserve"> </w:t>
      </w:r>
    </w:p>
  </w:footnote>
  <w:footnote w:id="43">
    <w:p w14:paraId="000003B4"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23">
        <w:r w:rsidRPr="00DE19C9">
          <w:rPr>
            <w:rFonts w:asciiTheme="minorHAnsi" w:hAnsiTheme="minorHAnsi" w:cstheme="minorHAnsi"/>
            <w:color w:val="0000FF"/>
            <w:sz w:val="18"/>
            <w:szCs w:val="18"/>
            <w:u w:val="single"/>
          </w:rPr>
          <w:t>Rankings (doingbusiness.org)</w:t>
        </w:r>
      </w:hyperlink>
    </w:p>
  </w:footnote>
  <w:footnote w:id="44">
    <w:p w14:paraId="000003B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24">
        <w:r w:rsidRPr="00DE19C9">
          <w:rPr>
            <w:rFonts w:asciiTheme="minorHAnsi" w:hAnsiTheme="minorHAnsi" w:cstheme="minorHAnsi"/>
            <w:color w:val="0000FF"/>
            <w:sz w:val="18"/>
            <w:szCs w:val="18"/>
            <w:u w:val="single"/>
          </w:rPr>
          <w:t>World Bank Document</w:t>
        </w:r>
      </w:hyperlink>
    </w:p>
  </w:footnote>
  <w:footnote w:id="45">
    <w:p w14:paraId="000003B6"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Ministry of Finance of Trinidad and Tobago, (2020) Review of the Economy 2020</w:t>
      </w:r>
    </w:p>
  </w:footnote>
  <w:footnote w:id="46">
    <w:p w14:paraId="000003B7"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Ibid</w:t>
      </w:r>
    </w:p>
  </w:footnote>
  <w:footnote w:id="47">
    <w:p w14:paraId="000003B8"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Ministry of Finance of Trinidad and Tobago, (2020) Budget Statement 2021, 6</w:t>
      </w:r>
    </w:p>
  </w:footnote>
  <w:footnote w:id="48">
    <w:p w14:paraId="000003B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lang w:val="es-ES"/>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lang w:val="es-ES"/>
        </w:rPr>
        <w:t xml:space="preserve"> Ibid, 8</w:t>
      </w:r>
    </w:p>
  </w:footnote>
  <w:footnote w:id="49">
    <w:p w14:paraId="000003BA"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lang w:val="es-ES"/>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lang w:val="es-ES"/>
        </w:rPr>
        <w:t xml:space="preserve"> https://www.imf.org/external/datamapper/GGXWDG_NGDP@WEO/OEMDC/ADVEC/WEOWORLD</w:t>
      </w:r>
    </w:p>
  </w:footnote>
  <w:footnote w:id="50">
    <w:p w14:paraId="72F9D9A0" w14:textId="2D134CB7" w:rsidR="00C86F4B" w:rsidRPr="00DE19C9" w:rsidRDefault="00C86F4B">
      <w:pPr>
        <w:pStyle w:val="FootnoteText"/>
        <w:rPr>
          <w:rFonts w:asciiTheme="minorHAnsi" w:hAnsiTheme="minorHAnsi" w:cstheme="minorHAnsi"/>
          <w:sz w:val="18"/>
          <w:szCs w:val="18"/>
          <w:lang w:val="es-ES"/>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lang w:val="es-ES"/>
        </w:rPr>
        <w:t xml:space="preserve"> </w:t>
      </w:r>
      <w:hyperlink r:id="rId25" w:history="1">
        <w:r w:rsidRPr="00DE19C9">
          <w:rPr>
            <w:rStyle w:val="Hyperlink"/>
            <w:rFonts w:asciiTheme="minorHAnsi" w:hAnsiTheme="minorHAnsi" w:cstheme="minorHAnsi"/>
            <w:sz w:val="18"/>
            <w:szCs w:val="18"/>
            <w:lang w:val="es-ES"/>
          </w:rPr>
          <w:t>https://www.finance.gov.tt/wp-content/uploads/2020/10/Review-of-the-Economy-2020.pdf</w:t>
        </w:r>
      </w:hyperlink>
      <w:r w:rsidRPr="00DE19C9">
        <w:rPr>
          <w:rFonts w:asciiTheme="minorHAnsi" w:hAnsiTheme="minorHAnsi" w:cstheme="minorHAnsi"/>
          <w:sz w:val="18"/>
          <w:szCs w:val="18"/>
          <w:lang w:val="es-ES"/>
        </w:rPr>
        <w:t xml:space="preserve"> </w:t>
      </w:r>
    </w:p>
  </w:footnote>
  <w:footnote w:id="51">
    <w:p w14:paraId="000003BB"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Joint Survey of the Trinidad and Tobago Coalition of Services Industries (TTCSI) and the Trinidad and Tobago Manufacturers Association (TTMA), (2020).</w:t>
      </w:r>
    </w:p>
    <w:p w14:paraId="000003B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Fonts w:asciiTheme="minorHAnsi" w:hAnsiTheme="minorHAnsi" w:cstheme="minorHAnsi"/>
          <w:color w:val="000000"/>
          <w:sz w:val="18"/>
          <w:szCs w:val="18"/>
        </w:rPr>
        <w:t>https://www.ttcsi.org/wp-content/uploads/2020/05/EIA2020-TTCSI-TTMA-Final-VG-May5-2020.pdf</w:t>
      </w:r>
    </w:p>
  </w:footnote>
  <w:footnote w:id="52">
    <w:p w14:paraId="000003BD"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IDB, (2020). Covid 19: The Caribbean Crisis, Results from an Online Socioeconomic Survey</w:t>
      </w:r>
    </w:p>
    <w:p w14:paraId="000003BF" w14:textId="2690F7B9" w:rsidR="00C86F4B" w:rsidRPr="00DE19C9" w:rsidRDefault="00000000" w:rsidP="00C86F4B">
      <w:pPr>
        <w:pBdr>
          <w:top w:val="nil"/>
          <w:left w:val="nil"/>
          <w:bottom w:val="nil"/>
          <w:right w:val="nil"/>
          <w:between w:val="nil"/>
        </w:pBdr>
        <w:rPr>
          <w:rFonts w:asciiTheme="minorHAnsi" w:hAnsiTheme="minorHAnsi" w:cstheme="minorHAnsi"/>
          <w:color w:val="000000"/>
          <w:sz w:val="18"/>
          <w:szCs w:val="18"/>
        </w:rPr>
      </w:pPr>
      <w:hyperlink r:id="rId26" w:history="1">
        <w:r w:rsidR="00C86F4B" w:rsidRPr="00072E03">
          <w:rPr>
            <w:rStyle w:val="Hyperlink"/>
            <w:rFonts w:asciiTheme="minorHAnsi" w:hAnsiTheme="minorHAnsi" w:cstheme="minorHAnsi"/>
            <w:sz w:val="18"/>
            <w:szCs w:val="18"/>
          </w:rPr>
          <w:t>https://publications.iadb.org/publications/english/document/COVID-19-The-Caribbean-Crisis-Results-from-an-Online-Socioeconomic-Survey.pdf</w:t>
        </w:r>
      </w:hyperlink>
      <w:r w:rsidR="00C86F4B">
        <w:rPr>
          <w:rFonts w:asciiTheme="minorHAnsi" w:hAnsiTheme="minorHAnsi" w:cstheme="minorHAnsi"/>
          <w:color w:val="000000"/>
          <w:sz w:val="18"/>
          <w:szCs w:val="18"/>
        </w:rPr>
        <w:t xml:space="preserve"> </w:t>
      </w:r>
    </w:p>
  </w:footnote>
  <w:footnote w:id="53">
    <w:p w14:paraId="000003C0"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Ministry of Social Development (2020). Social Sector investment Programme 2021</w:t>
      </w:r>
    </w:p>
  </w:footnote>
  <w:footnote w:id="54">
    <w:p w14:paraId="000003C1"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27">
        <w:r w:rsidRPr="00DE19C9">
          <w:rPr>
            <w:rFonts w:asciiTheme="minorHAnsi" w:hAnsiTheme="minorHAnsi" w:cstheme="minorHAnsi"/>
            <w:color w:val="0000FF"/>
            <w:sz w:val="18"/>
            <w:szCs w:val="18"/>
            <w:u w:val="single"/>
          </w:rPr>
          <w:t>Trinidad_and_Tobago_SDG_VNR_Summary_Document.pdf (planning.gov.tt)</w:t>
        </w:r>
      </w:hyperlink>
    </w:p>
  </w:footnote>
  <w:footnote w:id="55">
    <w:p w14:paraId="25B5DCF6" w14:textId="5532D752"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28" w:history="1">
        <w:r w:rsidRPr="00DE19C9">
          <w:rPr>
            <w:rStyle w:val="Hyperlink"/>
            <w:rFonts w:asciiTheme="minorHAnsi" w:hAnsiTheme="minorHAnsi" w:cstheme="minorHAnsi"/>
            <w:sz w:val="18"/>
            <w:szCs w:val="18"/>
          </w:rPr>
          <w:t>https://www.iadb.org/en/project-search-xls?query%5Bcountry%5D=TT&amp;query%5Bsector%5D=&amp;query%5Bstatus%5D=&amp;query%5Bquery%5D=&amp;page=4</w:t>
        </w:r>
      </w:hyperlink>
      <w:r w:rsidRPr="00DE19C9">
        <w:rPr>
          <w:rFonts w:asciiTheme="minorHAnsi" w:hAnsiTheme="minorHAnsi" w:cstheme="minorHAnsi"/>
          <w:sz w:val="18"/>
          <w:szCs w:val="18"/>
        </w:rPr>
        <w:t xml:space="preserve"> </w:t>
      </w:r>
    </w:p>
  </w:footnote>
  <w:footnote w:id="56">
    <w:p w14:paraId="000003C3" w14:textId="28638E38" w:rsidR="00C86F4B" w:rsidRPr="00C86F4B" w:rsidRDefault="00C86F4B" w:rsidP="00C86F4B">
      <w:pPr>
        <w:pBdr>
          <w:top w:val="nil"/>
          <w:left w:val="nil"/>
          <w:bottom w:val="nil"/>
          <w:right w:val="nil"/>
          <w:between w:val="nil"/>
        </w:pBdr>
        <w:rPr>
          <w:rFonts w:asciiTheme="minorHAnsi" w:eastAsia="Arial"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29">
        <w:r w:rsidRPr="00DE19C9">
          <w:rPr>
            <w:rFonts w:asciiTheme="minorHAnsi" w:eastAsia="Arial" w:hAnsiTheme="minorHAnsi" w:cstheme="minorHAnsi"/>
            <w:color w:val="0000FF"/>
            <w:sz w:val="18"/>
            <w:szCs w:val="18"/>
            <w:u w:val="single"/>
          </w:rPr>
          <w:t>https://www.looptt.com/content/ministry-launches-climate-action-training-public-private-sector</w:t>
        </w:r>
      </w:hyperlink>
    </w:p>
  </w:footnote>
  <w:footnote w:id="57">
    <w:p w14:paraId="15EBC919" w14:textId="2155930F"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30" w:history="1">
        <w:r w:rsidRPr="00DE19C9">
          <w:rPr>
            <w:rStyle w:val="Hyperlink"/>
            <w:rFonts w:asciiTheme="minorHAnsi" w:hAnsiTheme="minorHAnsi" w:cstheme="minorHAnsi"/>
            <w:sz w:val="18"/>
            <w:szCs w:val="18"/>
          </w:rPr>
          <w:t>https://www.oecd.org/countries/trinidadandtobago/revenue-statistics-latin-america-and-caribbean-trinidad-and-tobago.pdf</w:t>
        </w:r>
      </w:hyperlink>
      <w:r w:rsidRPr="00DE19C9">
        <w:rPr>
          <w:rFonts w:asciiTheme="minorHAnsi" w:hAnsiTheme="minorHAnsi" w:cstheme="minorHAnsi"/>
          <w:sz w:val="18"/>
          <w:szCs w:val="18"/>
        </w:rPr>
        <w:t xml:space="preserve"> </w:t>
      </w:r>
    </w:p>
  </w:footnote>
  <w:footnote w:id="58">
    <w:p w14:paraId="51958FDD" w14:textId="300DF51F"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31" w:history="1">
        <w:r w:rsidRPr="00DE19C9">
          <w:rPr>
            <w:rStyle w:val="Hyperlink"/>
            <w:rFonts w:asciiTheme="minorHAnsi" w:hAnsiTheme="minorHAnsi" w:cstheme="minorHAnsi"/>
            <w:sz w:val="18"/>
            <w:szCs w:val="18"/>
          </w:rPr>
          <w:t>https://newsday.co.tt/2019/06/04/green-fund-underutilised/</w:t>
        </w:r>
      </w:hyperlink>
      <w:r w:rsidRPr="00DE19C9">
        <w:rPr>
          <w:rFonts w:asciiTheme="minorHAnsi" w:hAnsiTheme="minorHAnsi" w:cstheme="minorHAnsi"/>
          <w:sz w:val="18"/>
          <w:szCs w:val="18"/>
        </w:rPr>
        <w:t xml:space="preserve"> </w:t>
      </w:r>
    </w:p>
  </w:footnote>
  <w:footnote w:id="59">
    <w:p w14:paraId="3A9D1A15" w14:textId="306CB2EF"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32" w:history="1">
        <w:r w:rsidRPr="00DE19C9">
          <w:rPr>
            <w:rStyle w:val="Hyperlink"/>
            <w:rFonts w:asciiTheme="minorHAnsi" w:hAnsiTheme="minorHAnsi" w:cstheme="minorHAnsi"/>
            <w:sz w:val="18"/>
            <w:szCs w:val="18"/>
          </w:rPr>
          <w:t>https://www.moodys.com/research/Moodys-changes-the-outlook-on-Trinidad-and-Tobagos-ratings-to--PR_424055</w:t>
        </w:r>
      </w:hyperlink>
      <w:r w:rsidRPr="00DE19C9">
        <w:rPr>
          <w:rFonts w:asciiTheme="minorHAnsi" w:hAnsiTheme="minorHAnsi" w:cstheme="minorHAnsi"/>
          <w:sz w:val="18"/>
          <w:szCs w:val="18"/>
        </w:rPr>
        <w:t xml:space="preserve"> </w:t>
      </w:r>
    </w:p>
  </w:footnote>
  <w:footnote w:id="60">
    <w:p w14:paraId="4856097B" w14:textId="17093856"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33" w:history="1">
        <w:r w:rsidRPr="00DE19C9">
          <w:rPr>
            <w:rStyle w:val="Hyperlink"/>
            <w:rFonts w:asciiTheme="minorHAnsi" w:hAnsiTheme="minorHAnsi" w:cstheme="minorHAnsi"/>
            <w:sz w:val="18"/>
            <w:szCs w:val="18"/>
          </w:rPr>
          <w:t>https://unctad.org/en/pages/PressRelease.aspx?OriginalVersionID=194</w:t>
        </w:r>
      </w:hyperlink>
      <w:r w:rsidRPr="00DE19C9">
        <w:rPr>
          <w:rFonts w:asciiTheme="minorHAnsi" w:hAnsiTheme="minorHAnsi" w:cstheme="minorHAnsi"/>
          <w:sz w:val="18"/>
          <w:szCs w:val="18"/>
        </w:rPr>
        <w:t xml:space="preserve"> </w:t>
      </w:r>
    </w:p>
  </w:footnote>
  <w:footnote w:id="61">
    <w:p w14:paraId="000003C4"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The Tobago Airport work is about to get underway (</w:t>
      </w:r>
      <w:hyperlink r:id="rId34">
        <w:r w:rsidRPr="00DE19C9">
          <w:rPr>
            <w:rFonts w:asciiTheme="minorHAnsi" w:hAnsiTheme="minorHAnsi" w:cstheme="minorHAnsi"/>
            <w:color w:val="0563C1"/>
            <w:sz w:val="18"/>
            <w:szCs w:val="18"/>
            <w:u w:val="single"/>
          </w:rPr>
          <w:t>https://newsday.co.tt/2020/06/03/rowley-covid19-wont-delay-tobago-airport-expansion/</w:t>
        </w:r>
      </w:hyperlink>
      <w:r w:rsidRPr="00DE19C9">
        <w:rPr>
          <w:rFonts w:asciiTheme="minorHAnsi" w:hAnsiTheme="minorHAnsi" w:cstheme="minorHAnsi"/>
          <w:color w:val="000000"/>
          <w:sz w:val="18"/>
          <w:szCs w:val="18"/>
        </w:rPr>
        <w:t>). The renewable energy plant’s proposals tenders were evaluated and a consortium of bpTT and Shell (</w:t>
      </w:r>
      <w:hyperlink r:id="rId35">
        <w:r w:rsidRPr="00DE19C9">
          <w:rPr>
            <w:rFonts w:asciiTheme="minorHAnsi" w:hAnsiTheme="minorHAnsi" w:cstheme="minorHAnsi"/>
            <w:color w:val="0563C1"/>
            <w:sz w:val="18"/>
            <w:szCs w:val="18"/>
            <w:u w:val="single"/>
          </w:rPr>
          <w:t>https://energynow.tt/blog/bp-and-shell-in-joint-bid-for-renewable-energy-project-in-trinidad-and-tobago</w:t>
        </w:r>
      </w:hyperlink>
      <w:r w:rsidRPr="00DE19C9">
        <w:rPr>
          <w:rFonts w:asciiTheme="minorHAnsi" w:hAnsiTheme="minorHAnsi" w:cstheme="minorHAnsi"/>
          <w:color w:val="000000"/>
          <w:sz w:val="18"/>
          <w:szCs w:val="18"/>
        </w:rPr>
        <w:t>) was selected. The intended waste-to-energy plant may have been slowed down by the COVID19 pandemic  (</w:t>
      </w:r>
      <w:hyperlink r:id="rId36">
        <w:r w:rsidRPr="00DE19C9">
          <w:rPr>
            <w:rFonts w:asciiTheme="minorHAnsi" w:hAnsiTheme="minorHAnsi" w:cstheme="minorHAnsi"/>
            <w:color w:val="0563C1"/>
            <w:sz w:val="18"/>
            <w:szCs w:val="18"/>
            <w:u w:val="single"/>
          </w:rPr>
          <w:t>https://newsday.co.tt/2019/03/28/on-the-road-to-renewable-energy/</w:t>
        </w:r>
      </w:hyperlink>
      <w:r w:rsidRPr="00DE19C9">
        <w:rPr>
          <w:rFonts w:asciiTheme="minorHAnsi" w:hAnsiTheme="minorHAnsi" w:cstheme="minorHAnsi"/>
          <w:color w:val="000000"/>
          <w:sz w:val="18"/>
          <w:szCs w:val="18"/>
        </w:rPr>
        <w:t xml:space="preserve"> </w:t>
      </w:r>
    </w:p>
  </w:footnote>
  <w:footnote w:id="62">
    <w:p w14:paraId="000003C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37">
        <w:r w:rsidRPr="00DE19C9">
          <w:rPr>
            <w:rFonts w:asciiTheme="minorHAnsi" w:hAnsiTheme="minorHAnsi" w:cstheme="minorHAnsi"/>
            <w:color w:val="0000FF"/>
            <w:sz w:val="18"/>
            <w:szCs w:val="18"/>
            <w:u w:val="single"/>
          </w:rPr>
          <w:t>Plans to revive Port of Spain announced by PM | News Extra | trinidadexpress.com</w:t>
        </w:r>
      </w:hyperlink>
    </w:p>
  </w:footnote>
  <w:footnote w:id="63">
    <w:p w14:paraId="0406642D" w14:textId="4EDF47FD"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38" w:history="1">
        <w:r w:rsidRPr="00DE19C9">
          <w:rPr>
            <w:rStyle w:val="Hyperlink"/>
            <w:rFonts w:asciiTheme="minorHAnsi" w:hAnsiTheme="minorHAnsi" w:cstheme="minorHAnsi"/>
            <w:sz w:val="18"/>
            <w:szCs w:val="18"/>
          </w:rPr>
          <w:t>https://www.finance.gov.tt/2020/06/22/media-release-ministry-of-finance-achieves-a-very-successful-international-usd-bond-issue/</w:t>
        </w:r>
      </w:hyperlink>
      <w:r w:rsidRPr="00DE19C9">
        <w:rPr>
          <w:rFonts w:asciiTheme="minorHAnsi" w:hAnsiTheme="minorHAnsi" w:cstheme="minorHAnsi"/>
          <w:sz w:val="18"/>
          <w:szCs w:val="18"/>
        </w:rPr>
        <w:t xml:space="preserve"> </w:t>
      </w:r>
    </w:p>
  </w:footnote>
  <w:footnote w:id="64">
    <w:p w14:paraId="46066DBD" w14:textId="6C83E381"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39" w:history="1">
        <w:r w:rsidRPr="00DE19C9">
          <w:rPr>
            <w:rStyle w:val="Hyperlink"/>
            <w:rFonts w:asciiTheme="minorHAnsi" w:hAnsiTheme="minorHAnsi" w:cstheme="minorHAnsi"/>
            <w:sz w:val="18"/>
            <w:szCs w:val="18"/>
          </w:rPr>
          <w:t>http://www.undp.org/content/dam/trinidad_tobago/docs/DemocraticGovernance/Publications/CSRMappingReport.pdf</w:t>
        </w:r>
      </w:hyperlink>
      <w:r w:rsidRPr="00DE19C9">
        <w:rPr>
          <w:rFonts w:asciiTheme="minorHAnsi" w:hAnsiTheme="minorHAnsi" w:cstheme="minorHAnsi"/>
          <w:sz w:val="18"/>
          <w:szCs w:val="18"/>
        </w:rPr>
        <w:t xml:space="preserve"> </w:t>
      </w:r>
    </w:p>
  </w:footnote>
  <w:footnote w:id="65">
    <w:p w14:paraId="000003C6" w14:textId="09FFF37F"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2021 Budget Statement, Ministry of Finance. </w:t>
      </w:r>
    </w:p>
  </w:footnote>
  <w:footnote w:id="66">
    <w:p w14:paraId="000003C7" w14:textId="77777777" w:rsidR="00C86F4B" w:rsidRPr="00DE19C9" w:rsidRDefault="00C86F4B">
      <w:pPr>
        <w:tabs>
          <w:tab w:val="left" w:pos="700"/>
        </w:tabs>
        <w:jc w:val="both"/>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Due to synchronised lock down across economies (due to COVID-19) negatively impact on the global trade, travel and tourism which depressed global energy demand and prices.</w:t>
      </w:r>
    </w:p>
  </w:footnote>
  <w:footnote w:id="67">
    <w:p w14:paraId="000003C8"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Specific details on these measures and beneficiaries are available in the 2021 Budget Statement, Ministry of Finance, 5</w:t>
      </w:r>
      <w:r w:rsidRPr="00DE19C9">
        <w:rPr>
          <w:rFonts w:asciiTheme="minorHAnsi" w:hAnsiTheme="minorHAnsi" w:cstheme="minorHAnsi"/>
          <w:color w:val="000000"/>
          <w:sz w:val="18"/>
          <w:szCs w:val="18"/>
          <w:vertAlign w:val="superscript"/>
        </w:rPr>
        <w:t>th</w:t>
      </w:r>
      <w:r w:rsidRPr="00DE19C9">
        <w:rPr>
          <w:rFonts w:asciiTheme="minorHAnsi" w:hAnsiTheme="minorHAnsi" w:cstheme="minorHAnsi"/>
          <w:color w:val="000000"/>
          <w:sz w:val="18"/>
          <w:szCs w:val="18"/>
        </w:rPr>
        <w:t xml:space="preserve"> October 2020.</w:t>
      </w:r>
    </w:p>
  </w:footnote>
  <w:footnote w:id="68">
    <w:p w14:paraId="43983BA4" w14:textId="48DB51EE"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2021 Budget Statement, Ministry of Finance</w:t>
      </w:r>
    </w:p>
  </w:footnote>
  <w:footnote w:id="69">
    <w:p w14:paraId="000003C9"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IMF World Economic Outlook (October 2020) predicts economic growth of 2.6 percent in 2021 and 1.5 percent in 2025. </w:t>
      </w:r>
    </w:p>
  </w:footnote>
  <w:footnote w:id="70">
    <w:p w14:paraId="000003CA" w14:textId="69C77000"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Central Bank of Trinidad &amp; Tobago, Economic Bulletin, July 2020.</w:t>
      </w:r>
    </w:p>
  </w:footnote>
  <w:footnote w:id="71">
    <w:p w14:paraId="000003CB" w14:textId="35ECA565"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Compared to -47 basis points in December 2019. Central Bank of Trinidad &amp; Tobago, Economic Bulletin, July 2020. </w:t>
      </w:r>
    </w:p>
  </w:footnote>
  <w:footnote w:id="72">
    <w:p w14:paraId="000003CC" w14:textId="411925AF"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Central Bank of Trinidad &amp; Tobago, Economic Bulletin, July 2020. </w:t>
      </w:r>
    </w:p>
  </w:footnote>
  <w:footnote w:id="73">
    <w:p w14:paraId="000003CD"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2021 National Budget Documents.</w:t>
      </w:r>
    </w:p>
  </w:footnote>
  <w:footnote w:id="74">
    <w:p w14:paraId="000003CE"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Initially the 2020 Budget utilised the assumption of a weighted average crude oil price of US$65 per barrel and a natural gas price of US$2.75 per million British thermal units (mmBtu). Due to the impact of the COVID-19 on the global economy and commodity markets the assumed prices fell to US$25 per barrel and US$1.80 mmBtu for crude oil and natural gas, respectively. </w:t>
      </w:r>
    </w:p>
  </w:footnote>
  <w:footnote w:id="75">
    <w:p w14:paraId="000003CF"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The GovTT issued 11 new bonds in fiscal year 2020 for budget financing and debt repayment. The central government domestic debt portfolio accounts for 46.6 percent of the Net Public Sector Debt which is an estimated equivalent of 37.6 percent of the GDP.</w:t>
      </w:r>
    </w:p>
    <w:bookmarkStart w:id="2" w:name="_heading=h.3znysh7" w:colFirst="0" w:colLast="0"/>
    <w:bookmarkEnd w:id="2"/>
  </w:footnote>
  <w:footnote w:id="76">
    <w:p w14:paraId="000003D0" w14:textId="77777777" w:rsidR="00C86F4B" w:rsidRPr="00DE19C9" w:rsidRDefault="00C86F4B">
      <w:pPr>
        <w:jc w:val="both"/>
        <w:rPr>
          <w:rFonts w:asciiTheme="minorHAnsi" w:hAnsiTheme="minorHAnsi" w:cstheme="minorHAnsi"/>
          <w:color w:val="000000"/>
          <w:sz w:val="18"/>
          <w:szCs w:val="18"/>
        </w:rPr>
      </w:pPr>
      <w:bookmarkStart w:id="3" w:name="_heading=h.3znysh7" w:colFirst="0" w:colLast="0"/>
      <w:bookmarkEnd w:id="3"/>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In the 2020 fiscal year, GovTT’s gross external borrowings are projected at $7.7 billion, comprising of issuance of an International Bond of US$500.0 million (equivalent to TT$3.4 billion) and borrowings from: (1) Andean Bank for Development (CAF) of US$400.0 million (equivalent to TT$2.7 billion); (2) Export Finance and Insurance Corporation (EFIC) (TT$687.3 million); and (3) the Inter-American Development Bank (IaDB) (TT$676.9 million). The central government external debt is estimated to account for 26 percent of the net public sector debt (equivalent to 21 percent of the GDP). </w:t>
      </w:r>
    </w:p>
  </w:footnote>
  <w:footnote w:id="77">
    <w:p w14:paraId="000003D1"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Drawdowns from the HSF amounted to $6.6 billion (US$979.9). GovTT can withdraw up to US$1.5 billion from the HSF to support the budgetary shortfalls due the impact of the COVID-19. </w:t>
      </w:r>
    </w:p>
  </w:footnote>
  <w:footnote w:id="78">
    <w:p w14:paraId="000003D2"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Government of Trinidad &amp; Tobago, 2020 Review of the Economy.</w:t>
      </w:r>
    </w:p>
  </w:footnote>
  <w:footnote w:id="79">
    <w:p w14:paraId="000003D3"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Government of Trinidad &amp; Tobago, 2020 Review of the Economy.</w:t>
      </w:r>
    </w:p>
  </w:footnote>
  <w:footnote w:id="80">
    <w:p w14:paraId="000003D4"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Of which $9.3 billion is projected oil revenue and $31.2 billion from non-oil revenue.</w:t>
      </w:r>
    </w:p>
  </w:footnote>
  <w:footnote w:id="81">
    <w:p w14:paraId="000003D5"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The largest outlays are for: (1) Education &amp; Training at almost $8 billion; Health at $6.1 billion; National Security at $5.2 billion; Works &amp; Transport at almost $3 billion; Public Utilities at $2.1 billion; Rural Development &amp; Local Government at $1.6 billion; Agriculture at $1.2 billion and Housing at $1.0 billion.</w:t>
      </w:r>
      <w:r w:rsidRPr="00DE19C9">
        <w:rPr>
          <w:rFonts w:asciiTheme="minorHAnsi" w:eastAsia="Times New Roman" w:hAnsiTheme="minorHAnsi" w:cstheme="minorHAnsi"/>
          <w:color w:val="000000"/>
          <w:sz w:val="18"/>
          <w:szCs w:val="18"/>
        </w:rPr>
        <w:t xml:space="preserve"> </w:t>
      </w:r>
    </w:p>
  </w:footnote>
  <w:footnote w:id="82">
    <w:p w14:paraId="000003D6"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2021 National Budget Address. </w:t>
      </w:r>
    </w:p>
  </w:footnote>
  <w:footnote w:id="83">
    <w:p w14:paraId="000003D7"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Government of Trinidad &amp; Tobago, 2020 Review of the Economy.</w:t>
      </w:r>
    </w:p>
  </w:footnote>
  <w:footnote w:id="84">
    <w:p w14:paraId="099409E2" w14:textId="3E5E8CFE"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40" w:history="1">
        <w:r w:rsidRPr="00DE19C9">
          <w:rPr>
            <w:rStyle w:val="Hyperlink"/>
            <w:rFonts w:asciiTheme="minorHAnsi" w:hAnsiTheme="minorHAnsi" w:cstheme="minorHAnsi"/>
            <w:sz w:val="18"/>
            <w:szCs w:val="18"/>
          </w:rPr>
          <w:t>https://trinidadexpress.com/business/local/reopening-refinery-no-easy-task/article_f0fafe7e-162b-11ea-a5a0-1fe287dca63f.html</w:t>
        </w:r>
      </w:hyperlink>
      <w:r w:rsidRPr="00DE19C9">
        <w:rPr>
          <w:rFonts w:asciiTheme="minorHAnsi" w:hAnsiTheme="minorHAnsi" w:cstheme="minorHAnsi"/>
          <w:sz w:val="18"/>
          <w:szCs w:val="18"/>
        </w:rPr>
        <w:t xml:space="preserve"> </w:t>
      </w:r>
    </w:p>
  </w:footnote>
  <w:footnote w:id="85">
    <w:p w14:paraId="000003D8"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Estimated as of Q2:2018.</w:t>
      </w:r>
    </w:p>
  </w:footnote>
  <w:footnote w:id="86">
    <w:p w14:paraId="79547823" w14:textId="502346C1"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41" w:history="1">
        <w:r w:rsidRPr="00DE19C9">
          <w:rPr>
            <w:rStyle w:val="Hyperlink"/>
            <w:rFonts w:asciiTheme="minorHAnsi" w:hAnsiTheme="minorHAnsi" w:cstheme="minorHAnsi"/>
            <w:sz w:val="18"/>
            <w:szCs w:val="18"/>
          </w:rPr>
          <w:t>https://www.finance.gov.tt/wp-content/uploads/2020/10/Review-of-the-Economy-2020.pdf</w:t>
        </w:r>
      </w:hyperlink>
      <w:r w:rsidRPr="00DE19C9">
        <w:rPr>
          <w:rFonts w:asciiTheme="minorHAnsi" w:hAnsiTheme="minorHAnsi" w:cstheme="minorHAnsi"/>
          <w:sz w:val="18"/>
          <w:szCs w:val="18"/>
        </w:rPr>
        <w:t xml:space="preserve"> </w:t>
      </w:r>
    </w:p>
  </w:footnote>
  <w:footnote w:id="87">
    <w:p w14:paraId="75970319" w14:textId="0AC9180A"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Ibid.</w:t>
      </w:r>
    </w:p>
  </w:footnote>
  <w:footnote w:id="88">
    <w:p w14:paraId="000003D9"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UNDP FAO 2020, Improving Agriculture’s Contribution to Food Security in Trinidad and Tobago (in support of a national COVID-19 response)</w:t>
      </w:r>
    </w:p>
  </w:footnote>
  <w:footnote w:id="89">
    <w:p w14:paraId="5BA399C1" w14:textId="47F78A7B"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42" w:history="1">
        <w:r w:rsidRPr="00DE19C9">
          <w:rPr>
            <w:rStyle w:val="Hyperlink"/>
            <w:rFonts w:asciiTheme="minorHAnsi" w:hAnsiTheme="minorHAnsi" w:cstheme="minorHAnsi"/>
            <w:sz w:val="18"/>
            <w:szCs w:val="18"/>
          </w:rPr>
          <w:t>https://www.finance.gov.tt/wp-content/uploads/2020/10/Review-of-the-Economy-2020.pdf</w:t>
        </w:r>
      </w:hyperlink>
      <w:r w:rsidRPr="00DE19C9">
        <w:rPr>
          <w:rFonts w:asciiTheme="minorHAnsi" w:hAnsiTheme="minorHAnsi" w:cstheme="minorHAnsi"/>
          <w:sz w:val="18"/>
          <w:szCs w:val="18"/>
        </w:rPr>
        <w:t xml:space="preserve"> </w:t>
      </w:r>
    </w:p>
  </w:footnote>
  <w:footnote w:id="90">
    <w:p w14:paraId="000003DB" w14:textId="485B9202" w:rsidR="00C86F4B" w:rsidRPr="00C86F4B" w:rsidRDefault="00C86F4B" w:rsidP="00C86F4B">
      <w:pPr>
        <w:pBdr>
          <w:top w:val="nil"/>
          <w:left w:val="nil"/>
          <w:bottom w:val="nil"/>
          <w:right w:val="nil"/>
          <w:between w:val="nil"/>
        </w:pBdr>
        <w:rPr>
          <w:rFonts w:asciiTheme="minorHAnsi" w:eastAsia="Arial"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43">
        <w:r w:rsidRPr="00DE19C9">
          <w:rPr>
            <w:rFonts w:asciiTheme="minorHAnsi" w:eastAsia="Arial" w:hAnsiTheme="minorHAnsi" w:cstheme="minorHAnsi"/>
            <w:color w:val="0000FF"/>
            <w:sz w:val="18"/>
            <w:szCs w:val="18"/>
            <w:u w:val="single"/>
          </w:rPr>
          <w:t>https://publications.iadb.org/publications/english/document/Extreme-Outlier-The-Pandemics-Unprecedented-Shock-to-Tourism-in-Latin-America-and-the-Caribbean.pdf</w:t>
        </w:r>
      </w:hyperlink>
    </w:p>
  </w:footnote>
  <w:footnote w:id="91">
    <w:p w14:paraId="5A9E24D4" w14:textId="0E2FC92C"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44" w:history="1">
        <w:r w:rsidRPr="00DE19C9">
          <w:rPr>
            <w:rStyle w:val="Hyperlink"/>
            <w:rFonts w:asciiTheme="minorHAnsi" w:hAnsiTheme="minorHAnsi" w:cstheme="minorHAnsi"/>
            <w:sz w:val="18"/>
            <w:szCs w:val="18"/>
          </w:rPr>
          <w:t>https://www.finance.gov.tt/wp-content/uploads/2020/10/Review-of-the-Economy-2020.pdf</w:t>
        </w:r>
      </w:hyperlink>
      <w:r w:rsidRPr="00DE19C9">
        <w:rPr>
          <w:rFonts w:asciiTheme="minorHAnsi" w:hAnsiTheme="minorHAnsi" w:cstheme="minorHAnsi"/>
          <w:sz w:val="18"/>
          <w:szCs w:val="18"/>
        </w:rPr>
        <w:t xml:space="preserve"> </w:t>
      </w:r>
    </w:p>
  </w:footnote>
  <w:footnote w:id="92">
    <w:p w14:paraId="000003D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45">
        <w:r w:rsidRPr="00DE19C9">
          <w:rPr>
            <w:rFonts w:asciiTheme="minorHAnsi" w:hAnsiTheme="minorHAnsi" w:cstheme="minorHAnsi"/>
            <w:color w:val="0000FF"/>
            <w:sz w:val="18"/>
            <w:szCs w:val="18"/>
            <w:u w:val="single"/>
          </w:rPr>
          <w:t>Doing Business 2020</w:t>
        </w:r>
      </w:hyperlink>
    </w:p>
  </w:footnote>
  <w:footnote w:id="93">
    <w:p w14:paraId="000003DD"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Chamon, Chen &amp; Leigh, 2017; Ruprah &amp; Sierra, 2016; Sutton, Ruprah &amp; Alvarez, 2017. </w:t>
      </w:r>
    </w:p>
  </w:footnote>
  <w:footnote w:id="94">
    <w:p w14:paraId="000003DE" w14:textId="77777777" w:rsidR="00C86F4B" w:rsidRPr="00DE19C9" w:rsidRDefault="00C86F4B">
      <w:pPr>
        <w:jc w:val="both"/>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Chamon, M. J. Charap, Q. Chen, and D. Leigh. 2017. “Reinvigorating Growth in the Caribbean.” Unleashing Growth and Strengthening Resilience in the Caribbean Book (Chapter 2). International Monetary Fund. </w:t>
      </w:r>
    </w:p>
  </w:footnote>
  <w:footnote w:id="95">
    <w:p w14:paraId="000003DF"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https://www.ilo.org/declaration/thedeclaration/textdeclaration/lang--en/index.htm</w:t>
      </w:r>
    </w:p>
  </w:footnote>
  <w:footnote w:id="96">
    <w:p w14:paraId="000003E0"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hAnsiTheme="minorHAnsi" w:cstheme="minorHAnsi"/>
          <w:color w:val="000000"/>
          <w:sz w:val="18"/>
          <w:szCs w:val="18"/>
          <w:highlight w:val="white"/>
        </w:rPr>
        <w:t>Its reports, along with all other reports on other ILO Conventions submitted by all other member States, are examined by an independent legal expert body called ILO Committee of Experts on Application of Conventions and Recommendations (CEACR). The Committee then issues its comments and recommendations.</w:t>
      </w:r>
    </w:p>
  </w:footnote>
  <w:footnote w:id="97">
    <w:p w14:paraId="000003E1" w14:textId="14BDDDE4"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 Government of Trinidad and Tobago, Vision 2030: Many Hearts, Many Voices, One Nation (2016-2030). Cited in </w:t>
      </w:r>
      <w:hyperlink r:id="rId46">
        <w:r w:rsidRPr="00DE19C9">
          <w:rPr>
            <w:rFonts w:asciiTheme="minorHAnsi" w:eastAsia="Times New Roman" w:hAnsiTheme="minorHAnsi" w:cstheme="minorHAnsi"/>
            <w:color w:val="0000FF"/>
            <w:sz w:val="18"/>
            <w:szCs w:val="18"/>
            <w:u w:val="single"/>
          </w:rPr>
          <w:t>https://www.planning.gov.tt/sites/default/files/Vision%202030-%20The%20National%20Development%20Strategy%20of%20Trinidad%20and%20Tobago%202016-2030.pdf</w:t>
        </w:r>
      </w:hyperlink>
    </w:p>
  </w:footnote>
  <w:footnote w:id="98">
    <w:p w14:paraId="000003E2" w14:textId="77777777"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 ICT Report: Trinidad and Tobago, </w:t>
      </w:r>
      <w:hyperlink r:id="rId47">
        <w:r w:rsidRPr="00DE19C9">
          <w:rPr>
            <w:rFonts w:asciiTheme="minorHAnsi" w:eastAsia="Times New Roman" w:hAnsiTheme="minorHAnsi" w:cstheme="minorHAnsi"/>
            <w:color w:val="0000FF"/>
            <w:sz w:val="18"/>
            <w:szCs w:val="18"/>
            <w:u w:val="single"/>
          </w:rPr>
          <w:t>https://oxfordbusinessgroup.com/trinidad-tobago-2020/ict</w:t>
        </w:r>
      </w:hyperlink>
      <w:r w:rsidRPr="00DE19C9">
        <w:rPr>
          <w:rFonts w:asciiTheme="minorHAnsi" w:eastAsia="Times New Roman" w:hAnsiTheme="minorHAnsi" w:cstheme="minorHAnsi"/>
          <w:color w:val="000000"/>
          <w:sz w:val="18"/>
          <w:szCs w:val="18"/>
        </w:rPr>
        <w:t xml:space="preserve">. </w:t>
      </w:r>
    </w:p>
  </w:footnote>
  <w:footnote w:id="99">
    <w:p w14:paraId="000003E3" w14:textId="777F4CE6"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Model of Intervention, Ministry of Youth Development and National Service, </w:t>
      </w:r>
      <w:hyperlink r:id="rId48" w:anchor=":~:text=In%20Trinidad%20and%20Tobago%2C%20there,nine%20(49)%20per%20cent.">
        <w:r w:rsidRPr="00DE19C9">
          <w:rPr>
            <w:rFonts w:asciiTheme="minorHAnsi" w:eastAsia="Times New Roman" w:hAnsiTheme="minorHAnsi" w:cstheme="minorHAnsi"/>
            <w:color w:val="0000FF"/>
            <w:sz w:val="18"/>
            <w:szCs w:val="18"/>
            <w:u w:val="single"/>
          </w:rPr>
          <w:t>https://www.msya.gov.tt/divisions/youth/#:~:text=In%20Trinidad%20and%20Tobagoper cent2C%20there,nine%20(49)%20per%20cent.</w:t>
        </w:r>
      </w:hyperlink>
    </w:p>
  </w:footnote>
  <w:footnote w:id="100">
    <w:p w14:paraId="000003E4"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http://www.pca.org.tt/index.html</w:t>
      </w:r>
    </w:p>
  </w:footnote>
  <w:footnote w:id="101">
    <w:p w14:paraId="000003E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49">
        <w:r w:rsidRPr="00DE19C9">
          <w:rPr>
            <w:rFonts w:asciiTheme="minorHAnsi" w:hAnsiTheme="minorHAnsi" w:cstheme="minorHAnsi"/>
            <w:color w:val="0000FF"/>
            <w:sz w:val="18"/>
            <w:szCs w:val="18"/>
            <w:u w:val="single"/>
          </w:rPr>
          <w:t>Police corruption deepens, 35 years after Scott Drug Report (newsday.co.tt)</w:t>
        </w:r>
      </w:hyperlink>
    </w:p>
  </w:footnote>
  <w:footnote w:id="102">
    <w:p w14:paraId="000003E6"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Trinidad and Tobago removed from grey list by FAFT. </w:t>
      </w:r>
      <w:hyperlink r:id="rId50" w:anchor=".X3NJMRSSnIU">
        <w:r w:rsidRPr="00DE19C9">
          <w:rPr>
            <w:rFonts w:asciiTheme="minorHAnsi" w:hAnsiTheme="minorHAnsi" w:cstheme="minorHAnsi"/>
            <w:color w:val="0000FF"/>
            <w:sz w:val="18"/>
            <w:szCs w:val="18"/>
            <w:u w:val="single"/>
          </w:rPr>
          <w:t>http://www.news.gov.tt/content/trinidad-tobago-removed-grey-list-fatf#.X3NJMRSSnIU</w:t>
        </w:r>
      </w:hyperlink>
    </w:p>
  </w:footnote>
  <w:footnote w:id="103">
    <w:p w14:paraId="000003E7"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51">
        <w:r w:rsidRPr="00DE19C9">
          <w:rPr>
            <w:rFonts w:asciiTheme="minorHAnsi" w:hAnsiTheme="minorHAnsi" w:cstheme="minorHAnsi"/>
            <w:color w:val="0000FF"/>
            <w:sz w:val="18"/>
            <w:szCs w:val="18"/>
            <w:u w:val="single"/>
          </w:rPr>
          <w:t>Crime Rate by Country 2020 (worldpopulationreview.com)</w:t>
        </w:r>
      </w:hyperlink>
    </w:p>
  </w:footnote>
  <w:footnote w:id="104">
    <w:p w14:paraId="000003E8"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TT Crime- Crime Statistics from 1994 to Present: https://www.ttcrime.com/crime-statistics/</w:t>
      </w:r>
    </w:p>
  </w:footnote>
  <w:footnote w:id="105">
    <w:p w14:paraId="000003E9" w14:textId="77777777" w:rsidR="00C86F4B" w:rsidRPr="00DE19C9" w:rsidRDefault="00C86F4B">
      <w:pPr>
        <w:rPr>
          <w:rFonts w:asciiTheme="minorHAnsi" w:eastAsia="Courier"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OSAC Crime and Safety Report, Trinidad and Tobago 2019: https://www.osac.gov/Country/TrinidadTobago/Content/Detail/Report/83007ec0-cd97-4dc2-95ac-15f4aecc2072  </w:t>
      </w:r>
    </w:p>
  </w:footnote>
  <w:footnote w:id="106">
    <w:p w14:paraId="000003EA"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https://sta.uwi.edu/news/releases/release.asp?id=22082</w:t>
      </w:r>
    </w:p>
  </w:footnote>
  <w:footnote w:id="107">
    <w:p w14:paraId="000003EB"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https://www.guardian.co.tt/opinion/shocking-increase-in-police-killings-6.2.1146805.264fe75068</w:t>
      </w:r>
    </w:p>
  </w:footnote>
  <w:footnote w:id="108">
    <w:p w14:paraId="000003EC"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Wendell, Wallace, Hill, Burton and Rosales, Anthony (2020) “Remanded in Custody and Punished without Trial: The Criminal Justice System and Remand Populations in Trinidad and Tobago, Justice Policy Journal, Vol. 17, Number 1; Centre on Juvenile and Criminal Justice</w:t>
      </w:r>
    </w:p>
  </w:footnote>
  <w:footnote w:id="109">
    <w:p w14:paraId="15453C3F" w14:textId="7D467C1C"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52" w:history="1">
        <w:r w:rsidRPr="00DE19C9">
          <w:rPr>
            <w:rStyle w:val="Hyperlink"/>
            <w:rFonts w:asciiTheme="minorHAnsi" w:hAnsiTheme="minorHAnsi" w:cstheme="minorHAnsi"/>
            <w:sz w:val="18"/>
            <w:szCs w:val="18"/>
          </w:rPr>
          <w:t>https://newsday.co.tt/2020/10/08/prison-officers-call-for-investigation-into-colleagues-killing/</w:t>
        </w:r>
      </w:hyperlink>
      <w:r w:rsidRPr="00DE19C9">
        <w:rPr>
          <w:rFonts w:asciiTheme="minorHAnsi" w:hAnsiTheme="minorHAnsi" w:cstheme="minorHAnsi"/>
          <w:sz w:val="18"/>
          <w:szCs w:val="18"/>
        </w:rPr>
        <w:t xml:space="preserve"> </w:t>
      </w:r>
    </w:p>
  </w:footnote>
  <w:footnote w:id="110">
    <w:p w14:paraId="4B900DB2" w14:textId="3123CBDD"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53" w:history="1">
        <w:r w:rsidRPr="00DE19C9">
          <w:rPr>
            <w:rFonts w:asciiTheme="minorHAnsi" w:hAnsiTheme="minorHAnsi" w:cstheme="minorHAnsi"/>
            <w:color w:val="0000FF"/>
            <w:sz w:val="18"/>
            <w:szCs w:val="18"/>
            <w:u w:val="single"/>
          </w:rPr>
          <w:t>Pressure on prisons | Local News | trinidadexpress.com</w:t>
        </w:r>
      </w:hyperlink>
    </w:p>
  </w:footnote>
  <w:footnote w:id="111">
    <w:p w14:paraId="6B253C97" w14:textId="2BE00A58"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Ibid</w:t>
      </w:r>
    </w:p>
  </w:footnote>
  <w:footnote w:id="112">
    <w:p w14:paraId="000003ED"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Crime and Problem Analysis Branch, Trinidad and Tobago Police Service</w:t>
      </w:r>
    </w:p>
    <w:p w14:paraId="000003EE" w14:textId="207A7226" w:rsidR="00C86F4B" w:rsidRPr="00DE19C9" w:rsidRDefault="00000000">
      <w:pPr>
        <w:rPr>
          <w:rFonts w:asciiTheme="minorHAnsi" w:hAnsiTheme="minorHAnsi" w:cstheme="minorHAnsi"/>
          <w:color w:val="000000"/>
          <w:sz w:val="18"/>
          <w:szCs w:val="18"/>
        </w:rPr>
      </w:pPr>
      <w:hyperlink r:id="rId54" w:anchor=":~:text=According%20to%20the%20most%20recent,littered%20throughout%20Trinidad%20and%20Tobago" w:history="1">
        <w:r w:rsidR="00C86F4B" w:rsidRPr="00DE19C9">
          <w:rPr>
            <w:rStyle w:val="Hyperlink"/>
            <w:rFonts w:asciiTheme="minorHAnsi" w:hAnsiTheme="minorHAnsi" w:cstheme="minorHAnsi"/>
            <w:sz w:val="18"/>
            <w:szCs w:val="18"/>
          </w:rPr>
          <w:t>https://www.guardian.co.tt/news/2458-members-now-terrorising-citizens-6.2.777021.7308ecce87#:~:text=According%20to%20the%20most%20recent,littered%20throughout%20Trinidad%20and%20Tobago</w:t>
        </w:r>
      </w:hyperlink>
      <w:r w:rsidR="00C86F4B" w:rsidRPr="00DE19C9">
        <w:rPr>
          <w:rFonts w:asciiTheme="minorHAnsi" w:hAnsiTheme="minorHAnsi" w:cstheme="minorHAnsi"/>
          <w:color w:val="000000"/>
          <w:sz w:val="18"/>
          <w:szCs w:val="18"/>
        </w:rPr>
        <w:t xml:space="preserve"> </w:t>
      </w:r>
    </w:p>
  </w:footnote>
  <w:footnote w:id="113">
    <w:p w14:paraId="000003EF"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Draft National P/CVE Plan of Trinidad and Tobago</w:t>
      </w:r>
    </w:p>
  </w:footnote>
  <w:footnote w:id="114">
    <w:p w14:paraId="000003F0"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UNICEF, Trinidad and Tobago 2011 Multiple Indicator Cluster Survey (MICS)</w:t>
      </w:r>
    </w:p>
  </w:footnote>
  <w:footnote w:id="115">
    <w:p w14:paraId="000003F1"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IADB (2020) Survey of Individuals Deprived of Liberty, </w:t>
      </w:r>
      <w:hyperlink r:id="rId55">
        <w:r w:rsidRPr="00DE19C9">
          <w:rPr>
            <w:rFonts w:asciiTheme="minorHAnsi" w:hAnsiTheme="minorHAnsi" w:cstheme="minorHAnsi"/>
            <w:color w:val="0000FF"/>
            <w:sz w:val="18"/>
            <w:szCs w:val="18"/>
            <w:u w:val="single"/>
          </w:rPr>
          <w:t>https://publications.iadb.org/publications/english/document/Survey-of-Individuals-Deprived-of-Liberty-Caribbean-2016-2019-Trinidad-and-Tobago-Country-Report.pdf</w:t>
        </w:r>
      </w:hyperlink>
      <w:r w:rsidRPr="00DE19C9">
        <w:rPr>
          <w:rFonts w:asciiTheme="minorHAnsi" w:hAnsiTheme="minorHAnsi" w:cstheme="minorHAnsi"/>
          <w:color w:val="000000"/>
          <w:sz w:val="18"/>
          <w:szCs w:val="18"/>
        </w:rPr>
        <w:t xml:space="preserve">. </w:t>
      </w:r>
    </w:p>
  </w:footnote>
  <w:footnote w:id="116">
    <w:p w14:paraId="000003F2" w14:textId="0A5A550D"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hyperlink r:id="rId56" w:history="1">
        <w:r w:rsidRPr="00DE19C9">
          <w:rPr>
            <w:rStyle w:val="Hyperlink"/>
            <w:rFonts w:asciiTheme="minorHAnsi" w:hAnsiTheme="minorHAnsi" w:cstheme="minorHAnsi"/>
            <w:sz w:val="18"/>
            <w:szCs w:val="18"/>
          </w:rPr>
          <w:t>https://restorativejustice.org.uk/sites/default/files/resources/files/Matrix%20Evidence%20%20Economic%20Analysis%20of%20interventions%20for%20young%20offenders..pdf</w:t>
        </w:r>
      </w:hyperlink>
      <w:r w:rsidRPr="00DE19C9">
        <w:rPr>
          <w:rFonts w:asciiTheme="minorHAnsi" w:hAnsiTheme="minorHAnsi" w:cstheme="minorHAnsi"/>
          <w:color w:val="000000"/>
          <w:sz w:val="18"/>
          <w:szCs w:val="18"/>
        </w:rPr>
        <w:t xml:space="preserve"> </w:t>
      </w:r>
    </w:p>
    <w:p w14:paraId="000003F3" w14:textId="77777777" w:rsidR="00C86F4B" w:rsidRPr="00DE19C9" w:rsidRDefault="00000000">
      <w:pPr>
        <w:rPr>
          <w:rFonts w:asciiTheme="minorHAnsi" w:hAnsiTheme="minorHAnsi" w:cstheme="minorHAnsi"/>
          <w:color w:val="000000"/>
          <w:sz w:val="18"/>
          <w:szCs w:val="18"/>
        </w:rPr>
      </w:pPr>
      <w:hyperlink r:id="rId57">
        <w:r w:rsidR="00C86F4B" w:rsidRPr="00DE19C9">
          <w:rPr>
            <w:rFonts w:asciiTheme="minorHAnsi" w:hAnsiTheme="minorHAnsi" w:cstheme="minorHAnsi"/>
            <w:color w:val="0000FF"/>
            <w:sz w:val="18"/>
            <w:szCs w:val="18"/>
            <w:u w:val="single"/>
          </w:rPr>
          <w:t>https://www.unodc.org/e4j/en/terrorism/module-2/key-issues/drivers-of-violent-extremism.html</w:t>
        </w:r>
      </w:hyperlink>
      <w:r w:rsidR="00C86F4B" w:rsidRPr="00DE19C9">
        <w:rPr>
          <w:rFonts w:asciiTheme="minorHAnsi" w:hAnsiTheme="minorHAnsi" w:cstheme="minorHAnsi"/>
          <w:color w:val="000000"/>
          <w:sz w:val="18"/>
          <w:szCs w:val="18"/>
        </w:rPr>
        <w:t xml:space="preserve"> </w:t>
      </w:r>
    </w:p>
    <w:p w14:paraId="000003F4" w14:textId="77777777" w:rsidR="00C86F4B" w:rsidRPr="00DE19C9" w:rsidRDefault="00000000">
      <w:pPr>
        <w:rPr>
          <w:rFonts w:asciiTheme="minorHAnsi" w:hAnsiTheme="minorHAnsi" w:cstheme="minorHAnsi"/>
          <w:color w:val="000000"/>
          <w:sz w:val="18"/>
          <w:szCs w:val="18"/>
        </w:rPr>
      </w:pPr>
      <w:hyperlink r:id="rId58">
        <w:r w:rsidR="00C86F4B" w:rsidRPr="00DE19C9">
          <w:rPr>
            <w:rFonts w:asciiTheme="minorHAnsi" w:hAnsiTheme="minorHAnsi" w:cstheme="minorHAnsi"/>
            <w:color w:val="0000FF"/>
            <w:sz w:val="18"/>
            <w:szCs w:val="18"/>
            <w:u w:val="single"/>
          </w:rPr>
          <w:t>https://www.unodc.org/e4j/en/crime-prevention-criminal-justice/module-8/key-issues/3--how-cost-effective-is-restorative-justice.html</w:t>
        </w:r>
      </w:hyperlink>
      <w:r w:rsidR="00C86F4B" w:rsidRPr="00DE19C9">
        <w:rPr>
          <w:rFonts w:asciiTheme="minorHAnsi" w:hAnsiTheme="minorHAnsi" w:cstheme="minorHAnsi"/>
          <w:color w:val="000000"/>
          <w:sz w:val="18"/>
          <w:szCs w:val="18"/>
        </w:rPr>
        <w:t xml:space="preserve"> </w:t>
      </w:r>
    </w:p>
  </w:footnote>
  <w:footnote w:id="117">
    <w:p w14:paraId="4E723202" w14:textId="379060D3"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59" w:history="1">
        <w:r w:rsidRPr="00DE19C9">
          <w:rPr>
            <w:rStyle w:val="Hyperlink"/>
            <w:rFonts w:asciiTheme="minorHAnsi" w:hAnsiTheme="minorHAnsi" w:cstheme="minorHAnsi"/>
            <w:sz w:val="18"/>
            <w:szCs w:val="18"/>
          </w:rPr>
          <w:t>https://www.theguardian.com/world/2018/feb/02/trinidad-jihadis-isis-tobago-tariq-abdul-haqq</w:t>
        </w:r>
      </w:hyperlink>
      <w:r w:rsidRPr="00DE19C9">
        <w:rPr>
          <w:rFonts w:asciiTheme="minorHAnsi" w:hAnsiTheme="minorHAnsi" w:cstheme="minorHAnsi"/>
          <w:sz w:val="18"/>
          <w:szCs w:val="18"/>
        </w:rPr>
        <w:t xml:space="preserve"> </w:t>
      </w:r>
    </w:p>
  </w:footnote>
  <w:footnote w:id="118">
    <w:p w14:paraId="000003F5"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hAnsiTheme="minorHAnsi" w:cstheme="minorHAnsi"/>
          <w:i/>
          <w:color w:val="000000"/>
          <w:sz w:val="18"/>
          <w:szCs w:val="18"/>
          <w:highlight w:val="white"/>
        </w:rPr>
        <w:t>Simon Cottee</w:t>
      </w:r>
      <w:r w:rsidRPr="00DE19C9">
        <w:rPr>
          <w:rFonts w:asciiTheme="minorHAnsi" w:hAnsiTheme="minorHAnsi" w:cstheme="minorHAnsi"/>
          <w:color w:val="000000"/>
          <w:sz w:val="18"/>
          <w:szCs w:val="18"/>
          <w:highlight w:val="white"/>
        </w:rPr>
        <w:t>. The Calypso Caliphate, International Affairs, Volume 95, Issue 2, March </w:t>
      </w:r>
      <w:r w:rsidRPr="00DE19C9">
        <w:rPr>
          <w:rFonts w:asciiTheme="minorHAnsi" w:hAnsiTheme="minorHAnsi" w:cstheme="minorHAnsi"/>
          <w:b/>
          <w:i/>
          <w:color w:val="000000"/>
          <w:sz w:val="18"/>
          <w:szCs w:val="18"/>
          <w:highlight w:val="white"/>
        </w:rPr>
        <w:t>2019</w:t>
      </w:r>
      <w:r w:rsidRPr="00DE19C9">
        <w:rPr>
          <w:rFonts w:asciiTheme="minorHAnsi" w:hAnsiTheme="minorHAnsi" w:cstheme="minorHAnsi"/>
          <w:color w:val="000000"/>
          <w:sz w:val="18"/>
          <w:szCs w:val="18"/>
          <w:highlight w:val="white"/>
        </w:rPr>
        <w:t xml:space="preserve">, Pages 297–317, </w:t>
      </w:r>
      <w:hyperlink r:id="rId60">
        <w:r w:rsidRPr="00DE19C9">
          <w:rPr>
            <w:rFonts w:asciiTheme="minorHAnsi" w:hAnsiTheme="minorHAnsi" w:cstheme="minorHAnsi"/>
            <w:color w:val="0000FF"/>
            <w:sz w:val="18"/>
            <w:szCs w:val="18"/>
            <w:u w:val="single"/>
          </w:rPr>
          <w:t>https://doi.org/10.1093/ia/iiz026</w:t>
        </w:r>
      </w:hyperlink>
      <w:r w:rsidRPr="00DE19C9">
        <w:rPr>
          <w:rFonts w:asciiTheme="minorHAnsi" w:hAnsiTheme="minorHAnsi" w:cstheme="minorHAnsi"/>
          <w:color w:val="000000"/>
          <w:sz w:val="18"/>
          <w:szCs w:val="18"/>
        </w:rPr>
        <w:t xml:space="preserve"> </w:t>
      </w:r>
    </w:p>
  </w:footnote>
  <w:footnote w:id="119">
    <w:p w14:paraId="000003F6" w14:textId="015B7F66"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 CARICOM Counter Terrorism Strategy 2018, </w:t>
      </w:r>
      <w:hyperlink r:id="rId61">
        <w:r w:rsidRPr="00DE19C9">
          <w:rPr>
            <w:rFonts w:asciiTheme="minorHAnsi" w:eastAsia="Times New Roman" w:hAnsiTheme="minorHAnsi" w:cstheme="minorHAnsi"/>
            <w:color w:val="0000FF"/>
            <w:sz w:val="18"/>
            <w:szCs w:val="18"/>
            <w:u w:val="single"/>
          </w:rPr>
          <w:t>https://www.caricomimpacs.org/Portals/0/Documents/CARICOM%20COUNTER%20TERRORISM%20STRATEGY%20Final.pdf?ver=2018-03-29-233917-437</w:t>
        </w:r>
      </w:hyperlink>
    </w:p>
  </w:footnote>
  <w:footnote w:id="120">
    <w:p w14:paraId="000003F7" w14:textId="77777777"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 United States Department of State, Country Terrorism Reports 2019: Trinidad and Tobago, </w:t>
      </w:r>
      <w:hyperlink r:id="rId62">
        <w:r w:rsidRPr="00DE19C9">
          <w:rPr>
            <w:rFonts w:asciiTheme="minorHAnsi" w:eastAsia="Times New Roman" w:hAnsiTheme="minorHAnsi" w:cstheme="minorHAnsi"/>
            <w:color w:val="0000FF"/>
            <w:sz w:val="18"/>
            <w:szCs w:val="18"/>
            <w:u w:val="single"/>
          </w:rPr>
          <w:t>https://www.state.gov/reports/country-reports-on-terrorism-2019/trinidad-and-tobago/</w:t>
        </w:r>
      </w:hyperlink>
      <w:r w:rsidRPr="00DE19C9">
        <w:rPr>
          <w:rFonts w:asciiTheme="minorHAnsi" w:eastAsia="Times New Roman" w:hAnsiTheme="minorHAnsi" w:cstheme="minorHAnsi"/>
          <w:color w:val="000000"/>
          <w:sz w:val="18"/>
          <w:szCs w:val="18"/>
        </w:rPr>
        <w:t xml:space="preserve"> </w:t>
      </w:r>
    </w:p>
  </w:footnote>
  <w:footnote w:id="121">
    <w:p w14:paraId="000003F8" w14:textId="23DC440B"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63" w:history="1">
        <w:r w:rsidRPr="00DE19C9">
          <w:rPr>
            <w:rStyle w:val="Hyperlink"/>
            <w:rFonts w:asciiTheme="minorHAnsi" w:hAnsiTheme="minorHAnsi" w:cstheme="minorHAnsi"/>
            <w:sz w:val="18"/>
            <w:szCs w:val="18"/>
          </w:rPr>
          <w:t>https://r4v.info/en/situations/platform/location/7498</w:t>
        </w:r>
      </w:hyperlink>
      <w:r w:rsidRPr="00DE19C9">
        <w:rPr>
          <w:rFonts w:asciiTheme="minorHAnsi" w:hAnsiTheme="minorHAnsi" w:cstheme="minorHAnsi"/>
          <w:color w:val="000000"/>
          <w:sz w:val="18"/>
          <w:szCs w:val="18"/>
        </w:rPr>
        <w:t xml:space="preserve"> </w:t>
      </w:r>
    </w:p>
  </w:footnote>
  <w:footnote w:id="122">
    <w:p w14:paraId="000003F9"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UNODC, 2018 Global Report on Trafficking in Persons, </w:t>
      </w:r>
      <w:hyperlink r:id="rId64">
        <w:r w:rsidRPr="00DE19C9">
          <w:rPr>
            <w:rFonts w:asciiTheme="minorHAnsi" w:hAnsiTheme="minorHAnsi" w:cstheme="minorHAnsi"/>
            <w:color w:val="0000FF"/>
            <w:sz w:val="18"/>
            <w:szCs w:val="18"/>
            <w:u w:val="single"/>
          </w:rPr>
          <w:t>https://www.unodc.org/documents/data-and-analysis/glotip/2018/GLOTiP_2018_BOOK_web_small.pdf</w:t>
        </w:r>
      </w:hyperlink>
      <w:r w:rsidRPr="00DE19C9">
        <w:rPr>
          <w:rFonts w:asciiTheme="minorHAnsi" w:hAnsiTheme="minorHAnsi" w:cstheme="minorHAnsi"/>
          <w:color w:val="000000"/>
          <w:sz w:val="18"/>
          <w:szCs w:val="18"/>
        </w:rPr>
        <w:t xml:space="preserve">. </w:t>
      </w:r>
    </w:p>
  </w:footnote>
  <w:footnote w:id="123">
    <w:p w14:paraId="000003FA"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United States Department of State, Trafficking in Persons Report 2020 </w:t>
      </w:r>
      <w:hyperlink r:id="rId65">
        <w:r w:rsidRPr="00DE19C9">
          <w:rPr>
            <w:rFonts w:asciiTheme="minorHAnsi" w:hAnsiTheme="minorHAnsi" w:cstheme="minorHAnsi"/>
            <w:color w:val="0000FF"/>
            <w:sz w:val="18"/>
            <w:szCs w:val="18"/>
            <w:u w:val="single"/>
          </w:rPr>
          <w:t>https://www.state.gov/reports/2020-trafficking-in-persons-report/trinidad-and-tobago/</w:t>
        </w:r>
      </w:hyperlink>
      <w:r w:rsidRPr="00DE19C9">
        <w:rPr>
          <w:rFonts w:asciiTheme="minorHAnsi" w:hAnsiTheme="minorHAnsi" w:cstheme="minorHAnsi"/>
          <w:color w:val="000000"/>
          <w:sz w:val="18"/>
          <w:szCs w:val="18"/>
        </w:rPr>
        <w:t xml:space="preserve"> </w:t>
      </w:r>
    </w:p>
  </w:footnote>
  <w:footnote w:id="124">
    <w:p w14:paraId="000003FB" w14:textId="77777777"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 United States Department of State, Trafficking in Persons Report 2020 </w:t>
      </w:r>
      <w:hyperlink r:id="rId66">
        <w:r w:rsidRPr="00DE19C9">
          <w:rPr>
            <w:rFonts w:asciiTheme="minorHAnsi" w:eastAsia="Times New Roman" w:hAnsiTheme="minorHAnsi" w:cstheme="minorHAnsi"/>
            <w:color w:val="0000FF"/>
            <w:sz w:val="18"/>
            <w:szCs w:val="18"/>
            <w:u w:val="single"/>
          </w:rPr>
          <w:t>https://www.state.gov/reports/2020-trafficking-in-persons-report/trinidad-and-tobago/</w:t>
        </w:r>
      </w:hyperlink>
    </w:p>
  </w:footnote>
  <w:footnote w:id="125">
    <w:p w14:paraId="000003FC" w14:textId="77777777" w:rsidR="00C86F4B" w:rsidRPr="00DE19C9" w:rsidRDefault="00C86F4B">
      <w:pPr>
        <w:rPr>
          <w:rFonts w:asciiTheme="minorHAnsi" w:eastAsia="Times New Roman"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eastAsia="Times New Roman" w:hAnsiTheme="minorHAnsi" w:cstheme="minorHAnsi"/>
          <w:color w:val="000000"/>
          <w:sz w:val="18"/>
          <w:szCs w:val="18"/>
        </w:rPr>
        <w:t xml:space="preserve"> </w:t>
      </w:r>
      <w:hyperlink r:id="rId67">
        <w:r w:rsidRPr="00DE19C9">
          <w:rPr>
            <w:rFonts w:asciiTheme="minorHAnsi" w:eastAsia="Times New Roman" w:hAnsiTheme="minorHAnsi" w:cstheme="minorHAnsi"/>
            <w:color w:val="0000FF"/>
            <w:sz w:val="18"/>
            <w:szCs w:val="18"/>
            <w:u w:val="single"/>
          </w:rPr>
          <w:t>http://www.looptt.com/content/19-spanish-speaking-girls-rescued-human-trafficking-bust</w:t>
        </w:r>
      </w:hyperlink>
    </w:p>
  </w:footnote>
  <w:footnote w:id="126">
    <w:p w14:paraId="000003FD"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68">
        <w:r w:rsidRPr="00DE19C9">
          <w:rPr>
            <w:rFonts w:asciiTheme="minorHAnsi" w:hAnsiTheme="minorHAnsi" w:cstheme="minorHAnsi"/>
            <w:color w:val="0000FF"/>
            <w:sz w:val="18"/>
            <w:szCs w:val="18"/>
            <w:u w:val="single"/>
          </w:rPr>
          <w:t>CARICOM Core SDGs Indicators.pdf</w:t>
        </w:r>
      </w:hyperlink>
    </w:p>
  </w:footnote>
  <w:footnote w:id="127">
    <w:p w14:paraId="000003FE"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Voluntary National Review Trinidad and Tobago: Connecting the Dots to the SDGs, page 9</w:t>
      </w:r>
    </w:p>
  </w:footnote>
  <w:footnote w:id="128">
    <w:p w14:paraId="000003FF"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http://hdr.undp.org/en/2019-report</w:t>
      </w:r>
    </w:p>
  </w:footnote>
  <w:footnote w:id="129">
    <w:p w14:paraId="00000400"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https://trinidadexpress.com/newsextra/t-ts-aging-population/article_56c147fe-3ddc-11ea-bbaf-6724991400c6.html</w:t>
      </w:r>
    </w:p>
  </w:footnote>
  <w:footnote w:id="130">
    <w:p w14:paraId="00000401"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http://hdr.undp.org/sites/all/themes/hdr_theme/country-notes/TTO.pdf</w:t>
      </w:r>
    </w:p>
  </w:footnote>
  <w:footnote w:id="131">
    <w:p w14:paraId="00000402"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https://www.un.org/development/desa/dspd/wp-content/uploads/sites/22/2018/07/Chapter-ISocial-protection-and-social-progress.pdf</w:t>
      </w:r>
    </w:p>
  </w:footnote>
  <w:footnote w:id="132">
    <w:p w14:paraId="00000403"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https://www.guardian.co.tt/news/contract-signed-for-implementing-national-social-mitigation-plan-6.2.1156420.eae6cd6650</w:t>
      </w:r>
    </w:p>
  </w:footnote>
  <w:footnote w:id="133">
    <w:p w14:paraId="00000405" w14:textId="3765D0B3"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69" w:history="1">
        <w:r w:rsidRPr="00DE19C9">
          <w:rPr>
            <w:rStyle w:val="Hyperlink"/>
            <w:rFonts w:asciiTheme="minorHAnsi" w:hAnsiTheme="minorHAnsi" w:cstheme="minorHAnsi"/>
            <w:sz w:val="18"/>
            <w:szCs w:val="18"/>
          </w:rPr>
          <w:t>https://www.iom.int/countries/trinidad-and-tobago</w:t>
        </w:r>
      </w:hyperlink>
      <w:r w:rsidRPr="00DE19C9">
        <w:rPr>
          <w:rFonts w:asciiTheme="minorHAnsi" w:hAnsiTheme="minorHAnsi" w:cstheme="minorHAnsi"/>
          <w:color w:val="000000"/>
          <w:sz w:val="18"/>
          <w:szCs w:val="18"/>
        </w:rPr>
        <w:t xml:space="preserve"> </w:t>
      </w:r>
    </w:p>
  </w:footnote>
  <w:footnote w:id="134">
    <w:p w14:paraId="00000406"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70">
        <w:r w:rsidRPr="00DE19C9">
          <w:rPr>
            <w:rFonts w:asciiTheme="minorHAnsi" w:hAnsiTheme="minorHAnsi" w:cstheme="minorHAnsi"/>
            <w:color w:val="0000FF"/>
            <w:sz w:val="18"/>
            <w:szCs w:val="18"/>
            <w:u w:val="single"/>
          </w:rPr>
          <w:t>https://uprdoc.ohchr.org/uprweb/downloadfile.aspx?filename=2710&amp;file=EnglishTranslation</w:t>
        </w:r>
      </w:hyperlink>
      <w:r w:rsidRPr="00DE19C9">
        <w:rPr>
          <w:rFonts w:asciiTheme="minorHAnsi" w:hAnsiTheme="minorHAnsi" w:cstheme="minorHAnsi"/>
          <w:color w:val="000000"/>
          <w:sz w:val="18"/>
          <w:szCs w:val="18"/>
        </w:rPr>
        <w:t xml:space="preserve"> </w:t>
      </w:r>
    </w:p>
  </w:footnote>
  <w:footnote w:id="135">
    <w:p w14:paraId="24C99EAD" w14:textId="6ADA93EF"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hyperlink r:id="rId71" w:history="1">
        <w:r w:rsidRPr="00DE19C9">
          <w:rPr>
            <w:rStyle w:val="Hyperlink"/>
            <w:rFonts w:asciiTheme="minorHAnsi" w:hAnsiTheme="minorHAnsi" w:cstheme="minorHAnsi"/>
            <w:sz w:val="18"/>
            <w:szCs w:val="18"/>
          </w:rPr>
          <w:t>https://r4v.info/en/situations/platform/location/7498</w:t>
        </w:r>
      </w:hyperlink>
      <w:r w:rsidRPr="00DE19C9">
        <w:rPr>
          <w:rFonts w:asciiTheme="minorHAnsi" w:hAnsiTheme="minorHAnsi" w:cstheme="minorHAnsi"/>
          <w:sz w:val="18"/>
          <w:szCs w:val="18"/>
        </w:rPr>
        <w:t xml:space="preserve"> </w:t>
      </w:r>
    </w:p>
  </w:footnote>
  <w:footnote w:id="136">
    <w:p w14:paraId="00000407"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UNICEF report on the Impact of COVID-19 on Migrant Children </w:t>
      </w:r>
    </w:p>
  </w:footnote>
  <w:footnote w:id="137">
    <w:p w14:paraId="00000408"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http://www.jamaicaobserver.com/news/modern-day-slavery-in-venezuela-15-year-old-girl-sold-for-us-300-to-human-trafficking-network-in-trinidad-and-tobago_197257?profile=1013&amp;template=MobileArticle</w:t>
      </w:r>
    </w:p>
  </w:footnote>
  <w:footnote w:id="138">
    <w:p w14:paraId="0000040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https://www.state.gov/reports/2019-trafficking-in-persons-report-2/trinidad-and-tobago/</w:t>
      </w:r>
    </w:p>
  </w:footnote>
  <w:footnote w:id="139">
    <w:p w14:paraId="0000040A" w14:textId="07ECDFCD"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https://reliefweb.int/sites/reliefweb.int/files/resources/Impact%20of%20COVID-19%20on%20migrant%20children%20in%20Trinidad%20and%20Tobago.pdf</w:t>
      </w:r>
    </w:p>
  </w:footnote>
  <w:footnote w:id="140">
    <w:p w14:paraId="0000040B"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https://www.ttchildren.org/images/CATT_2018_Annual_Report_Final_compressed.pdf</w:t>
      </w:r>
    </w:p>
  </w:footnote>
  <w:footnote w:id="141">
    <w:p w14:paraId="0000040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https://newsday.co.tt/2020/08/29/65000-need-laptops/</w:t>
      </w:r>
    </w:p>
  </w:footnote>
  <w:footnote w:id="142">
    <w:p w14:paraId="0000040D"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72">
        <w:r w:rsidRPr="00DE19C9">
          <w:rPr>
            <w:rFonts w:asciiTheme="minorHAnsi" w:hAnsiTheme="minorHAnsi" w:cstheme="minorHAnsi"/>
            <w:color w:val="0000FF"/>
            <w:sz w:val="18"/>
            <w:szCs w:val="18"/>
            <w:u w:val="single"/>
          </w:rPr>
          <w:t>20181011 AF Trinidad and Tobago Health for digital.pdf</w:t>
        </w:r>
      </w:hyperlink>
    </w:p>
  </w:footnote>
  <w:footnote w:id="143">
    <w:p w14:paraId="0000040E"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E.O.T.0001 of 2017 Rishi Persad Maharaj v Cascadia Hotel Limited</w:t>
      </w:r>
    </w:p>
  </w:footnote>
  <w:footnote w:id="144">
    <w:p w14:paraId="0000040F"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CV2017-00720 Jason Jones v The Attorney General of Trinidad and Tobago </w:t>
      </w:r>
    </w:p>
  </w:footnote>
  <w:footnote w:id="145">
    <w:p w14:paraId="00000410"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73">
        <w:r w:rsidRPr="00DE19C9">
          <w:rPr>
            <w:rFonts w:asciiTheme="minorHAnsi" w:hAnsiTheme="minorHAnsi" w:cstheme="minorHAnsi"/>
            <w:color w:val="0000FF"/>
            <w:sz w:val="18"/>
            <w:szCs w:val="18"/>
            <w:u w:val="single"/>
          </w:rPr>
          <w:t>2011 Census Data – Central Statistical Office (cso.gov.tt)</w:t>
        </w:r>
      </w:hyperlink>
    </w:p>
  </w:footnote>
  <w:footnote w:id="146">
    <w:p w14:paraId="00000411"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https://www.unaids.org/en/regionscountries/countries/trinidadandtobago</w:t>
      </w:r>
    </w:p>
  </w:footnote>
  <w:footnote w:id="147">
    <w:p w14:paraId="00000412"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https://planning.gov.tt/content/vision-2030</w:t>
      </w:r>
    </w:p>
  </w:footnote>
  <w:footnote w:id="148">
    <w:p w14:paraId="00000414" w14:textId="1241F8FA"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It refers to higher rates of economic growth than rates of growth in material and energy consumption and environmental impact. When rates of economic growth increase and levels of natural resources’ exploitation decrease, we say this is an absolute decoupling; and when both grow or shrink under similar trends we have an economy coupled to the extraction of natural resources.</w:t>
      </w:r>
    </w:p>
  </w:footnote>
  <w:footnote w:id="149">
    <w:p w14:paraId="0000041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Global Material</w:t>
      </w:r>
      <w:r w:rsidRPr="00DE19C9">
        <w:rPr>
          <w:rFonts w:asciiTheme="minorHAnsi" w:hAnsiTheme="minorHAnsi" w:cstheme="minorHAnsi"/>
          <w:sz w:val="18"/>
          <w:szCs w:val="18"/>
        </w:rPr>
        <w:t xml:space="preserve"> Flows Database: </w:t>
      </w:r>
      <w:hyperlink r:id="rId74">
        <w:r w:rsidRPr="00DE19C9">
          <w:rPr>
            <w:rFonts w:asciiTheme="minorHAnsi" w:hAnsiTheme="minorHAnsi" w:cstheme="minorHAnsi"/>
            <w:color w:val="1155CC"/>
            <w:sz w:val="18"/>
            <w:szCs w:val="18"/>
            <w:u w:val="single"/>
          </w:rPr>
          <w:t>https://www.resourcepanel.org/global-material-flows-database</w:t>
        </w:r>
      </w:hyperlink>
      <w:r w:rsidRPr="00DE19C9">
        <w:rPr>
          <w:rFonts w:asciiTheme="minorHAnsi" w:hAnsiTheme="minorHAnsi" w:cstheme="minorHAnsi"/>
          <w:sz w:val="18"/>
          <w:szCs w:val="18"/>
        </w:rPr>
        <w:t>. Accessed on Nov/20.</w:t>
      </w:r>
    </w:p>
  </w:footnote>
  <w:footnote w:id="150">
    <w:p w14:paraId="00000416"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World Bank, 2020. World Bank Open Data: </w:t>
      </w:r>
      <w:hyperlink r:id="rId75">
        <w:r w:rsidRPr="00DE19C9">
          <w:rPr>
            <w:rFonts w:asciiTheme="minorHAnsi" w:hAnsiTheme="minorHAnsi" w:cstheme="minorHAnsi"/>
            <w:color w:val="0000FF"/>
            <w:sz w:val="18"/>
            <w:szCs w:val="18"/>
            <w:u w:val="single"/>
          </w:rPr>
          <w:t>https://data.worldbank.org/</w:t>
        </w:r>
      </w:hyperlink>
      <w:r w:rsidRPr="00DE19C9">
        <w:rPr>
          <w:rFonts w:asciiTheme="minorHAnsi" w:hAnsiTheme="minorHAnsi" w:cstheme="minorHAnsi"/>
          <w:sz w:val="18"/>
          <w:szCs w:val="18"/>
        </w:rPr>
        <w:t>. Accessed on Nov/20.</w:t>
      </w:r>
    </w:p>
  </w:footnote>
  <w:footnote w:id="151">
    <w:p w14:paraId="4056CC28" w14:textId="4D02CA99"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Global Material Flows Database: </w:t>
      </w:r>
      <w:hyperlink r:id="rId76" w:history="1">
        <w:r w:rsidRPr="00DE19C9">
          <w:rPr>
            <w:rStyle w:val="Hyperlink"/>
            <w:rFonts w:asciiTheme="minorHAnsi" w:hAnsiTheme="minorHAnsi" w:cstheme="minorHAnsi"/>
            <w:sz w:val="18"/>
            <w:szCs w:val="18"/>
          </w:rPr>
          <w:t>https://www.resourcepanel.org/global-material-flows-database. Accessed on Nov/20</w:t>
        </w:r>
      </w:hyperlink>
      <w:r w:rsidRPr="00DE19C9">
        <w:rPr>
          <w:rFonts w:asciiTheme="minorHAnsi" w:hAnsiTheme="minorHAnsi" w:cstheme="minorHAnsi"/>
          <w:sz w:val="18"/>
          <w:szCs w:val="18"/>
        </w:rPr>
        <w:t xml:space="preserve">. </w:t>
      </w:r>
    </w:p>
  </w:footnote>
  <w:footnote w:id="152">
    <w:p w14:paraId="00000417"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____, 2016. GEO-6: Global Environment Outlook: Regional assessment for Latin America and the Caribbean: </w:t>
      </w:r>
      <w:hyperlink r:id="rId77">
        <w:r w:rsidRPr="00DE19C9">
          <w:rPr>
            <w:rFonts w:asciiTheme="minorHAnsi" w:hAnsiTheme="minorHAnsi" w:cstheme="minorHAnsi"/>
            <w:color w:val="0000FF"/>
            <w:sz w:val="18"/>
            <w:szCs w:val="18"/>
            <w:u w:val="single"/>
          </w:rPr>
          <w:t>https://www.unenvironment.org/resources/report/geo-6-global-environment-outlook-regional-assessment-latin-america-and-caribbean</w:t>
        </w:r>
      </w:hyperlink>
      <w:r w:rsidRPr="00DE19C9">
        <w:rPr>
          <w:rFonts w:asciiTheme="minorHAnsi" w:hAnsiTheme="minorHAnsi" w:cstheme="minorHAnsi"/>
          <w:sz w:val="18"/>
          <w:szCs w:val="18"/>
        </w:rPr>
        <w:t>.</w:t>
      </w:r>
    </w:p>
    <w:p w14:paraId="00000418"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53">
    <w:p w14:paraId="0000041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https://www.pwc.com/tt/en/publications/assets/trinidad-and-tobago-national-budget-2021.pdf.</w:t>
      </w:r>
    </w:p>
  </w:footnote>
  <w:footnote w:id="154">
    <w:p w14:paraId="0000041A"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ECLAC (Economic Commission for Latin America and the Caribbean), 2020. The climate emergency in Latin America and the Caribbean: The path ahead – resignation or action?: </w:t>
      </w:r>
      <w:hyperlink r:id="rId78">
        <w:r w:rsidRPr="00DE19C9">
          <w:rPr>
            <w:rFonts w:asciiTheme="minorHAnsi" w:hAnsiTheme="minorHAnsi" w:cstheme="minorHAnsi"/>
            <w:color w:val="0000FF"/>
            <w:sz w:val="18"/>
            <w:szCs w:val="18"/>
            <w:u w:val="single"/>
          </w:rPr>
          <w:t>https://www.cepal.org/en/publications/45678-climate-emergency-latin-america-and-caribbean-path-ahead-resignation-or-action</w:t>
        </w:r>
      </w:hyperlink>
    </w:p>
    <w:p w14:paraId="0000041B"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Fonts w:asciiTheme="minorHAnsi" w:hAnsiTheme="minorHAnsi" w:cstheme="minorHAnsi"/>
          <w:color w:val="000000"/>
          <w:sz w:val="18"/>
          <w:szCs w:val="18"/>
        </w:rPr>
        <w:t xml:space="preserve"> </w:t>
      </w:r>
    </w:p>
  </w:footnote>
  <w:footnote w:id="155">
    <w:p w14:paraId="0000041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eastAsia="Arial" w:hAnsiTheme="minorHAnsi" w:cstheme="minorHAnsi"/>
          <w:color w:val="000000"/>
          <w:sz w:val="18"/>
          <w:szCs w:val="18"/>
        </w:rPr>
        <w:t>https://www.thelancet.com/commissions/future-child</w:t>
      </w:r>
    </w:p>
  </w:footnote>
  <w:footnote w:id="156">
    <w:p w14:paraId="0000041D" w14:textId="77777777" w:rsidR="00C86F4B" w:rsidRPr="00DE19C9" w:rsidRDefault="00C86F4B">
      <w:pP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UNSD (United Nations Statistical Division), 2020. SDG Indicators Database platform: </w:t>
      </w:r>
      <w:hyperlink r:id="rId79">
        <w:r w:rsidRPr="00DE19C9">
          <w:rPr>
            <w:rFonts w:asciiTheme="minorHAnsi" w:hAnsiTheme="minorHAnsi" w:cstheme="minorHAnsi"/>
            <w:color w:val="0000FF"/>
            <w:sz w:val="18"/>
            <w:szCs w:val="18"/>
            <w:u w:val="single"/>
          </w:rPr>
          <w:t>https://unstats.un.org/sdgs/indicators/database/</w:t>
        </w:r>
      </w:hyperlink>
    </w:p>
  </w:footnote>
  <w:footnote w:id="157">
    <w:p w14:paraId="0000041E"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Baksh-Comeau YS, Maharaj SS, Adams CD, Harris SA, Filer DL, Hawthorne WD. 2016. An annotated checklist of the vascular plants of Trinidad and Tobago with analysis of vegetation types and botanical ‘hotspots’. Phytotaxa 250:1-431.</w:t>
      </w:r>
    </w:p>
  </w:footnote>
  <w:footnote w:id="158">
    <w:p w14:paraId="0000041F"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Starr CK. 2010. </w:t>
      </w:r>
      <w:r w:rsidRPr="00DE19C9">
        <w:rPr>
          <w:rFonts w:asciiTheme="minorHAnsi" w:hAnsiTheme="minorHAnsi" w:cstheme="minorHAnsi"/>
          <w:i/>
          <w:sz w:val="18"/>
          <w:szCs w:val="18"/>
        </w:rPr>
        <w:t>How many species are in Trinidad and Tobago?</w:t>
      </w:r>
      <w:r w:rsidRPr="00DE19C9">
        <w:rPr>
          <w:rFonts w:asciiTheme="minorHAnsi" w:hAnsiTheme="minorHAnsi" w:cstheme="minorHAnsi"/>
          <w:sz w:val="18"/>
          <w:szCs w:val="18"/>
        </w:rPr>
        <w:t xml:space="preserve"> Pages 2-7 in Lawrence A, and Nelson HP, editors. Proceedings of the 1st Research Symposium on Biodiversity in Trinidad and Tobago. The Department of Life Sciences, The University of the West Indies, Trinidad.</w:t>
      </w:r>
    </w:p>
  </w:footnote>
  <w:footnote w:id="159">
    <w:p w14:paraId="00000420"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Government of the Republic of Trinidad and Tobago 2010. </w:t>
      </w:r>
      <w:r w:rsidRPr="00DE19C9">
        <w:rPr>
          <w:rFonts w:asciiTheme="minorHAnsi" w:hAnsiTheme="minorHAnsi" w:cstheme="minorHAnsi"/>
          <w:i/>
          <w:sz w:val="18"/>
          <w:szCs w:val="18"/>
        </w:rPr>
        <w:t>Fourth National Report of Trinidad and Tobago to the Convention on Biological Diversity.</w:t>
      </w:r>
      <w:r w:rsidRPr="00DE19C9">
        <w:rPr>
          <w:rFonts w:asciiTheme="minorHAnsi" w:hAnsiTheme="minorHAnsi" w:cstheme="minorHAnsi"/>
          <w:sz w:val="18"/>
          <w:szCs w:val="18"/>
        </w:rPr>
        <w:t xml:space="preserve"> Government of the Republic of Trinidad and Tobago, Port of Spain.</w:t>
      </w:r>
    </w:p>
  </w:footnote>
  <w:footnote w:id="160">
    <w:p w14:paraId="00000421"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Ibid</w:t>
      </w:r>
    </w:p>
  </w:footnote>
  <w:footnote w:id="161">
    <w:p w14:paraId="00000422"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Helmer EH, Ruzycki TS, Benner J, Voggesser SM, Scobie BP, Park C, Fanning DW, Ramnarine S. 2012. Detailed maps of tropical forest types are within reach: Forest tree communities for Trinidad and Tobago mapped with multi season Lands at and multi season fine-resolution imagery. Forest Ecology and Management 279:147-166.</w:t>
      </w:r>
    </w:p>
  </w:footnote>
  <w:footnote w:id="162">
    <w:p w14:paraId="00000424" w14:textId="1681ADB6" w:rsidR="00C86F4B" w:rsidRPr="00DE19C9" w:rsidRDefault="00000000" w:rsidP="00FA57A0">
      <w:pPr>
        <w:rPr>
          <w:rFonts w:asciiTheme="minorHAnsi" w:hAnsiTheme="minorHAnsi" w:cstheme="minorHAnsi"/>
          <w:color w:val="000000"/>
          <w:sz w:val="18"/>
          <w:szCs w:val="18"/>
        </w:rPr>
      </w:pPr>
      <w:sdt>
        <w:sdtPr>
          <w:rPr>
            <w:rFonts w:asciiTheme="minorHAnsi" w:hAnsiTheme="minorHAnsi" w:cstheme="minorHAnsi"/>
            <w:sz w:val="18"/>
            <w:szCs w:val="18"/>
          </w:rPr>
          <w:tag w:val="goog_rdk_47"/>
          <w:id w:val="200911735"/>
        </w:sdtPr>
        <w:sdtContent>
          <w:r w:rsidR="00C86F4B" w:rsidRPr="00DE19C9">
            <w:rPr>
              <w:rStyle w:val="FootnoteReference"/>
              <w:rFonts w:asciiTheme="minorHAnsi" w:hAnsiTheme="minorHAnsi" w:cstheme="minorHAnsi"/>
              <w:sz w:val="18"/>
              <w:szCs w:val="18"/>
            </w:rPr>
            <w:footnoteRef/>
          </w:r>
          <w:r w:rsidR="00C86F4B" w:rsidRPr="00DE19C9">
            <w:rPr>
              <w:rFonts w:asciiTheme="minorHAnsi" w:hAnsiTheme="minorHAnsi" w:cstheme="minorHAnsi"/>
              <w:sz w:val="18"/>
              <w:szCs w:val="18"/>
            </w:rPr>
            <w:t xml:space="preserve"> Trinidad and Tobago (Government of the Republic of Trinidad and Tobago, Ministry of Planning and Development), 2017. Trinidad and Tobago Roadmap for SDG Implementation: </w:t>
          </w:r>
          <w:hyperlink r:id="rId80">
            <w:r w:rsidR="00C86F4B" w:rsidRPr="00DE19C9">
              <w:rPr>
                <w:rFonts w:asciiTheme="minorHAnsi" w:hAnsiTheme="minorHAnsi" w:cstheme="minorHAnsi"/>
                <w:color w:val="0000FF"/>
                <w:sz w:val="18"/>
                <w:szCs w:val="18"/>
                <w:u w:val="single"/>
              </w:rPr>
              <w:t>http://www.sustainablesids.org/wp-content/uploads/2018/06/Trinidad-and-Tobago-SDG-Roadmap-April-2017.pdf</w:t>
            </w:r>
          </w:hyperlink>
          <w:r w:rsidR="00C86F4B" w:rsidRPr="00DE19C9">
            <w:rPr>
              <w:rFonts w:asciiTheme="minorHAnsi" w:hAnsiTheme="minorHAnsi" w:cstheme="minorHAnsi"/>
              <w:sz w:val="18"/>
              <w:szCs w:val="18"/>
            </w:rPr>
            <w:t>.</w:t>
          </w:r>
          <w:sdt>
            <w:sdtPr>
              <w:rPr>
                <w:rFonts w:asciiTheme="minorHAnsi" w:hAnsiTheme="minorHAnsi" w:cstheme="minorHAnsi"/>
                <w:sz w:val="18"/>
                <w:szCs w:val="18"/>
              </w:rPr>
              <w:tag w:val="goog_rdk_46"/>
              <w:id w:val="-12388809"/>
            </w:sdtPr>
            <w:sdtContent/>
          </w:sdt>
        </w:sdtContent>
      </w:sdt>
      <w:sdt>
        <w:sdtPr>
          <w:rPr>
            <w:rFonts w:asciiTheme="minorHAnsi" w:hAnsiTheme="minorHAnsi" w:cstheme="minorHAnsi"/>
            <w:sz w:val="18"/>
            <w:szCs w:val="18"/>
          </w:rPr>
          <w:tag w:val="goog_rdk_48"/>
          <w:id w:val="1205978572"/>
        </w:sdtPr>
        <w:sdtContent/>
      </w:sdt>
    </w:p>
  </w:footnote>
  <w:footnote w:id="163">
    <w:p w14:paraId="0000042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hAnsiTheme="minorHAnsi" w:cstheme="minorHAnsi"/>
          <w:sz w:val="18"/>
          <w:szCs w:val="18"/>
        </w:rPr>
        <w:t>GEO-6: Global Environment Outlook: Regional assessment for Latin America and the Caribbean:</w:t>
      </w:r>
      <w:hyperlink r:id="rId81">
        <w:r w:rsidRPr="00DE19C9">
          <w:rPr>
            <w:rFonts w:asciiTheme="minorHAnsi" w:hAnsiTheme="minorHAnsi" w:cstheme="minorHAnsi"/>
            <w:sz w:val="18"/>
            <w:szCs w:val="18"/>
          </w:rPr>
          <w:t xml:space="preserve"> </w:t>
        </w:r>
      </w:hyperlink>
      <w:hyperlink r:id="rId82">
        <w:r w:rsidRPr="00DE19C9">
          <w:rPr>
            <w:rFonts w:asciiTheme="minorHAnsi" w:hAnsiTheme="minorHAnsi" w:cstheme="minorHAnsi"/>
            <w:color w:val="1155CC"/>
            <w:sz w:val="18"/>
            <w:szCs w:val="18"/>
            <w:u w:val="single"/>
          </w:rPr>
          <w:t>https://www.unenvironment.org/resources/report/geo-6-global-environment-outlook-regional-assessment-latin-america-and-caribbean</w:t>
        </w:r>
      </w:hyperlink>
    </w:p>
  </w:footnote>
  <w:footnote w:id="164">
    <w:p w14:paraId="00000427" w14:textId="53F8E0CF" w:rsidR="00C86F4B" w:rsidRPr="00DE19C9" w:rsidRDefault="00000000" w:rsidP="00FA57A0">
      <w:pPr>
        <w:rPr>
          <w:rFonts w:asciiTheme="minorHAnsi" w:hAnsiTheme="minorHAnsi" w:cstheme="minorHAnsi"/>
          <w:color w:val="000000"/>
          <w:sz w:val="18"/>
          <w:szCs w:val="18"/>
        </w:rPr>
      </w:pPr>
      <w:sdt>
        <w:sdtPr>
          <w:rPr>
            <w:rFonts w:asciiTheme="minorHAnsi" w:hAnsiTheme="minorHAnsi" w:cstheme="minorHAnsi"/>
            <w:sz w:val="18"/>
            <w:szCs w:val="18"/>
          </w:rPr>
          <w:tag w:val="goog_rdk_50"/>
          <w:id w:val="1541170945"/>
        </w:sdtPr>
        <w:sdtContent>
          <w:r w:rsidR="00C86F4B" w:rsidRPr="00DE19C9">
            <w:rPr>
              <w:rStyle w:val="FootnoteReference"/>
              <w:rFonts w:asciiTheme="minorHAnsi" w:hAnsiTheme="minorHAnsi" w:cstheme="minorHAnsi"/>
              <w:sz w:val="18"/>
              <w:szCs w:val="18"/>
            </w:rPr>
            <w:footnoteRef/>
          </w:r>
          <w:r w:rsidR="00C86F4B" w:rsidRPr="00DE19C9">
            <w:rPr>
              <w:rFonts w:asciiTheme="minorHAnsi" w:hAnsiTheme="minorHAnsi" w:cstheme="minorHAnsi"/>
              <w:sz w:val="18"/>
              <w:szCs w:val="18"/>
            </w:rPr>
            <w:t xml:space="preserve"> UN WATER (United Nations Water), 2020. UN-Water SDG 6 Data Portal: </w:t>
          </w:r>
          <w:hyperlink r:id="rId83">
            <w:r w:rsidR="00C86F4B" w:rsidRPr="00DE19C9">
              <w:rPr>
                <w:rFonts w:asciiTheme="minorHAnsi" w:hAnsiTheme="minorHAnsi" w:cstheme="minorHAnsi"/>
                <w:color w:val="0000FF"/>
                <w:sz w:val="18"/>
                <w:szCs w:val="18"/>
                <w:u w:val="single"/>
              </w:rPr>
              <w:t>https://www.sdg6data.org/</w:t>
            </w:r>
          </w:hyperlink>
          <w:sdt>
            <w:sdtPr>
              <w:rPr>
                <w:rFonts w:asciiTheme="minorHAnsi" w:hAnsiTheme="minorHAnsi" w:cstheme="minorHAnsi"/>
                <w:sz w:val="18"/>
                <w:szCs w:val="18"/>
              </w:rPr>
              <w:tag w:val="goog_rdk_49"/>
              <w:id w:val="2117176054"/>
            </w:sdtPr>
            <w:sdtContent/>
          </w:sdt>
        </w:sdtContent>
      </w:sdt>
      <w:sdt>
        <w:sdtPr>
          <w:rPr>
            <w:rFonts w:asciiTheme="minorHAnsi" w:hAnsiTheme="minorHAnsi" w:cstheme="minorHAnsi"/>
            <w:sz w:val="18"/>
            <w:szCs w:val="18"/>
          </w:rPr>
          <w:tag w:val="goog_rdk_51"/>
          <w:id w:val="-301773318"/>
        </w:sdtPr>
        <w:sdtContent/>
      </w:sdt>
    </w:p>
  </w:footnote>
  <w:footnote w:id="165">
    <w:p w14:paraId="00000428" w14:textId="74129BBA"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EMA (Environmental Management Authority of Trinidad and Tobago), 2015. 2015 Annual Report: Water Quality in Trinidad and Tobago: </w:t>
      </w:r>
      <w:hyperlink r:id="rId84">
        <w:r w:rsidRPr="00DE19C9">
          <w:rPr>
            <w:rFonts w:asciiTheme="minorHAnsi" w:hAnsiTheme="minorHAnsi" w:cstheme="minorHAnsi"/>
            <w:color w:val="0000FF"/>
            <w:sz w:val="18"/>
            <w:szCs w:val="18"/>
            <w:u w:val="single"/>
          </w:rPr>
          <w:t>https://ema.co.tt/images/Files/AnnualReports/2013-2015/2015%20Annual%20Report-%20Final%20(Website).pdf</w:t>
        </w:r>
      </w:hyperlink>
    </w:p>
    <w:p w14:paraId="0000042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66">
    <w:p w14:paraId="7E59E58D" w14:textId="257DECA9"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eastAsia="Arial" w:hAnsiTheme="minorHAnsi" w:cstheme="minorHAnsi"/>
          <w:color w:val="000000"/>
          <w:sz w:val="18"/>
          <w:szCs w:val="18"/>
        </w:rPr>
        <w:t>www.ema.co.tt/images/Files/AnnualReports/EMA%20Annual%20Report%202007%20-%20Copy.pdf</w:t>
      </w:r>
    </w:p>
  </w:footnote>
  <w:footnote w:id="167">
    <w:p w14:paraId="3A69C238" w14:textId="36F841A8"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eastAsia="Arial" w:hAnsiTheme="minorHAnsi" w:cstheme="minorHAnsi"/>
          <w:color w:val="000000"/>
          <w:sz w:val="18"/>
          <w:szCs w:val="18"/>
        </w:rPr>
        <w:t>www.sustainablesids.org/wp-content/uploads/2018/06/Trinidad-and-Tobago-SDG-Roadmap-April-2017.pdf</w:t>
      </w:r>
    </w:p>
  </w:footnote>
  <w:footnote w:id="168">
    <w:p w14:paraId="0000042A"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IMA. 2016. </w:t>
      </w:r>
      <w:r w:rsidRPr="00DE19C9">
        <w:rPr>
          <w:rFonts w:asciiTheme="minorHAnsi" w:hAnsiTheme="minorHAnsi" w:cstheme="minorHAnsi"/>
          <w:i/>
          <w:sz w:val="18"/>
          <w:szCs w:val="18"/>
        </w:rPr>
        <w:t>State of the Marine Environment Trinidad &amp; Tobago - 2016</w:t>
      </w:r>
      <w:r w:rsidRPr="00DE19C9">
        <w:rPr>
          <w:rFonts w:asciiTheme="minorHAnsi" w:hAnsiTheme="minorHAnsi" w:cstheme="minorHAnsi"/>
          <w:sz w:val="18"/>
          <w:szCs w:val="18"/>
        </w:rPr>
        <w:t>. Institute of Marine Affairs GotRoTaT, Chaguaramas, Trinidad.</w:t>
      </w:r>
    </w:p>
  </w:footnote>
  <w:footnote w:id="169">
    <w:p w14:paraId="0000042B"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Wilkinson CR, Souter DN 2008. </w:t>
      </w:r>
      <w:r w:rsidRPr="00DE19C9">
        <w:rPr>
          <w:rFonts w:asciiTheme="minorHAnsi" w:hAnsiTheme="minorHAnsi" w:cstheme="minorHAnsi"/>
          <w:i/>
          <w:sz w:val="18"/>
          <w:szCs w:val="18"/>
        </w:rPr>
        <w:t>Status of Caribbean coral reefs after bleaching and hurricanes in 2005</w:t>
      </w:r>
      <w:r w:rsidRPr="00DE19C9">
        <w:rPr>
          <w:rFonts w:asciiTheme="minorHAnsi" w:hAnsiTheme="minorHAnsi" w:cstheme="minorHAnsi"/>
          <w:sz w:val="18"/>
          <w:szCs w:val="18"/>
        </w:rPr>
        <w:t>. Global Coral Reef Monitoring Network.</w:t>
      </w:r>
    </w:p>
  </w:footnote>
  <w:footnote w:id="170">
    <w:p w14:paraId="0000042C" w14:textId="77777777" w:rsidR="00C86F4B" w:rsidRPr="00DE19C9" w:rsidRDefault="00C86F4B">
      <w:pPr>
        <w:spacing w:before="6" w:after="6"/>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____, 2018. Waste Management Outlook for Latin America and the Caribbean: </w:t>
      </w:r>
      <w:hyperlink r:id="rId85">
        <w:r w:rsidRPr="00DE19C9">
          <w:rPr>
            <w:rFonts w:asciiTheme="minorHAnsi" w:hAnsiTheme="minorHAnsi" w:cstheme="minorHAnsi"/>
            <w:color w:val="0000FF"/>
            <w:sz w:val="18"/>
            <w:szCs w:val="18"/>
            <w:u w:val="single"/>
          </w:rPr>
          <w:t>https://www.unenvironment.org/resources/report/waste-management-outlook-latin-america-and-caribbean</w:t>
        </w:r>
      </w:hyperlink>
    </w:p>
    <w:p w14:paraId="0000042D" w14:textId="77777777" w:rsidR="00C86F4B" w:rsidRPr="00DE19C9" w:rsidRDefault="00C86F4B">
      <w:pPr>
        <w:pBdr>
          <w:top w:val="nil"/>
          <w:left w:val="nil"/>
          <w:bottom w:val="nil"/>
          <w:right w:val="nil"/>
          <w:between w:val="nil"/>
        </w:pBdr>
        <w:spacing w:before="6" w:after="6"/>
        <w:rPr>
          <w:rFonts w:asciiTheme="minorHAnsi" w:hAnsiTheme="minorHAnsi" w:cstheme="minorHAnsi"/>
          <w:color w:val="000000"/>
          <w:sz w:val="18"/>
          <w:szCs w:val="18"/>
        </w:rPr>
      </w:pPr>
    </w:p>
  </w:footnote>
  <w:footnote w:id="171">
    <w:p w14:paraId="35FA8361" w14:textId="2FE28EB9"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eastAsia="Arial" w:hAnsiTheme="minorHAnsi" w:cstheme="minorHAnsi"/>
          <w:color w:val="000000"/>
          <w:sz w:val="18"/>
          <w:szCs w:val="18"/>
        </w:rPr>
        <w:t>www.cepal.org/en/publications/44732-planning-sustainable-territorial-development-latin-america-and-caribbean</w:t>
      </w:r>
    </w:p>
  </w:footnote>
  <w:footnote w:id="172">
    <w:p w14:paraId="2BFD674D" w14:textId="79A7D1E9"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eastAsia="Arial" w:hAnsiTheme="minorHAnsi" w:cstheme="minorHAnsi"/>
          <w:color w:val="000000"/>
          <w:sz w:val="18"/>
          <w:szCs w:val="18"/>
        </w:rPr>
        <w:t>www.cepal.org/en/publications/45678-climate-emergency-latin-america-and-caribbean-path-ahead-resignation-or-action</w:t>
      </w:r>
    </w:p>
  </w:footnote>
  <w:footnote w:id="173">
    <w:p w14:paraId="0000042E" w14:textId="77777777" w:rsidR="00C86F4B" w:rsidRPr="00DE19C9" w:rsidRDefault="00C86F4B">
      <w:pPr>
        <w:spacing w:before="6" w:after="6"/>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UNCCD (United Nations Convention to Combat Desertification), 2018. Trinidad and Tobago UNCCD 2018 – report: </w:t>
      </w:r>
      <w:hyperlink r:id="rId86">
        <w:r w:rsidRPr="00DE19C9">
          <w:rPr>
            <w:rFonts w:asciiTheme="minorHAnsi" w:hAnsiTheme="minorHAnsi" w:cstheme="minorHAnsi"/>
            <w:color w:val="0000FF"/>
            <w:sz w:val="18"/>
            <w:szCs w:val="18"/>
            <w:u w:val="single"/>
          </w:rPr>
          <w:t>https://prais.unccd.int/node/271</w:t>
        </w:r>
      </w:hyperlink>
    </w:p>
    <w:p w14:paraId="0000042F"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74">
    <w:p w14:paraId="00000430"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Ibid</w:t>
      </w:r>
    </w:p>
  </w:footnote>
  <w:footnote w:id="175">
    <w:p w14:paraId="00000431" w14:textId="77777777" w:rsidR="00C86F4B" w:rsidRPr="00DE19C9" w:rsidRDefault="00C86F4B">
      <w:pPr>
        <w:pBdr>
          <w:top w:val="nil"/>
          <w:left w:val="nil"/>
          <w:bottom w:val="nil"/>
          <w:right w:val="nil"/>
          <w:between w:val="nil"/>
        </w:pBdr>
        <w:spacing w:before="6" w:after="6"/>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p>
  </w:footnote>
  <w:footnote w:id="176">
    <w:p w14:paraId="00000432" w14:textId="77777777" w:rsidR="00C86F4B" w:rsidRPr="00DE19C9" w:rsidRDefault="00C86F4B">
      <w:pPr>
        <w:spacing w:before="6" w:after="6"/>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World Bank, 2020. World Bank Open Data: </w:t>
      </w:r>
      <w:hyperlink r:id="rId87">
        <w:r w:rsidRPr="00DE19C9">
          <w:rPr>
            <w:rFonts w:asciiTheme="minorHAnsi" w:hAnsiTheme="minorHAnsi" w:cstheme="minorHAnsi"/>
            <w:color w:val="0000FF"/>
            <w:sz w:val="18"/>
            <w:szCs w:val="18"/>
            <w:u w:val="single"/>
          </w:rPr>
          <w:t>https://data.worldbank.org/</w:t>
        </w:r>
      </w:hyperlink>
    </w:p>
    <w:p w14:paraId="00000433" w14:textId="77777777" w:rsidR="00C86F4B" w:rsidRPr="00DE19C9" w:rsidRDefault="00C86F4B">
      <w:pPr>
        <w:pBdr>
          <w:top w:val="nil"/>
          <w:left w:val="nil"/>
          <w:bottom w:val="nil"/>
          <w:right w:val="nil"/>
          <w:between w:val="nil"/>
        </w:pBdr>
        <w:spacing w:before="6" w:after="6"/>
        <w:rPr>
          <w:rFonts w:asciiTheme="minorHAnsi" w:hAnsiTheme="minorHAnsi" w:cstheme="minorHAnsi"/>
          <w:color w:val="000000"/>
          <w:sz w:val="18"/>
          <w:szCs w:val="18"/>
        </w:rPr>
      </w:pPr>
    </w:p>
  </w:footnote>
  <w:footnote w:id="177">
    <w:p w14:paraId="00000434" w14:textId="77777777" w:rsidR="00C86F4B" w:rsidRPr="00DE19C9" w:rsidRDefault="00C86F4B">
      <w:pPr>
        <w:spacing w:before="6" w:after="6"/>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IRENA (International Renewable Energy Agency), 2020. Renewable capacity statistics: </w:t>
      </w:r>
      <w:hyperlink r:id="rId88">
        <w:r w:rsidRPr="00DE19C9">
          <w:rPr>
            <w:rFonts w:asciiTheme="minorHAnsi" w:hAnsiTheme="minorHAnsi" w:cstheme="minorHAnsi"/>
            <w:color w:val="0000FF"/>
            <w:sz w:val="18"/>
            <w:szCs w:val="18"/>
            <w:u w:val="single"/>
          </w:rPr>
          <w:t>https://www.irena.org/publications/2020/Mar/Renewable-Capacity-Statistics-2020</w:t>
        </w:r>
      </w:hyperlink>
    </w:p>
    <w:p w14:paraId="00000435"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78">
    <w:p w14:paraId="00000436"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89">
        <w:r w:rsidRPr="00DE19C9">
          <w:rPr>
            <w:rFonts w:asciiTheme="minorHAnsi" w:hAnsiTheme="minorHAnsi" w:cstheme="minorHAnsi"/>
            <w:color w:val="0000FF"/>
            <w:sz w:val="18"/>
            <w:szCs w:val="18"/>
            <w:u w:val="single"/>
          </w:rPr>
          <w:t>Act No.3 Vol.39 13th March 2000 (ema.co.tt)</w:t>
        </w:r>
      </w:hyperlink>
    </w:p>
  </w:footnote>
  <w:footnote w:id="179">
    <w:p w14:paraId="00000437"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90">
        <w:r w:rsidRPr="00DE19C9">
          <w:rPr>
            <w:rFonts w:asciiTheme="minorHAnsi" w:hAnsiTheme="minorHAnsi" w:cstheme="minorHAnsi"/>
            <w:color w:val="1155CC"/>
            <w:sz w:val="18"/>
            <w:szCs w:val="18"/>
            <w:u w:val="single"/>
          </w:rPr>
          <w:t>https://www.ema.co.tt/images/Files/policies/NEP2018_Final_Proof_v3.pdf</w:t>
        </w:r>
      </w:hyperlink>
    </w:p>
  </w:footnote>
  <w:footnote w:id="180">
    <w:p w14:paraId="00000438" w14:textId="77777777" w:rsidR="00C86F4B" w:rsidRPr="00DE19C9" w:rsidRDefault="00C86F4B">
      <w:pPr>
        <w:pBdr>
          <w:top w:val="nil"/>
          <w:left w:val="nil"/>
          <w:bottom w:val="nil"/>
          <w:right w:val="nil"/>
          <w:between w:val="nil"/>
        </w:pBdr>
        <w:rPr>
          <w:rFonts w:asciiTheme="minorHAnsi" w:eastAsia="Arial"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hyperlink r:id="rId91">
        <w:r w:rsidRPr="00DE19C9">
          <w:rPr>
            <w:rFonts w:asciiTheme="minorHAnsi" w:eastAsia="Arial" w:hAnsiTheme="minorHAnsi" w:cstheme="minorHAnsi"/>
            <w:color w:val="0000FF"/>
            <w:sz w:val="18"/>
            <w:szCs w:val="18"/>
            <w:u w:val="single"/>
          </w:rPr>
          <w:t>https://drive.google.com/file/d/19f3h2N3pFjAJVxzIg4ccrMDZr5E8b0XH/view</w:t>
        </w:r>
      </w:hyperlink>
    </w:p>
    <w:p w14:paraId="0000043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81">
    <w:p w14:paraId="0000043A"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FAO. 2017. Capacity building strategy prepared for the six pilot protected areas in Trinidad and Tobago by CANARI for the IFPAMTT project</w:t>
      </w:r>
    </w:p>
    <w:bookmarkStart w:id="4" w:name="_heading=h.1fob9te" w:colFirst="0" w:colLast="0"/>
    <w:bookmarkEnd w:id="4"/>
  </w:footnote>
  <w:footnote w:id="182">
    <w:p w14:paraId="0000043B" w14:textId="77777777" w:rsidR="00C86F4B" w:rsidRPr="00DE19C9" w:rsidRDefault="00C86F4B">
      <w:pPr>
        <w:rPr>
          <w:rFonts w:asciiTheme="minorHAnsi" w:hAnsiTheme="minorHAnsi" w:cstheme="minorHAnsi"/>
          <w:sz w:val="18"/>
          <w:szCs w:val="18"/>
        </w:rPr>
      </w:pPr>
      <w:bookmarkStart w:id="5" w:name="_heading=h.1fob9te" w:colFirst="0" w:colLast="0"/>
      <w:bookmarkEnd w:id="5"/>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Interamerican Development Bank (IDB) 2014 </w:t>
      </w:r>
    </w:p>
    <w:p w14:paraId="0000043C"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83">
    <w:p w14:paraId="0000043D" w14:textId="2FE917B3"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2014. Disaster Risk Reduction Country Document, Trinidad and Tobago (2014) : 1st Edition: </w:t>
      </w:r>
      <w:hyperlink r:id="rId92">
        <w:r w:rsidRPr="00DE19C9">
          <w:rPr>
            <w:rFonts w:asciiTheme="minorHAnsi" w:hAnsiTheme="minorHAnsi" w:cstheme="minorHAnsi"/>
            <w:color w:val="0000FF"/>
            <w:sz w:val="18"/>
            <w:szCs w:val="18"/>
            <w:u w:val="single"/>
          </w:rPr>
          <w:t>http://dipecholac.net/docs/files/875-disaster-risk-reduction-country-document-trinidad-and-tobago-2014.pdf</w:t>
        </w:r>
      </w:hyperlink>
    </w:p>
    <w:p w14:paraId="0000043E"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84">
    <w:p w14:paraId="0000043F"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p>
  </w:footnote>
  <w:footnote w:id="185">
    <w:p w14:paraId="00000440"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t>
      </w:r>
      <w:r w:rsidRPr="00DE19C9">
        <w:rPr>
          <w:rFonts w:asciiTheme="minorHAnsi" w:hAnsiTheme="minorHAnsi" w:cstheme="minorHAnsi"/>
          <w:color w:val="400005"/>
          <w:sz w:val="18"/>
          <w:szCs w:val="18"/>
        </w:rPr>
        <w:t>https://canari.org/news/canari-urges-tt-government-to-join-ranks-of-progressive-caribbean-nations-and-become-party-to-landmark-regional-environmental-treaty/</w:t>
      </w:r>
    </w:p>
    <w:p w14:paraId="00000441"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86">
    <w:p w14:paraId="45D79FDE" w14:textId="723170AE" w:rsidR="00C86F4B" w:rsidRPr="00DE19C9" w:rsidRDefault="00C86F4B">
      <w:pPr>
        <w:pStyle w:val="FootnoteText"/>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hyperlink r:id="rId93" w:history="1">
        <w:r w:rsidRPr="00DE19C9">
          <w:rPr>
            <w:rStyle w:val="Hyperlink"/>
            <w:rFonts w:asciiTheme="minorHAnsi" w:eastAsia="Arial" w:hAnsiTheme="minorHAnsi" w:cstheme="minorHAnsi"/>
            <w:sz w:val="18"/>
            <w:szCs w:val="18"/>
          </w:rPr>
          <w:t>http://planning.gov.tt/sites/default/files/Voluntary%20National%20Review_2020_Trinidad%26Tobago_Report.pdf</w:t>
        </w:r>
      </w:hyperlink>
      <w:r w:rsidRPr="00DE19C9">
        <w:rPr>
          <w:rFonts w:asciiTheme="minorHAnsi" w:eastAsia="Arial" w:hAnsiTheme="minorHAnsi" w:cstheme="minorHAnsi"/>
          <w:color w:val="000000"/>
          <w:sz w:val="18"/>
          <w:szCs w:val="18"/>
        </w:rPr>
        <w:t xml:space="preserve">  </w:t>
      </w:r>
    </w:p>
  </w:footnote>
  <w:footnote w:id="187">
    <w:p w14:paraId="00000442"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It is important to have in mind the difficulties and fragility in producing and compiling such sort of data.</w:t>
      </w:r>
    </w:p>
  </w:footnote>
  <w:footnote w:id="188">
    <w:p w14:paraId="00000443"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WMO (World Meteorological Organization), 2020. Weather Extremes Map 2019: </w:t>
      </w:r>
      <w:hyperlink r:id="rId94">
        <w:r w:rsidRPr="00DE19C9">
          <w:rPr>
            <w:rFonts w:asciiTheme="minorHAnsi" w:hAnsiTheme="minorHAnsi" w:cstheme="minorHAnsi"/>
            <w:color w:val="0000FF"/>
            <w:sz w:val="18"/>
            <w:szCs w:val="18"/>
            <w:u w:val="single"/>
          </w:rPr>
          <w:t>https://wmo.maps.arcgis.com/apps/webappviewer/index.html?id=56fc71ac6dcf4bcf826dea2adf94c255</w:t>
        </w:r>
      </w:hyperlink>
    </w:p>
    <w:p w14:paraId="00000444"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89">
    <w:p w14:paraId="00000447" w14:textId="77777777" w:rsidR="00C86F4B" w:rsidRPr="00DE19C9" w:rsidRDefault="00C86F4B">
      <w:pPr>
        <w:pBdr>
          <w:top w:val="nil"/>
          <w:left w:val="nil"/>
          <w:bottom w:val="nil"/>
          <w:right w:val="nil"/>
          <w:between w:val="nil"/>
        </w:pBdr>
        <w:rPr>
          <w:rFonts w:asciiTheme="minorHAnsi" w:eastAsia="Arial" w:hAnsiTheme="minorHAnsi" w:cstheme="minorHAnsi"/>
          <w:color w:val="000000"/>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color w:val="000000"/>
          <w:sz w:val="18"/>
          <w:szCs w:val="18"/>
        </w:rPr>
        <w:t xml:space="preserve">  </w:t>
      </w:r>
      <w:r w:rsidRPr="00DE19C9">
        <w:rPr>
          <w:rFonts w:asciiTheme="minorHAnsi" w:eastAsia="Arial" w:hAnsiTheme="minorHAnsi" w:cstheme="minorHAnsi"/>
          <w:color w:val="000000"/>
          <w:sz w:val="18"/>
          <w:szCs w:val="18"/>
        </w:rPr>
        <w:t>Caribbean Children Facing the Climate Crisis/UNICEF/Nov2019</w:t>
      </w:r>
    </w:p>
    <w:p w14:paraId="00000448" w14:textId="77777777" w:rsidR="00C86F4B" w:rsidRPr="00DE19C9" w:rsidRDefault="00C86F4B">
      <w:pPr>
        <w:pBdr>
          <w:top w:val="nil"/>
          <w:left w:val="nil"/>
          <w:bottom w:val="nil"/>
          <w:right w:val="nil"/>
          <w:between w:val="nil"/>
        </w:pBdr>
        <w:rPr>
          <w:rFonts w:asciiTheme="minorHAnsi" w:eastAsia="Arial" w:hAnsiTheme="minorHAnsi" w:cstheme="minorHAnsi"/>
          <w:color w:val="000000"/>
          <w:sz w:val="18"/>
          <w:szCs w:val="18"/>
        </w:rPr>
      </w:pPr>
    </w:p>
    <w:p w14:paraId="00000449" w14:textId="77777777" w:rsidR="00C86F4B" w:rsidRPr="00DE19C9" w:rsidRDefault="00C86F4B">
      <w:pPr>
        <w:pBdr>
          <w:top w:val="nil"/>
          <w:left w:val="nil"/>
          <w:bottom w:val="nil"/>
          <w:right w:val="nil"/>
          <w:between w:val="nil"/>
        </w:pBdr>
        <w:rPr>
          <w:rFonts w:asciiTheme="minorHAnsi" w:hAnsiTheme="minorHAnsi" w:cstheme="minorHAnsi"/>
          <w:color w:val="000000"/>
          <w:sz w:val="18"/>
          <w:szCs w:val="18"/>
        </w:rPr>
      </w:pPr>
    </w:p>
  </w:footnote>
  <w:footnote w:id="190">
    <w:p w14:paraId="0000044A"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WRI, CANARI,SLNT, Making adaptation work: an institutional analysis of climate change adaptation in Trinidad and Tobago and Saint Lucia, 2014 . </w:t>
      </w:r>
    </w:p>
    <w:p w14:paraId="0000044B" w14:textId="77777777" w:rsidR="00C86F4B" w:rsidRPr="00DE19C9" w:rsidRDefault="00000000">
      <w:pPr>
        <w:rPr>
          <w:rFonts w:asciiTheme="minorHAnsi" w:hAnsiTheme="minorHAnsi" w:cstheme="minorHAnsi"/>
          <w:sz w:val="18"/>
          <w:szCs w:val="18"/>
        </w:rPr>
      </w:pPr>
      <w:hyperlink r:id="rId95">
        <w:r w:rsidR="00C86F4B" w:rsidRPr="00DE19C9">
          <w:rPr>
            <w:rFonts w:asciiTheme="minorHAnsi" w:hAnsiTheme="minorHAnsi" w:cstheme="minorHAnsi"/>
            <w:color w:val="1155CC"/>
            <w:sz w:val="18"/>
            <w:szCs w:val="18"/>
            <w:u w:val="single"/>
          </w:rPr>
          <w:t>https://canari.org/wp-content/uploads/2014/09/ARIA_Technical_paper161214.pdf</w:t>
        </w:r>
      </w:hyperlink>
      <w:r w:rsidR="00C86F4B" w:rsidRPr="00DE19C9">
        <w:rPr>
          <w:rFonts w:asciiTheme="minorHAnsi" w:hAnsiTheme="minorHAnsi" w:cstheme="minorHAnsi"/>
          <w:sz w:val="18"/>
          <w:szCs w:val="18"/>
        </w:rPr>
        <w:t xml:space="preserve"> </w:t>
      </w:r>
    </w:p>
  </w:footnote>
  <w:footnote w:id="191">
    <w:p w14:paraId="0000044C" w14:textId="77777777" w:rsidR="00C86F4B" w:rsidRPr="00DE19C9" w:rsidRDefault="00C86F4B">
      <w:pPr>
        <w:rPr>
          <w:rFonts w:asciiTheme="minorHAnsi" w:hAnsiTheme="minorHAnsi" w:cstheme="minorHAnsi"/>
          <w:sz w:val="18"/>
          <w:szCs w:val="18"/>
        </w:rPr>
      </w:pPr>
      <w:r w:rsidRPr="00DE19C9">
        <w:rPr>
          <w:rStyle w:val="FootnoteReference"/>
          <w:rFonts w:asciiTheme="minorHAnsi" w:hAnsiTheme="minorHAnsi" w:cstheme="minorHAnsi"/>
          <w:sz w:val="18"/>
          <w:szCs w:val="18"/>
        </w:rPr>
        <w:footnoteRef/>
      </w:r>
      <w:r w:rsidRPr="00DE19C9">
        <w:rPr>
          <w:rFonts w:asciiTheme="minorHAnsi" w:hAnsiTheme="minorHAnsi" w:cstheme="minorHAnsi"/>
          <w:sz w:val="18"/>
          <w:szCs w:val="18"/>
        </w:rPr>
        <w:t xml:space="preserve"> World Bank, TRINIDAD TOBAGO: Nariva Wetland Restoration and Carbon Sequestration Project, 2008</w:t>
      </w:r>
    </w:p>
    <w:p w14:paraId="0000044D" w14:textId="77777777" w:rsidR="00C86F4B" w:rsidRPr="00DE19C9" w:rsidRDefault="00000000">
      <w:pPr>
        <w:rPr>
          <w:rFonts w:asciiTheme="minorHAnsi" w:hAnsiTheme="minorHAnsi" w:cstheme="minorHAnsi"/>
          <w:sz w:val="18"/>
          <w:szCs w:val="18"/>
        </w:rPr>
      </w:pPr>
      <w:hyperlink r:id="rId96">
        <w:r w:rsidR="00C86F4B" w:rsidRPr="00DE19C9">
          <w:rPr>
            <w:rFonts w:asciiTheme="minorHAnsi" w:hAnsiTheme="minorHAnsi" w:cstheme="minorHAnsi"/>
            <w:color w:val="1155CC"/>
            <w:sz w:val="18"/>
            <w:szCs w:val="18"/>
            <w:u w:val="single"/>
          </w:rPr>
          <w:t>http://documents1.worldbank.org/curated/en/960261468304169933/pdf/442580PID0P094948.pdf</w:t>
        </w:r>
      </w:hyperlink>
      <w:r w:rsidR="00C86F4B" w:rsidRPr="00DE19C9">
        <w:rPr>
          <w:rFonts w:asciiTheme="minorHAnsi" w:hAnsiTheme="minorHAnsi" w:cstheme="minorHAnsi"/>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B2DC2"/>
    <w:multiLevelType w:val="multilevel"/>
    <w:tmpl w:val="71D8F7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C232936"/>
    <w:multiLevelType w:val="multilevel"/>
    <w:tmpl w:val="80C22688"/>
    <w:lvl w:ilvl="0">
      <w:start w:val="1"/>
      <w:numFmt w:val="decimal"/>
      <w:lvlText w:val="%1"/>
      <w:lvlJc w:val="left"/>
      <w:pPr>
        <w:ind w:left="680" w:hanging="680"/>
      </w:pPr>
    </w:lvl>
    <w:lvl w:ilvl="1">
      <w:start w:val="1"/>
      <w:numFmt w:val="decimal"/>
      <w:lvlText w:val="%1.%2"/>
      <w:lvlJc w:val="left"/>
      <w:pPr>
        <w:ind w:left="1440" w:hanging="720"/>
      </w:pPr>
    </w:lvl>
    <w:lvl w:ilvl="2">
      <w:start w:val="1"/>
      <w:numFmt w:val="decimal"/>
      <w:lvlText w:val="%1.%2.%3"/>
      <w:lvlJc w:val="left"/>
      <w:pPr>
        <w:ind w:left="1080" w:hanging="1080"/>
      </w:pPr>
    </w:lvl>
    <w:lvl w:ilvl="3">
      <w:start w:val="1"/>
      <w:numFmt w:val="decimal"/>
      <w:lvlText w:val="%1.%2.%3.%4"/>
      <w:lvlJc w:val="left"/>
      <w:pPr>
        <w:ind w:left="1800" w:hanging="1800"/>
      </w:pPr>
    </w:lvl>
    <w:lvl w:ilvl="4">
      <w:start w:val="1"/>
      <w:numFmt w:val="decimal"/>
      <w:lvlText w:val="%1.%2.%3.%4.%5"/>
      <w:lvlJc w:val="left"/>
      <w:pPr>
        <w:ind w:left="2160" w:hanging="2160"/>
      </w:pPr>
    </w:lvl>
    <w:lvl w:ilvl="5">
      <w:start w:val="1"/>
      <w:numFmt w:val="decimal"/>
      <w:lvlText w:val="%1.%2.%3.%4.%5.%6"/>
      <w:lvlJc w:val="left"/>
      <w:pPr>
        <w:ind w:left="2520" w:hanging="2520"/>
      </w:pPr>
    </w:lvl>
    <w:lvl w:ilvl="6">
      <w:start w:val="1"/>
      <w:numFmt w:val="decimal"/>
      <w:lvlText w:val="%1.%2.%3.%4.%5.%6.%7"/>
      <w:lvlJc w:val="left"/>
      <w:pPr>
        <w:ind w:left="2880" w:hanging="2880"/>
      </w:pPr>
    </w:lvl>
    <w:lvl w:ilvl="7">
      <w:start w:val="1"/>
      <w:numFmt w:val="decimal"/>
      <w:lvlText w:val="%1.%2.%3.%4.%5.%6.%7.%8"/>
      <w:lvlJc w:val="left"/>
      <w:pPr>
        <w:ind w:left="3240" w:hanging="3240"/>
      </w:pPr>
    </w:lvl>
    <w:lvl w:ilvl="8">
      <w:start w:val="1"/>
      <w:numFmt w:val="decimal"/>
      <w:lvlText w:val="%1.%2.%3.%4.%5.%6.%7.%8.%9"/>
      <w:lvlJc w:val="left"/>
      <w:pPr>
        <w:ind w:left="3600" w:hanging="3600"/>
      </w:pPr>
    </w:lvl>
  </w:abstractNum>
  <w:abstractNum w:abstractNumId="2" w15:restartNumberingAfterBreak="0">
    <w:nsid w:val="295F50B2"/>
    <w:multiLevelType w:val="multilevel"/>
    <w:tmpl w:val="FFD4ECB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34C06D10"/>
    <w:multiLevelType w:val="hybridMultilevel"/>
    <w:tmpl w:val="5B2C2922"/>
    <w:lvl w:ilvl="0" w:tplc="ED8CB73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B409BE"/>
    <w:multiLevelType w:val="multilevel"/>
    <w:tmpl w:val="E02A5C3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431954E9"/>
    <w:multiLevelType w:val="multilevel"/>
    <w:tmpl w:val="81C28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0F31F14"/>
    <w:multiLevelType w:val="multilevel"/>
    <w:tmpl w:val="DC1CB3C6"/>
    <w:lvl w:ilvl="0">
      <w:start w:val="1"/>
      <w:numFmt w:val="bullet"/>
      <w:lvlText w:val="●"/>
      <w:lvlJc w:val="left"/>
      <w:pPr>
        <w:ind w:left="990" w:hanging="360"/>
      </w:pPr>
      <w:rPr>
        <w:rFonts w:ascii="Noto Sans Symbols" w:eastAsia="Noto Sans Symbols" w:hAnsi="Noto Sans Symbols" w:cs="Noto Sans Symbols"/>
      </w:rPr>
    </w:lvl>
    <w:lvl w:ilvl="1">
      <w:start w:val="1"/>
      <w:numFmt w:val="bullet"/>
      <w:lvlText w:val="o"/>
      <w:lvlJc w:val="left"/>
      <w:pPr>
        <w:ind w:left="1710" w:hanging="360"/>
      </w:pPr>
      <w:rPr>
        <w:rFonts w:ascii="Courier New" w:eastAsia="Courier New" w:hAnsi="Courier New" w:cs="Courier New"/>
      </w:rPr>
    </w:lvl>
    <w:lvl w:ilvl="2">
      <w:start w:val="1"/>
      <w:numFmt w:val="bullet"/>
      <w:lvlText w:val="▪"/>
      <w:lvlJc w:val="left"/>
      <w:pPr>
        <w:ind w:left="2430" w:hanging="360"/>
      </w:pPr>
      <w:rPr>
        <w:rFonts w:ascii="Noto Sans Symbols" w:eastAsia="Noto Sans Symbols" w:hAnsi="Noto Sans Symbols" w:cs="Noto Sans Symbols"/>
      </w:rPr>
    </w:lvl>
    <w:lvl w:ilvl="3">
      <w:start w:val="1"/>
      <w:numFmt w:val="bullet"/>
      <w:lvlText w:val="●"/>
      <w:lvlJc w:val="left"/>
      <w:pPr>
        <w:ind w:left="3150" w:hanging="360"/>
      </w:pPr>
      <w:rPr>
        <w:rFonts w:ascii="Noto Sans Symbols" w:eastAsia="Noto Sans Symbols" w:hAnsi="Noto Sans Symbols" w:cs="Noto Sans Symbols"/>
      </w:rPr>
    </w:lvl>
    <w:lvl w:ilvl="4">
      <w:start w:val="1"/>
      <w:numFmt w:val="bullet"/>
      <w:lvlText w:val="o"/>
      <w:lvlJc w:val="left"/>
      <w:pPr>
        <w:ind w:left="3870" w:hanging="360"/>
      </w:pPr>
      <w:rPr>
        <w:rFonts w:ascii="Courier New" w:eastAsia="Courier New" w:hAnsi="Courier New" w:cs="Courier New"/>
      </w:rPr>
    </w:lvl>
    <w:lvl w:ilvl="5">
      <w:start w:val="1"/>
      <w:numFmt w:val="bullet"/>
      <w:lvlText w:val="▪"/>
      <w:lvlJc w:val="left"/>
      <w:pPr>
        <w:ind w:left="4590" w:hanging="360"/>
      </w:pPr>
      <w:rPr>
        <w:rFonts w:ascii="Noto Sans Symbols" w:eastAsia="Noto Sans Symbols" w:hAnsi="Noto Sans Symbols" w:cs="Noto Sans Symbols"/>
      </w:rPr>
    </w:lvl>
    <w:lvl w:ilvl="6">
      <w:start w:val="1"/>
      <w:numFmt w:val="bullet"/>
      <w:lvlText w:val="●"/>
      <w:lvlJc w:val="left"/>
      <w:pPr>
        <w:ind w:left="5310" w:hanging="360"/>
      </w:pPr>
      <w:rPr>
        <w:rFonts w:ascii="Noto Sans Symbols" w:eastAsia="Noto Sans Symbols" w:hAnsi="Noto Sans Symbols" w:cs="Noto Sans Symbols"/>
      </w:rPr>
    </w:lvl>
    <w:lvl w:ilvl="7">
      <w:start w:val="1"/>
      <w:numFmt w:val="bullet"/>
      <w:lvlText w:val="o"/>
      <w:lvlJc w:val="left"/>
      <w:pPr>
        <w:ind w:left="6030" w:hanging="360"/>
      </w:pPr>
      <w:rPr>
        <w:rFonts w:ascii="Courier New" w:eastAsia="Courier New" w:hAnsi="Courier New" w:cs="Courier New"/>
      </w:rPr>
    </w:lvl>
    <w:lvl w:ilvl="8">
      <w:start w:val="1"/>
      <w:numFmt w:val="bullet"/>
      <w:lvlText w:val="▪"/>
      <w:lvlJc w:val="left"/>
      <w:pPr>
        <w:ind w:left="6750" w:hanging="360"/>
      </w:pPr>
      <w:rPr>
        <w:rFonts w:ascii="Noto Sans Symbols" w:eastAsia="Noto Sans Symbols" w:hAnsi="Noto Sans Symbols" w:cs="Noto Sans Symbols"/>
      </w:rPr>
    </w:lvl>
  </w:abstractNum>
  <w:abstractNum w:abstractNumId="7" w15:restartNumberingAfterBreak="0">
    <w:nsid w:val="658A2064"/>
    <w:multiLevelType w:val="multilevel"/>
    <w:tmpl w:val="C85E4B76"/>
    <w:lvl w:ilvl="0">
      <w:start w:val="1"/>
      <w:numFmt w:val="bullet"/>
      <w:lvlText w:val="•"/>
      <w:lvlJc w:val="left"/>
      <w:pPr>
        <w:ind w:left="810" w:hanging="81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545" w:hanging="1545"/>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265" w:hanging="2265"/>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985" w:hanging="2985"/>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705" w:hanging="3705"/>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425" w:hanging="4425"/>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145" w:hanging="5145"/>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865" w:hanging="5865"/>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585" w:hanging="6585"/>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8" w15:restartNumberingAfterBreak="0">
    <w:nsid w:val="65F11202"/>
    <w:multiLevelType w:val="multilevel"/>
    <w:tmpl w:val="2534C3BA"/>
    <w:lvl w:ilvl="0">
      <w:start w:val="3"/>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617593B"/>
    <w:multiLevelType w:val="hybridMultilevel"/>
    <w:tmpl w:val="4EE89B40"/>
    <w:lvl w:ilvl="0" w:tplc="3EB87A4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930055">
    <w:abstractNumId w:val="6"/>
  </w:num>
  <w:num w:numId="2" w16cid:durableId="89859721">
    <w:abstractNumId w:val="4"/>
  </w:num>
  <w:num w:numId="3" w16cid:durableId="1348022699">
    <w:abstractNumId w:val="8"/>
  </w:num>
  <w:num w:numId="4" w16cid:durableId="1065181247">
    <w:abstractNumId w:val="1"/>
  </w:num>
  <w:num w:numId="5" w16cid:durableId="1358775289">
    <w:abstractNumId w:val="5"/>
  </w:num>
  <w:num w:numId="6" w16cid:durableId="158548139">
    <w:abstractNumId w:val="0"/>
  </w:num>
  <w:num w:numId="7" w16cid:durableId="1051608921">
    <w:abstractNumId w:val="7"/>
  </w:num>
  <w:num w:numId="8" w16cid:durableId="1562058259">
    <w:abstractNumId w:val="2"/>
  </w:num>
  <w:num w:numId="9" w16cid:durableId="1586454150">
    <w:abstractNumId w:val="9"/>
  </w:num>
  <w:num w:numId="10" w16cid:durableId="17219728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2B0"/>
    <w:rsid w:val="00002CC5"/>
    <w:rsid w:val="00003C23"/>
    <w:rsid w:val="00005FFA"/>
    <w:rsid w:val="00042877"/>
    <w:rsid w:val="00043123"/>
    <w:rsid w:val="00044992"/>
    <w:rsid w:val="000918BE"/>
    <w:rsid w:val="000C43C1"/>
    <w:rsid w:val="000D1E00"/>
    <w:rsid w:val="00111803"/>
    <w:rsid w:val="00170E21"/>
    <w:rsid w:val="00176771"/>
    <w:rsid w:val="001974CD"/>
    <w:rsid w:val="001B4759"/>
    <w:rsid w:val="001F3876"/>
    <w:rsid w:val="0022304F"/>
    <w:rsid w:val="00223DE4"/>
    <w:rsid w:val="00230B19"/>
    <w:rsid w:val="002B0010"/>
    <w:rsid w:val="002B2568"/>
    <w:rsid w:val="002B25CD"/>
    <w:rsid w:val="002F3B9D"/>
    <w:rsid w:val="00313D0F"/>
    <w:rsid w:val="003257A7"/>
    <w:rsid w:val="003534AB"/>
    <w:rsid w:val="0035358C"/>
    <w:rsid w:val="00387941"/>
    <w:rsid w:val="003A0877"/>
    <w:rsid w:val="003B2601"/>
    <w:rsid w:val="003E2B34"/>
    <w:rsid w:val="003E4AA4"/>
    <w:rsid w:val="003F4CC4"/>
    <w:rsid w:val="00416B6D"/>
    <w:rsid w:val="00432C49"/>
    <w:rsid w:val="004538F8"/>
    <w:rsid w:val="004A00EE"/>
    <w:rsid w:val="004D5E11"/>
    <w:rsid w:val="004F39A8"/>
    <w:rsid w:val="00502F87"/>
    <w:rsid w:val="0053010E"/>
    <w:rsid w:val="00532FD3"/>
    <w:rsid w:val="00542D98"/>
    <w:rsid w:val="005440EF"/>
    <w:rsid w:val="00550EC3"/>
    <w:rsid w:val="00563D57"/>
    <w:rsid w:val="00575582"/>
    <w:rsid w:val="005B4E56"/>
    <w:rsid w:val="005C74A1"/>
    <w:rsid w:val="005F02EC"/>
    <w:rsid w:val="006065A1"/>
    <w:rsid w:val="00625E87"/>
    <w:rsid w:val="0063312A"/>
    <w:rsid w:val="00643D14"/>
    <w:rsid w:val="006509DB"/>
    <w:rsid w:val="006557A9"/>
    <w:rsid w:val="00660966"/>
    <w:rsid w:val="006715D2"/>
    <w:rsid w:val="0067627C"/>
    <w:rsid w:val="006A6D52"/>
    <w:rsid w:val="006A7AD0"/>
    <w:rsid w:val="006B72B0"/>
    <w:rsid w:val="006B79A7"/>
    <w:rsid w:val="006C28A6"/>
    <w:rsid w:val="006D7035"/>
    <w:rsid w:val="00711174"/>
    <w:rsid w:val="007123C4"/>
    <w:rsid w:val="00713BA2"/>
    <w:rsid w:val="00716F48"/>
    <w:rsid w:val="007376BA"/>
    <w:rsid w:val="0074639C"/>
    <w:rsid w:val="007500F8"/>
    <w:rsid w:val="007525DC"/>
    <w:rsid w:val="00765A9D"/>
    <w:rsid w:val="0079377B"/>
    <w:rsid w:val="007E3C32"/>
    <w:rsid w:val="008017D4"/>
    <w:rsid w:val="00801E14"/>
    <w:rsid w:val="00830A62"/>
    <w:rsid w:val="00844ACB"/>
    <w:rsid w:val="00845012"/>
    <w:rsid w:val="008640BD"/>
    <w:rsid w:val="008664AE"/>
    <w:rsid w:val="008B0E32"/>
    <w:rsid w:val="008B3A8E"/>
    <w:rsid w:val="008B7471"/>
    <w:rsid w:val="008C0C58"/>
    <w:rsid w:val="008C24AA"/>
    <w:rsid w:val="008F1FB0"/>
    <w:rsid w:val="008F211E"/>
    <w:rsid w:val="008F29D9"/>
    <w:rsid w:val="009023F9"/>
    <w:rsid w:val="00941E0B"/>
    <w:rsid w:val="00942017"/>
    <w:rsid w:val="00956A09"/>
    <w:rsid w:val="0097744E"/>
    <w:rsid w:val="00982C06"/>
    <w:rsid w:val="009904CE"/>
    <w:rsid w:val="00995E75"/>
    <w:rsid w:val="009B7027"/>
    <w:rsid w:val="009B7C0C"/>
    <w:rsid w:val="009C793F"/>
    <w:rsid w:val="009D0CFF"/>
    <w:rsid w:val="009D1F76"/>
    <w:rsid w:val="009D45AD"/>
    <w:rsid w:val="00A01515"/>
    <w:rsid w:val="00A37092"/>
    <w:rsid w:val="00A436F0"/>
    <w:rsid w:val="00A628BE"/>
    <w:rsid w:val="00A6700F"/>
    <w:rsid w:val="00A84633"/>
    <w:rsid w:val="00A85C7E"/>
    <w:rsid w:val="00AA0FB7"/>
    <w:rsid w:val="00AC259B"/>
    <w:rsid w:val="00AD2933"/>
    <w:rsid w:val="00AF03FE"/>
    <w:rsid w:val="00B43CA4"/>
    <w:rsid w:val="00B67047"/>
    <w:rsid w:val="00B71385"/>
    <w:rsid w:val="00B772C6"/>
    <w:rsid w:val="00BB4793"/>
    <w:rsid w:val="00BB4B59"/>
    <w:rsid w:val="00BC3127"/>
    <w:rsid w:val="00BC566F"/>
    <w:rsid w:val="00BD32A5"/>
    <w:rsid w:val="00BD4A2F"/>
    <w:rsid w:val="00BD5568"/>
    <w:rsid w:val="00C00F5F"/>
    <w:rsid w:val="00C07365"/>
    <w:rsid w:val="00C31973"/>
    <w:rsid w:val="00C344DD"/>
    <w:rsid w:val="00C86F4B"/>
    <w:rsid w:val="00C92439"/>
    <w:rsid w:val="00CB0576"/>
    <w:rsid w:val="00CB2AD8"/>
    <w:rsid w:val="00D54693"/>
    <w:rsid w:val="00D54E8F"/>
    <w:rsid w:val="00D812C7"/>
    <w:rsid w:val="00D97C56"/>
    <w:rsid w:val="00DD20D7"/>
    <w:rsid w:val="00DE19C9"/>
    <w:rsid w:val="00DF6922"/>
    <w:rsid w:val="00E021E6"/>
    <w:rsid w:val="00E24071"/>
    <w:rsid w:val="00E26799"/>
    <w:rsid w:val="00E3776D"/>
    <w:rsid w:val="00E405C9"/>
    <w:rsid w:val="00E408E0"/>
    <w:rsid w:val="00E40CFF"/>
    <w:rsid w:val="00E50F67"/>
    <w:rsid w:val="00E6128E"/>
    <w:rsid w:val="00EC7D7D"/>
    <w:rsid w:val="00EE3EE7"/>
    <w:rsid w:val="00EF2F76"/>
    <w:rsid w:val="00F019CF"/>
    <w:rsid w:val="00F20598"/>
    <w:rsid w:val="00F21F4A"/>
    <w:rsid w:val="00F23503"/>
    <w:rsid w:val="00F379EC"/>
    <w:rsid w:val="00F74FC0"/>
    <w:rsid w:val="00F85C5C"/>
    <w:rsid w:val="00FA57A0"/>
    <w:rsid w:val="00FB1AA5"/>
    <w:rsid w:val="00FB7102"/>
    <w:rsid w:val="00FC177A"/>
    <w:rsid w:val="00FD6A4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4530F8"/>
  <w15:docId w15:val="{E94C2173-8233-4FAE-8199-2AA92D13A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5F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ParagraphChar">
    <w:name w:val="List Paragraph Char"/>
    <w:aliases w:val="bulleted Jens Char,Bullet List Char,FooterText Char,List Paragraph1 Char,Colorful List Accent 1 Char,numbered Char,Paragraphe de liste1 Char,列出段落 Char,列出段落1 Char,Bulletr List Paragraph Char,List Paragraph2 Char,List Paragraph21 Char"/>
    <w:link w:val="ListParagraph"/>
    <w:uiPriority w:val="34"/>
    <w:qFormat/>
    <w:locked/>
    <w:rsid w:val="00C705F1"/>
    <w:rPr>
      <w:sz w:val="24"/>
      <w:szCs w:val="24"/>
    </w:rPr>
  </w:style>
  <w:style w:type="paragraph" w:styleId="ListParagraph">
    <w:name w:val="List Paragraph"/>
    <w:aliases w:val="bulleted Jens,Bullet List,FooterText,List Paragraph1,Colorful List Accent 1,numbered,Paragraphe de liste1,列出段落,列出段落1,Bulletr List Paragraph,List Paragraph2,List Paragraph21,Párrafo de lista1,Parágrafo da Lista1,リスト段落1,Plan,Dot pt,????"/>
    <w:basedOn w:val="Normal"/>
    <w:link w:val="ListParagraphChar"/>
    <w:uiPriority w:val="34"/>
    <w:qFormat/>
    <w:rsid w:val="00C705F1"/>
    <w:pPr>
      <w:ind w:left="720"/>
      <w:contextualSpacing/>
    </w:pPr>
    <w:rPr>
      <w:sz w:val="24"/>
      <w:szCs w:val="24"/>
    </w:rPr>
  </w:style>
  <w:style w:type="paragraph" w:styleId="BalloonText">
    <w:name w:val="Balloon Text"/>
    <w:basedOn w:val="Normal"/>
    <w:link w:val="BalloonTextChar"/>
    <w:uiPriority w:val="99"/>
    <w:semiHidden/>
    <w:unhideWhenUsed/>
    <w:rsid w:val="00FA2D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2DE7"/>
    <w:rPr>
      <w:rFonts w:ascii="Segoe UI" w:hAnsi="Segoe UI" w:cs="Segoe UI"/>
      <w:sz w:val="18"/>
      <w:szCs w:val="18"/>
    </w:rPr>
  </w:style>
  <w:style w:type="character" w:styleId="FootnoteReference">
    <w:name w:val="footnote reference"/>
    <w:aliases w:val="16 Point,Superscript 6 Point,ftref,Знак сноски 1,Footnote Reference Number,4_G,Appel note de bas de page,Car Car Char Car Char Car Car Char Car Char Char, Char Char,Carattere Char1,Carattere Char Char Carattere Carattere Char Char,Ref"/>
    <w:basedOn w:val="DefaultParagraphFont"/>
    <w:link w:val="BVIfnrCharCharChar1CharCharCharCharCharCharChar1CharCharChar1Char"/>
    <w:uiPriority w:val="99"/>
    <w:unhideWhenUsed/>
    <w:qFormat/>
    <w:rsid w:val="003110E2"/>
    <w:rPr>
      <w:vertAlign w:val="superscript"/>
    </w:rPr>
  </w:style>
  <w:style w:type="paragraph" w:customStyle="1" w:styleId="BVIfnrCharCharChar1CharCharCharCharCharCharChar1CharCharChar1Char">
    <w:name w:val="BVI fnr (文字) (文字) Char (文字) Char Char1 Char Char Char Char Char Char Char1 Char Char Char1 Char"/>
    <w:aliases w:val="BVI fnr (文字) (文字) Char (文字) Char Char1 Char Char Char Char Char Char Char1 Char Char Char Char Char Char1 Char Char"/>
    <w:basedOn w:val="Normal"/>
    <w:link w:val="FootnoteReference"/>
    <w:rsid w:val="003110E2"/>
    <w:pPr>
      <w:spacing w:line="240" w:lineRule="exact"/>
    </w:pPr>
    <w:rPr>
      <w:vertAlign w:val="superscript"/>
    </w:rPr>
  </w:style>
  <w:style w:type="paragraph" w:styleId="FootnoteText">
    <w:name w:val="footnote text"/>
    <w:basedOn w:val="Normal"/>
    <w:link w:val="FootnoteTextChar"/>
    <w:uiPriority w:val="99"/>
    <w:semiHidden/>
    <w:unhideWhenUsed/>
    <w:rsid w:val="003110E2"/>
    <w:rPr>
      <w:sz w:val="20"/>
      <w:szCs w:val="20"/>
    </w:rPr>
  </w:style>
  <w:style w:type="character" w:customStyle="1" w:styleId="FootnoteTextChar">
    <w:name w:val="Footnote Text Char"/>
    <w:basedOn w:val="DefaultParagraphFont"/>
    <w:link w:val="FootnoteText"/>
    <w:uiPriority w:val="99"/>
    <w:semiHidden/>
    <w:rsid w:val="003110E2"/>
    <w:rPr>
      <w:sz w:val="20"/>
      <w:szCs w:val="20"/>
    </w:rPr>
  </w:style>
  <w:style w:type="character" w:styleId="Hyperlink">
    <w:name w:val="Hyperlink"/>
    <w:basedOn w:val="DefaultParagraphFont"/>
    <w:uiPriority w:val="99"/>
    <w:unhideWhenUsed/>
    <w:rsid w:val="00A476D9"/>
    <w:rPr>
      <w:color w:val="0000FF"/>
      <w:u w:val="single"/>
    </w:rPr>
  </w:style>
  <w:style w:type="character" w:styleId="UnresolvedMention">
    <w:name w:val="Unresolved Mention"/>
    <w:basedOn w:val="DefaultParagraphFont"/>
    <w:uiPriority w:val="99"/>
    <w:semiHidden/>
    <w:unhideWhenUsed/>
    <w:rsid w:val="00A476D9"/>
    <w:rPr>
      <w:color w:val="605E5C"/>
      <w:shd w:val="clear" w:color="auto" w:fill="E1DFDD"/>
    </w:rPr>
  </w:style>
  <w:style w:type="character" w:styleId="CommentReference">
    <w:name w:val="annotation reference"/>
    <w:basedOn w:val="DefaultParagraphFont"/>
    <w:uiPriority w:val="99"/>
    <w:semiHidden/>
    <w:unhideWhenUsed/>
    <w:rsid w:val="006F06BD"/>
    <w:rPr>
      <w:sz w:val="16"/>
      <w:szCs w:val="16"/>
    </w:rPr>
  </w:style>
  <w:style w:type="paragraph" w:styleId="CommentText">
    <w:name w:val="annotation text"/>
    <w:basedOn w:val="Normal"/>
    <w:link w:val="CommentTextChar"/>
    <w:uiPriority w:val="99"/>
    <w:semiHidden/>
    <w:unhideWhenUsed/>
    <w:rsid w:val="006F06BD"/>
    <w:rPr>
      <w:sz w:val="20"/>
      <w:szCs w:val="20"/>
    </w:rPr>
  </w:style>
  <w:style w:type="character" w:customStyle="1" w:styleId="CommentTextChar">
    <w:name w:val="Comment Text Char"/>
    <w:basedOn w:val="DefaultParagraphFont"/>
    <w:link w:val="CommentText"/>
    <w:uiPriority w:val="99"/>
    <w:semiHidden/>
    <w:rsid w:val="006F06BD"/>
    <w:rPr>
      <w:sz w:val="20"/>
      <w:szCs w:val="20"/>
    </w:rPr>
  </w:style>
  <w:style w:type="paragraph" w:styleId="CommentSubject">
    <w:name w:val="annotation subject"/>
    <w:basedOn w:val="CommentText"/>
    <w:next w:val="CommentText"/>
    <w:link w:val="CommentSubjectChar"/>
    <w:uiPriority w:val="99"/>
    <w:semiHidden/>
    <w:unhideWhenUsed/>
    <w:rsid w:val="006F06BD"/>
    <w:rPr>
      <w:b/>
      <w:bCs/>
    </w:rPr>
  </w:style>
  <w:style w:type="character" w:customStyle="1" w:styleId="CommentSubjectChar">
    <w:name w:val="Comment Subject Char"/>
    <w:basedOn w:val="CommentTextChar"/>
    <w:link w:val="CommentSubject"/>
    <w:uiPriority w:val="99"/>
    <w:semiHidden/>
    <w:rsid w:val="006F06BD"/>
    <w:rPr>
      <w:b/>
      <w:bCs/>
      <w:sz w:val="20"/>
      <w:szCs w:val="20"/>
    </w:rPr>
  </w:style>
  <w:style w:type="character" w:styleId="FollowedHyperlink">
    <w:name w:val="FollowedHyperlink"/>
    <w:basedOn w:val="DefaultParagraphFont"/>
    <w:uiPriority w:val="99"/>
    <w:semiHidden/>
    <w:unhideWhenUsed/>
    <w:rsid w:val="005379D1"/>
    <w:rPr>
      <w:color w:val="954F72" w:themeColor="followedHyperlink"/>
      <w:u w:val="single"/>
    </w:rPr>
  </w:style>
  <w:style w:type="paragraph" w:customStyle="1" w:styleId="BVIfnrCharCharCharCharCharCharCharZchnCharCharCharCharCharChar">
    <w:name w:val="BVI fnr Char Char Char Char Char Char Char Zchn Char Char Char Char Char Char"/>
    <w:aliases w:val="ftref Char,Footnote Reference Char,ftref Char Char Char"/>
    <w:basedOn w:val="Normal"/>
    <w:uiPriority w:val="99"/>
    <w:qFormat/>
    <w:rsid w:val="00F00B7B"/>
    <w:pPr>
      <w:spacing w:before="120"/>
    </w:pPr>
    <w:rPr>
      <w:vertAlign w:val="superscript"/>
    </w:rPr>
  </w:style>
  <w:style w:type="paragraph" w:styleId="Header">
    <w:name w:val="header"/>
    <w:basedOn w:val="Normal"/>
    <w:link w:val="HeaderChar"/>
    <w:uiPriority w:val="99"/>
    <w:unhideWhenUsed/>
    <w:rsid w:val="00FE092E"/>
    <w:pPr>
      <w:tabs>
        <w:tab w:val="center" w:pos="4680"/>
        <w:tab w:val="right" w:pos="9360"/>
      </w:tabs>
    </w:pPr>
  </w:style>
  <w:style w:type="character" w:customStyle="1" w:styleId="HeaderChar">
    <w:name w:val="Header Char"/>
    <w:basedOn w:val="DefaultParagraphFont"/>
    <w:link w:val="Header"/>
    <w:uiPriority w:val="99"/>
    <w:rsid w:val="00FE092E"/>
  </w:style>
  <w:style w:type="paragraph" w:styleId="Footer">
    <w:name w:val="footer"/>
    <w:basedOn w:val="Normal"/>
    <w:link w:val="FooterChar"/>
    <w:uiPriority w:val="99"/>
    <w:unhideWhenUsed/>
    <w:rsid w:val="00FE092E"/>
    <w:pPr>
      <w:tabs>
        <w:tab w:val="center" w:pos="4680"/>
        <w:tab w:val="right" w:pos="9360"/>
      </w:tabs>
    </w:pPr>
  </w:style>
  <w:style w:type="character" w:customStyle="1" w:styleId="FooterChar">
    <w:name w:val="Footer Char"/>
    <w:basedOn w:val="DefaultParagraphFont"/>
    <w:link w:val="Footer"/>
    <w:uiPriority w:val="99"/>
    <w:rsid w:val="00FE092E"/>
  </w:style>
  <w:style w:type="paragraph" w:customStyle="1" w:styleId="Default">
    <w:name w:val="Default"/>
    <w:rsid w:val="002C46DB"/>
    <w:pPr>
      <w:autoSpaceDE w:val="0"/>
      <w:autoSpaceDN w:val="0"/>
      <w:adjustRightInd w:val="0"/>
    </w:pPr>
    <w:rPr>
      <w:rFonts w:ascii="Garamond" w:hAnsi="Garamond" w:cs="Garamond"/>
      <w:color w:val="000000"/>
      <w:sz w:val="24"/>
      <w:szCs w:val="24"/>
    </w:rPr>
  </w:style>
  <w:style w:type="table" w:customStyle="1" w:styleId="TableGrid">
    <w:name w:val="TableGrid"/>
    <w:rsid w:val="00BE20A8"/>
    <w:rPr>
      <w:rFonts w:eastAsiaTheme="minorEastAsia"/>
    </w:r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43"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styleId="TableGrid0">
    <w:name w:val="Table Grid"/>
    <w:basedOn w:val="TableNormal"/>
    <w:uiPriority w:val="39"/>
    <w:rsid w:val="00E40CFF"/>
    <w:rPr>
      <w:rFonts w:asciiTheme="minorHAnsi" w:eastAsiaTheme="minorHAnsi" w:hAnsiTheme="minorHAnsi" w:cstheme="minorBidi"/>
      <w:lang w:val="en-ZW"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unctad.org/en/PublicationsLibrary/wir2020_en.pdf" TargetMode="External"/><Relationship Id="rId21" Type="http://schemas.openxmlformats.org/officeDocument/2006/relationships/hyperlink" Target="https://www.finance.gov.tt/wp-content/uploads/2019/10/PUBLIC-SECTOR-INVESTMENT-PROGRAMME-2020.pdf" TargetMode="External"/><Relationship Id="rId42" Type="http://schemas.openxmlformats.org/officeDocument/2006/relationships/hyperlink" Target="https://www.iadb.org/en/project-search-xls?query%5Bcountry%5D=TT&amp;query%5Bsector%5D=&amp;query%5Bstatus%5D=&amp;query%5Bquery%5D=&amp;page=4" TargetMode="External"/><Relationship Id="rId47" Type="http://schemas.openxmlformats.org/officeDocument/2006/relationships/hyperlink" Target="https://www.oecd.org/countries/trinidadandtobago/revenue-statistics-latin-america-and-caribbean-trinidad-and-tobago.pdf" TargetMode="External"/><Relationship Id="rId63" Type="http://schemas.openxmlformats.org/officeDocument/2006/relationships/hyperlink" Target="https://unctad.org/en/pages/PressRelease.aspx?OriginalVersionID=194" TargetMode="External"/><Relationship Id="rId68" Type="http://schemas.openxmlformats.org/officeDocument/2006/relationships/hyperlink" Target="http://planning.gov.tt/content/government-aims-reduce-capital-expenditure-through-public-private-partnerships-0" TargetMode="External"/><Relationship Id="rId16" Type="http://schemas.openxmlformats.org/officeDocument/2006/relationships/hyperlink" Target="https://worldpopulationreview.com/countries/guyana-population" TargetMode="External"/><Relationship Id="rId11" Type="http://schemas.openxmlformats.org/officeDocument/2006/relationships/footer" Target="footer2.xml"/><Relationship Id="rId24" Type="http://schemas.openxmlformats.org/officeDocument/2006/relationships/hyperlink" Target="https://unctad.org/en/PublicationsLibrary/wir2020_en.pdf" TargetMode="External"/><Relationship Id="rId32" Type="http://schemas.openxmlformats.org/officeDocument/2006/relationships/hyperlink" Target="http://documents1.worldbank.org/curated/en/688761571934946384/pdf/Doing-Business-2020-Comparing-Business-Regulation-in-190-Economies.pdf" TargetMode="External"/><Relationship Id="rId37" Type="http://schemas.openxmlformats.org/officeDocument/2006/relationships/hyperlink" Target="https://www.macrotrends.net/charts/energy" TargetMode="External"/><Relationship Id="rId40" Type="http://schemas.openxmlformats.org/officeDocument/2006/relationships/hyperlink" Target="https://trinidadexpress.com/news/local/china-s-largest-regional-embassy-opens-in-t-t/article_143e97d6-dee4-11e8-98c9-c33b81471c00.html" TargetMode="External"/><Relationship Id="rId45" Type="http://schemas.openxmlformats.org/officeDocument/2006/relationships/hyperlink" Target="https://www.oecd.org/countries/trinidadandtobago/revenue-statistics-latin-america-and-caribbean-trinidad-and-tobago.pdf" TargetMode="External"/><Relationship Id="rId53" Type="http://schemas.openxmlformats.org/officeDocument/2006/relationships/hyperlink" Target="https://cert-net.com/files/publications/conference/2013/2_3-Cassie-pp.pdf" TargetMode="External"/><Relationship Id="rId58" Type="http://schemas.openxmlformats.org/officeDocument/2006/relationships/hyperlink" Target="https://trinidadexpress.com/business/local/t-t-s-reserves-drop-below-us-7b/article_e83fd684-3cae-11ea-a61b-c396fd4a7f03.html" TargetMode="External"/><Relationship Id="rId66" Type="http://schemas.openxmlformats.org/officeDocument/2006/relationships/hyperlink" Target="https://sdgresources.relx.com/articles-features/sdgs-opportunity-business" TargetMode="External"/><Relationship Id="rId74" Type="http://schemas.openxmlformats.org/officeDocument/2006/relationships/hyperlink" Target="http://www.tteiti.org.tt/wp-content/uploads/Final-TTEITI-Report-September-30-2019-Signed-1.pdf"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s://www.finance.gov.tt/wp-content/uploads/2020/06/Supplementary-Appropriation-and-Mid-Year-Review-Statement-2020.pdf" TargetMode="External"/><Relationship Id="rId19" Type="http://schemas.openxmlformats.org/officeDocument/2006/relationships/hyperlink" Target="https://www.finance.gov.tt/wp-content/uploads/2020/01/Estimates-of-Development-Programme-2020.pdf" TargetMode="External"/><Relationship Id="rId14" Type="http://schemas.openxmlformats.org/officeDocument/2006/relationships/hyperlink" Target="https://worldpopulationreview.com/countries/barbados-population" TargetMode="External"/><Relationship Id="rId22" Type="http://schemas.openxmlformats.org/officeDocument/2006/relationships/hyperlink" Target="https://www.planning.gov.tt/sites/default/files/Vision%202030-%20The%20National%20Development%20Strategy%20of%20Trinidad%20and%20Tobago%202016-2030.pdf" TargetMode="External"/><Relationship Id="rId27" Type="http://schemas.openxmlformats.org/officeDocument/2006/relationships/hyperlink" Target="https://www.state.gov/reports/2019-investment-climate-statements/trinidad-and-tobago/" TargetMode="External"/><Relationship Id="rId30" Type="http://schemas.openxmlformats.org/officeDocument/2006/relationships/hyperlink" Target="https://www.moodys.com/research/Moodys-changes-the-outlook-on-Trinidad-and-Tobagos-ratings-to--PR_424055" TargetMode="External"/><Relationship Id="rId35" Type="http://schemas.openxmlformats.org/officeDocument/2006/relationships/hyperlink" Target="https://sustainabledevelopment.un.org/content/documents/26730VNR_2020_Trinidad_Report.pdf" TargetMode="External"/><Relationship Id="rId43" Type="http://schemas.openxmlformats.org/officeDocument/2006/relationships/hyperlink" Target="https://www.iadb.org/en/project-search-xls?query%5Bcountry%5D=TT&amp;query%5Bsector%5D=&amp;query%5Bstatus%5D=&amp;query%5Bquery%5D=&amp;page=4" TargetMode="External"/><Relationship Id="rId48" Type="http://schemas.openxmlformats.org/officeDocument/2006/relationships/hyperlink" Target="https://www.oecd.org/countries/trinidadandtobago/revenue-statistics-latin-america-and-caribbean-trinidad-and-tobago.pdf" TargetMode="External"/><Relationship Id="rId56" Type="http://schemas.openxmlformats.org/officeDocument/2006/relationships/hyperlink" Target="https://www.imf.org/en/Publications/CR/Issues/2018/09/25/Trinidad-and-Tobago-2018-Article-IV-Consultation-Press-Release-and-Staff-Report-46267" TargetMode="External"/><Relationship Id="rId64" Type="http://schemas.openxmlformats.org/officeDocument/2006/relationships/hyperlink" Target="https://worldinvestmentreport.unctad.org/wir2014/wir2014-ch4-promoting-private-sector-contributions/" TargetMode="External"/><Relationship Id="rId69" Type="http://schemas.openxmlformats.org/officeDocument/2006/relationships/hyperlink" Target="https://www.central-bank.org.tt/sites/default/files/page-file-uploads/The%20government%20Securities%20market%20in%20Trinidad%20%26%20Tobago.pdf" TargetMode="External"/><Relationship Id="rId77" Type="http://schemas.openxmlformats.org/officeDocument/2006/relationships/image" Target="media/image3.png"/><Relationship Id="rId8" Type="http://schemas.openxmlformats.org/officeDocument/2006/relationships/endnotes" Target="endnotes.xml"/><Relationship Id="rId51" Type="http://schemas.openxmlformats.org/officeDocument/2006/relationships/hyperlink" Target="https://www.moodys.com/research/Moodys-changes-the-outlook-on-Trinidad-and-Tobagos-ratings-to--PR_424055" TargetMode="External"/><Relationship Id="rId72" Type="http://schemas.openxmlformats.org/officeDocument/2006/relationships/hyperlink" Target="https://www.finance.gov.tt/2020/06/22/media-release-ministry-of-finance-achieves-a-very-successful-international-usd-bond-issue/" TargetMode="External"/><Relationship Id="rId8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hyperlink" Target="https://worldpopulationreview.com/continents/south-america-population" TargetMode="External"/><Relationship Id="rId17" Type="http://schemas.openxmlformats.org/officeDocument/2006/relationships/image" Target="media/image2.png"/><Relationship Id="rId25" Type="http://schemas.openxmlformats.org/officeDocument/2006/relationships/hyperlink" Target="https://unctad.org/en/PublicationsLibrary/wir2020_en.pdf" TargetMode="External"/><Relationship Id="rId33" Type="http://schemas.openxmlformats.org/officeDocument/2006/relationships/hyperlink" Target="https://tradingeconomics.com/trinidad-and-tobago/ease-of-doing-business" TargetMode="External"/><Relationship Id="rId38" Type="http://schemas.openxmlformats.org/officeDocument/2006/relationships/hyperlink" Target="https://sustainabledevelopment.un.org/content/documents/26730VNR_2020_Trinidad_Report.pdf" TargetMode="External"/><Relationship Id="rId46" Type="http://schemas.openxmlformats.org/officeDocument/2006/relationships/hyperlink" Target="https://www.oecd.org/countries/trinidadandtobago/revenue-statistics-latin-america-and-caribbean-trinidad-and-tobago.pdf" TargetMode="External"/><Relationship Id="rId59" Type="http://schemas.openxmlformats.org/officeDocument/2006/relationships/hyperlink" Target="https://trinidadexpress.com/business/local/t-t-s-reserves-drop-below-us-7b/article_e83fd684-3cae-11ea-a61b-c396fd4a7f03.html" TargetMode="External"/><Relationship Id="rId67" Type="http://schemas.openxmlformats.org/officeDocument/2006/relationships/hyperlink" Target="http://planning.gov.tt/content/government-aims-reduce-capital-expenditure-through-public-private-partnerships-0" TargetMode="External"/><Relationship Id="rId20" Type="http://schemas.openxmlformats.org/officeDocument/2006/relationships/hyperlink" Target="https://www.finance.gov.tt/wp-content/uploads/2019/10/PUBLIC-SECTOR-INVESTMENT-PROGRAMME-2020.pdf" TargetMode="External"/><Relationship Id="rId41" Type="http://schemas.openxmlformats.org/officeDocument/2006/relationships/hyperlink" Target="https://www.unsouthsouth.org/partner-with-us/india-un-fund/" TargetMode="External"/><Relationship Id="rId54" Type="http://schemas.openxmlformats.org/officeDocument/2006/relationships/hyperlink" Target="https://www.imf.org/en/Publications/CR/Issues/2018/09/25/Trinidad-and-Tobago-2018-Article-IV-Consultation-Press-Release-and-Staff-Report-46267" TargetMode="External"/><Relationship Id="rId62" Type="http://schemas.openxmlformats.org/officeDocument/2006/relationships/hyperlink" Target="https://www.moodys.com/research/Moodys-changes-the-outlook-on-Trinidad-and-Tobagos-ratings-to--PR_424055" TargetMode="External"/><Relationship Id="rId70" Type="http://schemas.openxmlformats.org/officeDocument/2006/relationships/hyperlink" Target="https://oxfordbusinessgroup.com/analysis/long-haul-government-bond-issuance-dominates-debt-market" TargetMode="External"/><Relationship Id="rId75" Type="http://schemas.openxmlformats.org/officeDocument/2006/relationships/hyperlink" Target="https://www.finance.gov.tt/wp-content/uploads/2017/10/SSIP-2018-for-web-revised.pd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orldpopulationreview.com/countries/grenada-population" TargetMode="External"/><Relationship Id="rId23" Type="http://schemas.openxmlformats.org/officeDocument/2006/relationships/hyperlink" Target="https://www.ilo.org/dyn/normlex/en/f?p=NORMLEXPUB:12100:0::NO:12100:P12100_INSTRUMENT_ID:2551460:NO" TargetMode="External"/><Relationship Id="rId28" Type="http://schemas.openxmlformats.org/officeDocument/2006/relationships/hyperlink" Target="http://www.investt.co.tt/" TargetMode="External"/><Relationship Id="rId36" Type="http://schemas.openxmlformats.org/officeDocument/2006/relationships/hyperlink" Target="https://sustainabledevelopment.un.org/content/documents/26730VNR_2020_Trinidad_Report.pdf" TargetMode="External"/><Relationship Id="rId49" Type="http://schemas.openxmlformats.org/officeDocument/2006/relationships/hyperlink" Target="https://www.oecd.org/countries/trinidadandtobago/revenue-statistics-latin-america-and-caribbean-trinidad-and-tobago.pdf" TargetMode="External"/><Relationship Id="rId57" Type="http://schemas.openxmlformats.org/officeDocument/2006/relationships/hyperlink" Target="https://www.investopedia.com/terms/h/heritage-and-stabilization-fund.asp" TargetMode="External"/><Relationship Id="rId10" Type="http://schemas.openxmlformats.org/officeDocument/2006/relationships/footer" Target="footer1.xml"/><Relationship Id="rId31" Type="http://schemas.openxmlformats.org/officeDocument/2006/relationships/hyperlink" Target="https://tradingeconomics.com/trinidad-and-tobago/ease-of-doing-business" TargetMode="External"/><Relationship Id="rId44" Type="http://schemas.openxmlformats.org/officeDocument/2006/relationships/hyperlink" Target="https://www.oecd.org/countries/trinidadandtobago/revenue-statistics-latin-america-and-caribbean-trinidad-and-tobago.pdf" TargetMode="External"/><Relationship Id="rId52" Type="http://schemas.openxmlformats.org/officeDocument/2006/relationships/hyperlink" Target="https://www.moodys.com/research/Moodys-changes-the-outlook-on-Trinidad-and-Tobagos-ratings-to--PR_424055" TargetMode="External"/><Relationship Id="rId60" Type="http://schemas.openxmlformats.org/officeDocument/2006/relationships/hyperlink" Target="https://www.finance.gov.tt/wp-content/uploads/2020/06/Supplementary-Appropriation-and-Mid-Year-Review-Statement-2020.pdf" TargetMode="External"/><Relationship Id="rId65" Type="http://schemas.openxmlformats.org/officeDocument/2006/relationships/hyperlink" Target="https://worldinvestmentreport.unctad.org/wir2014/wir2014-ch4-promoting-private-sector-contributions/" TargetMode="External"/><Relationship Id="rId73" Type="http://schemas.openxmlformats.org/officeDocument/2006/relationships/hyperlink" Target="http://www.undp.org/content/dam/trinidad_tobago/docs/DemocraticGovernance/Publications/CSRMappingReport.pdf" TargetMode="External"/><Relationship Id="rId78" Type="http://schemas.openxmlformats.org/officeDocument/2006/relationships/hyperlink" Target="http://www.ema.co.tt/new/index.php/education/library-services/the-information-centre" TargetMode="External"/><Relationship Id="rId4" Type="http://schemas.openxmlformats.org/officeDocument/2006/relationships/styles" Target="styles.xml"/><Relationship Id="rId9" Type="http://schemas.openxmlformats.org/officeDocument/2006/relationships/image" Target="media/image1.gif"/><Relationship Id="rId13" Type="http://schemas.openxmlformats.org/officeDocument/2006/relationships/hyperlink" Target="https://worldpopulationreview.com/countries/venezuela-population" TargetMode="External"/><Relationship Id="rId18" Type="http://schemas.openxmlformats.org/officeDocument/2006/relationships/hyperlink" Target="https://www.finance.gov.tt/wp-content/uploads/2019/10/PUBLIC-SECTOR-INVESTMENT-PROGRAMME-2020.pdf" TargetMode="External"/><Relationship Id="rId39" Type="http://schemas.openxmlformats.org/officeDocument/2006/relationships/hyperlink" Target="https://public-preview-server.prod.cstreetsandbox.com/reports/2019-investment-climate-statements/trinidad-and-tobago/" TargetMode="External"/><Relationship Id="rId34" Type="http://schemas.openxmlformats.org/officeDocument/2006/relationships/hyperlink" Target="https://www.state.gov/reports/2019-investment-climate-statements/trinidad-and-tobago/" TargetMode="External"/><Relationship Id="rId50" Type="http://schemas.openxmlformats.org/officeDocument/2006/relationships/hyperlink" Target="https://trinidadexpress.com/business/local/7b-fund-ready-to-green-t-t/article_b2efbf2a-c620-11ea-95f2-ebc8f601c539.html" TargetMode="External"/><Relationship Id="rId55" Type="http://schemas.openxmlformats.org/officeDocument/2006/relationships/hyperlink" Target="https://repositorio.cepal.org/bitstream/handle/11362/44675/29/EEI2019_TrinidadandTobago_en.pdf" TargetMode="External"/><Relationship Id="rId76" Type="http://schemas.openxmlformats.org/officeDocument/2006/relationships/hyperlink" Target="http://tradeind.gov.tt/wp-content/uploads/2016/03/National-Strategic-Corporate-Social-Responsibility-Policy-for-Trinidad-and-Tobago.pdf" TargetMode="External"/><Relationship Id="rId7" Type="http://schemas.openxmlformats.org/officeDocument/2006/relationships/footnotes" Target="footnotes.xml"/><Relationship Id="rId71" Type="http://schemas.openxmlformats.org/officeDocument/2006/relationships/hyperlink" Target="https://www.finance.gov.tt/2020/06/22/media-release-ministry-of-finance-achieves-a-very-successful-international-usd-bond-issue/" TargetMode="External"/><Relationship Id="rId2" Type="http://schemas.openxmlformats.org/officeDocument/2006/relationships/customXml" Target="../customXml/item2.xml"/><Relationship Id="rId29" Type="http://schemas.openxmlformats.org/officeDocument/2006/relationships/hyperlink" Target="https://www.state.gov/reports/2019-investment-climate-statements/trinidad-and-tobago/"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s://publications.iadb.org/publications/english/document/COVID-19-The-Caribbean-Crisis-Results-from-an-Online-Socioeconomic-Survey.pdf" TargetMode="External"/><Relationship Id="rId21" Type="http://schemas.openxmlformats.org/officeDocument/2006/relationships/hyperlink" Target="https://www.planning.gov.tt/content/report-roadmap-recovery-committee-july-2020" TargetMode="External"/><Relationship Id="rId42" Type="http://schemas.openxmlformats.org/officeDocument/2006/relationships/hyperlink" Target="https://www.finance.gov.tt/wp-content/uploads/2020/10/Review-of-the-Economy-2020.pdf" TargetMode="External"/><Relationship Id="rId47" Type="http://schemas.openxmlformats.org/officeDocument/2006/relationships/hyperlink" Target="https://oxfordbusinessgroup.com/trinidad-tobago-2020/ict" TargetMode="External"/><Relationship Id="rId63" Type="http://schemas.openxmlformats.org/officeDocument/2006/relationships/hyperlink" Target="https://r4v.info/en/situations/platform/location/7498" TargetMode="External"/><Relationship Id="rId68" Type="http://schemas.openxmlformats.org/officeDocument/2006/relationships/hyperlink" Target="http://statistics.caricom.org/Files/Publications/CARICOM%20Core%20SDGs%20Indicators.pdf" TargetMode="External"/><Relationship Id="rId84" Type="http://schemas.openxmlformats.org/officeDocument/2006/relationships/hyperlink" Target="https://ema.co.tt/images/Files/AnnualReports/2013-2015/2015%20Annual%20Report-%20Final%20(Website).pdf" TargetMode="External"/><Relationship Id="rId89" Type="http://schemas.openxmlformats.org/officeDocument/2006/relationships/hyperlink" Target="https://ema.co.tt/images/Files/pdf/act_no_3_of_2000-environmental_management_act.pdf" TargetMode="External"/><Relationship Id="rId16" Type="http://schemas.openxmlformats.org/officeDocument/2006/relationships/hyperlink" Target="https://evaw-global-database.unwomen.org/en/countries/americas/trinidad-and-tobago/2017/national-womens-health-survey-for-trinidad-and-tobago-final-report" TargetMode="External"/><Relationship Id="rId11" Type="http://schemas.openxmlformats.org/officeDocument/2006/relationships/hyperlink" Target="https://www.unicef.org/easterncaribbean/media/1221/file/ECA-Trinidad-2011-MICS-Report-2017.pdf" TargetMode="External"/><Relationship Id="rId32" Type="http://schemas.openxmlformats.org/officeDocument/2006/relationships/hyperlink" Target="https://www.moodys.com/research/Moodys-changes-the-outlook-on-Trinidad-and-Tobagos-ratings-to--PR_424055" TargetMode="External"/><Relationship Id="rId37" Type="http://schemas.openxmlformats.org/officeDocument/2006/relationships/hyperlink" Target="https://trinidadexpress.com/newsextra/plans-to-revive-port-of-spain-announced-by-pm/article_539a413e-281e-11eb-b08d-c742cb84e0a4.html" TargetMode="External"/><Relationship Id="rId53" Type="http://schemas.openxmlformats.org/officeDocument/2006/relationships/hyperlink" Target="https://trinidadexpress.com/news/local/pressure-on-prisons/article_1e0e374a-337d-11eb-bdd8-1335e09dbd08.html" TargetMode="External"/><Relationship Id="rId58" Type="http://schemas.openxmlformats.org/officeDocument/2006/relationships/hyperlink" Target="https://www.unodc.org/e4j/en/crime-prevention-criminal-justice/module-8/key-issues/3--how-cost-effective-is-restorative-justice.html" TargetMode="External"/><Relationship Id="rId74" Type="http://schemas.openxmlformats.org/officeDocument/2006/relationships/hyperlink" Target="https://www.resourcepanel.org/global-material-flows-database" TargetMode="External"/><Relationship Id="rId79" Type="http://schemas.openxmlformats.org/officeDocument/2006/relationships/hyperlink" Target="https://unstats.un.org/sdgs/indicators/database/" TargetMode="External"/><Relationship Id="rId5" Type="http://schemas.openxmlformats.org/officeDocument/2006/relationships/hyperlink" Target="https://www.guardian.co.tt/news/pm-tt-will-not-have-opendoor-policy-for-migrants-6.2.1235030.e773ce4f77" TargetMode="External"/><Relationship Id="rId90" Type="http://schemas.openxmlformats.org/officeDocument/2006/relationships/hyperlink" Target="https://www.ema.co.tt/images/Files/policies/NEP2018_Final_Proof_v3.pdf" TargetMode="External"/><Relationship Id="rId95" Type="http://schemas.openxmlformats.org/officeDocument/2006/relationships/hyperlink" Target="https://canari.org/wp-content/uploads/2014/09/ARIA_Technical_paper161214.pdf" TargetMode="External"/><Relationship Id="rId22" Type="http://schemas.openxmlformats.org/officeDocument/2006/relationships/hyperlink" Target="https://unctad.org/en/PublicationsLibrary/wir2020_en.pdf" TargetMode="External"/><Relationship Id="rId27" Type="http://schemas.openxmlformats.org/officeDocument/2006/relationships/hyperlink" Target="https://www.planning.gov.tt/sites/default/files/Trinidad_and_Tobago_SDG_VNR_Summary_Document.pdf" TargetMode="External"/><Relationship Id="rId43" Type="http://schemas.openxmlformats.org/officeDocument/2006/relationships/hyperlink" Target="https://publications.iadb.org/publications/english/document/Extreme-Outlier-The-Pandemics-Unprecedented-Shock-to-Tourism-in-Latin-America-and-the-Caribbean.pdf" TargetMode="External"/><Relationship Id="rId48" Type="http://schemas.openxmlformats.org/officeDocument/2006/relationships/hyperlink" Target="https://www.msya.gov.tt/divisions/youth/" TargetMode="External"/><Relationship Id="rId64" Type="http://schemas.openxmlformats.org/officeDocument/2006/relationships/hyperlink" Target="https://www.unodc.org/documents/data-and-analysis/glotip/2018/GLOTiP_2018_BOOK_web_small.pdf" TargetMode="External"/><Relationship Id="rId69" Type="http://schemas.openxmlformats.org/officeDocument/2006/relationships/hyperlink" Target="https://www.iom.int/countries/trinidad-and-tobago" TargetMode="External"/><Relationship Id="rId8" Type="http://schemas.openxmlformats.org/officeDocument/2006/relationships/hyperlink" Target="https://www.guardian.co.tt/business/imf-tts-gdp-to-decline-by-56-per-cent-in-2020-6.2.1238002.e30925b1ba" TargetMode="External"/><Relationship Id="rId51" Type="http://schemas.openxmlformats.org/officeDocument/2006/relationships/hyperlink" Target="https://worldpopulationreview.com/country-rankings/crime-rate-by-country" TargetMode="External"/><Relationship Id="rId72" Type="http://schemas.openxmlformats.org/officeDocument/2006/relationships/hyperlink" Target="about:blank" TargetMode="External"/><Relationship Id="rId80" Type="http://schemas.openxmlformats.org/officeDocument/2006/relationships/hyperlink" Target="http://www.sustainablesids.org/wp-content/uploads/2018/06/Trinidad-and-Tobago-SDG-Roadmap-April-2017.pdf" TargetMode="External"/><Relationship Id="rId85" Type="http://schemas.openxmlformats.org/officeDocument/2006/relationships/hyperlink" Target="https://www.unenvironment.org/resources/report/waste-management-outlook-latin-america-and-caribbean" TargetMode="External"/><Relationship Id="rId93" Type="http://schemas.openxmlformats.org/officeDocument/2006/relationships/hyperlink" Target="http://planning.gov.tt/sites/default/files/Voluntary%20National%20Review_2020_Trinidad%26Tobago_Report.pdf" TargetMode="External"/><Relationship Id="rId3" Type="http://schemas.openxmlformats.org/officeDocument/2006/relationships/hyperlink" Target="https://tradingeconomics.com/trinidad-and-tobago/balance-of-trade" TargetMode="External"/><Relationship Id="rId12" Type="http://schemas.openxmlformats.org/officeDocument/2006/relationships/hyperlink" Target="https://doi.org/10.4060/ca9692en" TargetMode="External"/><Relationship Id="rId17" Type="http://schemas.openxmlformats.org/officeDocument/2006/relationships/hyperlink" Target="https://www.unicef.org/easterncaribbean/media/1221/file/ECA-Trinidad-2011-MICS-Report-2017.pdf" TargetMode="External"/><Relationship Id="rId25" Type="http://schemas.openxmlformats.org/officeDocument/2006/relationships/hyperlink" Target="https://www.finance.gov.tt/wp-content/uploads/2020/10/Review-of-the-Economy-2020.pdf" TargetMode="External"/><Relationship Id="rId33" Type="http://schemas.openxmlformats.org/officeDocument/2006/relationships/hyperlink" Target="https://unctad.org/en/pages/PressRelease.aspx?OriginalVersionID=194" TargetMode="External"/><Relationship Id="rId38" Type="http://schemas.openxmlformats.org/officeDocument/2006/relationships/hyperlink" Target="https://www.finance.gov.tt/2020/06/22/media-release-ministry-of-finance-achieves-a-very-successful-international-usd-bond-issue/" TargetMode="External"/><Relationship Id="rId46" Type="http://schemas.openxmlformats.org/officeDocument/2006/relationships/hyperlink" Target="https://www.planning.gov.tt/sites/default/files/Vision%202030-%20The%20National%20Development%20Strategy%20of%20Trinidad%20and%20Tobago%202016-2030.pdf" TargetMode="External"/><Relationship Id="rId59" Type="http://schemas.openxmlformats.org/officeDocument/2006/relationships/hyperlink" Target="https://www.theguardian.com/world/2018/feb/02/trinidad-jihadis-isis-tobago-tariq-abdul-haqq" TargetMode="External"/><Relationship Id="rId67" Type="http://schemas.openxmlformats.org/officeDocument/2006/relationships/hyperlink" Target="http://www.looptt.com/content/19-spanish-speaking-girls-rescued-human-trafficking-bust" TargetMode="External"/><Relationship Id="rId20" Type="http://schemas.openxmlformats.org/officeDocument/2006/relationships/hyperlink" Target="http://economicswebinstitute.org/data/trinidadliving.pdf" TargetMode="External"/><Relationship Id="rId41" Type="http://schemas.openxmlformats.org/officeDocument/2006/relationships/hyperlink" Target="https://www.finance.gov.tt/wp-content/uploads/2020/10/Review-of-the-Economy-2020.pdf" TargetMode="External"/><Relationship Id="rId54" Type="http://schemas.openxmlformats.org/officeDocument/2006/relationships/hyperlink" Target="https://www.guardian.co.tt/news/2458-members-now-terrorising-citizens-6.2.777021.7308ecce87" TargetMode="External"/><Relationship Id="rId62" Type="http://schemas.openxmlformats.org/officeDocument/2006/relationships/hyperlink" Target="https://www.state.gov/reports/country-reports-on-terrorism-2019/trinidad-and-tobago/" TargetMode="External"/><Relationship Id="rId70" Type="http://schemas.openxmlformats.org/officeDocument/2006/relationships/hyperlink" Target="https://uprdoc.ohchr.org/uprweb/downloadfile.aspx?filename=2710&amp;file=EnglishTranslation" TargetMode="External"/><Relationship Id="rId75" Type="http://schemas.openxmlformats.org/officeDocument/2006/relationships/hyperlink" Target="https://data.worldbank.org/" TargetMode="External"/><Relationship Id="rId83" Type="http://schemas.openxmlformats.org/officeDocument/2006/relationships/hyperlink" Target="https://www.sdg6data.org/" TargetMode="External"/><Relationship Id="rId88" Type="http://schemas.openxmlformats.org/officeDocument/2006/relationships/hyperlink" Target="https://www.irena.org/publications/2020/Mar/Renewable-Capacity-Statistics-2020" TargetMode="External"/><Relationship Id="rId91" Type="http://schemas.openxmlformats.org/officeDocument/2006/relationships/hyperlink" Target="https://drive.google.com/file/d/19f3h2N3pFjAJVxzIg4ccrMDZr5E8b0XH/view" TargetMode="External"/><Relationship Id="rId96" Type="http://schemas.openxmlformats.org/officeDocument/2006/relationships/hyperlink" Target="http://documents1.worldbank.org/curated/en/960261468304169933/pdf/442580PID0P094948.pdf" TargetMode="External"/><Relationship Id="rId1" Type="http://schemas.openxmlformats.org/officeDocument/2006/relationships/hyperlink" Target="https://www.unfpa.org/state-world-population-2019" TargetMode="External"/><Relationship Id="rId6" Type="http://schemas.openxmlformats.org/officeDocument/2006/relationships/hyperlink" Target="https://planning.gov.tt/sites/default/files/Vision%202030-" TargetMode="External"/><Relationship Id="rId15" Type="http://schemas.openxmlformats.org/officeDocument/2006/relationships/hyperlink" Target="http://www.opm-gca.gov.tt/portals/0/Documents/National%20Gender%20Policy/NATIONAL%20POLICY%20ON%20GENDER%20AND%20DEVELOPMENT.pdf?ver=2018-03-08-134857-323" TargetMode="External"/><Relationship Id="rId23" Type="http://schemas.openxmlformats.org/officeDocument/2006/relationships/hyperlink" Target="https://www.doingbusiness.org/en/rankings" TargetMode="External"/><Relationship Id="rId28" Type="http://schemas.openxmlformats.org/officeDocument/2006/relationships/hyperlink" Target="https://www.iadb.org/en/project-search-xls?query%5Bcountry%5D=TT&amp;query%5Bsector%5D=&amp;query%5Bstatus%5D=&amp;query%5Bquery%5D=&amp;page=4" TargetMode="External"/><Relationship Id="rId36" Type="http://schemas.openxmlformats.org/officeDocument/2006/relationships/hyperlink" Target="https://newsday.co.tt/2019/03/28/on-the-road-to-renewable-energy/" TargetMode="External"/><Relationship Id="rId49" Type="http://schemas.openxmlformats.org/officeDocument/2006/relationships/hyperlink" Target="https://newsday.co.tt/2020/11/08/police-corruption-deepens-35-years-after-scott-drug-report/" TargetMode="External"/><Relationship Id="rId57" Type="http://schemas.openxmlformats.org/officeDocument/2006/relationships/hyperlink" Target="https://www.unodc.org/e4j/en/terrorism/module-2/key-issues/drivers-of-violent-extremism.html" TargetMode="External"/><Relationship Id="rId10" Type="http://schemas.openxmlformats.org/officeDocument/2006/relationships/hyperlink" Target="https://publications.iadb.org/publications/english/document/Analysis-of-Agricultural-Policies-in-Trinidad-and-Tobago.pdf" TargetMode="External"/><Relationship Id="rId31" Type="http://schemas.openxmlformats.org/officeDocument/2006/relationships/hyperlink" Target="https://newsday.co.tt/2019/06/04/green-fund-underutilised/" TargetMode="External"/><Relationship Id="rId44" Type="http://schemas.openxmlformats.org/officeDocument/2006/relationships/hyperlink" Target="https://www.finance.gov.tt/wp-content/uploads/2020/10/Review-of-the-Economy-2020.pdf" TargetMode="External"/><Relationship Id="rId52" Type="http://schemas.openxmlformats.org/officeDocument/2006/relationships/hyperlink" Target="https://newsday.co.tt/2020/10/08/prison-officers-call-for-investigation-into-colleagues-killing/" TargetMode="External"/><Relationship Id="rId60" Type="http://schemas.openxmlformats.org/officeDocument/2006/relationships/hyperlink" Target="https://doi.org/10.1093/ia/iiz026" TargetMode="External"/><Relationship Id="rId65" Type="http://schemas.openxmlformats.org/officeDocument/2006/relationships/hyperlink" Target="https://www.state.gov/reports/2020-trafficking-in-persons-report/trinidad-and-tobago/" TargetMode="External"/><Relationship Id="rId73" Type="http://schemas.openxmlformats.org/officeDocument/2006/relationships/hyperlink" Target="https://cso.gov.tt/census/2011-census-data/" TargetMode="External"/><Relationship Id="rId78" Type="http://schemas.openxmlformats.org/officeDocument/2006/relationships/hyperlink" Target="https://www.cepal.org/en/publications/45678-climate-emergency-latin-america-and-caribbean-path-ahead-resignation-or-action" TargetMode="External"/><Relationship Id="rId81" Type="http://schemas.openxmlformats.org/officeDocument/2006/relationships/hyperlink" Target="https://www.unenvironment.org/resources/report/geo-6-global-environment-outlook-regional-assessment-latin-america-and-caribbean" TargetMode="External"/><Relationship Id="rId86" Type="http://schemas.openxmlformats.org/officeDocument/2006/relationships/hyperlink" Target="https://prais.unccd.int/node/271" TargetMode="External"/><Relationship Id="rId94" Type="http://schemas.openxmlformats.org/officeDocument/2006/relationships/hyperlink" Target="https://wmo.maps.arcgis.com/apps/webappviewer/index.html?id=56fc71ac6dcf4bcf826dea2adf94c255" TargetMode="External"/><Relationship Id="rId4" Type="http://schemas.openxmlformats.org/officeDocument/2006/relationships/hyperlink" Target="https://www.worldbank.org/en/topic/labormarkets/brief/migration-and-remittances" TargetMode="External"/><Relationship Id="rId9" Type="http://schemas.openxmlformats.org/officeDocument/2006/relationships/hyperlink" Target="https://www.finance.gov.tt/wp-content/uploads/2020/10/Budget-Statement-2021-1.pdf" TargetMode="External"/><Relationship Id="rId13" Type="http://schemas.openxmlformats.org/officeDocument/2006/relationships/hyperlink" Target="https://www.indexmundi.com/facts/indicators/HD.HCI.OVRL/rankings" TargetMode="External"/><Relationship Id="rId18" Type="http://schemas.openxmlformats.org/officeDocument/2006/relationships/hyperlink" Target="https://data.miraquetemiro.org/sites/default/files/documentos/National%20Sexual%20and%20Reproductive%20Health%20Policy.pdf" TargetMode="External"/><Relationship Id="rId39" Type="http://schemas.openxmlformats.org/officeDocument/2006/relationships/hyperlink" Target="http://www.undp.org/content/dam/trinidad_tobago/docs/DemocraticGovernance/Publications/CSRMappingReport.pdf" TargetMode="External"/><Relationship Id="rId34" Type="http://schemas.openxmlformats.org/officeDocument/2006/relationships/hyperlink" Target="https://newsday.co.tt/2020/06/03/rowley-covid19-wont-delay-tobago-airport-expansion/" TargetMode="External"/><Relationship Id="rId50" Type="http://schemas.openxmlformats.org/officeDocument/2006/relationships/hyperlink" Target="http://www.news.gov.tt/content/trinidad-tobago-removed-grey-list-fatf" TargetMode="External"/><Relationship Id="rId55" Type="http://schemas.openxmlformats.org/officeDocument/2006/relationships/hyperlink" Target="https://publications.iadb.org/publications/english/document/Survey-of-Individuals-Deprived-of-Liberty-Caribbean-2016-2019-Trinidad-and-Tobago-Country-Report.pdf" TargetMode="External"/><Relationship Id="rId76" Type="http://schemas.openxmlformats.org/officeDocument/2006/relationships/hyperlink" Target="https://www.resourcepanel.org/global-material-flows-database.%20Accessed%20on%20Nov/20" TargetMode="External"/><Relationship Id="rId7" Type="http://schemas.openxmlformats.org/officeDocument/2006/relationships/hyperlink" Target="https://www.finance.gov.tt/wp-content/uploads/2020/01/Estimates-of-Development-Programme-2020.pdf" TargetMode="External"/><Relationship Id="rId71" Type="http://schemas.openxmlformats.org/officeDocument/2006/relationships/hyperlink" Target="https://r4v.info/en/situations/platform/location/7498" TargetMode="External"/><Relationship Id="rId92" Type="http://schemas.openxmlformats.org/officeDocument/2006/relationships/hyperlink" Target="http://dipecholac.net/docs/files/875-disaster-risk-reduction-country-document-trinidad-and-tobago-2014.pdf" TargetMode="External"/><Relationship Id="rId2" Type="http://schemas.openxmlformats.org/officeDocument/2006/relationships/hyperlink" Target="http://www.planning.gov.tt/content/report-roadmap-recovery-committee-july-2020" TargetMode="External"/><Relationship Id="rId29" Type="http://schemas.openxmlformats.org/officeDocument/2006/relationships/hyperlink" Target="https://www.looptt.com/content/ministry-launches-climate-action-training-public-private-sector" TargetMode="External"/><Relationship Id="rId24" Type="http://schemas.openxmlformats.org/officeDocument/2006/relationships/hyperlink" Target="http://documents1.worldbank.org/curated/en/304431546956224461/pdf/WPS8693.pdf" TargetMode="External"/><Relationship Id="rId40" Type="http://schemas.openxmlformats.org/officeDocument/2006/relationships/hyperlink" Target="https://trinidadexpress.com/business/local/reopening-refinery-no-easy-task/article_f0fafe7e-162b-11ea-a5a0-1fe287dca63f.html" TargetMode="External"/><Relationship Id="rId45" Type="http://schemas.openxmlformats.org/officeDocument/2006/relationships/hyperlink" Target="https://www.doingbusiness.org/en/reports/global-reports/doing-business-2020" TargetMode="External"/><Relationship Id="rId66" Type="http://schemas.openxmlformats.org/officeDocument/2006/relationships/hyperlink" Target="https://www.state.gov/reports/2020-trafficking-in-persons-report/trinidad-and-tobago/" TargetMode="External"/><Relationship Id="rId87" Type="http://schemas.openxmlformats.org/officeDocument/2006/relationships/hyperlink" Target="https://data.worldbank.org/" TargetMode="External"/><Relationship Id="rId61" Type="http://schemas.openxmlformats.org/officeDocument/2006/relationships/hyperlink" Target="https://www.caricomimpacs.org/Portals/0/Documents/CARICOM%2520COUNTER%2520TERRORISM%2520STRATEGY%2520Final.pdf?ver=2018-03-29-233917-437" TargetMode="External"/><Relationship Id="rId82" Type="http://schemas.openxmlformats.org/officeDocument/2006/relationships/hyperlink" Target="https://www.unenvironment.org/resources/report/geo-6-global-environment-outlook-regional-assessment-latin-america-and-caribbean" TargetMode="External"/><Relationship Id="rId19" Type="http://schemas.openxmlformats.org/officeDocument/2006/relationships/hyperlink" Target="http://www.archive.healthycaribbean.org/publications/documents/NCD-in-LAC-USAID.pdf" TargetMode="External"/><Relationship Id="rId14" Type="http://schemas.openxmlformats.org/officeDocument/2006/relationships/hyperlink" Target="https://sdg-tracker.org/" TargetMode="External"/><Relationship Id="rId30" Type="http://schemas.openxmlformats.org/officeDocument/2006/relationships/hyperlink" Target="https://www.oecd.org/countries/trinidadandtobago/revenue-statistics-latin-america-and-caribbean-trinidad-and-tobago.pdf" TargetMode="External"/><Relationship Id="rId35" Type="http://schemas.openxmlformats.org/officeDocument/2006/relationships/hyperlink" Target="https://energynow.tt/blog/bp-and-shell-in-joint-bid-for-renewable-energy-project-in-trinidad-and-tobago" TargetMode="External"/><Relationship Id="rId56" Type="http://schemas.openxmlformats.org/officeDocument/2006/relationships/hyperlink" Target="https://restorativejustice.org.uk/sites/default/files/resources/files/Matrix%20Evidence%20%20Economic%20Analysis%20of%20interventions%20for%20young%20offenders..pdf" TargetMode="External"/><Relationship Id="rId77" Type="http://schemas.openxmlformats.org/officeDocument/2006/relationships/hyperlink" Target="https://www.unenvironment.org/resources/report/geo-6-global-environment-outlook-regional-assessment-latin-america-and-caribbe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FPRWxDQtA/5thwGW5BpHA4Ol3Rg==">AMUW2mU7iBMGzqBuzOpEfNGQ1Fp2eZA9D6Ng97aOP9Va9XyO3oBY1HPOMkBj+c30E6RT8NkDdST+5BUQvuXvXP5ITRk8cpruENi68qC+2iNSIGOpZmojrZQyAmFGpXtkHZQjy9GouXtnxjyec9N7RjYYvWbuA5NPgf3D4kAPQXb13M48McY6NyDIiuQJ9koj+pOqjxdhRXyZEJMTyQHYSrwQczm/l+US+HaPDtiMWbwJYmdLQRwWNuTQynSvgcPkPsjw5kPKUcPgnNC2mzGiS5j88R3yU51vrz7BKwzra7Aob9Ysg+Mm1TLvLowIqEroe/eyVwEuN1yumGMivKdR988310HLNrgtWFhO7qjpQH4ZYI3DZCECp5TZY1MHS8cgiceXwBptJ8wEqdWfx87EGj2JFG7LTAU24BjrzpTn2QC99lsOCBZkC6y8rv367tO11kJGaPRm4roT+GDZ2/qdPFHH9+PpIOYGfxfRCw+FpGwJ5naPtHe9f7rsH31TRBaw8MiP1In6tf81Ydxy1ptTGc6uaQzIra1LtqypgaW5RS4V38VCDGg+FkdHJPQ3zt9oH09sS49SvExbT0VsRoJyaov/8pXBMkVbMdenwnSt5H8mQC5VtbeSZBcmW5QAtxSBSEU1a26qdw7R7mX7yA+H942zNYw6bACAMcRUeCsqco20ynmH0T1fIIYhbziPdwSZIzvNW9i+pP7+hkeY/p9nECNc6KGR5U5P34SlVKUp8UyYQZEiJ6WtbnjGnvdZTUXKPfwkkgd2NE7YC20ltVdPVJqDpSXUsuRD34PPE8xK0+s1zgw1+WWUa9RdoTFzs9F0C9Ij9CY10S/cRXSP8LANGvTB08XmWZMZSEGaWz4eqJtpAEyYv2SjfPrZuM13e5mzI8s7HipgXEqtvcsJarxeVCAQdj12j/flA6kor2VSM2CglJBZS8QmBTnRxT3EQoXI5S8TA2fOmZOri9cQ0fVh6sKBYTWvxOId87FKvlFWn04/wWnMS1ZCQvmwZBB8iX/KSQWvj/ZCnSvwmY+0hMiCn3Si/anM23YON5W15IwTnzqaawivOfLfYxUzkcdf+3rkF8iSa6rm59Gh0E2cawhYNFq2+kgl9Wcqhsdjy2Vg5viJ5DwzvvCH0I6Y2Rp+c/agVaj+Sz43GxYK2b9Go/74tl9DBkUI8lL7sqjUKDLUkKbr6+DEnGHX9WqxdWOjZMpU9QIv4EYkuZYnYRhMhFSTfD0RI1F1eus73UDCLjrcWO4gLc9DPrnycR9N1/Cq+aSnietX8k5PISCEKqCz+s+3SpNkapy441novdiINTMls7YwAguIcFtCsRqTOq8Lz1e++fy2QZYRgRbK6DTlSoxXWtJT71/siR/02nm2R70aTV8g/gIshIjeQe5Ol2RzZeDHE472uE6PNY60E7ceFqM53MF9FP0vnd4Y37d9y36n7TQcbcGET45tocDgoPVLmyHQq4pcu0HRmTjntlqS7w0ieoAxtuuUXlAjiVFw77tgWx4V1K7PxONvyCkkSizY7+KKYdlsMb3QmM5PO9fUXy67qnn4s5aO+VwBfer+86z6HINaEcl3Ap5wVcGe6jtZBdPSV6xmhNCJHoLHAmO6K1ehzYAQPG9YT8h7sB61Bq0D6APUHrvAJvF5xo4Ulfpn94sds9HLkW0cVY5K4jS/IbGSaeeWGNFO93LavfYhBhMLCOTTF6dZPjA0zK5gAlfw2AR+LWyfrcjTdV4HGky+M9Zul2PROJVxU6Ev2upS1sVSUjGtCgUJBMx1MocMcpsppvLHDgP5qgRgDZwWmKCzOAorB67KvzS/osbil4hiERYfTI8+VjuJNGuzogpLDEC70VbtRPGK+ieaF5gjgvVSl4wau2kEWnAofQK4+eVfOpwOicX6Rno90i96zTqDxQYMAPxQAiTqtFUrMrWjdRpT1cMIt+PG91eYOnmsvhsgU41qgQ+lxl+UwT8mj8o8l2UYkbaj8GCR4e6BM9Ku3ovzScw93N/y97MgWEcRRq/qqLMASyyPghfCII1/GokABCQAURvTqdarEKrzEg3w0e2dqWbDNrxXc07m41tT9MTdnFphrtFX+VC0UuCiLIgorgPdN8k27Mzxi7wHOzzzPowMPYdGoUnp7vtBbbl3gY6MX381PRg9BZ/gFiosFpHao2yR0E+mnmBW+ODwo4VNQBNBzFn37W+H4oPyeOo+4Ba7nNpaUfrGCYM9vjwMoOkN2P01QSGcvcht+WDfcHB9Qmc6hCfLQQmrAiI7uwSa7R2hTj6PXN4Hmdv/9IJYFljxdRfcQlJ2474flpIW5sT4v/v6MAXS7LUwSCYj0y72Zd0znaNCNRfZpQccDjPZeXxRQmF1daweInNp3BRVl8AB5/mCxseS7Jxda9W3PxXo3/Nax4ip6YB97+sCDGgglBLC5MYycJtPDAQESIPY8uDK4uFCGGMH04WGCE5sxM4uwGwoiT3s2V3y45j2oMusBzGhi8v+CxjX1mRs9IiO9O4URttIaBJubfsIapYumDPNO2rJSxglOagxUg+7/+hnhqN9lUPBvRq6vTKF6w9ayv6uk2t4ujQSWQknluBhKwDTvPwvIOxd1V4YRH0Ce9cCLil61iFc/ZOlUcFDGdGNNIO3pg+YKPZg4LefVY0htsO6oiYp6r6bj0FcaqSFOI2dk8HWSiFQ9qkpsiy2PeT4Cs3hPQ6IkZE7i/oslgmsIjMBXF4gIu9/xPHU4qlZiMNlsI7ufQOwjeQgoar5VicenAW8IOy9AVnbwST/SgWaClbzF0yGNWm55v0Q2mMjbtHVDkO3VvTx4bmDBDpRy5uiBJ8XbRWnmq64k9l5ctuPRAW1tVIITf7NkuBv7KvK1igFDRJGOP6vZb3tguThPNE7uHeq+xEmomjNXEPMGvCqgsNo2S1kRyVTWQYAR1GGT+W+gIbFjClorUGMVBBAxoHyL3mxvGukcg6ZIOw5rt8lprVJjxxHjQ+QH8crU1BRs+IGiFXY8JoB+vlau9vuO8F/mSBH1V5iJxz99GGoE5MD53+IU1PcQyORVglmFAZQZQzG+Lj2oGw5eLY7bQws56vmwZinv20HSPJSeA6E8MORg3Stq4RvNf/kL6kFJIHFQOpMbAjzMzjdCFzAnM02mlxnDR6wSRtR7sGsV0Ymw2gYUWWh9gwo4EKxAzzrIVUpm7b3ZcCyOrpP/u8EU5nyKCTB8tXEpxsOjE3dX46MRfA2mySPMmhrZW8Td6zEyZiYy/M5JT1EYHfIybjTZkUh5aW76W5dms15k4T50TKVca7NdLZkXaHEIwFXIi0BB+ow5P8eqoio0HU/N7qdHgQNgvaHQvgOWFGnaPBbuYxwAaR8m0eB0eS8glpPWVtZrbKplb8bpNmTiBomS39h6FVZyGuYuufTZU2syqF0/vWG6trhnzK6I8CuKjAZnxh1fG0ZDNchna2th2ye4iw1VL3wf5CBcmrXVzNwk2VaeZHzQzlX0b7mjhyghHV7GhZX6xHLt8QeT0xurefaccnZGLswW8nL6cxWmzirkctmQ85jf73ftzZEMAXJyCfBEo+jiGP9cFMlQplu4ad3v5OYbugIg/v/K8FeBgIK8QAgxzVh8F2jTTfILLuDgVo4pVTph+dgKDWdKWqRZb7yidbgyOKN6Jc+cAFlcsu1Qzq1oIVX0zilmRVfcdC2JMfpeUQPOZajnJM4mpYGNpfl7PnVNY2yurV+OJ5WeMdWf1SSRvkmt4LFz/Wr2g+XIuleL40ZfnqIjq7iOOENfc+uMmadhlBK9IK+vRHuNKSZcdZ5csVXQPppWX2jVy8iyB93L70w7dLHxp2Z1TOHd8AXN6Yf9r7Co8cf1n1GJGQpgGF3AKwpgA9HFA1K3lEFxgQ2ZMtUn8IQgLQTM2TQdK/Kz/MhzJaiMmzeoX8hVZfumXWCpIGZL1MNCEsXd0mO3ltW6wa8iziqs0zM1GvHNao2N+dUtESOQCc9EKSISHVFqKzYySrlrT2G8EWIYvqd4eQw1g26ffoGU3RcbJVpvX2WuatM9xLkmJoowEeePyF2Ih02cbidE4tvc14NgrJ+LXHJsfIfg5HdNl+YTNMZ2w5jukauGvv2LjEXKy+NXWYULGHmfL/DHCDrvVpHxO/5Mwryf1sKWvHHZaw1gqsY1ZTLgLWfx56iGc68gRYBs8Yq2pFrZn5Ug6H0o4GhFY1hrjWaU6G9LY0peYnjZja8Gg0VKvs8uoTgZJu4XlOzyH/Xp64xF/+jI5Iqji1yLKbM4iOuNFmnDXdJPXIpfBFLpLYiZUGYW6oSpOw/piq8DFbEpe9sA6Sh09xFCIvpL2V1UsC8GAtJufdtFOf4hZnNrD2sxGApgUImxVOEmAjQ2DPyLkq1gUC5E1JZC7TZvoi9YHE0rO1Qkhg3Rgte3R9u3wEqeydP5h+FIyJEtyJcC/J11M5LNAA69eNax/nTEmqKDh1gYRE0SSQb8mMzGn4uILX0t/IAYg2OJ2Gvk8SyG7ESKByIMHPILF1255rwEFIcu1ZYxrXOjdHRSl9zL7jDdSoZwvRVojQXOQuVNWdXE2L2Np3JFY26qARvSCt7UnDuC3+vSluH/1iRqXJzF5UCC5Vo6ll3kw1z0cc/oqZ45xy2o0d/DVNiEQMp1Wh0gwXq1AyOJMuG9i7ZH0a+glyE7o0MwHas/SuNnS7JYE6B04KBh7c5BSCQQREKV2vGnP98e5825YtwKPKKrasP4j7/xYTUGsB6iYJoO/+ES88TXz7/MBIJR00oc6uf7bvb3JBdME/6AqQY25L0A46TmPJS+iwEq/2n1yKq3qDQSRhw2CK6INjQqnMAm5oIwms6ecFKN6/Hx0SMi/5Fv30q15JwX2J2yY46Dwvv2HOswm4hW03/ats42QUVExNUcPK8QQHWnIRSKSIFVY8jt3E3T4/PWbokJUgeR+VI8TJ0yGEO3YSB5OwyWwMxlh1g1WzTK7Jk3YtFn0Biv5bi/3SKfCaLpynQ7T2iFj13yP7BRFCxpzcoDMlmI8meu1JnOtJTsyKZnFRSKRX4WBpqoJcanTL/1GFqkg3F+A+fIm1gr6mILXa5czR6JQ1YU472vwpdxuls87Gs9YENw9DXhjk6YcAjY7R4q7sQSbupgd1H28+07FdZxQqt/kEH3dJHYeTozHw9bJQc/h1/1XRuPq6H3roH4BwPqHqTQqvd05mSDVsMb4i+onvoscveN72horfYE+/3whizUk9IItQTT/SqUhByqV5Rz+o92TBAJ34vO5hut3Cdw88DiXGP/b+Hmu08OkRU0W+gTeKnex1d4uROcFwOQhZBvhKSY6ZkLskDmRioS3KfO+wPtNw72ifBd2VybL3aI4De6gIGKj1yp0CUDkMEPlOiBOtwI1RXK//eX3OGi6Md3ENYra8iGtGkGWUUVDGZEoVtCwsuRvLLx/MudxxtMKAuc1inrURAQ50Est+0zsKqmTAf88dME7E4cPRbdOwQP0hGW/0oGyBXmxKiLUO+I0ZpNUkAVzChnO+vn59P3t8WS/fDpazgo19ixciwmnkZ3QCKxEwpGwnZ0V71XARAk4QP6hNX7lfcriyF54AeEGisRg4NT5r0nw/g3Ml0d+1Sp5u8dX34H3wPozbga7PisqmrgQ7vR/KnqAFtkZcYaraSpWr5YSNhy1LDnItgwWUHrw72gIq669WhGX2z0wM+7nRjZuNwExL/1BaOV21n90ZcvqgXqObqQuQf18kdwWfX8T/WoOMzyJVwp9vKYi3np6CW+NS3ZlbU6WEDneSXjQRdm0vCztHwxeQPIUUkIyM0QMDSnP/k6Hc0x6FWvNSa2wipy0SvBbJlEhLMMhba+pjatIPZlnU/EqPE6GyaAUSlGmbTeeKJK4OsBuLBQBHPeX7WLUA78Itnud+itKux2yUKLHxHBCYTrr4W3T9oNRnVqcwawgLW1G6jyUondmaUSiHz42I1KDZ73tcRaDjov0vC1iunW6AQOFp6RLDVD5eTzumXT9MrPUyWW0W3aE1aojOSqbDJUaCDl+8kGeqAPRSkYy+OBO+KD8Sqa32e1PyWraAbTt0ap+q0kA7ZLptDzri62Zbu65AYqalVU/YuahSsZpYh+sVKrvJQkR0am8p58I9Y/CUEfyir2mb5cHaX6G/xeyNaeKN257tspT4UQwvxIpqRmFtS4yXFUB3pwgqpOFxI/0qVtb1Jqh8tC+tf1uCQT7QeV7y8JZnFZvecJG5kxP+oCxlCBQeRIxxP3Cm713CRlKt74HP0yVofklOA4ZJGK1L/g2YUvEVg0X77b8Gsl59FLZ3lkynPoyxf1AKAGn1LhoLyj5Nd1DdhuAKQcQGu1uh5bdw4q3lYvJFiX3PkAo8RZl3IjE/4yn3NAma/Jby/zcl5dBOvvz6riQztMAbnfPC/8hxos5B9pn/u227QADOAHHoXqiIZP5HU/ucU0+BO8eI5mrH6SiwAjvG5iJLworJtms3B3ogTMdesNZuureEjT4rc1qoTEmK1OnEYcaspKa7aqa0wuTz1r2ZG1VoP0eaM17QfTSd+ZHW49lgAfFXev5x5ooGrv5EYdw2atWD55uGIwNOL0h3cMv/0y0tCcp0nXoz4OyJ2gxm4HIT0+k83x0vP0q24NLlPZ2O0llW6ppnuAvR82oxEPEzNftVgbs3dQ3i4TUnLLZPmajiTH4x9ZoP+ZwHBqoWrJXz4GpZDc5hw6yY0ZnUWpiWuCHaSl9W8qSavVQeMqDbGPviHSUQFKZVnfcO9pjckQmAscM+LA0LisD62hGAlBvuGRJXspr4l9L6L65qOfONLAoZs7Gf1E1kKjy/3mxjzmF6glsllcrLOplCz62BYN2IXblkkIo7cg5wFWybSDcjfj95vXcamWKqPgq1c0fhnNddRKxaa7og/1tJHiVoOG/Q5FRGiBC1wwG3ZIszhTY28hcD0iv36Rm+R4mAzy32eD2pSk1RfTunN8a/I3R0yHsOpCmBuQUnfIHabuvETz7XCn2LXtc/fTVVHSRw4dRcP/DJ+vO7kzttbcCRV6ugIX4Sw7V/g/JHEQWFgT4oyOfUzL6XEG2qhxQk7F2thGorZPn6Jnv9f7p/JZcP2G9hF5xt7phAEnn0keUnN5QVInUKK6jczCJpT46cZjePUKChFPiVS9XtI0sKYlivW+MtTdBQvfHDajW/jOlenN3mcGSyvahmC9mM3dgSBw12dc+qit9pw33C8vJZxJeJrZY5AjxII5BdpzcNysnDMNQy92HfszSWJmFSB+Fu2w/7nWHJ2LPKC2A/1mbq+tLVgLcqDlAeSZP3QCFK6/LZwRR50ZzJBuh5SEtL/eppeLh42KdYzTNEs+aeis3UMk0IjLKWZmIVbg6KAj6Wj8ZPvznxzRkX4FE1AnSH24s5eo/XYEzpZIvGuQkKnyLxPECk8Bu4k3DL65jQnzc4o/A0r46ulo/M0iA+U6CIPIEeDMEdiIVejc2Yl+q+3bgZ55iQdxA0CWy9PMjHSQ1NbMmEkkIljwkZD7Htj6O8WCQmZrfpk8JFwcP7JxIaDmdUqmGVNtmD0MX9xERalz7+UiKLcxh4KGCf/TS8oFfGCpI/BCWneRc9jsOWdbCvvH0T9nndimhjqVURzkzz1Z6ybeWsjfY2Y9LZIDR3Uz6DpyC3lHGfTFymsPu2s+Py5ZJ3SXOuFk43XCZmC7Wd2FRAjZNfOES34TMppLm7se0Y5zuAnU/iiionSoSoIii7gtQX6r8rInEEYd9OT8xpFoE3fUsDG0gJfMgjHu0PWGM1SAcyN71wmeU24r8MJUtax+Emog7j0pR+ERIy4dNuib2MDwo2i9ln5r1dqzSZJTulOokqzDZwBNlcXyk6hiEHKw7+utFOuaLou7U1aNhX1taicNVy66dASHhdqO408y//Y3JoksjGBVNcrv2hrJWnPS01FGnKAbW6Qqyujy7dLtNhQPLv2rWDw1/5pIqZlhMXbZ/rTyw945IMyRDrsJ8TvnIUCHfp+mkVjbp0IwOD0q7LWJ0yAVEIUdxLd0UgggnCTnGJs6VBYGtnkgW+qlt/fihfZqedMU3IysyuFYWs8Fs01obZf91SHlTSfsKoQ9DTB5+MObSBt+9nkg60pr9k3PYPFg8wDr5IEaK9kLyrY6CFD2Gha/pdZo7Jb7Oxibap3e/nmagSYSLU3tEj9TxFdJF0CnQEua7lq9KlpFdZj44BayBt/GftPrqui00uIn/9aGl23A9Lz9130NfWVcDeMMlGuR7Hc2zz9Cg/ufHDSBGQHXQMvCHxgJO60Vycv35SSfMFAVjMh+gCWxD/fWKKH7t3N9MlK7ua6B+Eecl+lDOiD8r8ZjaAzzkuv54lU28tT3FHCJJRSlwtJSAW6EwX0MH/lv/VbSuBAyRf7yn2VSh57o9RobrwQFsLALAgL7WO10GZZXNizEK8EiT7wOr/dKsIi9FhBilRu/nNMYmTl58rt1ER23Pz3WITNKqGfg4dSHV94nkwKO3paSUNbpkKpT9lwsYw0nnvf/5ov+t2g5QiGP8ldl6nxJ3Wqfz2GXwmkL6WvJXNtwLRC4re0lnWXyfjiZYFk7wPup5A8yUR+b9fP2UifdZaXxsJobTj3WV5exjZiZqr5kSn/IADMD4/eNfj1591oo0RpOiNSqv6pOB28MY157WYzqRc8DP4iMN/lpkUK2oyq9Mt96YYVMKHoBou/4qzEZnxBYkKpvdos3fhUvrZQYVT3R7RPTWH3WdSpRBjST2NrjKSW9NSaolI53gIcSIwxGtH5Tn3HQlQHxUMoA/TejoWFvDSBslJaH0B/Z8ucNVq1TEpFoxh2PwT45OTbzydaAS05WAGg2OExbb8NUPHu6prNbHd2a8P8Vy83+upaQ3opHVdWZPVPNtfcZMprJ/vPakvuHqSD7KKf3C0nKOolCVtitseUD7DUISRy2DgNH+bniQQKgij0hgGK5HJhHZr/1V3/CkPG4AfupwVoqq9MMtERgXB/xLzuVyfdno9j7ZkzEa5dAC0rab5JuFwPBV8DHiHa+XGdDHbMSrqwAswEp1VzYmk4Hr27/cr86+rQcX0wbaIQBUHp7n5bIBDNWhUTBsMYQwpPibeXwTd/wfavX13sVpUtpKHDL1fjGmrv2jqZsQe8Fjv904cw6M62dCI8IoGHLdb4ORJ+QYrTmp6KHLjviwUOmtLM8UJ35x2i8R1PR0ITLJ7dWbF2jgltTGerM+B41Xo4/1xm1Gof+lltthadHSLQBQWmq/4S+dd5Y3xh1QTHpFEBi0QC1kVcEjMbTD9qlBJr7eoBAw2muyqJ+2ufammhT7NxsYAU1lhvT1lqDt5xyZ99vvAuJ/XYdFTT8yGMBFBN/5qpiBqvmBMnrM5cqYvIMfxeGD6hgHmEXuY8NlN/lHTVR72HvlIGoGorhA//JwgW6xjZDm351KBYgG4TAPHvNKTe13L4ehAjB8Ul0ss/pNue7LSsbvLp6v6R34XmDOYLF9xQKEakdnVQQIKrFDuqGHKE+eGeS8Bxuui6gUNyYNK+zH9mnMPYhdEq6BjZWu/ewFOHUgYqePg7BwcNe5NwMsHLgTeZxdrGU2XC5xACyQAoQVAYObGBet5HsCX/d61pQezrKSv92r0V4I+L+iPlGtlhqONx6SQvdi5wZZiXBq95vm5DqSUfv8hcyN+M8zr81zX/fS5V3ioT5L16JzDcNaZW3eF++JFSV6h1FxLyAW128pdWdk73KaFoeOPl4oPmHDh4NplmK53NZwpxLNbvVYcFQm9mu47i2VJMbZ6Z6exN1bKRytvx/8zofF2fnwF7mYyRcY+i51Q6wfJGUDVcTCs+zmvetqGwsM5fj1S+3J41xspkgjsXdc/BU4+LJHiEZQkrLtSz6iOU2Ipp1y6/MU+soXFRiWXDg35p5rMFNaMfyc2s3klCFvmu0ORgt3p/W4oS7gdQxZH0zQpiz94pD6EsIZXAyfnTAn1PaWr/nnD1bapMiZilIZKVkNR/2wmaFthIXX0TWtXT8Bb4ymhERTLgSj6ynGLgcfVzwRwdcoTEKnDkMOKL+k2aT0l8gK4H9zMerEgF52M5raTmQgaq3F6U6Qlg3Eku7C5EkjkJGnvNwgvEJ+Q7FBjtGS818pwDIZD22fHlL7wnycZBNgSaAElP8WPCA6rBIG3J7fdAydPRVJM/gpBKqCeBg/9ZVCpyvgdWW8ZxYq6ImjcSLGLtvm57q1lszkt6nb2/kQRfGsJrzOnYClFeveQ1hhjSOKSQYIb7EKFZOa2ALkmDS9rbjxOYqMz53y1crJUKuT8RoPlVM16AQ2058fq6odgijX9QQouzSG95KUaZfSKgs0cQF0MsX4TLwIau5RHAiT3EkvrTEod7DyYcRXJ2HLFWaZSVRQ7LBmvaycsbqzWVRMYjxwnhjVUv1FX7TQTZGfCz9Zp4Y72LsdrGlL0WGC0FympL7GVAdcIpm7hFL0I8GGuPoA8+PH1l6GR0938VHVT5rckn6WIyQGupoyhuP3XGjBtoUWgHJ9h5RZAXM2cOFuAK/Fpkz5CmYvcJIopql7sP83+EfIZ9ZR+zgKG3/eMPvI9EghwtAj4k48QnzRacuUVuoOBH8KsNQNenwVTjXJ6hX8JFIcEAmTAA8REV3DQtdrnVUhu9g9UBGzZz+csURbCeXC4odvOd6NWyR8UvEscn/n18oleghJ8XTOtT9QUqY6j5pEr8RuWZfw/2cxQccBSGMoRnH4p0cKGjYz6m+fbIZ1TQUBZoN7hCJQ89Cy6ZrgQLsWEqSXRWMnGKZFjo7JNAVt7d46fSNTlVM23voX9e717cySX/d+42B5Tou4w/Mi1jseWBhktQHJD1mHpw+4MV6qy4WTUopdQJotIkoxI4nIDHQ21cDDzPZtzbJnDBTZau0J+7Q0fbAtoa6dTUvIpQZ8FwMnk+/WF0qrrWL46AG3AqhJTSydzr3iLIosIySoxjq2DM7ahoyPoVfSB5z+YbiWh03D87buSsSYv4uhlr1nzEcWw8tkpxMZCGFVD4yNdjMt9PcSlIYLOUfU/wCeGkEZfScYNao3OLJhvEL8yRRsffImILLYfPMjqDlF9doKfqlKvCYGpzZS8rQlPsq04VNJXd/OtYiXlgyEwo4ZcmbHBrWhYN2Lm61BPA8O+PtrW2TJqAe8VhHMUpdiwwmjW8ufMST5/PQTKfkOq5qk2bCBaoWSXlt9iWXfK74zGRPdgwRbij1H7rhjFTzk9BNVuYnmA/PZQ9/Ym2RJbm+jpcoXVOtpyuAS2E/KJOdDnCD1iRbnaGKeIeagr0pbQRuQlLUix9plP37AG7qM4b4htMd37gxwXBd/dQ1TyKuwl/NouTja7A7k2nl/ShcKfKq9NFfnrzn3n4WgL9S2XShfgj0QOwPJJ+bIf0HDuyCQD1Yr3dGGwTBVqOvaNP4AXvn2MlkZVe3I80jiaTOi/XmrM/bUUrdbQXI49/2REdQ3qzhzfAxITS+9OUC4VMrBu36VeT8qXEGjb1CrElS7w7Hy7jKDlD/zbQtWhD9Fdy88Jj+Ckq72yycWg1mFnmuIwF+EJcxAKneFD3c9cm+qiECyTm9z5zJbcjKq41dVBHrLp1YRI/ppJcy0c2LfNPFJYQoOVm9mvHtmm/Yow034+FeBL9cZZqe6zXfd1oJ+MiwaLgn6t4xwxgHbLFTpUKCDxCBSCx6FeRDrNK5thv7bJ0kKkBTPDrbYmjjNt269hl8L/IHBAI96GZKbn+gTNUTX+tnQUg9B4RHLHPdJLt0Qsrih0VaVOoNGw6RCdsmACE6/zHuINo87yYaGNNCJTXpNezVprRtunb/vxiwb1AW0gw/eMYpCx5nNN0jz+jN/b+EElW2CDaqNE2NIQXVncAcURSxAAfSEpwIvW9dKduDqxCkteRbZvPeP9W4Y6NNYY88ni4s0WeSAee3sjFvUqLBRslfTBPihb4HcaHxY+7IwI8WXfcmS6mX32PojaZJMPkKgVVbYDDHla2JJR8lfn6gK7v8G4Hur1EowiRcI8oVgZWgz3SxjKKa2Lj+Q1bBjdBVvBgcUxi5l/eg61DMoc5hag66gmymNX8s18AmiHwEoj5hdsIr2Rr6X5jx2GrJUPabcAZZB6Spx376exIoCqEE9405ZGJnLmq7z6HnYq7ypquHCZAZfyzy8IcdKHC7KFNah01V2Kggt9guWzVvzSJ4DqzNdvsJvJhWLllvdUyGmVYDCct5mi4Z0O4dQwcYGGI7rH9+tA+ia98l1kXk3rHDK6/VEna1imFNJnaMHV2kKNZiZ0oB1/CdMykDPwELAu+xfgsEgGXLstisQXMsr9+kJkojwWGnL+6aa1NYHLw4ZU9zuEda+k7pntJ8Rpat5NapT3gEzNQlQ0jaXdgFmXoVkg0gdh38pHTcUCxuBLcYve8vfNpAOe1XSo0KGTYJAPFciCerZbrgrKWqt6XZMqodUbYRKjnrIlt3qfebJ0RAwoREmFETFyAN7AdiiUJj2fD//D1tq1eTjsHiCYwxZpC4nGpNVLWGyOa9w1L39za5nNo71YIIKW+RnW38pS6V4WJxiPsO22Hpzsn/st+uQDo4DhiJLg2jEUmZPCj8jOzuKioeAB9AkMYcdwM30c8FCn6zifd+k+rhJglcsme4FYe9MS0cXEHDhB6qZCHO538cDDcbA7QSWAC4eYkQwjtxVpg0DeHWI13AD332ifsN++DXHOFUNOkj++plkLOpFRrSutblOX9Z6c2kwGLgnv2MpMraci42okG1CBusD/ruDIWq5DsXZDz/DOwrihON7AVoEJIZ3PCLHQLx+C2f49eTD3/QTOAWQt2PEK7IRk96HVGcWNY+4iiRwPOlqTP2kJ/s5HR83GOByqLrVeuADB/hhGavB+gnAf2vgDE0u0bdxM/Togca3nesjypr+z1/QCsNEzkE2FReQwW4bAEMrkPme6fcxXKq0OrxkH3f0Q7tE0XUOQQRpcBqi297iDa9rBGPx1E4p1x1XbbFAeRzezF8UoZ47+N49TMiObXifmZZCgRJkvG3YfZqJi9HlUpHQ9Uj+BqK1RpaE4mXij2DH8re/QFs/puH8hrh6Li5wjCAcciyy/WTEJ8zC797owfuIUToYvPXGxxkl7IQaVep1IMazUDKFWARoRla4mAB14IjlV9tXfmexlUnKpQrCjPf+xFXju/dYU+FltLSWozyERRxTexeOFd793dUX4h33eiXKDrUVnV8yzDMvOLMdJ/CPQsluIZwzt++JXPxA9wtH6tCGeYkaJD+kFr/dQSBYxXKqjUrb535zpeMatPJHXlsgfWSSLGztmq/cTVhGx1URbX5CSRGWiLj8jyfGmh1lY+4oLWyYjHSJbMOBa1kmXVUmIKBaZYnDEo5uv3V7FDBL7xhxR9/CWYVdAIPzY66RA0yyKxDdQ+ddH8/yUOcaM4dK8Tr5xiUPWVj94Y2Cvy6X+E9sFD1bydAmLtM+E/U91lXzNp8+ZGo4yZmPzoY4tj5sdkakjBqTQmKqAgcs/JokP8H9aUMqg3l8y7lgrp3O/ncetq7ozEFZB57hGZxq0CcBIDaKF3nIj8mCkuoJbD+EiaE1oMJy6LITryjqVkSFRVRmV2jKyQhZJp9waw3mhdi621Y5a+GAmYx91rZq6xi9H6wKWyV2VO3pxLIZed6UfHXfPVubDR6FHO3UhrPKma448kOjYvTB/ZIWLUq2261q1yH9bbPs2AUEdEB/Sg37Msry2byH9kEc5DTn0BkMmVlOpDYqIhmQT3xOWssXIro3bmVikq4J6UMKcNlItugSkxMmS4dEmI1yz3i0DwbPnvGhbUICJMgt1+ZF/3UGICWjMkO3UVmNRBVcifybT6I3RC3R4FqiYqaty5GM1L30AXSSTaQ0ChwjYaU2aWwAePlroj5SHb8tq67hxpk3bqEH5hbtjwaqmsVTKtR4s/oV1oK9ZVB6PzT2WztyZPWT9itiKrI9VrdlFMEeyLKTuJozB/MfcgPAZEgLdoTTmXbhfwohuoLByyrTwLp9aO3OxBX1mVGzu5gHB6rXosevr5z/ZZS6aQ4j9bg0cuFjYi6D/JxHwweRIqG8+EXE6A6oNlKmJmAKlwlGY0JDsTUgb7Iv2DZXhy6MT8e1i+3zNc9nqi2L+8k9lfa0QXT63mZwBF+TwTfLy2hrKk0RTFhJocIgeT8WHxCqZCr8Tbmc8nfr2qa/A9jBdpUc9D/ZD/AWab3JV/3zse1Pc5MFlyXctFDdexgy/7MQ0Z1OIs4Ppsrv5JKlu85AV6ROKHcSIOl8F6w6UT65VWmcnMEyFFCFmpJB3unhFWwOLUuvvuStehLbBDh9eoe5Ck5VXbWDwvh95AqsInjDBeucLZSMHycJmFjBl9sOaukmBwlCwTsMGFE9z/d8rD95T3jsUDsX+gn6TUvd0v2Y72/QEHZFLTnIrAmr/QOSPtF7kahSiVAMXKZtjRd7ZGuEZl1JKV5u/vIYzr6UVl36bAVHqFXiqUyziIDyxkr8aIoYh3PTY5yAHZKCMp2iAU1j8IxBkGMXu+/DqFMSjUUyxtWhawxu5OjZqH+mbZkczCP3MLYiBDJ9cS9PkBpZK57Fm68zg5DTMe3zWC4x6Rx9b77M8YN2mypkAbda/0TonmufVnxq7PWe0UGVNutzYa9zUX0skDBQv6wLiwxem88E4dOrRmvWGqTWchiSjkaxTrjA6x/bXBngqbBVei+O/x7hvTvYfNd2AKFmAFr0u/2Y2BGjqbQxPAF1DR/A9OYcG6cdfM7U1Dr6UcGZOnasrMr0TvxzhfrBN+BGfHhpWMq7MSnl4CWqtb59N80uYsFGU15LQlYS9Qu38dKJP4u7048ehc2360QQAiqp6ipk7V2zWev+GwCro0jDc3/KXGc6G61OAHRQkiCladFi6PlTdJxVdo4WryN9sXixdpawRIyJMxzS0o6wNd81UVGa9f2tdonxiL295UGuLC1HvyogVQMCqKJP015HxssIU616UWfoShkvvR52uwwAcFOnVOZQm6ogj+5I6ybGEygXmR7BUrcwLmPFyB96k1ISThyZtFyG+d0ZOWGjMoioLikHcobiFuZ4/FSCmRNAZw8hQ9IhZXtVxhjc5K9AgaFfsmOkpUqKqy1UXC1xpo6O8KV6fd299CXHzJYpz8F1zPUjF8aB0L4vWVNeu/DMdOvJ29TSwJBpNAykdoUMlIeOWNipUqYgRlgyCNDIsXXF2PgqY5UMPWXbz/5wDOPxv2DAHEFcJvCdpRIhex+WsKxjwIhmoNLqOYkjg+5krq5ghyyMlsMueItzCo1HIG8UxgdBGcnhQv8dOH+wnd6X47XGqMpOqdprm79/WCANRAMRNGTs7qIsm4brgqp64Rk6h8krXLrnQ1OmqniZA+ued2SWwyUhvxLyHi8SF7NRal856SzVGl9yBXLe871oGsP2iC3qacdE6pIZgv0LDOunirsZX4HVqZYHfb1iardBfjI2BGcxOVCShyJbGQ2EG+MFb8CUNkBfodB7ptkFEOzuz43ZWL+alG0gc9PLYRJ6sWfmNSCKHfxzc9AOS4xcy9h1NRfWmka1GXpG4fgYl8dCER0kLblrKtqFD/HDXOl8lsMz7jwTMwdSNf/5twVMgKvpVFVb9hqiS3I1oHzDU5Tie5Xy1bByJHwqNTZyEkX7onj0FKxMoiR2xitF4oDFgcyjL2sLnsQfo/B+uoiGaAtVTb98wFXxM+oxZugsYJDi2DNHOwjLumm/bdkreV3IPLpZYTedeEnHrAkCwGNq1dAL0t59j5rVFKuAMEGGG/3ttyDGD3kLNE1ebGz4rRyW+Auwni9hsryiacyqFUlk/uxnNzmGQ+d+tSUovukgx5EDvLK/iKTTw4DubEhchMWoSgqmTKzQWLrw6zHXFnFqDqZc9m1IZ54JvlN50UDJOugy4g14YQZwMKw2f0ZzH13JwqMhUFeRSv7wuoFe7xEHg0lCvwsMGsh6b/p3YQmMRYgzvXW0do17ZKdjIx5AvpCsAt3JQb/kCp98X/w1uyUwraB8Vow8j1kzzUN3gX3+oaJan8nTLb1ZR7nQAnnku9M6NLWil/rDc/wWVhEg7kOp8XjRdPNptOACXAD6haJJseiAxMQYLSn3C7+O6go1WJwo6mc/Ys2qZch8Q1zWEwtypD+4aSBJnGlbsU+CkWikj1MvdUb3UbZsbzh3515r/8+ytFlPAfbeC1/b+0g9XwMZoFxSYaHg76JUE6qZhP7+2CDYmsGFAaw8s/Et8P9DXqPE8PLIDqBTOkTiu8PrcStHf3MbL9mRx3fH7DzBNNM22jvVlKSIVkIWHr9u+wHQOoMWo/GxATbbSUR6mPNfTDk+7OxQQIX7wPEoKgaVRv60Ijyp7Qfud6q7O7Q+40g1q49v4Hmf/QpvgZBC0q0dFICw+UXQO508QbKeuSAMBujmxO2K3s2aWLl0UyyngOrI/ul9KJvDQPVrrGrR7LfQxfWsuMyjovfFppE4paTmDIDWlRWmWjdYk/89tnP4gEPyEdzIS7ClxkY4r5327TrAGODpHpZ3SNyqrcl721E5chQ7e+/J5OZjkDZuZgShuKXAb04DUpjvmL2tNYK9tNMjBMAdtPsCkKhPmJ25wJ1X5BCbf8dor9sYZmq6MI0OGOBv4bX9CMcHBzEqXPpBPdsfdUmxAIdKgtQEN/7TEjdt39FJXmbjuDMUdrBSFkLcCMM6yelLXJg6ajL+sQJUoQm379negAf10l91bdnegUuoR4QRVYr5OXVoO1DIE1b5AfqZ0xX3Y9tPRfT97IGA1cfE1Cq+zxBpfZekW+j5/v53gXF3d8hEVyBE5uu/oEZW+sohaZAhWWWd2tK+kkuxX4dMOd6t2uNBZ/wLRGyZRireRQ6bIBbddt5rYFlo1bkBFzowqKhMbSFnes79CSMmUJeq2jpnWWqxGaEAK5fwat8IjYH4cIq8kFtP/WgevzRg4Qj4oQOTwoGo3ZKjTZ28BqL1LdKz27ThXTLcWB+vZZo0iVkOxaBV+JEzJoYJs4gx+Twc3XiLvbIGaW/Y3/q7t7vpozotNKV3VaKlcNyqOmAj2mgB+7/laDO+fPqzowZlAZwjD9iJzNF5I7t/z3uM+dNAYs00mnBzcJ5H7AM7FDf7Yq0I3rMxcOi6Sc9Wnp3oY/PnKYKsC8Gz0beY5LEcToWBg0zHNcGij+/wcvmMy8/vVHtAZ9ZzPA/K/P2iB2eF0AH0S8Sw5L0Ub4FxNhp54mIKqFUVccWoecgwMjm8LvG1Fxf7+bnLMfloIJTfr5Me2UZBSROgv4hMalVbdnhAJvAqCet863ttPyHktO8+f+hURtKskGS1zwERpFhU/ts1dILXjPiW0EywvVhUd0DwN9+hT5afkd/2GA0m3XWuXNw+Z3pknMExScLYCXWGl1UwgvqOwMglm/GE7SH0aIF+hM99HEcMozVx2PCSLkhoiyed8ulTMCT2QHirH33MfzOWo/ID7EEf9EBuulzxYfvWIp2OHNDeLGYnr2WtVwgKr7dcjKOa4QjEv6Ir3mcDToAetlqNV7fY9ddKKnMDszNrow15fKx7j0rvcNyZLiF9gRn0mbwt7AMEglGbHiqlbC4KDUTgaFxQi7KBUKIIN0IEClCW8G6ydTyTobVt/izTn6oJxdLtwcfPFZq7cqwoAD0rD65lh6lGNKJb10Bb3e2e9Aqd3dNuTXciZAcB0hd9aS/m9IckSmvJSrYB9Nrhipv06PSIq5YfbRtt33TebZGtwiQldx3q88lAPRAShiM/t2QF36HZSsqNVadNxhH5/wnV8wvMhtBplrXPjWiH32nLNeYcOj/h44rVI6uwsXedlbkF61zKRr1wnxTKQotG8M9l1grTTRswKZZG/kTz4qpIA4we3i1HbRMGj24aL0jfsPquCV+qbroPPeuxR/gc3umU/s3YnoCgaSJ8sxe8wNNuYWcwwzMDfkVItpEqpBTO7hIbxxdN/ZHOF9TShhw9iL9Nhf1acP5isPlCH/srcDo1X5j4LLKJDDDTv3k8+MByjkS6gwRew512nOOWbbZsgeZwdXdLZ/iazlH4AHPeZ9mXiLyvcr19FLPMrpdZwZs8Ri+2dF22rwXBqe0F8hyC0TIdTEt5AvcN7VWVi0CFX8LmqxIG5o8EsOeP3kI1XSGVOigHTXG022F+fAj3cllH/hmIS+3tosEqxNWI4WFTQiSYpfJR0t3139GsmdV9mWRu15RPZJDK/OuyxyNN+z+P5pdhK7/PEkeKpPUe7i+RksWBSiomAKthSQK76VFhoO/TySxnV0q7vWCv6J/Q9E+ptB37CdvzaqQZHpohYUShyz7kvQzO/8DgnrxLGKtIDMoZtrnasRTnwEyTUNEEJPNj1xJD8qhX/QMv+TdFInFFhmz3HE6da3PFOwU/6XvBWDnVB/Vf666eaX0Uw3cvjrmOIHSP/mG2moqI37Q0/oQ15/Ox3oZknuS3myZ6kEp1xoTnHxE1PSOE0pwoB6GNHlqpDoIupu1CkgkyKBQq0hYnroXyC1/bJ3KBL8hmewDWN3uP3N+KoWTZSVJNfjfsgHItBLcvpaYKHu6N4VU3LK2uSDZc9qt6phYnlp4ubjBjZRaLiEWi0XC7rNTOFLoE5Y3qmYWDAHAFWlcSjnA2wMadiaw6p8HKBN+XzAopA9y1AJ+LxUjYw6laHPOcGuhcxpvCqq1GDmwwBDyFdeXY4CX+ixUjQdsQIq6XvSQGDvvTCTtifX/xJ26nwdhGAxlEXARElKRalKjtgFoUfRaygsilzn8Twy+wtaTiZbx4y72hTAdgt/c3/f5pBkUPKab+P0ccY7PH4s+tDm8PQLCugrgckkexlcHoJvHtdqiN9jqHJTDCz6dfVPO0rRtDEGp9sUcUa/Y98TRUUeJv7N0jweQgyAONX2MPyuNZ837WYFsCGbLKSdiSnKDNA9f64bQwvsLa+KKR6sZWDOf/IbpknqbT9Tp+3ebAnBohJi5h3lEdjlnJbVu3UXPvGItc4Pb/nv7D/x6CfetUDQ895R9PjHxNn0lkyJAycEn9cxn6GhJjq63uEL8W8kSUrCIA4tmvHoLRUofCDzJSzt82YPJZQyG1GoZkdtRaK0r0DTRh/nCWbAn2+pQZfdHJJEOnV4w8emNPNNbY8KU3/e8NOjem6r315cZ+HGlg65ojbRPPKYUxRk77acHx41Bld2U8qjcKQrGmhMv808FcuKaLtt3mRIfisI38X1M1Hjn+Skwy5sYk2SVPNhKJ03WqQo3R3HdXxv0HLk7L80Wqxy9biU4GA6iEiuDtW9Bfv0A97f75NK9P0wlPSLGbcVRhPWFwCo1KAK2nTB/9Tu/bYwMV2E2vxzdmiVMB73WBLPpTi/1XmammH7CMBvf5a56lyJ3xmzWKKSo7q57ftFTFQ7fSsIUH48FqYQuDi3v5S+/2XZ+XyOLqtld+EdxA2BvPQIf+4bluQjgT5ivS/ow50FZ6uXHrdNLpNOrMGWWRDIRMXNgsQWO22f5mVUcc94EAvBPSwPyguEWOKlErfxr6hP4IBb6CK112Bv1eoRrFNpu1ezzpetnaEKxMY0ILT6OKQzc8iofLxaySOZ8ktCUrV4atSGnk/CxFOrVxczgpjVFTUQH15tIR0X4AJ9L5j8P1/bwTiIGFbUyx3rqSO+vzAoOQc/TdQgTzYvpCeJ5YVJwfnoQZfKKjTLewtbZEnczz06MrRis5fZkaeazbs2wr0uCCnrYZFHxiKM29RjGH1b5BZ+Zrqjd7I3Nfejdw+2bo1Y6h1BXCokWwU5VDHlCpO3mpkmTv9tHbuyrK8fQuufeng4pAV5MB1uGlZQB6dEdr+UFjNJmOj122cPJd7KgGL2li6wvzw7YfvC9apl/Iy4qv05eEyND5PPuiRipv5yYQMwZ/+7KYgkI76HWvC57wFKK8qb0zEBBK3cX2eP1u5S4RweylB6/ppcANb7qGXuTS8lUjvePls/sK3aSU2TaO7d/FjhfcJpi2Q8Ls3lqKGplUwonc7zOSRWT0JOP76EBp6NrNtBcuUxWqsKbjo8QH1YmW/8gjYFriUEM7qTfftRZTr616IKMBNZKN5TUyOvx2b7P8TRB53omDpbcE0HN1NY7V/kYTh9FSXqbDMOHZgUwoaBu6Q0J5exeqB5rsGtDRH71+YAQhoz/IhNi/EHQ0M1eowFNywbXEQPlavc8bEzzhdCyWQlABAJ4TccKhddxewwxiXDg0tZmvZo955t8y1ykdmw9HN4OfPzjSzbSUqUpxuyFh7rVVnOX/mHxbA9+edBy7n5EpL++R836G+SRvVnLduYjQ/D9ZCOmGsIogvd1xW46etr45bKaH1PepSaIa/rNGmGA3vSwJfTgV0zP5RobagnT++u/EtkJg92fWLCNlFbrDMras+WgpOJKL1Bqmjpd4l4fzBDExhyLzBULC2qZjhk1+y5QwizyfoKWZNQyaQls1sh2+b7agOVRWy2lTsMjCSNr1zHu6w9s+qv02GQTzMmyQbYpreLLOLThNpnbDLDsiP52wh8r0VTaSHYniweW2qF7bzoYa64EsdoV62AVX8qrL7ckJtWvgv11w2OT3KovHPJmrj9bhA1hwYfGfuOh3nSiTGvaUp12LqmS8iATnmetRFBebphQ4TxGHUYxx3OFi2nmCB+wMLA913bPGbhTwZEvQ2QcQQ++yqRRliY6iZmWA9JUyuzON6qUKazSv2gNu5oB1kVf1xt2SHuHSNSqggUtPbq3iqGKdEFceCYsTam2uDlZvpeyUDujNZrd7A+YFVGGQ9LPfgZi/D5MEizrR9z9oHP2S6WeFLfAW988OQj/s6JvV5UgbvL0VVR9H7bhQf6bjCo2djNomyne3vClwdEloqZurWXqGPX4OSapVucVdHfI8akfL5RFaEJtqsrbS49TfqxDpUpZiZ7L7pwFqLaHi5WAyDWbzem7m7M7AkJMVQm2bhnx4ECrhmIUvBKB2Z5MrqJMLMBG5Bpz1obykrf5Y/B+zsxPOBIfGT6fFuhj0It4syo/U00tFHDlmcBd0LZqmtI71xiNdcd2tX/Z6JQkyAAbGdmGoGrTardV7IVoRsulsSRaG9HP7Ssvb0xlNgeY5do0oO3Sy9gMivDGG5fLOVlP3+DAOcHSiOGEz9khiyZP4J7i82aN7kLa5Xn9wgH3WZZ2hyTzIaOVxxh9AoBG+koKivkLpT4dEdm6xrLJFVQehu/j+CkHnL9MmYkPuCT79mOZFzJ26jullrHsjX129IqodzeBtK49v7P8SbbQcLrIzsYEj7yoD2hNYeEDdiuvzLW9iCt53K5f2/8zTFRzBdoHjLb3nPQduBDyqqIaSR7qN7/vv0haJKxRinWCPxZi177DvSU2DCvwWoV6Rqwg75ha1szbZFv3UQgudJ3exB77U/P2FflfXIv6h+uU0id+zS/YIwARmVcsU54xkkYJ77rFZKTQ36N8oaih0FVQWIl1Wfcg5HG8CgVCeMNnSjxxgLRYn6rvR8jbdWfJCyOs6M/YHfGnAjA1toNRdw4Gb8pGSHQnMHD3h7ejvlytur5wfpKmImAr8sK+hG9FUk9VcidcKBAION6JvgCPtnzmElhDFklxDLRr+Jw0eYNb8LQmRGZf1KBE5vZ3t5BXIIupYOdZ32pPnP8cF15MBOfPq8mX/6gxp+x9S8R/gHOcpKakqfF8y7FUo/QH23nHlJFDd0hXS7qsg0ZZgjl4iYako3bSAVQmAdwGf7uS+sRkoKW3pF8iiQslERiGpt0aATvO/N5GTw0sIg1wi+DLuVljtVO+V5F65+UqdIAzYxjPCoJ++RGYod7St4Sl4f+UWwXreI6hbejKiA/ir+7lt1ud9x6HzMbPs4H5hMnNGnwrHOoG5xFzPeezp7iA81reUs8YL2TA8UMwr4g/Ok6X6v0F3j9k/EXv+9heFfQiQPuuEd4E8ocKXto2hcwbERIEjHcma0Hhd3EBfU9ywH2GSF/94y3qeYzA840TkKeN2+Mw+XYItiuoNRUWCC3qHDgqjx3rT04k3aACeUXFBq6Wg3zIm+m3bttL9p2lXzNLVn+xiSZHsTKZtwV+V/htjgH8jO5qQK2GVQpM208iMt1oqey6g6ngXLmqy6oajWOi/sDevsOLgcMYqgZGx4U7hOi5NW3zGfuguErBLQGxeak+fmyqWvg5/YiCmYP99GR/Fb2iFTB6uUdZQ43II57DqefbVTVTuRb4SKAi4GSXB15iaQBur/hqhPvCyzX5winZavs+Y3wb6izkBHGwvlE1jiPzHtTqr5B3XSeIQETFYrXs8FOjRXnUGkgofpeOIkX/2sNAMngA5vMRN5eOO6BC/TAgPC/o9dcy8KOQ2jiiPC1MtKIlc3jAt+Spxcg/Pp4NKmENH5OvLJFo4qVT0vOTvpqoXXQmy3NwFwS8n818aTrpYL+5iwjmxJYpK39SnJRHTAKyMeBtDPHqmeeJwv9OAjJftGH1hM+AjXjOHpGvzTNZ8VvCu956O9buwrVqnDzcVLx3+Xa9FBIkn200L/SZOb1Hi5GfQqEv9CBeuXcdbTFcqPwAX8X3CGLz+M+qRoxWrS1G39WjE4531pJE/xynUoPUFYE8iejm74/nkvEBthU4VdLtuuCsBVGquTgnO157xLJTMq2jj6S1ez/W333RnYPl7d/VmDuUgIQNU+H13dcWyBpmhyFp/aLUyfdOKQdBY2JAPS6wtDWvefDJ8R1/sq/1YYdxjE47Vkc13T6VjdoHkZHT+lVlIL0HSep9CS7UKPZLA3bGZdjiodBrezN28lK46RwSUD95XPf8w1Y2H70X75BeIEP/yc628E6tScVKRO1WuE/rIIKfe9fX4NwwJhV5YuETHxwN+HRUtAn8C74o6C7B9Lm04yZkmiThN3EgmDr3OmMSfAVI39C6wz6acU+a8Lxoy3tOtVgHet3DsCwUmHoiDlKvJmTpbiasGZvqkaGcYRZvvcqy9EFt7sH148kNUQxkdurkAJQv/yEZw6e9gf2ND3RWNyFfMa/lqW5Pk+y4xbhWEjs9tM4vEeFJEhaTj59+P8xP2dgQawKxvaGiHKymWW3Y+M2pLL91cYhdOfQPX1aCmfIayrQSvdNGbuTNBwHAFDhhEi4c/scncNfjT/khjpABcH5lOPtjsEzQpotnWjC7p5V41olYiUkBTJhDkTr9ELTUXJ/qiP5b2BgpdfZfBZtPRUEN4jCWpSoICyliJVboMLLB8bE3iMxkGF/jjuVWzRdNbtGo7K9IGRCNvXGSKhh9pj1OX0lunJrztppmzoJvbjd/mR0zdR4xBQEsfXbNBhBGNCHD5pI4pBoz+R6pXaMmoQWWVAwE4lyswm/1MwLbli5m01IvZtzxOShZWXs2/2BVmrSSPQRNv5rHcQ4mm27R/Cy0Hbo5bgfDfS1nZTTsU7elYzjHv8P4enfGWsuZL20npqXyzGX5omKwrB6NXjQDq1pOqFMNzylMy1FYcXhHPxIw/u1pBmWy3Cf6KdsiBGMNScSWH1Beo6P941wIXeOH7U1u/a+E6thEp8i4yU/EjFg1KwsAuRlbc4ztqb7vxts3nSRpJBbYozu+W+AS/rWOegOpvJVtc3nxc1bSiqDXqiMpMhC+s7RFvdDGSfHfPI2GcMbkuW97sck6ZP/YZ5Fj9HyHtFmtcqnWfUWlE/CTaLSz4yOgEcds5WZb4ll9FLuErg6QYcahl7FRqkZk4IpGLjEw90+bP7OUICU1CdP5fgYN8aSJjMOhB8vLmHWQ3akNoTV0EGnjKAW/GQet5zavxCA0a6xUNrODS1/2aIpYoJTTewfjfCaUM3+QrWB88RSVifK/hUitGypMPtgcTfN2Sj9/EDlt+N8IMBnrNgGDuJBRcpfNLL47LBbdnciCKykxhV29bKGgW7rlnktdxx641+Bam7Yb74NFVhhW602etQz1bAnoeaDXHK+k9yodstApDStkmFs0hCsooDu3R/NOjLwpKhv7btR17c2bkmRXNxNbLPGaSCBNogolLyf7d8hEr2Kn7BQNvWSJwuAG8mfQP+bwjrVuckq3akdcadK/Vq2X6ySW/hy+yJ9I6aEP9qVC19QXQv0q583rLDhyKkoozeMMeOlmh7EXNzA0lDKiE3t4JHh3VSy/kW2CO0CwX33WspRBjRcAa8J9QuGkV0f7yduDORyD3W917gb2zYSimpaipmUr0FjNf6Kq/ePiiht5ukmLCbK48w84FphfQJp5l1sKS/TsZOqmRbnyQm8NH07ML2NDPfRvuKsrY1t/QW9gJ59NLVc6l72Ha4lyJ1y31iJCyzY7iFU0qZt4DbYwWjgmcruBhKJB8/uxik7b0qp6K8B9MKG1eL/RGhunYFa6MkRfuCBj0fPlBSayraWeKtsX3FL0gfU/2CwryicWhNzPAh7KrufVzi4LQ6Mj+Z2JHSZp8y5CZh0qUQ6iDEP4sst3HpdJ8oDKOxmyVQ1uSbpYMDSwE1allrAwicABeJih9pcys+4a9CKrvV725LOYpqNGp/si1TlKTOiPjnmR1G6quJi65vD9MI/0jSS6wefBVfdC9zC2tZ6fzNGr9F1kfxxIN6dMOVLc2CZR5gGuchAfjzhST8DLiR7Q6zouakeM7DPynQuUKczw7ND6WkZ/+mT3kxbBgjhsLvC2pOj3lXrlY8DK1b9CMazNfd8UgvdzP/I4a7YBKn4plnCytG6pzx/NX60TJma16HS+r8HOYSLWy3Lpv0MrHnu6S6CQ9BKvz8ihkVsjzpbqp1z4m0hSJij+NtqMBSKOM21CUPRcBfAQ4eAM3TzE+ZhvJSkkoptUqnrVgukZg8FtGBrfkbl+Y96tAHnKSqO1j+zIs/xcUXLZX77fMYDHKPy5W0BHx+bnsBKpxbEpwduFSIfQAZNP4dOWG4uFzMPTjZ7i+R5MxGGIrBRUeO37i46fi4ViBcUCnx8Cu5FfIHcFfuCniu6o9JgGbSgRDd20592rPX8xjU2UVs7/xh8f0qjWqChG+fvh+w/u7l/W1EzbUhCOjEUNc4Tf3sGKvESsoUeFpjGFp0bpu6Ry8T9h0h6ARPzwNIEwsAfZ3bfWtPwCYi/OlHJqmTyxYwvJnH11OId02e0ChFG9Y2QviCsShDIpofKSiEoNIJHsLURz0tlwCmCGm/j9eRNbb/rcwl51iQL0DRoYAfNLBGVc6JEJke2H+JSnsKIypq5Y1cZVwdSa0v0c/1igc1uwcRlc7+LMVfUFjbQ5DA3JY3XsraYVb8vM1Vxh6qiVeLX6FkLak3dID/Ftmoj3Yj/PJrun9W0k8f4MTroR1+UwbYCTkjHhdYQmFICKak66CLfiKvnIMZ+ISV7xD61R76GOrgsJ7sUlEbU67x83coUAh0RzXzFL2a4OtSv8H2Koe2g0OvTSbjesq0Qdk22WaZ4UP3/PRl/F83U8g08xCavG1bOIAMg398VdkIW/nQzOah2vM1e0uWyy0fKN0BCncShuHmC61pwjtCNdEusUiYmh7hXZJ9sMvTe4jrYkF9KD72uL2FKKg0VMaNZT7inJLhL6GWB4ceoYzVaqw9xIuovwSaf6b3xsrRWsTHT7e97h3/tp4UIDH4sOLztpY1Qq7tLsLRMdiygDZtCq2Ewe7AzhWq6Bv8rbMjf9Uj7ezCBhmTP/KqKLNhucNxerIJg4SJRRFnTTYJDUBttIAXESUP4zhy/A5aEbkczkhqpZn2tpl8/d3iy2/wjSfjOq+0RsSJNkaQ1FzHlvigXnyilYKId7B2MAkoqM2RWExwfyIS1PpH2AoSjEfeA485pQBvUDaMJxxzeugeKxDxeDhY6w3xIbGBmkbY8GW3MXTAm/r20sIw1kaiginkK8kwBymocAV1AFsfDgd6VQYjvTfTUztqqAFIW33kMAAudEypb604E67Yx/s9Hmv9ysyuq/b/rxH7Y8XTayUdNSrJhSVds6n1rknChkPz2TbjnAOpGeNm8KykQN53iSop0pCWno2hLIoXn1mavRQbgTAHyRMFVoGrs1bMO97FrFtvuGxwphmGD02nmqN+eScB1jiHuNHIR/VlisJjB+bAJw3g0U4/VvOv3cara56/+woQyPNEIJLvTxR3QafHcu82ukLJOf1jkVp6buAZJqQRAH7w4n9R+MOiyMh+Co2PIsU3vtAovjx/3NkD+Eyvo1rQ3qrLZq7TX8z1oVl1HudmMRFdDf3UV3XIKid02J3+ozlKcXfvuHTLKftR5LaFKBW/fbxqFWsmfqCmAquyD+AwQ6XPxBWCTvehs3/AYWtmqovwCkonfHt5BgwpsHuD/eusZpd2Bp+uyS2e/CtBtk4iGyYyC2lOcmUz4qycwmMzI1t7ea8B3RMu94sQyZ97kQzJg1b4IjWN31moAHM7nJdrx19W6kTCwh++ESNZGvma9lwiNIimWsPzgc0m6jMPVr+r7+jUIKmnMjbFWIMX1vItMz0CjBUwz/Zqk4lA48FcYYNu2xr7d/HR9gX5dFqbX6HLndzxRFQCtytsvZYPJ+3pa++D1M7OhDmLAFisFxhybTr91owTxDliXk1JopkIQ0whM5gqysT+l+jh3Q7c6OO2ie2kNW4z9K4SZ9vi7iqxudhIYX18f33haXFxbsGNMv4Gk2xsXbl/ptbFJ76iwufYuOm4tDYQoNCXewoqrJC+dk+5l5NF6hkF3t51Ry+TnvVGvz/26VaRTsxojaSSLJelTcYt1BmgdZmxt2Uq0ZApmlyJqEolV6fxbCeH/knQ3T/4mcViWCqxiKeLEzyNszwZqyj31FycUyzcOoSoxthOKdCHOL0kY7ErhYQiRVQmhSjVIGrZIZucc9oMXK9UsvgnfvA8HXuav6IcnbO0hApXzFTACTqvbmv4kA77yZUBCg8FDFNe1tBemWwxZuwagaF82orYS+JWfXn/9hXuHQVjGiYl2H+1j7uOksOB38sqab6I53PHV1zDKPo/O1Zh7zkFMoASq4wQMXzqKWdpa7yGCOTQIywuymckntJoU+KbNRELjDJuCOOKta5gLCdNtd7rSdOKFHreBpPUGSYa6yiudpAEXjr+9V6ogDplPuVuSk60EbOGb3CIDcJBZM1Mc00t04bgpI1fHNlxDNDiskQGfB5yu82ggC1N0DJTnOvqG5a23ptZMGU2NStSvRqEL6Qrj3b/6kBTOfoTucJi1wGAzxRiy7N5Glj3pbVLa1OA1MtQSTi6XyN2HSDx3PCK397OH6dC4XFFMLAfZ1jzynrih2o1LerPRy0FzchQ3uQDICC5A9CSpL2rQwuSgyAmEynII4yatlLrSmoawS8r5GgDRUwhsMiATVJC2mFl8uaPznRffkfXlU37xkLff/Co9AOYd8qaILEqDA/+d9k1UKxVdSd1pMTnLOqm8Y8jSFJHLyhUwz7KZ8XMlKWDZbL/d0py82VWaeGqFLieDZdYkbIN4zl9P1qvsmkhpHxPn19Mp9ZkpOWasPsSFAacZR5wmq2OhTvzSdsBSKTk2wNFzsbCR6VZE9pK/di0iAaFmLmVmoqjVQtekPyxpzUTXqujJZAk6K2dzTs5BFG8qzWpzBFeZZ7v77ceu538msCUJZH6eN6U8NNeMxmepWTToZGVVCqpJ5HwN3m6wPosrtU5m7181H8QLUPuweNlg1q50J0N2GYrZ0V1E6GT8WG7ODIDjiAmbAVJ74hv4JpN+RO03wI4tsHuVJTjtZeywTAMDwLRXHAixEmlVRK1BU3PjV8N31ZVkHO1Lz8eCCx/RdXMyCKbHjSF3bu42vgLSgzWdkUaEGMOK2BCdyRLJnm01BVCrdy9gtS1hXFRCeNNJh6HLydjshzxT63nRsyAnh0sy+p5riZxi2hE0kgxpzjDqp80zZLyxiSUESzSdUKSVkDdi5BGCeEiYrKA8LngY0enA0TN47x4ebg/kc0cKa2LN00bfGbFphzv0IYk+fEublbudKFaDwZLzSWDpXq/pFsABR7Z71BHwh4SV29jKmLZIjBSyJ9MSG6ybHrDIp+lcfV79SeAK1t7YBZJYq5VKNKeQDoSz4KrKFrYOq5RihLujBp0BooGhKuqAIb1ng/MtRoPov+doZ/uuFBV1eG7ezb9CwTWm5lVT7GvYeTMK6IDKR8DaHygLtcwLlvyq+x5HT5NuiKiYjrfFqWfwiz5st96PrBguY4xW04yDn0O6N/FgZAEmFMsNOMXHrwt5nUUD+/qOHTFQ0jR6IfHe1l38huPtdARe+fEcm1NpXvILagFz3t+rHUZAd7dVb1SVZQReuDsL+6X1tTWvPwFfFod6xC4UMVbzy7CC4b8ia2V2ZZm+753yMEaxCktWylh+Me6TKAZAzfj/wxv1oe3GgiONkFlpMDCCVPhOBWfHlYsPertMvUWW2TOX23zNJFFrZvAj/0/3OudqvgIHXitQ/tsHKrm5AV8y3FB/tn+crZDl7X32CrRszwZCnkVgjweNoDu/iQ1z3vF5WNz9fP7Cp93cbuBt8PI/yHPkPf20BcTvyZqSaR4uLP7NGEOQsSMvCjJ3p42vQuJV9WiGoGS9BkD92w/GoTzqg8mFbgCIHi+N66FoLem91JokmFqme/JyGXXXeFbMvzH9EvtUEvknHTFuESnSbqv64fHZt8rjcH4PsZvtFYBkCFWvQDeyBveQR7ZWngomzuN/zf57jhJYeh3+C8Ra4Zx0QWJt1sfIJqgJi08426S3o+f44VHh0QnHtB3O+LF8OXrktutadz7nyGdRcp3QsgUMS3J+VicLz/HZDAV8E6i3O88eQyjnByfuf5jyCWvLpBJPevKf3329jxr0bhDr0GHizKCe+LUVN7VF6Iy5sAfjMS8VPVOzbPWIMN9inA6W9ZQSE6ujm955NtyskR3kxLdMODLNPWn+VwbThu50ryvFHI2a7kqx09/Dc1r1VDMoOUTLq9Btbizs7dbWY4Wjsn2YCPl43OStqurUoU0mVM9XpS9SAw/7UfRst36NcmHAUafrmJ6vguG2U2336iQssWC1Lj2r7ZzVbK7ytK9pxMGeE4EyfkiJz8/oQS9QNbLS62bsT0NyxdXc0byXSd90Vom+zxXWBEKPLEUOgEqmMFr2WbeVaRCeUGZ3xN8aVj0U8iGxFANrfO06A7peHrAkUr8xeVW7yBZh9rQhvJTaW0zB0tHyoCWrsxRn9Z7+Ag25anENNfHwdlcI4mvJh8kKrzLdOY7UllZaUzEzJLyILfF6JVRHvrlsZZaT9FOC+1R+8Q8EBpAMYEmcF5vvPh8OXqIuWVMEqcxSVU8V7djSh00mKDqYQbrGpmS/jZlbytLirekGXRxEr5ty9tG6d2IF7u+mK0BS4XG1FRbCoUpPqLaNMzWZDK+qNBI7CaNWQ+q9WF98wKqG3adqjcR57bX5ZIEuV4z40VBJIV3b+fmnUsi6zX8swHsiVGQvGzsUHUYNCT2qx1rCxKscFUs3r4xtjgB+sTfBr2ZzvrJy+R/tci01kAb1Lqpd8pOJgTpQ47pdrdmEBtT5Yd0deXyDgCGwz+jTrUjSLHjQB9EfFCyHMp0hcuWS3A4CgYBmyClPzmg1s9C3Yp07R+UcmvG0k2GjXSRIOdc/eVJQwErS9STyoYWcstDh5ppDROhlfy2JKg4Q7GRZy8vdQjC0Jc/MGuAEYu1DAtvyXMXYWp4gO0CDzIHFlVe7IIHpU2yG5GiQmSVaon67Xumh8JIW883WMWXF4sn6aG4RzmfvQiS5Xk8QHuWqJ1zD1kfoQuJXpIH0TdL9Ws08JS+OFGLRFy5eu+gzA+jZ2IoKQDrGhRX6LrDEQYufX2JBFuuRG+fp5xb5ylwbtNcWnOubJh/IMor033Gwm67dNSqUfCdDszz5WD63nk6uEByvArsRwRGrN8RJ/FfLQI+4w13DwVqbTDmRvIrx9C036JnDwx4gKhZeV8YDgAEmELiwSmnDOII0uK/zpQJoIbxQcl3KBsn09GOSTJPYlcPTu+KJ1CLl1P9W7ZLnPuVganiOIGZgdJS1SMynXnIIqy1PO6rzOdDnFm+YIFz1fTdCmeiT9NohNcpe/KsMZjs7ZXx6ucagYZieADZ0vk551JdgmGFhw34GlwBQ+A9AnX2RCu3Eii84BNqWhVUtI9zR6SzZMDyCLSfZyFGS63QanqD/zP+ZfNsSjZWPW+/3zxg+IABA9wItK19p8NkW87l8FPhTHs5rmsLkZwOaBrTzbS9PNPiCSkGfCTTmzd8Ml9Apay7kDjIyixdOPQzJ6NvNzEkicjHROGvbZ5CAIOv42ZD/zh2s7dIvjh28VTXKgDFDlhKjzdxaKwCVD4WGnDYLTzgffptngbfMPni6eUeTJ7r8JE8nHSi9NjtMAMNBjNiHnwiD5va+qn4NPYw/kv3K5wlOWkDjgHPTFlp0/bRC3ClKWgsICPD3VxcPjp6P4HZoy9EymKw8sCp01TaYA8QY3h6MiaGSkqmlLV2mGRQ3nnqTlCe54BOFst3I3e3u+Vkb/FvZLMeUijXDw6WsM0RpmLnvv/uFQBO4s/WgwFEJ+AU0bEO7He7pG+K16HQ6kqN8BK+e4sy1DZbsUGYQkGDq1yl4grSfzA9Il3fR8lBU8YoA7ZDOKDQblYawH3Z4TkznROjhe85MNw6fGnQGcaJblb94qwfPVas7JWxFcSrUC/BgKr9+UUzjzmN0wVcZtDvAQ2miJe0DYXqht1AZaGctoDqFTxssCmAXM/UMC1GFDXEYqRdBbLHYCRjWZ4T2jqUnjN9g2SlvGnKFrXceB9aC2ZnjkBV7Tr7/lLyHIrkex5ZAzLNp+/A1FdZgrVKiWFPNu90GorySJKXvoXbt4FyjKPtb8cOICL5j8u6hJoALrfU6eshHxl4PgeBhqbFSJEzq4C43ZjdqYxxCujTJCHjIsBL80NKn1/WkhFxwYY+LzFZxG1b9gvdhGPQgg/AqcGHSQOjIwYEKMSfP83r4pOU7C2pYR3hF2zVnn73FcQKeA2lr0vD4denGum2l2s2LxLs30AV+Fd61Vz9hDmXBnknkxpjKX2HppsQFGKUY+mzUtgrz5y79757jxOGcgOvu78I8X9uXZP287h1pbzve7H5haYisQ8we3GxBfS81pL/zTLXMdphKOi90GYoZqaOLHGurd5h7oo0mRkzmLTOASFK/GmZ5NH8HlxQz3tw7mQzCkQ8L449aWltUJ2y+o/2byXC2T3lNTDowZFj8u9tNnOFhLbLUsZEN06aVEyZMrT3/CrZWklTvAsbJbbJH50f2tw9Z1afxaNcvBRq74FOvib8SO6TtQF391GVPbeYW5nqwSe5s1F8/jVRX/11ERG6cXpdFOAMaGB58I/FS7RDHCqOVGFqv8dNftgbEJ2ipMwNIZhjiABQSVo4VJmkqQji01jK75HiWvo8UaUHXFGODwXI16j6Zk/qI+ia94FqJzbI2Plb+OYb7DbiobFAaXQCSCw/Oay+MQ+PwG+JaCEZou89fg5Z6cS9NMga6GT10J8rPNh0vGMaeDu+fVzWG1tjyomPYSyD6paoSQhzY2yFcyewbUqGV4pj0C2MGYzfGjuGi1Rx+O5zMMtxtTR1Xz7QC4Wpo7esHdamrTSGfWWQJAHaUhy5hqM+n1436FFk8h95ixXgzJTrSBVYtds+3XNP88eUdwCP4Bz5WCrDV3vDGBpiqLd9OcfmsWhY8VhBzmOA4maZAyxT+YDmWE/M4Lh9hHWdZBIgicorlqRgwLkKOOKNAuxVye/ElJCyqVMJ4CBlLjD3WUfX1Sj0T7l4Z6LH41gl9gaTZj+W2XjT9Npy31DBuDIdKDxPM5QzS/9yahSLrLOjM4jIQK9WwhEzdEDTAY1oGlYPWZnZDiiRq0L5GGxHVV3OTHurfIxgFldslk1/hS/QgGZzhgWnCyBQAJRDFmPCXcNi7s+EVcEnC0Zob3Pl1sbcp7FIQhh5rku6kjEwA/0tHtu6zVpxq4YUs3sV39uF4fG+HiGRX4roeJw9kqMSEfEIxIGLh8mnz3aTsHZGZbvA17vQE5zGcRU9IQ0KZvr+6y5SYPDfcrOphZE9CZOR+94GH86JSapNkZhyiIugqam5Z5zuRfvmxw+ADCn2Q2p7CQ9MVfxi/4qEaug926Mn9dNYDGnmx2Tv5zXwO3gyUHGKEu1XGXnp8/8eE53FFJc7JN6x9ZBusMY2O1zhN3x1Pti4Owsw0ruD7GBD1a5uE2Xhm+WDVS11q25HdzGkMLJuGZmlAmUpTXjYIRta/TYOGxZfRlehDGFvEHP4ahkSzHdmqdmwWZiVZz0nc+hCCvGl3oRmrdS6prTO8Lcn+UsASpbd46tC+xTf6Amj6uBRyZRDR8IvISJMb3OS5iQQxomo6lAbqDJl8objyt7dLbs48ib4+157sSjaoOOALbAkZC100SYVAW4h7UdiUzlZDFJze5zHIcQDI2gpD3egxkOtJ5+JXeW+WS40BTfj2TezHM3ky6Mr8OkBG7oCWZ7+oWxRL26yAGfOP9Zlku3lHDaxQ5wTHSo071LuAt/DOHQODRF1ScrGlErX4Hoy6Jh1CZaVVgrVIb1bwI9W7ANOCLksx1Lpv+iwq8mwSPJ9qZp/FSP/NeuxhGsiXMKlX3dRnCXMziEnuqV2Sk62IYcQjsouMKuvAXONr/Plk3xropQa7VBqpWZKGizQ6J800S+YYOdjF7UbgL+YBanCCR6pDdDcQdf0jhwVKcNM40OAK9marZGZ6VNw5B0NjHjfIyEBHGRykKemEkhFZNkgyTaIUjvEVwtR9QW8GHlJ7O3rUsGl7movdngVuMe4ToHnFE/k+5LmJB3LEcsPRUeghzDZJ/ltsLKf8FFTxN6gNkWmM/lubQKU+Xn3BqLFFGlDCzB4CUGhAizJ6Sj/w9ZpRq5XUb0GuYGn5caXUvI4kZB0jP2KCc4dc/DFUJlC5wIrJjoduylwPcpz2Ebrz+ztsXUHn907rJJPzv6gWzfU1BgnVTgxFARb6wgAdh5nd3ZJ5PqP3SPu3/CqP+Wcp6fBfNJZ3SncreQxq7l8l+uuiFwD4D4J1z+vSvc8qQNUhIYhqCaFbocYh1nc+mBpnFbkLn/wyvfsVwHbybW9j5R7t3sf9R4+mqyPqqmm6Aq0djHu09XqUv2nePPU0tMI+k3L7oJLJWg/Ulcnz85u3bidyVESLJjlBKOJoSyERgdvYsvOJkcYs6MvCnj7rpR3Yu91KgiHJXN7LhljL49iqxEMhB0ewNlH/UfSrmOnepCLh2xsfl3DdLUznWa8DZlWdibT8gVHUVD9M1kS+M0AXqZVMA2sRY71i2KizYpB8uGTj3xKcQda6MSZYjFGW4GshRNBtBZ6RH4ck/vlQvpNKx3HnZVQMyRaS+1XIUHk8v++G6likova+5g2EUhDP76cVkRJelTida1aHjbgJF2OIemEZrL5jN6gzCTzn+Lp3JQyYoVFl8c5xP935Dt7HMxmSnxBsX9wRhWHkx3AD4BTlafc1075PslLIeloPOgIeRPWvXlLHry7tFeLdo1Cbu0wRpu4vzDOUc/wSAjLUPhVmkUrQH4BbBsPhK3ictmP6FoWh7r14TC9TSRZFvO/wvSStT/4D7TrWm2AcdYVN42ed2VVOZM1tTFhJpW5mp0NFV/bOL7zX7ZYKt2UzdNu/luUp6Q+6KvT1mCqjnbRMMpr1ThXENYZy0Eg/nDjn2KhGPf7dvTWa1DFiHuQ1FU6GKAsdZuonCoO1K/h8m+aKxLxypL8D0e4C5olcDSw6Ey6H1kwu/eMNiifAAUhCnk0xiNGI2LNRUsHfal/N0sY7NdfrJFXLrF6bN2COMqGcb/bUsDNq7cDwp0CsDzfrV0LOfnjLDiUDzbf/ZPrw7dh8zny4ZcoF715gCGUBr7bZ7d+Qbo63/Nk1jczgze3zinkLdO5XULCecciQMD/h1E/6QNAifQ7mJvfaAD/HO0Z2KEnIp31BdlPhWsIiTSrXxZp235CTRw8nOplDB1Fu4OfQmI0iOwqWYpIlpuy1uyLPCWobFjJLHyLaetXslnQZnaSLrZUN6iyipP5+rIkZwkiFbVRQa1Zx4JyEvR0mjVjgQmxtzFSRpNDVPJsinR7UQJkevE2MkYoS5X0DAMidMn+mZ2D0vfZs02cmPhsi8ePRs1NmKeUl6mcI1rWi9oA0uo5y3GobocopsdGERoFvtV+vI5uK5ctEPNNDXN9g3Z18FCK17Q3SIH1AGYmEtHlxk6zEarBNC2RcVszhFihlxZ8vIyJgMhq2qpHuezPhR7/T+jz1r+vNJQikU/TORyUdfTHyIlrneqXL8A50kQiQjKPgLmL+p8XhHDqYvu/kX7I7QciayV/C5/0ZixuMhr/OGXArS/cRM6fSjY8/m7GOeHd1ZDMBPvO3tOmGfnN/wBjxv0FLUzPo6VMoVDjXXJ7vgC2UXIIg9lnlvjjO7J4N1Od0oC2gaao/eFTRdLDs/QCWBVQ2nN2gZ/xrx5yz61l6y2G7wPtSXGzKpyRNgYp8Ocpr+WD/Ih5kfR2WryQjLGZYD75TaN+K5smqydRrGCZdk1No55wGCbTUsYwKOSzSpZyA05ZHAuvfWHwnpG0UEbAy+6yKiDTxS/uYl1sNQGqEZ3Xtlyv2fDvEty2YbhoNv/rK4QOan+9dqwMZ6FC+aONE/YdiCWviEYOvODQ/qSlnhKttUeNOxPrHj+iCHdVipQ71b6SIC2SzGQiMuuxBaOvciTfepHNO015WlVHPSLaoIZVjGOr+yyqtGlm+spyi0HSSTR3k0z4tXEn1xhCKMDC4+u4nQ+x4zR50MSIlHihqPz0xtBxn2uGOyOcoIbDnwzSmkpi+2jCn409TSMUsOixlZcxWB3K4Sm9Lz1msl1iyFUiSoHsDz9kLGMIC+vFSeScJveJCDGvIJW7wkCm9NOBsDXK2Y3ZZJtY8C9wzzxlXiiDjJCdiatFv3je6X/oWGeI2/u5QQXGKztiYBimZblh9LyFeGnyjLQwCMQiiOkJgyz0MOQypUhpbvRB8bSPsprLwTpYrkYH8rud354kuOUniam3ju0ku4m/djwm0yeNpXyli9RsmaIgZoLNvV6MSmTekaIXEU261n4zobquirkwvZhx2BdiDkYJ1L/vx87SPJvzMtu0SGmEFnzzjJtRAJoA47wIXS28p77iMP/9Dq4xFWw2yAsV23v97P68G8eYDn0n8r4pR9SXWeDg0/hcpA7AVRKGdB4RdHWFxJF76Ws1q/yCOFsauw0BMjCWykGkDLiWI10a74iqruOcAqLO8ZgYKi+d4JvpKu781xqo9QIWJH3o4iy4prdv57cpruMM0LyIMjjenEJhD0oUthWkV9Rp3sXwy2/6fo4sHm3YX3whWBsx9lfJ5byFTjbY88Mun/O9yfQ6OEqC5eq5AVTlbx8uxwupFOMEUBO3wdP+IkUAQTMef5nR11PoSP1HBBjmJkUNpr+g0tQ6h34R5Kx1hOh+qtF/jxsR3joATcU2xLP758JLM1PcDRkBCqoKriALx0uSOSSrPY/TRzf/qlP49eJlTKDa0VMLcvt9c/O+NPSFzu0nbJbubtvzSsuKVnextVcqjf/r2JLaq5sX9pjvC0cIXLwYvAbhk4gwRujmR7WVeM+BVE29vtB3JsBZQZds7yRBXnoJ7IrNK0aKghniaYdsfLZ7OebDjHrXC8OB3+6SAX6oyRoSKncxW160/K01kvWECfYQhoRzIyT9qyrUf4gXmM95gJZUfK8pOT61eaNVOK6HgVtRHStLREdWEX+LIP/FdCOFCy3B2cjWR7GMrsDxr53EJIHsF3VtD0PgBCBEQozPhT+OvLXURlQvx0Xcs25jXbMkChfj/fPA41q2Yvxqpv/KYsBH68qja1Ljt+0NAMz6d1d3VJRDZ19t0xjUeNkdJY5irDMGS9K1uJoRaj1OzfgWUr2Xp6PIURvPud3/C/Wlzb4u5TZ+stVCRoReAeMrKBUgoAjmlFA/RZVt4/TEyFFJudL0NpARBNupnMrLj/DajTgJYlecmqJ3RS76PP+j6tvFRzISCkwhHHcCxeZvrpwlnWaWmONFgxOy/HaM06ZwZvubUA1I21GmSfH0ledXL/HsZEmet2w9NLl77Ldy6gYuY+xkde3XUIMUHFf7wJU3ntMLwFfC0lYy47ghpuRCjcFz4DDoEpcSZjTnfo6+AKDl/rmdzXMRyn5tphfqWOpFotu8sSuSYf1nbVBz3GgJHRAO1XrcCuMqmgFXMcNJM2sQwPC6NBawzFDFhMYD13QO5URkpjt+Op+ZJM+zBllY5PkpHcrh9hd8byFwDn8NoSZo6dl6aSLXX7+Q7SBCxzIhWtjJsaYtPpkJew8+WJTUcJAaCiGjVAWrF+1zSxqcRCmEEdix7a4mhh2lO5fwGAs7YTwXXUrhP9Qsk7k3oYGt46dyaRMmIBwc4GuLtz/5l25NmVuZZBcbQt8bLefcrXk2enUOx2XfKLGR9CdcnXro4DhqZ3TfrkOmDeKNWoyE2F5L7f7vTgOLZ9ZzTd/vUNTDIvQvcZ0nHVYDO9Ua+ZOltNNPlhN3cQfaFTyOJ6E6maaTFvhkQEXkH6dqfQ7cuQHCntEQsbUvIso/fxdHmHILf/yR7daUc/njuEitUPglFKz6bz+vl+C+x9EbkZgFZ88BKIxf8LGpg33BsoggKuUWX+Qh+sEIRE88crZARF7TwqTzSmkjSXaC1QQeWiAVxBNYTBHFK7mZOaWKtoZLMGp4pbjf8i68DND3ByvwBzbNz1xpuiiSSuKTIkN7ZnWGTxowgU+qXMek+nWo0QWTG5uxlzg7AkEy1ZCypUvv4e/QXUAuN6v6mQCglb/iAyeflkSNeRyseAbOj+2rcT5Y9PSnOlo5SZeOG23eLKKZEkWgIDOV3ygDdwKlbY1qMTIjHLkbvClyrDR6rZgM7Lg6dVz4KEtUuark2HP41wNNezMsIY0yaskGTlLrbROM7u/b9RchHV8AzDgX0iCYdfG6YA0Cp37pvvzrCpzpjWDJUKsrwlgVSvhPoOWECJhkXxl/zpqy7WYqssoG2KB3rmV6fdUIdkUZErBg4uzrILSW40jVi97cNDcdxx/LpsgQJm7xqfxjyruQfU+gH+/0XeQXu+QZYQr+NlRzxKYSQ3faEvET4lb/d3vN6un3wt+TVbb09a/Ze2oQAJRc3r8vWz98djU45nvZOshWhYwQhEm/pDi877CsB4egcsUMf5R7JC+rSfmmO0AQ+cV6X51GKujoDClnkweq3NzlkZ9KWQgiPG3wQA4sLk9koTi0rDx8UxHk/Ho2DgRV3ukd1NFDPXl5UslkVV+kMfsItMARDlSJMnqyBpCdF+hX1x/iMDPD09QmtSh41FEsh/9Sy0xB7Qb6XZFRGMhC5WI/FVZLo4oLA9Q4zr2XIEHBmbqk//lhOMVRZTJzQAP7juBZAr1FQT1IyXx2nhWwEQg8hsrzGqns5ztYxpXEa77dDM5w4RjME3GXw2SnaDvQMhE9fiLtHkyPd00EjWCWzjan0+T6uKBTbtTaunQfpBnjqbGOENXhOmoSdn8rri9mXT7u3XpFml8qKZ7LPgwmss0tHlYT3u+H6bRfmEsIFlvLhth+FkBqGpCQWeMaudy92G6Q3xH7cJupir6aW2ZVNyqd70rw6lgzObEMeIG+kEKNntULDdHt5UX/wLd9bhMobqoETFQUvV4ounRlKxGDT6hy++elFL5UdqPGO+3XmAVlsSLY/QRKk4Y3OoTgYpkFg8A9RyLPLpUzx9cqvoib+EYQ6pA+U4xy1EckFKmhL+Zgyjs2PVp7i9MyEf4raxqbv5ckSc57omleJeItYEUlQdcxYPkhnEQhHQuYMkxc9RyNBvM8dZUXY/jRg8OMa411ozLfYCbdzBJzE4UYxVjf9pR8OCm8zwahVfuKcAejl2XQcVAL/umjuUyUNehVeYwE8+438BvaBaZSHIyzPA9GmAizTj9K6iSycyOMcfWuaiDLjb3QzlKqF5VF25maW667iIzlQLEOsqsXbu14h4aQZOWnw1wrL7YUX8Wb8HFC+r2YV6dkMMwHTK0IT4glBFjJL8lwg48Tm/z0ymtRlqgFeMIcz5ODzESl9avVx1TXGBpJ4Msz+SKWbInwoONKbyTBM9MqjWoGvPQS2z27+NqFah6F2XmtmLXXT6jkxxMzYRogfMcxxXjrXQP3G/uhmEZndpmoX/dbezR2DRr4+dFfOaFCMBitaqPuUO1UkA6ivj7HfyS4UG4DkDlUeTfWi6c8AECUe1qPiqWgyMSz6uZBbyR2kAThV4FxOK9frq56y+nFu/k/FW/X6pEKj9as4RsuwFzOMgQM2v/yjdNPjQ938pIgFP3S1hdNNmiGywJzt3w+v+eYZ5OLFdSrzGhJRyy42W0jgj78Znyg9U+Nryxn1nHVAmZa3TKbxrFNZqRRqhJlL3r5h5WOWkOGR4YoiSsU1subsoiFNoIYWmXvIIzwIzyBUHP3RkCwNzgZb4e0XlSzLFFu8p2OluIiFaGfjRFhtkezYA/Lpr/ffs3OUEYUy3sQQW7adRZlVo9lnurQ/d8vjlbdR2k8qLZnqdmLP5hl5QL16up7B1MGOOjReihEQP235wp/uinneETHA+/ouDQp9mF8VS3wsUYlkidX+rmh21b8Xn/qxkSjwBUaFf30oF182t4st0R2xD70mXPdk+eR8zlLIElc+PdimrZiRBQuLJ8TvCoOr22pPoj9F6hT36WKuyFyEZFBrUe3ZA3nYz0WESbnZeB1iLYJggwkcoOh8AfqrFMC1lPpyIbgsnougR4bEhZp5loCVIL4+iFGILDa/dyLZMF/3LHjgEg/60HUhf7kh6zRMxw2U6gkET5CSC+67fJOYfp1cPWXXKIWLTzTGNXsCwJM7bohrTwcy5oiTLjOde9RURHbBugzykm3AApC4T8htxPS8SEDRiA0Dtn3MHURySrKtmYlOCmuNLmsARqnXBzQDtZT6V61GlmRRh5Hj7WlmmKJSkpAnRKtZEF1jHZyCpq2eZ2DxW7vPTH0osQlqlY7FWg2ptDGYSLHUUu5bif1KHN45lujfHGUdZubIFOOFEYiHF99vDctBGORkQUqF2skr/q1oQyqcfhtU4zfgUDMcMgLmzYiWgLgNarBoBJaHzdqcbhOqY8hdXEZVmT55iSzuyCNRtBWAxCbL3UmWO7pM0KXeTWb3xtUxEBVxL7r+ORk+CQnx/kADujOm9lqAlEilJZfJVJCt3pmod993PI06qdyZjvlJzEHa39MeqJ+uOo/gEGBs3gjkNuGmPgKQwGCyo1Dj4KPoErObBHgqSv1eiJy3Tj9LXsyeIbSJTheiIa+bOaynvrdH+Ym4iDBxO0GtgytkEZ9eT+DMKnsvFzFpm2U9rdEpyLYlN+d/pMjCbCRrDlACawz8GTeL2KrIEfXiEypHtqbdOPDyHVqTVeFRvbjhOst/negvDQfqmKtrGYH9bXVE7JzhK+ayrLmd4prW4T0jmDk7w6eUAyHxkNWPUML8nwx5zBJkrScOglu4stKQutiGgEKBfxaxHw2Q2oJqSsAseDEgtL8PAqZplojYaOgG8EDaxtGvIb6xkl0rI0GfZZcPZ/3bbcd6DcxpITmjldFhbG9kSbv4oq1OGkcHkkJwuqt+S3CYFfgeW2ShX+nYukOA9VsrLNENlK0gT5jYgqxbhrYoCwJfV8EOovpGoZuNdmK0W66Coe6fparku+KrKZt91nYTFbz2lsUaEv9zmnXFt0pWu9Gbm2LxgsFWSe/Ox9x/6agGZQ5Ft74Tr1NGjeobMWoQ2uV35fvYNQBzAcRIgtLd/zySBV/EVBE2uK0dd/JD1JDSQBmcNYNUS1r0W5ZRawb/WlSapbd6bWXcHHBNsRwuXBAZX0VwVNOS8NdQajDS0FgfD3sPfmQzb6DuPb75EGgIfiGvoui1V7gcSQHCY/PzPToWATsPSG6piCOghc+jT2b2jJ6rCzCYNpZ6G2+czDrIlX1/Sf5uBi78+9p6SH15hOYqstSxHip2K55G1ir3Q/MfI1gMDw3BfO1vKeZgLH4OB+6WNFFpkiNt76Q9Xl43WHx/V9ZFoqyjcT1cGRZlcpgLKoIR2KN3q7tdmzfie2VBYovZEq+qjtjnI6xsV8HPrNjqYsxMHy5f14e/nOUJlIcMqD/3Tm2FPB3F5g0tszhovd7BytpOBpDIdS8ZcoCWrZpjdSe3EhpeYCyGvLY3No9McM4rM3ENoB8DTCvUXdAjaXtE3ui93q/zkxE5aPpYDisxUZRBMmTLnLIWN7qQPHhMrJ6rudRXKpjZJfemoo1Q7Fcl9egdcAecHPdL+f8B3X719/fTv5cDLughoZbVFCFzjXozZ0dmccIy6Oefk7FW3SJTo79pzW2HHnnUXnrKJXKRn+LgNvjzN+ITaNpXM/qcGGbHgIsZ+i1HhHk6uq4TKBcJbrW8pSeQbEVMCIDf4TJ4A5ditcyAuk76gVDxWpe+fWuC1Pw3PaWXvMiVINL/JmYlKx4cZNtIQDHwaXk6LwLVk9ebmVgWRA1RZvRHca/79Nx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53E4F4F-82E5-4D1E-8F6F-02B18C3ED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25215</Words>
  <Characters>143731</Characters>
  <Application>Microsoft Office Word</Application>
  <DocSecurity>0</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Deodat Maharaj</dc:creator>
  <cp:lastModifiedBy>Anand Maraj</cp:lastModifiedBy>
  <cp:revision>4</cp:revision>
  <dcterms:created xsi:type="dcterms:W3CDTF">2020-12-10T20:57:00Z</dcterms:created>
  <dcterms:modified xsi:type="dcterms:W3CDTF">2023-09-12T22:08:00Z</dcterms:modified>
</cp:coreProperties>
</file>