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46F59" w14:textId="23634A1C" w:rsidR="00F21EFB" w:rsidRPr="00F21EFB" w:rsidRDefault="00F21EFB" w:rsidP="00F21EFB">
      <w:pPr>
        <w:rPr>
          <w:rFonts w:cstheme="minorHAnsi"/>
          <w:b/>
          <w:bCs/>
          <w:color w:val="343541"/>
          <w:u w:val="single"/>
        </w:rPr>
      </w:pPr>
      <w:r w:rsidRPr="00F21EFB">
        <w:rPr>
          <w:rFonts w:cstheme="minorHAnsi"/>
          <w:b/>
          <w:bCs/>
          <w:color w:val="343541"/>
          <w:u w:val="single"/>
        </w:rPr>
        <w:t>Fiji CCA</w:t>
      </w:r>
      <w:r w:rsidR="002F2974">
        <w:rPr>
          <w:rFonts w:cstheme="minorHAnsi"/>
          <w:b/>
          <w:bCs/>
          <w:color w:val="343541"/>
          <w:u w:val="single"/>
        </w:rPr>
        <w:t xml:space="preserve"> summary </w:t>
      </w:r>
    </w:p>
    <w:p w14:paraId="557BF84B" w14:textId="3926F16C" w:rsidR="00F21EFB" w:rsidRDefault="00F21EFB" w:rsidP="00F21EFB">
      <w:pPr>
        <w:jc w:val="both"/>
        <w:rPr>
          <w:rFonts w:cstheme="minorHAnsi"/>
          <w:color w:val="343541"/>
        </w:rPr>
      </w:pPr>
      <w:r w:rsidRPr="00F21EFB">
        <w:rPr>
          <w:rFonts w:cstheme="minorHAnsi"/>
          <w:color w:val="343541"/>
        </w:rPr>
        <w:t xml:space="preserve">The post-COVID recovery in Fiji is progressing well, with growth rate of </w:t>
      </w:r>
      <w:r w:rsidR="00347D39">
        <w:rPr>
          <w:rFonts w:cstheme="minorHAnsi"/>
          <w:color w:val="343541"/>
        </w:rPr>
        <w:t>15</w:t>
      </w:r>
      <w:r w:rsidRPr="00F21EFB">
        <w:rPr>
          <w:rFonts w:cstheme="minorHAnsi"/>
          <w:color w:val="343541"/>
        </w:rPr>
        <w:t xml:space="preserve">% in 2022 driven by tourism recovery, expected to reach pre-pandemic levels by 2024. However, Fiji remains vulnerable to external shocks, such as natural disasters and climate change. The indirect impacts of the Russian invasion of Ukraine affect Fiji through commodity prices, global growth prospects, and exchange rate movements. Fiji needs structural reforms to accelerate growth and reduce high public debt. Rebuilding the tourism sector with a focus on safety and sustainability is crucial for its economic future. Maximizing the demographic dividend and offering opportunities for youth are essential for Fiji's economic and social transformation. Addressing violence against women, promoting gender equality, and increasing women's access to decision-making roles are vital for development. Child poverty and social cohesion issues require urgent attention. Climate action is critical for Fiji's economic growth, focusing on protecting biodiversity, marine resources, and sustainable exploitation of natural assets. Digital transformation can drive progress, but significant investments in digital infrastructure and policies are necessary. Innovative financing is required to support Fiji's development goals, alongside traditional ODA. </w:t>
      </w:r>
    </w:p>
    <w:p w14:paraId="71EA22FC" w14:textId="2B64CF93" w:rsidR="00F21EFB" w:rsidRDefault="00F21EFB" w:rsidP="00F21EFB">
      <w:pPr>
        <w:jc w:val="both"/>
        <w:rPr>
          <w:rFonts w:cstheme="minorHAnsi"/>
          <w:color w:val="343541"/>
        </w:rPr>
      </w:pPr>
      <w:r w:rsidRPr="00F21EFB">
        <w:rPr>
          <w:rFonts w:cstheme="minorHAnsi"/>
          <w:color w:val="343541"/>
        </w:rPr>
        <w:t xml:space="preserve">Effective governance, protection of human rights, and improved data are essential for Fiji's development journey. The most excluded populations in Fiji include children, women and girls, persons with disabilities, LGBTQI+ individuals, and others. Poverty rates have increased due to COVID-19 and cyclones. Gender equality remains a challenge, with women underrepresented in the workforce and facing violence and discrimination. Children in Fiji are at risk of being left behind, and social protection systems need further improvement to support vulnerable populations. Urbanization is causing challenges, with informal settlements facing vulnerability to climate change and limited access to services. Social protection initiatives play a crucial role in assisting vulnerable Fijians, but further expansion is needed for transformative effects on poverty and inequality. </w:t>
      </w:r>
    </w:p>
    <w:p w14:paraId="41A8A2BC" w14:textId="260890E8" w:rsidR="00F21EFB" w:rsidRDefault="00F21EFB" w:rsidP="00F21EFB">
      <w:pPr>
        <w:jc w:val="both"/>
        <w:rPr>
          <w:rFonts w:cstheme="minorHAnsi"/>
          <w:color w:val="343541"/>
        </w:rPr>
      </w:pPr>
      <w:r w:rsidRPr="00F21EFB">
        <w:rPr>
          <w:rFonts w:cstheme="minorHAnsi"/>
          <w:color w:val="343541"/>
        </w:rPr>
        <w:t xml:space="preserve">Fiji experienced a sharp contraction in GDP growth in 2020 due to the pandemic but is on the path to recovery, with full recovery expected by 2024. The blue economy, tourism, and agriculture sectors play significant roles in Fiji's economic transformation. The blue economy, which includes marine and coastal assets, presents opportunities in fisheries, tourism, shipping, research, and more. Tourism contributes around 34% to GDP, and rebuilding the sector with sustainability and safety is vital. Agriculture, though significant with more than 70% of employment, has taken a back seat, and there is a need to focus on sustainable food systems and nature-based solutions. Fiji's informal economy, employing 66.2% of the workforce, faces challenges in measurement and support, particularly for women and youth. To achieve inclusive socio-economic development, investment in education and skills development is </w:t>
      </w:r>
      <w:r>
        <w:rPr>
          <w:rFonts w:cstheme="minorHAnsi"/>
          <w:color w:val="343541"/>
        </w:rPr>
        <w:t>key</w:t>
      </w:r>
      <w:r w:rsidRPr="00F21EFB">
        <w:rPr>
          <w:rFonts w:cstheme="minorHAnsi"/>
          <w:color w:val="343541"/>
        </w:rPr>
        <w:t xml:space="preserve">, considering young population. </w:t>
      </w:r>
    </w:p>
    <w:p w14:paraId="253D3984" w14:textId="38D44004" w:rsidR="00F21EFB" w:rsidRDefault="00F21EFB" w:rsidP="00F21EFB">
      <w:pPr>
        <w:jc w:val="both"/>
        <w:rPr>
          <w:rFonts w:cstheme="minorHAnsi"/>
          <w:color w:val="343541"/>
        </w:rPr>
      </w:pPr>
      <w:r w:rsidRPr="00F21EFB">
        <w:rPr>
          <w:rFonts w:cstheme="minorHAnsi"/>
          <w:color w:val="343541"/>
        </w:rPr>
        <w:t xml:space="preserve">Renewable energy accounts for over 60% of electricity generation, and Fiji aims to generate 99% of electricity from renewables by 2031 and 100% by 2036. Digital transformation offers opportunities for Fiji's growth, but investments are required to improve infrastructure and digital literacy. In terms of climate and disaster risks, Fiji faces challenges due to exposure to natural hazards. Climate change exacerbates weather-related hazards, including tropical cyclones and floods. Fiji is taking measures to protect its biodiversity, which plays a role in mitigating natural hazards. Efforts are needed to support the capacity of security sectors, empower human rights institutions, and ensure inclusive political participation. Fiji has open and robust relationships with major development partners, with significant foreign loans contributing to international financial flows. </w:t>
      </w:r>
    </w:p>
    <w:p w14:paraId="404D8C20" w14:textId="3254CCEF" w:rsidR="0021749C" w:rsidRDefault="00F21EFB" w:rsidP="00F21EFB">
      <w:pPr>
        <w:jc w:val="both"/>
        <w:rPr>
          <w:rFonts w:cstheme="minorHAnsi"/>
          <w:color w:val="343541"/>
        </w:rPr>
      </w:pPr>
      <w:r w:rsidRPr="00F21EFB">
        <w:rPr>
          <w:rFonts w:cstheme="minorHAnsi"/>
          <w:color w:val="343541"/>
        </w:rPr>
        <w:t>Overall, partnerships and targeted policy recommendations are crucial for Fiji's economic recovery, sustainable growth, and addressing climate and disaster risks.</w:t>
      </w:r>
    </w:p>
    <w:p w14:paraId="7CDDF0B7" w14:textId="32AFA080" w:rsidR="00F21EFB" w:rsidRDefault="00F21EFB" w:rsidP="00F21EFB">
      <w:pPr>
        <w:rPr>
          <w:rFonts w:cstheme="minorHAnsi"/>
          <w:b/>
          <w:bCs/>
          <w:color w:val="343541"/>
          <w:u w:val="single"/>
        </w:rPr>
      </w:pPr>
      <w:r>
        <w:rPr>
          <w:rFonts w:cstheme="minorHAnsi"/>
          <w:b/>
          <w:bCs/>
          <w:color w:val="343541"/>
          <w:u w:val="single"/>
        </w:rPr>
        <w:lastRenderedPageBreak/>
        <w:t xml:space="preserve">Solomon Islands </w:t>
      </w:r>
      <w:r w:rsidRPr="00F21EFB">
        <w:rPr>
          <w:rFonts w:cstheme="minorHAnsi"/>
          <w:b/>
          <w:bCs/>
          <w:color w:val="343541"/>
          <w:u w:val="single"/>
        </w:rPr>
        <w:t>CCA</w:t>
      </w:r>
      <w:r w:rsidR="002F2974">
        <w:rPr>
          <w:rFonts w:cstheme="minorHAnsi"/>
          <w:b/>
          <w:bCs/>
          <w:color w:val="343541"/>
          <w:u w:val="single"/>
        </w:rPr>
        <w:t xml:space="preserve"> summary</w:t>
      </w:r>
    </w:p>
    <w:p w14:paraId="20C6157F" w14:textId="77F621A5" w:rsidR="00352D09" w:rsidRDefault="00F21EFB" w:rsidP="00352D09">
      <w:pPr>
        <w:jc w:val="both"/>
        <w:rPr>
          <w:rFonts w:cstheme="minorHAnsi"/>
          <w:color w:val="343541"/>
        </w:rPr>
      </w:pPr>
      <w:r w:rsidRPr="00352D09">
        <w:rPr>
          <w:rFonts w:cstheme="minorHAnsi"/>
          <w:color w:val="343541"/>
        </w:rPr>
        <w:t xml:space="preserve">The Solomon Islands is a lower-middle-income country with a medium human development index value. COVID-19 restrictions impacted its economy, leading to a decline in agriculture and logging activity. However, the reopening of borders and investments related to the </w:t>
      </w:r>
      <w:r w:rsidR="0025227E">
        <w:rPr>
          <w:rFonts w:cstheme="minorHAnsi"/>
          <w:color w:val="343541"/>
        </w:rPr>
        <w:t xml:space="preserve">upcoming </w:t>
      </w:r>
      <w:r w:rsidRPr="00352D09">
        <w:rPr>
          <w:rFonts w:cstheme="minorHAnsi"/>
          <w:color w:val="343541"/>
        </w:rPr>
        <w:t xml:space="preserve">2023 Pacific Games are expected to drive economic growth. The country requested reassessment for graduation from the LDC category </w:t>
      </w:r>
      <w:proofErr w:type="gramStart"/>
      <w:r w:rsidRPr="00352D09">
        <w:rPr>
          <w:rFonts w:cstheme="minorHAnsi"/>
          <w:color w:val="343541"/>
        </w:rPr>
        <w:t>in light of</w:t>
      </w:r>
      <w:proofErr w:type="gramEnd"/>
      <w:r w:rsidRPr="00352D09">
        <w:rPr>
          <w:rFonts w:cstheme="minorHAnsi"/>
          <w:color w:val="343541"/>
        </w:rPr>
        <w:t xml:space="preserve"> pandemic impacts and other crises. While still above the graduation thresholds, there are negative implications affecting readiness to graduate, including economic impacts, earthquakes, civil unrest, urban-rural divide, and climate and disaster risks. </w:t>
      </w:r>
    </w:p>
    <w:p w14:paraId="527A01EB" w14:textId="77777777" w:rsidR="00352D09" w:rsidRDefault="00F21EFB" w:rsidP="00352D09">
      <w:pPr>
        <w:jc w:val="both"/>
        <w:rPr>
          <w:rFonts w:cstheme="minorHAnsi"/>
          <w:color w:val="343541"/>
        </w:rPr>
      </w:pPr>
      <w:r w:rsidRPr="00352D09">
        <w:rPr>
          <w:rFonts w:cstheme="minorHAnsi"/>
          <w:color w:val="343541"/>
        </w:rPr>
        <w:t xml:space="preserve">Solomon Islands faces various challenges in terms of poverty, malnutrition, and gender inequality. It has high rates of childhood stunting, adolescent mortality, and maternal mortality, though progress has been made in child mortality and education. Gender equality remains a major concern, with limited representation of women in leadership roles and prevalent violence against women and girls. The country also faces environmental risks, ranking as one of the most hazardous countries globally, with vulnerability to natural disasters and climate change. Political challenges and ethnic tensions present risks of political instability and social conflict. </w:t>
      </w:r>
    </w:p>
    <w:p w14:paraId="321FF936" w14:textId="77777777" w:rsidR="00352D09" w:rsidRDefault="00F21EFB" w:rsidP="00352D09">
      <w:pPr>
        <w:jc w:val="both"/>
        <w:rPr>
          <w:rFonts w:cstheme="minorHAnsi"/>
          <w:color w:val="343541"/>
        </w:rPr>
      </w:pPr>
      <w:r w:rsidRPr="00352D09">
        <w:rPr>
          <w:rFonts w:cstheme="minorHAnsi"/>
          <w:color w:val="343541"/>
        </w:rPr>
        <w:t xml:space="preserve">Overall, the Solomon Islands seeks to reduce inequalities and address fragility, but it requires focused efforts and data-driven solutions to uplift vulnerable populations and achieve sustainable development goals. In 2021, the Solomon Islands' economy was impacted by COVID-19 restrictions, leading to a decline in agriculture and logging activity. A 2022 community outbreak of COVID-19 and the aftermath of civil unrest further dampened economic activity. However, there are prospects for growth in 2024, driven by investments related to the 2023 Pacific Games and the reopening of the </w:t>
      </w:r>
      <w:proofErr w:type="gramStart"/>
      <w:r w:rsidRPr="00352D09">
        <w:rPr>
          <w:rFonts w:cstheme="minorHAnsi"/>
          <w:color w:val="343541"/>
        </w:rPr>
        <w:t>Gold</w:t>
      </w:r>
      <w:proofErr w:type="gramEnd"/>
      <w:r w:rsidRPr="00352D09">
        <w:rPr>
          <w:rFonts w:cstheme="minorHAnsi"/>
          <w:color w:val="343541"/>
        </w:rPr>
        <w:t xml:space="preserve"> Ridge mine, along with increased mining activity and business tourism. </w:t>
      </w:r>
    </w:p>
    <w:p w14:paraId="33D31846" w14:textId="77777777" w:rsidR="00352D09" w:rsidRDefault="00F21EFB" w:rsidP="00352D09">
      <w:pPr>
        <w:jc w:val="both"/>
        <w:rPr>
          <w:rFonts w:cstheme="minorHAnsi"/>
          <w:color w:val="343541"/>
        </w:rPr>
      </w:pPr>
      <w:r w:rsidRPr="00352D09">
        <w:rPr>
          <w:rFonts w:cstheme="minorHAnsi"/>
          <w:color w:val="343541"/>
        </w:rPr>
        <w:t xml:space="preserve">The country has made significant progress in providing electricity to its citizens, with access to electricity increasing from 15.7% in 1999 to 62.9% in 2017. The Tina River Hydropower project is expected to further improve access and reduce the country's reliance on imported diesel. Despite economic growth between 2015 and 2018, real GDP slowed in 2019 due to a slowdown in agriculture and forestry sectors, affecting rural income and government revenue. The labor force faces challenges, including informal work, high youth unemployment, and lower formal employment rates for women compared to men. </w:t>
      </w:r>
    </w:p>
    <w:p w14:paraId="588A686D" w14:textId="77777777" w:rsidR="00352D09" w:rsidRDefault="00F21EFB" w:rsidP="00352D09">
      <w:pPr>
        <w:jc w:val="both"/>
        <w:rPr>
          <w:rFonts w:cstheme="minorHAnsi"/>
          <w:color w:val="343541"/>
        </w:rPr>
      </w:pPr>
      <w:r w:rsidRPr="00352D09">
        <w:rPr>
          <w:rFonts w:cstheme="minorHAnsi"/>
          <w:color w:val="343541"/>
        </w:rPr>
        <w:t xml:space="preserve">Solomon Islands is highly exposed to natural hazards, ranking as the 5th most hazardous country in the world. It faces risks from coastal floods, earthquakes, landslides, tsunamis, volcanoes, cyclones, and urban floods. Climate change impacts, such as sea-level rise, have led to land erosion and displacement of populations. </w:t>
      </w:r>
    </w:p>
    <w:p w14:paraId="1BA4A139" w14:textId="5B3698A2" w:rsidR="00352D09" w:rsidRDefault="00F21EFB" w:rsidP="00352D09">
      <w:pPr>
        <w:jc w:val="both"/>
        <w:rPr>
          <w:rFonts w:cstheme="minorHAnsi"/>
          <w:color w:val="343541"/>
        </w:rPr>
      </w:pPr>
      <w:r w:rsidRPr="00352D09">
        <w:rPr>
          <w:rFonts w:cstheme="minorHAnsi"/>
          <w:color w:val="343541"/>
        </w:rPr>
        <w:t xml:space="preserve">The country heavily depends on concessional loans, foreign financing, and overseas development assistance to support its economy and development projects. Major development partners include the World Bank, Asian Development Bank, Australia, New Zealand, and China. The diplomatic switch from Taiwan to China in 2019 reshaped the financing landscape. Inclusive political structures and processes, as well as expanded women's and youth's leadership, are essential for social cohesion and human security. Vulnerable groups, such as children, persons with disabilities, ethnic minorities, and low-skilled foreign workers, face risks of being left behind. </w:t>
      </w:r>
    </w:p>
    <w:p w14:paraId="7A46C829" w14:textId="098699B2" w:rsidR="00F21EFB" w:rsidRDefault="00F21EFB" w:rsidP="00F21EFB">
      <w:pPr>
        <w:jc w:val="both"/>
        <w:rPr>
          <w:rFonts w:cstheme="minorHAnsi"/>
          <w:color w:val="343541"/>
        </w:rPr>
      </w:pPr>
      <w:r w:rsidRPr="00352D09">
        <w:rPr>
          <w:rFonts w:cstheme="minorHAnsi"/>
          <w:color w:val="343541"/>
        </w:rPr>
        <w:t>Partnerships with international financial institutions and development partners play a crucial role in supporting Solomon Islands' development goals and overcoming economic and environmental challenges.</w:t>
      </w:r>
    </w:p>
    <w:p w14:paraId="506021F7" w14:textId="6B1FE3E6" w:rsidR="00352D09" w:rsidRDefault="00352D09" w:rsidP="00352D09">
      <w:pPr>
        <w:rPr>
          <w:rFonts w:cstheme="minorHAnsi"/>
          <w:b/>
          <w:bCs/>
          <w:color w:val="343541"/>
          <w:u w:val="single"/>
        </w:rPr>
      </w:pPr>
      <w:r>
        <w:rPr>
          <w:rFonts w:cstheme="minorHAnsi"/>
          <w:b/>
          <w:bCs/>
          <w:color w:val="343541"/>
          <w:u w:val="single"/>
        </w:rPr>
        <w:t xml:space="preserve">Tonga </w:t>
      </w:r>
      <w:r w:rsidRPr="00F21EFB">
        <w:rPr>
          <w:rFonts w:cstheme="minorHAnsi"/>
          <w:b/>
          <w:bCs/>
          <w:color w:val="343541"/>
          <w:u w:val="single"/>
        </w:rPr>
        <w:t>CCA</w:t>
      </w:r>
      <w:r w:rsidR="002F2974">
        <w:rPr>
          <w:rFonts w:cstheme="minorHAnsi"/>
          <w:b/>
          <w:bCs/>
          <w:color w:val="343541"/>
          <w:u w:val="single"/>
        </w:rPr>
        <w:t xml:space="preserve"> summary</w:t>
      </w:r>
    </w:p>
    <w:p w14:paraId="04B2D744" w14:textId="2790DE56" w:rsidR="00352D09" w:rsidRPr="00352D09" w:rsidRDefault="00352D09" w:rsidP="00352D09">
      <w:pPr>
        <w:jc w:val="both"/>
      </w:pPr>
      <w:r w:rsidRPr="00352D09">
        <w:t>Tonga has graduated to an upper-middle-income country, but COVID-19 and Cyclone Harold severely impacted its economy. The recent volcanic eruption and tsunami added to the challenges. The economy contracted by 3.2% in FY21 and in FY22. Reconstruction and recovery efforts are projected to drive growth in FY23 and FY24.</w:t>
      </w:r>
    </w:p>
    <w:p w14:paraId="5BF8FC2E" w14:textId="77777777" w:rsidR="00352D09" w:rsidRPr="00352D09" w:rsidRDefault="00352D09" w:rsidP="00352D09">
      <w:pPr>
        <w:jc w:val="both"/>
      </w:pPr>
      <w:r w:rsidRPr="00352D09">
        <w:t>Food insecurity has worsened, especially among poorer households. Poverty rates have increased, with one in five adults and one in three children living below the national poverty line. Smallholder farmers in rural areas are the most vulnerable.</w:t>
      </w:r>
    </w:p>
    <w:p w14:paraId="79EF5E8D" w14:textId="77777777" w:rsidR="00352D09" w:rsidRPr="00352D09" w:rsidRDefault="00352D09" w:rsidP="00352D09">
      <w:pPr>
        <w:jc w:val="both"/>
      </w:pPr>
      <w:r w:rsidRPr="00352D09">
        <w:t>Tonga faces risks from climate change and natural disasters, ranking as the 2nd most at-risk country. Displacement due to extreme weather events is increasing, affecting urban infrastructure and land use.</w:t>
      </w:r>
    </w:p>
    <w:p w14:paraId="6F0B525D" w14:textId="77777777" w:rsidR="00352D09" w:rsidRPr="00352D09" w:rsidRDefault="00352D09" w:rsidP="00352D09">
      <w:pPr>
        <w:jc w:val="both"/>
      </w:pPr>
      <w:r w:rsidRPr="00352D09">
        <w:t>Inequality exists in access to opportunities, education, and protection from COVID-19. Women, survivors of violence, and vulnerable groups are at higher risk. The country needs to strengthen its social protection system and ratify core Human Rights treaties.</w:t>
      </w:r>
    </w:p>
    <w:p w14:paraId="4AF2D170" w14:textId="31DED033" w:rsidR="00092B7D" w:rsidRPr="00352D09" w:rsidRDefault="00352D09" w:rsidP="00352D09">
      <w:pPr>
        <w:jc w:val="both"/>
      </w:pPr>
      <w:r w:rsidRPr="00352D09">
        <w:t xml:space="preserve">There have been positive strides in neonatal and under-five mortality rates, but </w:t>
      </w:r>
      <w:proofErr w:type="spellStart"/>
      <w:r w:rsidRPr="00352D09">
        <w:t>anaemia</w:t>
      </w:r>
      <w:proofErr w:type="spellEnd"/>
      <w:r w:rsidRPr="00352D09">
        <w:t xml:space="preserve"> remains a public health concern. Tonga needs to invest in sexual and reproductive health services, especially for youth.</w:t>
      </w:r>
      <w:r>
        <w:t xml:space="preserve"> </w:t>
      </w:r>
      <w:r w:rsidRPr="00352D09">
        <w:t>School enrollment is high, but there is a relatively large dropout rate from primary to secondary education. Gender equality efforts are hindered by the non-ratification of CEDAW. Violence against women remains a significant issue, affecting 77% of women.</w:t>
      </w:r>
      <w:r>
        <w:t xml:space="preserve"> </w:t>
      </w:r>
      <w:r w:rsidRPr="00352D09">
        <w:t>Tonga's journey toward sustainable development requires addressing economic challenges, vulnerability to natural disasters, poverty, inequality, and violence against vulnerable groups.</w:t>
      </w:r>
    </w:p>
    <w:p w14:paraId="490CDF11" w14:textId="54CA71EC" w:rsidR="00352D09" w:rsidRPr="00352D09" w:rsidRDefault="00352D09" w:rsidP="00352D09">
      <w:pPr>
        <w:jc w:val="both"/>
      </w:pPr>
      <w:r w:rsidRPr="00352D09">
        <w:t>Tonga's economic prosperity has improved, with a GDP per capita of $4,426.21 in 2021. However, the country has faced challenges due to the impact of COVID-19 on the tourism sector and the devastation caused by Cyclone Harold in 2020, leading to an economic contraction of 3.2% in FY21. The economy contract</w:t>
      </w:r>
      <w:r w:rsidR="00092B7D">
        <w:t>ed</w:t>
      </w:r>
      <w:r w:rsidRPr="00352D09">
        <w:t xml:space="preserve"> further by 1.6% in FY22 due to the recent tsunami's impact on agriculture, commercial sector, and tourism. Food insecurity has also worsened, especially among poorer households.</w:t>
      </w:r>
      <w:r>
        <w:t xml:space="preserve"> </w:t>
      </w:r>
      <w:r w:rsidRPr="00352D09">
        <w:t>The labor force in Tonga comprises around 30,000 people, with a significant informal sector. Rising poverty levels and unemployment are challenges faced by the country. Tonga has recognized the importance of decent work in its economic development policy, focusing on grassroots entrepreneurship, export development, employment support, and pro-poor price control.</w:t>
      </w:r>
    </w:p>
    <w:p w14:paraId="0DD67AA0" w14:textId="77777777" w:rsidR="00352D09" w:rsidRPr="00352D09" w:rsidRDefault="00352D09" w:rsidP="00352D09">
      <w:pPr>
        <w:jc w:val="both"/>
      </w:pPr>
      <w:r w:rsidRPr="00352D09">
        <w:t>Tonga is highly exposed to natural disasters, particularly tropical cyclones, earthquakes, tsunamis, and flooding. Climate change poses a significant risk, and the country has a plan to build resilience by increasing the share of renewable energy in its energy consumption.</w:t>
      </w:r>
    </w:p>
    <w:p w14:paraId="782B11BB" w14:textId="77777777" w:rsidR="00352D09" w:rsidRPr="00352D09" w:rsidRDefault="00352D09" w:rsidP="00352D09">
      <w:pPr>
        <w:jc w:val="both"/>
      </w:pPr>
      <w:r w:rsidRPr="00352D09">
        <w:t>In terms of human rights, Tonga faces challenges in ratifying core treaties, such as the ICCPR and ICESCR. There is also a gender gap in political participation, with limited women representation in Parliament and local levels. Civil society and youth engagement in decision-making are considered inadequate, and Tonga has not ratified some key conventions on eliminating discrimination and torture.</w:t>
      </w:r>
    </w:p>
    <w:p w14:paraId="27542952" w14:textId="77777777" w:rsidR="00352D09" w:rsidRDefault="00352D09" w:rsidP="00352D09">
      <w:pPr>
        <w:jc w:val="both"/>
      </w:pPr>
      <w:r w:rsidRPr="00352D09">
        <w:t>Tonga has partnerships with international financial institutions, but heavy indebtedness to China has become a concern. It relies heavily on overseas investments and financial assistance, and remittances from its diaspora are crucial for its economy.</w:t>
      </w:r>
    </w:p>
    <w:p w14:paraId="25414EE8" w14:textId="77777777" w:rsidR="00092B7D" w:rsidRPr="00352D09" w:rsidRDefault="00092B7D" w:rsidP="00352D09">
      <w:pPr>
        <w:jc w:val="both"/>
      </w:pPr>
    </w:p>
    <w:p w14:paraId="0E47BA10" w14:textId="5BFEB8E5" w:rsidR="00352D09" w:rsidRDefault="00352D09" w:rsidP="00352D09">
      <w:pPr>
        <w:rPr>
          <w:rFonts w:cstheme="minorHAnsi"/>
          <w:b/>
          <w:bCs/>
          <w:color w:val="343541"/>
          <w:u w:val="single"/>
        </w:rPr>
      </w:pPr>
      <w:r>
        <w:rPr>
          <w:rFonts w:cstheme="minorHAnsi"/>
          <w:b/>
          <w:bCs/>
          <w:color w:val="343541"/>
          <w:u w:val="single"/>
        </w:rPr>
        <w:t xml:space="preserve">Tuvalu </w:t>
      </w:r>
      <w:r w:rsidRPr="00F21EFB">
        <w:rPr>
          <w:rFonts w:cstheme="minorHAnsi"/>
          <w:b/>
          <w:bCs/>
          <w:color w:val="343541"/>
          <w:u w:val="single"/>
        </w:rPr>
        <w:t>CCA</w:t>
      </w:r>
      <w:r w:rsidR="002F2974">
        <w:rPr>
          <w:rFonts w:cstheme="minorHAnsi"/>
          <w:b/>
          <w:bCs/>
          <w:color w:val="343541"/>
          <w:u w:val="single"/>
        </w:rPr>
        <w:t xml:space="preserve"> summary</w:t>
      </w:r>
    </w:p>
    <w:p w14:paraId="0FE8B0FC" w14:textId="77777777" w:rsidR="00D52A4C" w:rsidRPr="00D52A4C" w:rsidRDefault="00D52A4C" w:rsidP="00D52A4C">
      <w:pPr>
        <w:jc w:val="both"/>
      </w:pPr>
      <w:r w:rsidRPr="00D52A4C">
        <w:t>Tuvalu is an upper-middle-income country with steady economic growth, achieving universal literacy, access to electricity, and good internet penetration. However, the overall progress towards the Sustainable Development Goals (SDGs) has been mixed, with high poverty rates and inequality. Tuvalu faces challenges in access to clean drinking water, anemia prevalence, healthcare services, and gender equality.</w:t>
      </w:r>
    </w:p>
    <w:p w14:paraId="6CDA76AE" w14:textId="77777777" w:rsidR="00D52A4C" w:rsidRPr="00D52A4C" w:rsidRDefault="00D52A4C" w:rsidP="00D52A4C">
      <w:pPr>
        <w:jc w:val="both"/>
      </w:pPr>
      <w:r w:rsidRPr="00D52A4C">
        <w:t>During the pandemic, Tuvalu received financial assistance and stable fisheries revenue. The Russian invasion of Ukraine indirectly impacted Tuvalu's economy through commodity prices and global growth prospects.</w:t>
      </w:r>
    </w:p>
    <w:p w14:paraId="1407E7D3" w14:textId="77777777" w:rsidR="00D52A4C" w:rsidRPr="00D52A4C" w:rsidRDefault="00D52A4C" w:rsidP="00D52A4C">
      <w:pPr>
        <w:jc w:val="both"/>
      </w:pPr>
      <w:r w:rsidRPr="00D52A4C">
        <w:t>To progress, Tuvalu should invest in connectivity, transportation, and service substitution. The country must focus on youth development, gender equality, and a diverse private sector. Diversifying the economy, improving agriculture, and promoting tourism are also essential.</w:t>
      </w:r>
    </w:p>
    <w:p w14:paraId="0E5551D0" w14:textId="77777777" w:rsidR="00D52A4C" w:rsidRPr="00D52A4C" w:rsidRDefault="00D52A4C" w:rsidP="00D52A4C">
      <w:pPr>
        <w:jc w:val="both"/>
      </w:pPr>
      <w:r w:rsidRPr="00D52A4C">
        <w:t>Vulnerability in Tuvalu is compounded by overlapping identity factors, affecting women and girls, people in poverty, and those with disabilities. While progress has been made in areas like food security and nutrition, challenges in neonatal and under-five mortality, maternal health, and gender equality remain.</w:t>
      </w:r>
    </w:p>
    <w:p w14:paraId="7A3048F7" w14:textId="77777777" w:rsidR="00D52A4C" w:rsidRPr="00D52A4C" w:rsidRDefault="00D52A4C" w:rsidP="00D52A4C">
      <w:pPr>
        <w:jc w:val="both"/>
      </w:pPr>
      <w:r w:rsidRPr="00D52A4C">
        <w:t>Tuvalu's prosperity depends on sustainable economic growth, harnessing its demographic dividend, increasing renewable energy usage, improving telecommunications, and investing in digital transformation. Key policy recommendations include fiscal consolidation, financial system regulation, and institutional capacity strengthening.</w:t>
      </w:r>
    </w:p>
    <w:p w14:paraId="049BFC72" w14:textId="0A8BACA7" w:rsidR="00D52A4C" w:rsidRPr="00D52A4C" w:rsidRDefault="00D52A4C" w:rsidP="00D52A4C">
      <w:pPr>
        <w:jc w:val="both"/>
      </w:pPr>
      <w:r>
        <w:t xml:space="preserve">Tuvalu, ranked 104th out of 191 countries in exposure to natural hazards, is highly vulnerable to extreme weather and climate-related events due to climate change. It faces challenges such as sea-level rise, coastal flooding, drought, extreme heat, and </w:t>
      </w:r>
      <w:r w:rsidR="2794B69D">
        <w:t>storm surges</w:t>
      </w:r>
      <w:r>
        <w:t>. Coastal erosion and destruction of reefs negatively impact its infrastructure, fisheries, agriculture, and biodiversity. Tuvalu has a 16.2% chance of experiencing natural disaster-related events annually, affecting around 42.6% of its population.</w:t>
      </w:r>
    </w:p>
    <w:p w14:paraId="6F306599" w14:textId="77777777" w:rsidR="00D52A4C" w:rsidRPr="00D52A4C" w:rsidRDefault="00D52A4C" w:rsidP="00D52A4C">
      <w:pPr>
        <w:jc w:val="both"/>
      </w:pPr>
      <w:r w:rsidRPr="00D52A4C">
        <w:t>IPCC projections indicate that Tuvalu will experience increasing temperatures, ocean acidification, rising sea levels (4.7mm per year), and intensified climate hazards. Together with other low-lying atoll nations, Tuvalu is part of the Coalition of Low-Lying Atoll Nations on Climate Change (CANCC), recognizing climate change as a major security threat.</w:t>
      </w:r>
    </w:p>
    <w:p w14:paraId="2EB683A9" w14:textId="77777777" w:rsidR="00D52A4C" w:rsidRPr="00D52A4C" w:rsidRDefault="00D52A4C" w:rsidP="00D52A4C">
      <w:pPr>
        <w:jc w:val="both"/>
      </w:pPr>
      <w:r w:rsidRPr="00D52A4C">
        <w:t>Tuvalu faces social challenges, including limited access to justice for women, barriers to women's empowerment, and an absence of comprehensive social protection systems. The country's governance is undergoing constitutional amendments to mitigate Cabinet instability and improve women's political representation.</w:t>
      </w:r>
    </w:p>
    <w:p w14:paraId="2AE5C595" w14:textId="75F1C0C5" w:rsidR="00D52A4C" w:rsidRDefault="00D52A4C" w:rsidP="00D52A4C">
      <w:pPr>
        <w:jc w:val="both"/>
      </w:pPr>
      <w:r w:rsidRPr="00D52A4C">
        <w:t>Tuvalu benefits from multilateral partnerships with international financial institutions like the World Bank and Asian Development Bank, which provide financial support in key sectors such as maritime facilities, disaster resilience, renewable energy, water, and sanitation. The country is a significant recipient of Overseas Development Assistance (ODA), and its ODA per capita is higher than the regional average. The largest ODA contributors to Tuvalu are the World Bank, Australia, New Zealand, ADB, and Japan.</w:t>
      </w:r>
    </w:p>
    <w:p w14:paraId="11D2CEF6" w14:textId="77777777" w:rsidR="002F2974" w:rsidRDefault="002F2974" w:rsidP="00D52A4C">
      <w:pPr>
        <w:jc w:val="both"/>
      </w:pPr>
    </w:p>
    <w:p w14:paraId="567D35BC" w14:textId="1C8343FE" w:rsidR="00D52A4C" w:rsidRDefault="00D52A4C" w:rsidP="00D52A4C">
      <w:pPr>
        <w:jc w:val="both"/>
      </w:pPr>
    </w:p>
    <w:p w14:paraId="4EFBDEF2" w14:textId="6185A3C7" w:rsidR="00D52A4C" w:rsidRDefault="00D52A4C" w:rsidP="00D52A4C">
      <w:pPr>
        <w:rPr>
          <w:rFonts w:cstheme="minorHAnsi"/>
          <w:b/>
          <w:bCs/>
          <w:color w:val="343541"/>
          <w:u w:val="single"/>
        </w:rPr>
      </w:pPr>
      <w:r>
        <w:rPr>
          <w:rFonts w:cstheme="minorHAnsi"/>
          <w:b/>
          <w:bCs/>
          <w:color w:val="343541"/>
          <w:u w:val="single"/>
        </w:rPr>
        <w:t xml:space="preserve">Vanuatu </w:t>
      </w:r>
      <w:r w:rsidRPr="00F21EFB">
        <w:rPr>
          <w:rFonts w:cstheme="minorHAnsi"/>
          <w:b/>
          <w:bCs/>
          <w:color w:val="343541"/>
          <w:u w:val="single"/>
        </w:rPr>
        <w:t>CCA</w:t>
      </w:r>
      <w:r w:rsidR="002F2974">
        <w:rPr>
          <w:rFonts w:cstheme="minorHAnsi"/>
          <w:b/>
          <w:bCs/>
          <w:color w:val="343541"/>
          <w:u w:val="single"/>
        </w:rPr>
        <w:t xml:space="preserve"> summary</w:t>
      </w:r>
    </w:p>
    <w:p w14:paraId="6253886C" w14:textId="6B360324" w:rsidR="00D52A4C" w:rsidRDefault="00D52A4C" w:rsidP="00D52A4C">
      <w:pPr>
        <w:jc w:val="both"/>
      </w:pPr>
      <w:r w:rsidRPr="00D52A4C">
        <w:t>Vanuatu graduated from the Least Developed Country (LDC) status in December 2020 despite facing challenges from Category 5 Tropical Cyclone Harold and COVID-19 lockdowns. The country's smooth transition strategy is based on the National Sustainable Development Plan (NSDP) and focuses on poverty reduction, economic diversification, capacity building, institutional strengthening, and international trade.</w:t>
      </w:r>
      <w:r w:rsidR="00DE1DA7" w:rsidRPr="00DE1DA7">
        <w:t xml:space="preserve"> </w:t>
      </w:r>
      <w:r w:rsidR="00DE1DA7" w:rsidRPr="00D52A4C">
        <w:t>The ongoing Russian invasion of Ukraine indirectly impacts Vanuatu through commodity prices, global growth prospects, and exchange rate movements.</w:t>
      </w:r>
    </w:p>
    <w:p w14:paraId="0D9920BD" w14:textId="77777777" w:rsidR="00905DD0" w:rsidRPr="00702E5A" w:rsidRDefault="00905DD0" w:rsidP="00905DD0">
      <w:pPr>
        <w:jc w:val="both"/>
      </w:pPr>
      <w:r w:rsidRPr="00702E5A">
        <w:t xml:space="preserve">In March 2023, the Government declared a State of Emergency following Tropic Cyclone Judy and Tropic Cyclone Kevin which hit Vanuatu in quick succession, with estimated total damage of USD $433 million. The Government has released a Recovery and Resilience Plan to guide recovery. </w:t>
      </w:r>
    </w:p>
    <w:p w14:paraId="71C08A5C" w14:textId="252C673E" w:rsidR="00D52A4C" w:rsidRPr="00D52A4C" w:rsidRDefault="00D52A4C" w:rsidP="00D52A4C">
      <w:pPr>
        <w:jc w:val="both"/>
      </w:pPr>
      <w:r w:rsidRPr="00D52A4C">
        <w:t>Vanuatu's economy contracted by 5% in 2020 due to the pandemic but is expected to grow by 1% in 2021 and around 2% and 4% in 2022 and 2023, respectively. Challenges remain due to distance from major markets, climate change, disaster vulnerability, and limited economic diversification.</w:t>
      </w:r>
      <w:r>
        <w:t xml:space="preserve"> </w:t>
      </w:r>
      <w:r w:rsidRPr="00D52A4C">
        <w:t>Revenues from Honorary Citizenship Programs have helped Vanuatu's fiscal balance, but their long-term contribution is uncertain. The government is investing in climate-resilient infrastructure to address the adverse impact of climate change and disasters.</w:t>
      </w:r>
    </w:p>
    <w:p w14:paraId="0288F239" w14:textId="77777777" w:rsidR="00D52A4C" w:rsidRPr="00D52A4C" w:rsidRDefault="00D52A4C" w:rsidP="00D52A4C">
      <w:pPr>
        <w:jc w:val="both"/>
      </w:pPr>
      <w:r w:rsidRPr="00D52A4C">
        <w:t>The country faces multiple risks, including disasters, climate change, gender inequality, and financial exclusion. Poverty rates remain high, and women and young people are particularly vulnerable.</w:t>
      </w:r>
    </w:p>
    <w:p w14:paraId="3DE1F3C0" w14:textId="6B1C76B0" w:rsidR="00D52A4C" w:rsidRDefault="00D52A4C" w:rsidP="00D52A4C">
      <w:pPr>
        <w:jc w:val="both"/>
      </w:pPr>
      <w:r w:rsidRPr="00D52A4C">
        <w:t>Vanuatu's tourism sector, which plays a vital role in its economy, suffered from disruptions caused by natural disasters and the pandemic.</w:t>
      </w:r>
      <w:r>
        <w:t xml:space="preserve"> </w:t>
      </w:r>
      <w:r w:rsidRPr="00D52A4C">
        <w:t>The country has potential in the Blue Economy, digital transformation, and renewable energy development. However, addressing unemployment and gender inequality and managing macroeconomic stability are key challenges.</w:t>
      </w:r>
    </w:p>
    <w:p w14:paraId="73EA869E" w14:textId="247D80DF" w:rsidR="00D52A4C" w:rsidRPr="00D52A4C" w:rsidRDefault="00D52A4C" w:rsidP="00D52A4C">
      <w:pPr>
        <w:jc w:val="both"/>
      </w:pPr>
      <w:r w:rsidRPr="00D52A4C">
        <w:t>Vanuatu is considered the world's most vulnerable country to climate and natural hazard risk due to its high exposure to natural hazards and low coping and adaptive capacities. Climate change impacts are exacerbating already stressed vulnerable ecosystems, leading to economic losses estimated at 6.6% of GDP. The country is particularly at risk from cyclones, with an expected annual average loss of US$36.8 million.</w:t>
      </w:r>
      <w:r>
        <w:t xml:space="preserve"> </w:t>
      </w:r>
      <w:r w:rsidRPr="00D52A4C">
        <w:t>The frequency of storms in category 4-5 has doubled over the years, causing significant damages to the economy. Certain groups within the population, such as the rural poor in informal settlements, women-headed households, persons with disabilities, and the elderly, face higher degrees of risk.</w:t>
      </w:r>
      <w:r>
        <w:t xml:space="preserve"> </w:t>
      </w:r>
      <w:r w:rsidRPr="00D52A4C">
        <w:t>Vanuatu has a high probability of suffering a disaster related to natural hazards each year, and it is actively working on climate change and disaster risk reduction strategies through policies like the Vanuatu Climate Change and Disaster Risk Reduction Policy.</w:t>
      </w:r>
    </w:p>
    <w:p w14:paraId="073B5F47" w14:textId="77777777" w:rsidR="00D52A4C" w:rsidRPr="00D52A4C" w:rsidRDefault="00D52A4C" w:rsidP="00D52A4C">
      <w:pPr>
        <w:jc w:val="both"/>
      </w:pPr>
      <w:r w:rsidRPr="00D52A4C">
        <w:t>The country has ratified several human rights treaties but is encouraged to ratify others. It has made progress towards gender inclusion in climate change and disaster risk reduction efforts, but there is a need for further work in this area.</w:t>
      </w:r>
    </w:p>
    <w:p w14:paraId="0BC2CE49" w14:textId="77777777" w:rsidR="00D52A4C" w:rsidRPr="00D52A4C" w:rsidRDefault="00D52A4C" w:rsidP="00D52A4C">
      <w:pPr>
        <w:jc w:val="both"/>
      </w:pPr>
      <w:r w:rsidRPr="00D52A4C">
        <w:t>Vanuatu benefits from multilateral partnerships with international financial institutions like the Asian Development Bank and the World Bank, which provide concessional financing support in various sectors. Overseas development assistance (ODA) has fluctuated over the years, with Australia being the largest ODA contributor.</w:t>
      </w:r>
    </w:p>
    <w:p w14:paraId="0BC2EF39" w14:textId="2F25C15F" w:rsidR="00352D09" w:rsidRDefault="00D52A4C" w:rsidP="0049405F">
      <w:pPr>
        <w:jc w:val="both"/>
      </w:pPr>
      <w:r w:rsidRPr="00D52A4C">
        <w:t>Despite graduating from the official list of Least Developed Countries, Vanuatu still faces development challenges and external shocks, making it reliant on continued concessional loans and grants to support its development efforts.</w:t>
      </w:r>
    </w:p>
    <w:sectPr w:rsidR="00352D09" w:rsidSect="00702E5A">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8D621" w14:textId="77777777" w:rsidR="005450F3" w:rsidRDefault="005450F3" w:rsidP="00352D09">
      <w:pPr>
        <w:spacing w:after="0" w:line="240" w:lineRule="auto"/>
      </w:pPr>
      <w:r>
        <w:separator/>
      </w:r>
    </w:p>
  </w:endnote>
  <w:endnote w:type="continuationSeparator" w:id="0">
    <w:p w14:paraId="0F9F4700" w14:textId="77777777" w:rsidR="005450F3" w:rsidRDefault="005450F3" w:rsidP="00352D09">
      <w:pPr>
        <w:spacing w:after="0" w:line="240" w:lineRule="auto"/>
      </w:pPr>
      <w:r>
        <w:continuationSeparator/>
      </w:r>
    </w:p>
  </w:endnote>
  <w:endnote w:type="continuationNotice" w:id="1">
    <w:p w14:paraId="24A2AD2F" w14:textId="77777777" w:rsidR="005450F3" w:rsidRDefault="005450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E76E6E" w14:textId="77777777" w:rsidR="005450F3" w:rsidRDefault="005450F3" w:rsidP="00352D09">
      <w:pPr>
        <w:spacing w:after="0" w:line="240" w:lineRule="auto"/>
      </w:pPr>
      <w:r>
        <w:separator/>
      </w:r>
    </w:p>
  </w:footnote>
  <w:footnote w:type="continuationSeparator" w:id="0">
    <w:p w14:paraId="45007643" w14:textId="77777777" w:rsidR="005450F3" w:rsidRDefault="005450F3" w:rsidP="00352D09">
      <w:pPr>
        <w:spacing w:after="0" w:line="240" w:lineRule="auto"/>
      </w:pPr>
      <w:r>
        <w:continuationSeparator/>
      </w:r>
    </w:p>
  </w:footnote>
  <w:footnote w:type="continuationNotice" w:id="1">
    <w:p w14:paraId="68779C35" w14:textId="77777777" w:rsidR="005450F3" w:rsidRDefault="005450F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E926B" w14:textId="527A5ED4" w:rsidR="00352D09" w:rsidRDefault="00352D09">
    <w:pPr>
      <w:pStyle w:val="Header"/>
    </w:pPr>
    <w:r>
      <w:rPr>
        <w:noProof/>
      </w:rPr>
      <w:drawing>
        <wp:anchor distT="0" distB="0" distL="114300" distR="114300" simplePos="0" relativeHeight="251658240" behindDoc="0" locked="0" layoutInCell="1" allowOverlap="1" wp14:anchorId="3B94C7DA" wp14:editId="2FA6BB11">
          <wp:simplePos x="0" y="0"/>
          <wp:positionH relativeFrom="margin">
            <wp:align>left</wp:align>
          </wp:positionH>
          <wp:positionV relativeFrom="paragraph">
            <wp:posOffset>-140763</wp:posOffset>
          </wp:positionV>
          <wp:extent cx="2796540" cy="424815"/>
          <wp:effectExtent l="0" t="0" r="381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811319" cy="42746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511D2"/>
    <w:multiLevelType w:val="hybridMultilevel"/>
    <w:tmpl w:val="662AB70E"/>
    <w:lvl w:ilvl="0" w:tplc="2000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4F5FC1"/>
    <w:multiLevelType w:val="multilevel"/>
    <w:tmpl w:val="885236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3C32BF8"/>
    <w:multiLevelType w:val="hybridMultilevel"/>
    <w:tmpl w:val="2330555E"/>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 w15:restartNumberingAfterBreak="0">
    <w:nsid w:val="4F2F213F"/>
    <w:multiLevelType w:val="hybridMultilevel"/>
    <w:tmpl w:val="72580E9A"/>
    <w:lvl w:ilvl="0" w:tplc="65943AFC">
      <w:start w:val="1"/>
      <w:numFmt w:val="bullet"/>
      <w:lvlText w:val="·"/>
      <w:lvlJc w:val="left"/>
      <w:pPr>
        <w:ind w:left="720" w:hanging="360"/>
      </w:pPr>
      <w:rPr>
        <w:rFonts w:ascii="Symbol" w:hAnsi="Symbol" w:hint="default"/>
      </w:rPr>
    </w:lvl>
    <w:lvl w:ilvl="1" w:tplc="453C8322">
      <w:start w:val="1"/>
      <w:numFmt w:val="bullet"/>
      <w:lvlText w:val="o"/>
      <w:lvlJc w:val="left"/>
      <w:pPr>
        <w:ind w:left="1440" w:hanging="360"/>
      </w:pPr>
      <w:rPr>
        <w:rFonts w:ascii="Courier New" w:hAnsi="Courier New" w:hint="default"/>
      </w:rPr>
    </w:lvl>
    <w:lvl w:ilvl="2" w:tplc="176CED36">
      <w:start w:val="1"/>
      <w:numFmt w:val="bullet"/>
      <w:lvlText w:val=""/>
      <w:lvlJc w:val="left"/>
      <w:pPr>
        <w:ind w:left="2160" w:hanging="360"/>
      </w:pPr>
      <w:rPr>
        <w:rFonts w:ascii="Wingdings" w:hAnsi="Wingdings" w:hint="default"/>
      </w:rPr>
    </w:lvl>
    <w:lvl w:ilvl="3" w:tplc="E45090E6">
      <w:start w:val="1"/>
      <w:numFmt w:val="bullet"/>
      <w:lvlText w:val=""/>
      <w:lvlJc w:val="left"/>
      <w:pPr>
        <w:ind w:left="2880" w:hanging="360"/>
      </w:pPr>
      <w:rPr>
        <w:rFonts w:ascii="Symbol" w:hAnsi="Symbol" w:hint="default"/>
      </w:rPr>
    </w:lvl>
    <w:lvl w:ilvl="4" w:tplc="3098B3E2">
      <w:start w:val="1"/>
      <w:numFmt w:val="bullet"/>
      <w:lvlText w:val="o"/>
      <w:lvlJc w:val="left"/>
      <w:pPr>
        <w:ind w:left="3600" w:hanging="360"/>
      </w:pPr>
      <w:rPr>
        <w:rFonts w:ascii="Courier New" w:hAnsi="Courier New" w:hint="default"/>
      </w:rPr>
    </w:lvl>
    <w:lvl w:ilvl="5" w:tplc="578047D8">
      <w:start w:val="1"/>
      <w:numFmt w:val="bullet"/>
      <w:lvlText w:val=""/>
      <w:lvlJc w:val="left"/>
      <w:pPr>
        <w:ind w:left="4320" w:hanging="360"/>
      </w:pPr>
      <w:rPr>
        <w:rFonts w:ascii="Wingdings" w:hAnsi="Wingdings" w:hint="default"/>
      </w:rPr>
    </w:lvl>
    <w:lvl w:ilvl="6" w:tplc="998E44EA">
      <w:start w:val="1"/>
      <w:numFmt w:val="bullet"/>
      <w:lvlText w:val=""/>
      <w:lvlJc w:val="left"/>
      <w:pPr>
        <w:ind w:left="5040" w:hanging="360"/>
      </w:pPr>
      <w:rPr>
        <w:rFonts w:ascii="Symbol" w:hAnsi="Symbol" w:hint="default"/>
      </w:rPr>
    </w:lvl>
    <w:lvl w:ilvl="7" w:tplc="3FD2DF80">
      <w:start w:val="1"/>
      <w:numFmt w:val="bullet"/>
      <w:lvlText w:val="o"/>
      <w:lvlJc w:val="left"/>
      <w:pPr>
        <w:ind w:left="5760" w:hanging="360"/>
      </w:pPr>
      <w:rPr>
        <w:rFonts w:ascii="Courier New" w:hAnsi="Courier New" w:hint="default"/>
      </w:rPr>
    </w:lvl>
    <w:lvl w:ilvl="8" w:tplc="C5B8AFD2">
      <w:start w:val="1"/>
      <w:numFmt w:val="bullet"/>
      <w:lvlText w:val=""/>
      <w:lvlJc w:val="left"/>
      <w:pPr>
        <w:ind w:left="6480" w:hanging="360"/>
      </w:pPr>
      <w:rPr>
        <w:rFonts w:ascii="Wingdings" w:hAnsi="Wingdings" w:hint="default"/>
      </w:rPr>
    </w:lvl>
  </w:abstractNum>
  <w:abstractNum w:abstractNumId="4" w15:restartNumberingAfterBreak="0">
    <w:nsid w:val="5A639187"/>
    <w:multiLevelType w:val="hybridMultilevel"/>
    <w:tmpl w:val="925AF62C"/>
    <w:lvl w:ilvl="0" w:tplc="AB16048A">
      <w:start w:val="1"/>
      <w:numFmt w:val="bullet"/>
      <w:lvlText w:val="·"/>
      <w:lvlJc w:val="left"/>
      <w:pPr>
        <w:ind w:left="720" w:hanging="360"/>
      </w:pPr>
      <w:rPr>
        <w:rFonts w:ascii="Symbol" w:hAnsi="Symbol" w:hint="default"/>
      </w:rPr>
    </w:lvl>
    <w:lvl w:ilvl="1" w:tplc="7C5C39FE">
      <w:start w:val="1"/>
      <w:numFmt w:val="bullet"/>
      <w:lvlText w:val="o"/>
      <w:lvlJc w:val="left"/>
      <w:pPr>
        <w:ind w:left="1440" w:hanging="360"/>
      </w:pPr>
      <w:rPr>
        <w:rFonts w:ascii="Courier New" w:hAnsi="Courier New" w:hint="default"/>
      </w:rPr>
    </w:lvl>
    <w:lvl w:ilvl="2" w:tplc="56AC9504">
      <w:start w:val="1"/>
      <w:numFmt w:val="bullet"/>
      <w:lvlText w:val=""/>
      <w:lvlJc w:val="left"/>
      <w:pPr>
        <w:ind w:left="2160" w:hanging="360"/>
      </w:pPr>
      <w:rPr>
        <w:rFonts w:ascii="Wingdings" w:hAnsi="Wingdings" w:hint="default"/>
      </w:rPr>
    </w:lvl>
    <w:lvl w:ilvl="3" w:tplc="1E60BD36">
      <w:start w:val="1"/>
      <w:numFmt w:val="bullet"/>
      <w:lvlText w:val=""/>
      <w:lvlJc w:val="left"/>
      <w:pPr>
        <w:ind w:left="2880" w:hanging="360"/>
      </w:pPr>
      <w:rPr>
        <w:rFonts w:ascii="Symbol" w:hAnsi="Symbol" w:hint="default"/>
      </w:rPr>
    </w:lvl>
    <w:lvl w:ilvl="4" w:tplc="43743AA6">
      <w:start w:val="1"/>
      <w:numFmt w:val="bullet"/>
      <w:lvlText w:val="o"/>
      <w:lvlJc w:val="left"/>
      <w:pPr>
        <w:ind w:left="3600" w:hanging="360"/>
      </w:pPr>
      <w:rPr>
        <w:rFonts w:ascii="Courier New" w:hAnsi="Courier New" w:hint="default"/>
      </w:rPr>
    </w:lvl>
    <w:lvl w:ilvl="5" w:tplc="5D60C10E">
      <w:start w:val="1"/>
      <w:numFmt w:val="bullet"/>
      <w:lvlText w:val=""/>
      <w:lvlJc w:val="left"/>
      <w:pPr>
        <w:ind w:left="4320" w:hanging="360"/>
      </w:pPr>
      <w:rPr>
        <w:rFonts w:ascii="Wingdings" w:hAnsi="Wingdings" w:hint="default"/>
      </w:rPr>
    </w:lvl>
    <w:lvl w:ilvl="6" w:tplc="DD64F480">
      <w:start w:val="1"/>
      <w:numFmt w:val="bullet"/>
      <w:lvlText w:val=""/>
      <w:lvlJc w:val="left"/>
      <w:pPr>
        <w:ind w:left="5040" w:hanging="360"/>
      </w:pPr>
      <w:rPr>
        <w:rFonts w:ascii="Symbol" w:hAnsi="Symbol" w:hint="default"/>
      </w:rPr>
    </w:lvl>
    <w:lvl w:ilvl="7" w:tplc="65F87BB8">
      <w:start w:val="1"/>
      <w:numFmt w:val="bullet"/>
      <w:lvlText w:val="o"/>
      <w:lvlJc w:val="left"/>
      <w:pPr>
        <w:ind w:left="5760" w:hanging="360"/>
      </w:pPr>
      <w:rPr>
        <w:rFonts w:ascii="Courier New" w:hAnsi="Courier New" w:hint="default"/>
      </w:rPr>
    </w:lvl>
    <w:lvl w:ilvl="8" w:tplc="DF428412">
      <w:start w:val="1"/>
      <w:numFmt w:val="bullet"/>
      <w:lvlText w:val=""/>
      <w:lvlJc w:val="left"/>
      <w:pPr>
        <w:ind w:left="6480" w:hanging="360"/>
      </w:pPr>
      <w:rPr>
        <w:rFonts w:ascii="Wingdings" w:hAnsi="Wingdings" w:hint="default"/>
      </w:rPr>
    </w:lvl>
  </w:abstractNum>
  <w:abstractNum w:abstractNumId="5" w15:restartNumberingAfterBreak="0">
    <w:nsid w:val="64F47E20"/>
    <w:multiLevelType w:val="hybridMultilevel"/>
    <w:tmpl w:val="DC16F1D4"/>
    <w:lvl w:ilvl="0" w:tplc="115C6956">
      <w:start w:val="1"/>
      <w:numFmt w:val="bullet"/>
      <w:lvlText w:val="·"/>
      <w:lvlJc w:val="left"/>
      <w:pPr>
        <w:ind w:left="720" w:hanging="360"/>
      </w:pPr>
      <w:rPr>
        <w:rFonts w:ascii="Symbol" w:hAnsi="Symbol" w:hint="default"/>
      </w:rPr>
    </w:lvl>
    <w:lvl w:ilvl="1" w:tplc="9946B572">
      <w:start w:val="1"/>
      <w:numFmt w:val="bullet"/>
      <w:lvlText w:val="o"/>
      <w:lvlJc w:val="left"/>
      <w:pPr>
        <w:ind w:left="1440" w:hanging="360"/>
      </w:pPr>
      <w:rPr>
        <w:rFonts w:ascii="Courier New" w:hAnsi="Courier New" w:hint="default"/>
      </w:rPr>
    </w:lvl>
    <w:lvl w:ilvl="2" w:tplc="53BA6F50">
      <w:start w:val="1"/>
      <w:numFmt w:val="bullet"/>
      <w:lvlText w:val=""/>
      <w:lvlJc w:val="left"/>
      <w:pPr>
        <w:ind w:left="2160" w:hanging="360"/>
      </w:pPr>
      <w:rPr>
        <w:rFonts w:ascii="Wingdings" w:hAnsi="Wingdings" w:hint="default"/>
      </w:rPr>
    </w:lvl>
    <w:lvl w:ilvl="3" w:tplc="F1A879B0">
      <w:start w:val="1"/>
      <w:numFmt w:val="bullet"/>
      <w:lvlText w:val=""/>
      <w:lvlJc w:val="left"/>
      <w:pPr>
        <w:ind w:left="2880" w:hanging="360"/>
      </w:pPr>
      <w:rPr>
        <w:rFonts w:ascii="Symbol" w:hAnsi="Symbol" w:hint="default"/>
      </w:rPr>
    </w:lvl>
    <w:lvl w:ilvl="4" w:tplc="BEBCBCD4">
      <w:start w:val="1"/>
      <w:numFmt w:val="bullet"/>
      <w:lvlText w:val="o"/>
      <w:lvlJc w:val="left"/>
      <w:pPr>
        <w:ind w:left="3600" w:hanging="360"/>
      </w:pPr>
      <w:rPr>
        <w:rFonts w:ascii="Courier New" w:hAnsi="Courier New" w:hint="default"/>
      </w:rPr>
    </w:lvl>
    <w:lvl w:ilvl="5" w:tplc="BE36C50C">
      <w:start w:val="1"/>
      <w:numFmt w:val="bullet"/>
      <w:lvlText w:val=""/>
      <w:lvlJc w:val="left"/>
      <w:pPr>
        <w:ind w:left="4320" w:hanging="360"/>
      </w:pPr>
      <w:rPr>
        <w:rFonts w:ascii="Wingdings" w:hAnsi="Wingdings" w:hint="default"/>
      </w:rPr>
    </w:lvl>
    <w:lvl w:ilvl="6" w:tplc="05D40F66">
      <w:start w:val="1"/>
      <w:numFmt w:val="bullet"/>
      <w:lvlText w:val=""/>
      <w:lvlJc w:val="left"/>
      <w:pPr>
        <w:ind w:left="5040" w:hanging="360"/>
      </w:pPr>
      <w:rPr>
        <w:rFonts w:ascii="Symbol" w:hAnsi="Symbol" w:hint="default"/>
      </w:rPr>
    </w:lvl>
    <w:lvl w:ilvl="7" w:tplc="18D03440">
      <w:start w:val="1"/>
      <w:numFmt w:val="bullet"/>
      <w:lvlText w:val="o"/>
      <w:lvlJc w:val="left"/>
      <w:pPr>
        <w:ind w:left="5760" w:hanging="360"/>
      </w:pPr>
      <w:rPr>
        <w:rFonts w:ascii="Courier New" w:hAnsi="Courier New" w:hint="default"/>
      </w:rPr>
    </w:lvl>
    <w:lvl w:ilvl="8" w:tplc="F4D65908">
      <w:start w:val="1"/>
      <w:numFmt w:val="bullet"/>
      <w:lvlText w:val=""/>
      <w:lvlJc w:val="left"/>
      <w:pPr>
        <w:ind w:left="6480" w:hanging="360"/>
      </w:pPr>
      <w:rPr>
        <w:rFonts w:ascii="Wingdings" w:hAnsi="Wingdings" w:hint="default"/>
      </w:rPr>
    </w:lvl>
  </w:abstractNum>
  <w:abstractNum w:abstractNumId="6" w15:restartNumberingAfterBreak="0">
    <w:nsid w:val="6C067512"/>
    <w:multiLevelType w:val="hybridMultilevel"/>
    <w:tmpl w:val="8216ECF8"/>
    <w:lvl w:ilvl="0" w:tplc="8ACEA418">
      <w:start w:val="1"/>
      <w:numFmt w:val="bullet"/>
      <w:lvlText w:val="·"/>
      <w:lvlJc w:val="left"/>
      <w:pPr>
        <w:ind w:left="720" w:hanging="360"/>
      </w:pPr>
      <w:rPr>
        <w:rFonts w:ascii="Symbol" w:hAnsi="Symbol" w:hint="default"/>
      </w:rPr>
    </w:lvl>
    <w:lvl w:ilvl="1" w:tplc="9D928E32">
      <w:start w:val="1"/>
      <w:numFmt w:val="bullet"/>
      <w:lvlText w:val="o"/>
      <w:lvlJc w:val="left"/>
      <w:pPr>
        <w:ind w:left="1440" w:hanging="360"/>
      </w:pPr>
      <w:rPr>
        <w:rFonts w:ascii="Courier New" w:hAnsi="Courier New" w:hint="default"/>
      </w:rPr>
    </w:lvl>
    <w:lvl w:ilvl="2" w:tplc="9912DD12">
      <w:start w:val="1"/>
      <w:numFmt w:val="bullet"/>
      <w:lvlText w:val=""/>
      <w:lvlJc w:val="left"/>
      <w:pPr>
        <w:ind w:left="2160" w:hanging="360"/>
      </w:pPr>
      <w:rPr>
        <w:rFonts w:ascii="Wingdings" w:hAnsi="Wingdings" w:hint="default"/>
      </w:rPr>
    </w:lvl>
    <w:lvl w:ilvl="3" w:tplc="A2E49D4E">
      <w:start w:val="1"/>
      <w:numFmt w:val="bullet"/>
      <w:lvlText w:val=""/>
      <w:lvlJc w:val="left"/>
      <w:pPr>
        <w:ind w:left="2880" w:hanging="360"/>
      </w:pPr>
      <w:rPr>
        <w:rFonts w:ascii="Symbol" w:hAnsi="Symbol" w:hint="default"/>
      </w:rPr>
    </w:lvl>
    <w:lvl w:ilvl="4" w:tplc="4F14203E">
      <w:start w:val="1"/>
      <w:numFmt w:val="bullet"/>
      <w:lvlText w:val="o"/>
      <w:lvlJc w:val="left"/>
      <w:pPr>
        <w:ind w:left="3600" w:hanging="360"/>
      </w:pPr>
      <w:rPr>
        <w:rFonts w:ascii="Courier New" w:hAnsi="Courier New" w:hint="default"/>
      </w:rPr>
    </w:lvl>
    <w:lvl w:ilvl="5" w:tplc="3B30F8CE">
      <w:start w:val="1"/>
      <w:numFmt w:val="bullet"/>
      <w:lvlText w:val=""/>
      <w:lvlJc w:val="left"/>
      <w:pPr>
        <w:ind w:left="4320" w:hanging="360"/>
      </w:pPr>
      <w:rPr>
        <w:rFonts w:ascii="Wingdings" w:hAnsi="Wingdings" w:hint="default"/>
      </w:rPr>
    </w:lvl>
    <w:lvl w:ilvl="6" w:tplc="B98C9E4A">
      <w:start w:val="1"/>
      <w:numFmt w:val="bullet"/>
      <w:lvlText w:val=""/>
      <w:lvlJc w:val="left"/>
      <w:pPr>
        <w:ind w:left="5040" w:hanging="360"/>
      </w:pPr>
      <w:rPr>
        <w:rFonts w:ascii="Symbol" w:hAnsi="Symbol" w:hint="default"/>
      </w:rPr>
    </w:lvl>
    <w:lvl w:ilvl="7" w:tplc="0048229C">
      <w:start w:val="1"/>
      <w:numFmt w:val="bullet"/>
      <w:lvlText w:val="o"/>
      <w:lvlJc w:val="left"/>
      <w:pPr>
        <w:ind w:left="5760" w:hanging="360"/>
      </w:pPr>
      <w:rPr>
        <w:rFonts w:ascii="Courier New" w:hAnsi="Courier New" w:hint="default"/>
      </w:rPr>
    </w:lvl>
    <w:lvl w:ilvl="8" w:tplc="14A2DC2A">
      <w:start w:val="1"/>
      <w:numFmt w:val="bullet"/>
      <w:lvlText w:val=""/>
      <w:lvlJc w:val="left"/>
      <w:pPr>
        <w:ind w:left="6480" w:hanging="360"/>
      </w:pPr>
      <w:rPr>
        <w:rFonts w:ascii="Wingdings" w:hAnsi="Wingdings" w:hint="default"/>
      </w:rPr>
    </w:lvl>
  </w:abstractNum>
  <w:abstractNum w:abstractNumId="7" w15:restartNumberingAfterBreak="0">
    <w:nsid w:val="75481ECE"/>
    <w:multiLevelType w:val="hybridMultilevel"/>
    <w:tmpl w:val="D27A1E6A"/>
    <w:lvl w:ilvl="0" w:tplc="2000000D">
      <w:start w:val="1"/>
      <w:numFmt w:val="bullet"/>
      <w:lvlText w:val=""/>
      <w:lvlJc w:val="left"/>
      <w:pPr>
        <w:ind w:left="1440" w:hanging="360"/>
      </w:pPr>
      <w:rPr>
        <w:rFonts w:ascii="Wingdings" w:hAnsi="Wingdings"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8" w15:restartNumberingAfterBreak="0">
    <w:nsid w:val="7F62E440"/>
    <w:multiLevelType w:val="hybridMultilevel"/>
    <w:tmpl w:val="C108D130"/>
    <w:lvl w:ilvl="0" w:tplc="A8B0FB64">
      <w:start w:val="1"/>
      <w:numFmt w:val="bullet"/>
      <w:lvlText w:val="-"/>
      <w:lvlJc w:val="left"/>
      <w:pPr>
        <w:ind w:left="720" w:hanging="360"/>
      </w:pPr>
      <w:rPr>
        <w:rFonts w:ascii="Calibri" w:hAnsi="Calibri" w:hint="default"/>
      </w:rPr>
    </w:lvl>
    <w:lvl w:ilvl="1" w:tplc="BCE4042E">
      <w:start w:val="1"/>
      <w:numFmt w:val="bullet"/>
      <w:lvlText w:val="o"/>
      <w:lvlJc w:val="left"/>
      <w:pPr>
        <w:ind w:left="1440" w:hanging="360"/>
      </w:pPr>
      <w:rPr>
        <w:rFonts w:ascii="Courier New" w:hAnsi="Courier New" w:hint="default"/>
      </w:rPr>
    </w:lvl>
    <w:lvl w:ilvl="2" w:tplc="B8E47282">
      <w:start w:val="1"/>
      <w:numFmt w:val="bullet"/>
      <w:lvlText w:val=""/>
      <w:lvlJc w:val="left"/>
      <w:pPr>
        <w:ind w:left="2160" w:hanging="360"/>
      </w:pPr>
      <w:rPr>
        <w:rFonts w:ascii="Wingdings" w:hAnsi="Wingdings" w:hint="default"/>
      </w:rPr>
    </w:lvl>
    <w:lvl w:ilvl="3" w:tplc="5378870E">
      <w:start w:val="1"/>
      <w:numFmt w:val="bullet"/>
      <w:lvlText w:val=""/>
      <w:lvlJc w:val="left"/>
      <w:pPr>
        <w:ind w:left="2880" w:hanging="360"/>
      </w:pPr>
      <w:rPr>
        <w:rFonts w:ascii="Symbol" w:hAnsi="Symbol" w:hint="default"/>
      </w:rPr>
    </w:lvl>
    <w:lvl w:ilvl="4" w:tplc="85BAC2E4">
      <w:start w:val="1"/>
      <w:numFmt w:val="bullet"/>
      <w:lvlText w:val="o"/>
      <w:lvlJc w:val="left"/>
      <w:pPr>
        <w:ind w:left="3600" w:hanging="360"/>
      </w:pPr>
      <w:rPr>
        <w:rFonts w:ascii="Courier New" w:hAnsi="Courier New" w:hint="default"/>
      </w:rPr>
    </w:lvl>
    <w:lvl w:ilvl="5" w:tplc="3FEA7BFE">
      <w:start w:val="1"/>
      <w:numFmt w:val="bullet"/>
      <w:lvlText w:val=""/>
      <w:lvlJc w:val="left"/>
      <w:pPr>
        <w:ind w:left="4320" w:hanging="360"/>
      </w:pPr>
      <w:rPr>
        <w:rFonts w:ascii="Wingdings" w:hAnsi="Wingdings" w:hint="default"/>
      </w:rPr>
    </w:lvl>
    <w:lvl w:ilvl="6" w:tplc="4656C19E">
      <w:start w:val="1"/>
      <w:numFmt w:val="bullet"/>
      <w:lvlText w:val=""/>
      <w:lvlJc w:val="left"/>
      <w:pPr>
        <w:ind w:left="5040" w:hanging="360"/>
      </w:pPr>
      <w:rPr>
        <w:rFonts w:ascii="Symbol" w:hAnsi="Symbol" w:hint="default"/>
      </w:rPr>
    </w:lvl>
    <w:lvl w:ilvl="7" w:tplc="52026FC0">
      <w:start w:val="1"/>
      <w:numFmt w:val="bullet"/>
      <w:lvlText w:val="o"/>
      <w:lvlJc w:val="left"/>
      <w:pPr>
        <w:ind w:left="5760" w:hanging="360"/>
      </w:pPr>
      <w:rPr>
        <w:rFonts w:ascii="Courier New" w:hAnsi="Courier New" w:hint="default"/>
      </w:rPr>
    </w:lvl>
    <w:lvl w:ilvl="8" w:tplc="76983324">
      <w:start w:val="1"/>
      <w:numFmt w:val="bullet"/>
      <w:lvlText w:val=""/>
      <w:lvlJc w:val="left"/>
      <w:pPr>
        <w:ind w:left="6480" w:hanging="360"/>
      </w:pPr>
      <w:rPr>
        <w:rFonts w:ascii="Wingdings" w:hAnsi="Wingdings" w:hint="default"/>
      </w:rPr>
    </w:lvl>
  </w:abstractNum>
  <w:num w:numId="1" w16cid:durableId="1510750150">
    <w:abstractNumId w:val="0"/>
  </w:num>
  <w:num w:numId="2" w16cid:durableId="169491797">
    <w:abstractNumId w:val="2"/>
  </w:num>
  <w:num w:numId="3" w16cid:durableId="930090790">
    <w:abstractNumId w:val="8"/>
  </w:num>
  <w:num w:numId="4" w16cid:durableId="1147474998">
    <w:abstractNumId w:val="3"/>
  </w:num>
  <w:num w:numId="5" w16cid:durableId="377897162">
    <w:abstractNumId w:val="5"/>
  </w:num>
  <w:num w:numId="6" w16cid:durableId="1437676948">
    <w:abstractNumId w:val="6"/>
  </w:num>
  <w:num w:numId="7" w16cid:durableId="784352945">
    <w:abstractNumId w:val="4"/>
  </w:num>
  <w:num w:numId="8" w16cid:durableId="10012730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237852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EFB"/>
    <w:rsid w:val="000011E2"/>
    <w:rsid w:val="00007C76"/>
    <w:rsid w:val="00021B50"/>
    <w:rsid w:val="00050304"/>
    <w:rsid w:val="00054A0D"/>
    <w:rsid w:val="00073995"/>
    <w:rsid w:val="00085BD0"/>
    <w:rsid w:val="000910E5"/>
    <w:rsid w:val="00092B7D"/>
    <w:rsid w:val="000958B0"/>
    <w:rsid w:val="000A6D70"/>
    <w:rsid w:val="000C2F95"/>
    <w:rsid w:val="000C4B76"/>
    <w:rsid w:val="000C757B"/>
    <w:rsid w:val="000D0327"/>
    <w:rsid w:val="000E3F10"/>
    <w:rsid w:val="001012E9"/>
    <w:rsid w:val="00104EEA"/>
    <w:rsid w:val="00112BE2"/>
    <w:rsid w:val="00113C6E"/>
    <w:rsid w:val="001205CD"/>
    <w:rsid w:val="00151800"/>
    <w:rsid w:val="001530A1"/>
    <w:rsid w:val="0017533D"/>
    <w:rsid w:val="001772AE"/>
    <w:rsid w:val="00186A18"/>
    <w:rsid w:val="001927A2"/>
    <w:rsid w:val="00193DB0"/>
    <w:rsid w:val="001A385D"/>
    <w:rsid w:val="001A7A7D"/>
    <w:rsid w:val="001B017D"/>
    <w:rsid w:val="001E3942"/>
    <w:rsid w:val="001F156E"/>
    <w:rsid w:val="001F1F23"/>
    <w:rsid w:val="0021749C"/>
    <w:rsid w:val="00230182"/>
    <w:rsid w:val="00237AC5"/>
    <w:rsid w:val="0025227E"/>
    <w:rsid w:val="00254E64"/>
    <w:rsid w:val="00291F79"/>
    <w:rsid w:val="00293DB1"/>
    <w:rsid w:val="00295058"/>
    <w:rsid w:val="0029612A"/>
    <w:rsid w:val="002A2545"/>
    <w:rsid w:val="002A2A44"/>
    <w:rsid w:val="002A33AB"/>
    <w:rsid w:val="002A5DC8"/>
    <w:rsid w:val="002B6E1B"/>
    <w:rsid w:val="002C1021"/>
    <w:rsid w:val="002C4EC8"/>
    <w:rsid w:val="002D4B1C"/>
    <w:rsid w:val="002E0A9D"/>
    <w:rsid w:val="002E6ABF"/>
    <w:rsid w:val="002F2974"/>
    <w:rsid w:val="00311BDA"/>
    <w:rsid w:val="00313998"/>
    <w:rsid w:val="00323846"/>
    <w:rsid w:val="00347D39"/>
    <w:rsid w:val="00352D09"/>
    <w:rsid w:val="00371EFD"/>
    <w:rsid w:val="0037537B"/>
    <w:rsid w:val="00376476"/>
    <w:rsid w:val="003821F0"/>
    <w:rsid w:val="003857FF"/>
    <w:rsid w:val="00396B26"/>
    <w:rsid w:val="003A20D9"/>
    <w:rsid w:val="003C1618"/>
    <w:rsid w:val="003C7624"/>
    <w:rsid w:val="003E1B1E"/>
    <w:rsid w:val="003F2A26"/>
    <w:rsid w:val="00413362"/>
    <w:rsid w:val="0041581D"/>
    <w:rsid w:val="004314EE"/>
    <w:rsid w:val="00442E7B"/>
    <w:rsid w:val="004618CE"/>
    <w:rsid w:val="004657C3"/>
    <w:rsid w:val="0047270D"/>
    <w:rsid w:val="00486083"/>
    <w:rsid w:val="0049405F"/>
    <w:rsid w:val="00495419"/>
    <w:rsid w:val="004A353C"/>
    <w:rsid w:val="004B533A"/>
    <w:rsid w:val="004C33B1"/>
    <w:rsid w:val="004C677E"/>
    <w:rsid w:val="004E4089"/>
    <w:rsid w:val="004E4625"/>
    <w:rsid w:val="004E4AE8"/>
    <w:rsid w:val="004E6A87"/>
    <w:rsid w:val="004F5C6C"/>
    <w:rsid w:val="005010D7"/>
    <w:rsid w:val="00506532"/>
    <w:rsid w:val="00522BC2"/>
    <w:rsid w:val="00543C8E"/>
    <w:rsid w:val="00544CEC"/>
    <w:rsid w:val="005450F3"/>
    <w:rsid w:val="0055161A"/>
    <w:rsid w:val="00561AEF"/>
    <w:rsid w:val="00581FB1"/>
    <w:rsid w:val="00583E2E"/>
    <w:rsid w:val="00593570"/>
    <w:rsid w:val="00596355"/>
    <w:rsid w:val="005A0A2E"/>
    <w:rsid w:val="005A3D07"/>
    <w:rsid w:val="005C30F0"/>
    <w:rsid w:val="005C3AB3"/>
    <w:rsid w:val="005D1BA8"/>
    <w:rsid w:val="005F1B5E"/>
    <w:rsid w:val="006011C1"/>
    <w:rsid w:val="00654274"/>
    <w:rsid w:val="00661D49"/>
    <w:rsid w:val="00671BDC"/>
    <w:rsid w:val="006A427D"/>
    <w:rsid w:val="006A4AF4"/>
    <w:rsid w:val="006B6F93"/>
    <w:rsid w:val="006D018D"/>
    <w:rsid w:val="006D1441"/>
    <w:rsid w:val="006F02F2"/>
    <w:rsid w:val="00702E5A"/>
    <w:rsid w:val="00704D88"/>
    <w:rsid w:val="00715583"/>
    <w:rsid w:val="0072259A"/>
    <w:rsid w:val="007237D6"/>
    <w:rsid w:val="007327DF"/>
    <w:rsid w:val="0074119F"/>
    <w:rsid w:val="0074394A"/>
    <w:rsid w:val="007439D4"/>
    <w:rsid w:val="00745373"/>
    <w:rsid w:val="00762CBF"/>
    <w:rsid w:val="0077368B"/>
    <w:rsid w:val="007770F0"/>
    <w:rsid w:val="007873E8"/>
    <w:rsid w:val="0079450B"/>
    <w:rsid w:val="00796465"/>
    <w:rsid w:val="007A4CF8"/>
    <w:rsid w:val="007A71AC"/>
    <w:rsid w:val="007B2D72"/>
    <w:rsid w:val="007B4BA8"/>
    <w:rsid w:val="007C5CF3"/>
    <w:rsid w:val="007D4761"/>
    <w:rsid w:val="007D6C3F"/>
    <w:rsid w:val="007D7230"/>
    <w:rsid w:val="007E437C"/>
    <w:rsid w:val="007E5907"/>
    <w:rsid w:val="007F0B8A"/>
    <w:rsid w:val="007F18D0"/>
    <w:rsid w:val="008037CA"/>
    <w:rsid w:val="00804534"/>
    <w:rsid w:val="00810748"/>
    <w:rsid w:val="00835E97"/>
    <w:rsid w:val="0084416F"/>
    <w:rsid w:val="008507BE"/>
    <w:rsid w:val="00851861"/>
    <w:rsid w:val="008625F0"/>
    <w:rsid w:val="00867F27"/>
    <w:rsid w:val="008729F0"/>
    <w:rsid w:val="00885333"/>
    <w:rsid w:val="00885C91"/>
    <w:rsid w:val="00890DB5"/>
    <w:rsid w:val="0089420D"/>
    <w:rsid w:val="008A0B08"/>
    <w:rsid w:val="008A3EA4"/>
    <w:rsid w:val="008A45EE"/>
    <w:rsid w:val="008A5CA1"/>
    <w:rsid w:val="008B3876"/>
    <w:rsid w:val="008B3CEA"/>
    <w:rsid w:val="008C4EDE"/>
    <w:rsid w:val="008D5F91"/>
    <w:rsid w:val="008E11B4"/>
    <w:rsid w:val="009022D0"/>
    <w:rsid w:val="00903F92"/>
    <w:rsid w:val="0090408D"/>
    <w:rsid w:val="00905DD0"/>
    <w:rsid w:val="009108A1"/>
    <w:rsid w:val="00923843"/>
    <w:rsid w:val="00932AC1"/>
    <w:rsid w:val="00963EEC"/>
    <w:rsid w:val="0097372C"/>
    <w:rsid w:val="009836A0"/>
    <w:rsid w:val="00987DC3"/>
    <w:rsid w:val="009914FC"/>
    <w:rsid w:val="009B14CB"/>
    <w:rsid w:val="009B1CBB"/>
    <w:rsid w:val="009B3106"/>
    <w:rsid w:val="009D3841"/>
    <w:rsid w:val="009E1542"/>
    <w:rsid w:val="009F2532"/>
    <w:rsid w:val="009F298C"/>
    <w:rsid w:val="00A0003F"/>
    <w:rsid w:val="00A31F97"/>
    <w:rsid w:val="00A34C7D"/>
    <w:rsid w:val="00A361E0"/>
    <w:rsid w:val="00A415BA"/>
    <w:rsid w:val="00A64D37"/>
    <w:rsid w:val="00A74ACC"/>
    <w:rsid w:val="00A93DDE"/>
    <w:rsid w:val="00AA1C2F"/>
    <w:rsid w:val="00AB26E0"/>
    <w:rsid w:val="00AB2A9A"/>
    <w:rsid w:val="00AD5F77"/>
    <w:rsid w:val="00AE32E0"/>
    <w:rsid w:val="00B12893"/>
    <w:rsid w:val="00B350E3"/>
    <w:rsid w:val="00B452F9"/>
    <w:rsid w:val="00B54DAD"/>
    <w:rsid w:val="00B761C5"/>
    <w:rsid w:val="00B772A7"/>
    <w:rsid w:val="00B9308F"/>
    <w:rsid w:val="00B95FE0"/>
    <w:rsid w:val="00BA16C9"/>
    <w:rsid w:val="00BA45A9"/>
    <w:rsid w:val="00BA5573"/>
    <w:rsid w:val="00BB2FC0"/>
    <w:rsid w:val="00BC12BE"/>
    <w:rsid w:val="00BC26F4"/>
    <w:rsid w:val="00BE0280"/>
    <w:rsid w:val="00BE4AB1"/>
    <w:rsid w:val="00BF31CF"/>
    <w:rsid w:val="00C11F68"/>
    <w:rsid w:val="00C340A4"/>
    <w:rsid w:val="00C36726"/>
    <w:rsid w:val="00C410A7"/>
    <w:rsid w:val="00C51CD1"/>
    <w:rsid w:val="00C54CC7"/>
    <w:rsid w:val="00C66C90"/>
    <w:rsid w:val="00C72FA3"/>
    <w:rsid w:val="00C7627B"/>
    <w:rsid w:val="00C769E6"/>
    <w:rsid w:val="00C83761"/>
    <w:rsid w:val="00C932F4"/>
    <w:rsid w:val="00C93346"/>
    <w:rsid w:val="00CB77C8"/>
    <w:rsid w:val="00CC0AC9"/>
    <w:rsid w:val="00CC24A4"/>
    <w:rsid w:val="00CC462A"/>
    <w:rsid w:val="00CC7420"/>
    <w:rsid w:val="00CD2C0C"/>
    <w:rsid w:val="00CD30D4"/>
    <w:rsid w:val="00CF6CB1"/>
    <w:rsid w:val="00D01A54"/>
    <w:rsid w:val="00D10FD9"/>
    <w:rsid w:val="00D3745B"/>
    <w:rsid w:val="00D44A98"/>
    <w:rsid w:val="00D461C8"/>
    <w:rsid w:val="00D52A4C"/>
    <w:rsid w:val="00D562C8"/>
    <w:rsid w:val="00D62124"/>
    <w:rsid w:val="00D66D9E"/>
    <w:rsid w:val="00D71EF0"/>
    <w:rsid w:val="00D731FA"/>
    <w:rsid w:val="00D75F2C"/>
    <w:rsid w:val="00D808DB"/>
    <w:rsid w:val="00DB0FDF"/>
    <w:rsid w:val="00DB2452"/>
    <w:rsid w:val="00DB6F16"/>
    <w:rsid w:val="00DC3E70"/>
    <w:rsid w:val="00DC4DF8"/>
    <w:rsid w:val="00DE1DA7"/>
    <w:rsid w:val="00E00FE6"/>
    <w:rsid w:val="00E0313B"/>
    <w:rsid w:val="00E218AA"/>
    <w:rsid w:val="00E32A1B"/>
    <w:rsid w:val="00E42DD9"/>
    <w:rsid w:val="00E46E41"/>
    <w:rsid w:val="00E51BD5"/>
    <w:rsid w:val="00E7241D"/>
    <w:rsid w:val="00E7316B"/>
    <w:rsid w:val="00E864AD"/>
    <w:rsid w:val="00E92219"/>
    <w:rsid w:val="00EB163B"/>
    <w:rsid w:val="00EC0E78"/>
    <w:rsid w:val="00EC4827"/>
    <w:rsid w:val="00ED0DCD"/>
    <w:rsid w:val="00ED28C5"/>
    <w:rsid w:val="00EE0F78"/>
    <w:rsid w:val="00EF663B"/>
    <w:rsid w:val="00F0292D"/>
    <w:rsid w:val="00F031AA"/>
    <w:rsid w:val="00F10079"/>
    <w:rsid w:val="00F209A3"/>
    <w:rsid w:val="00F21EFB"/>
    <w:rsid w:val="00F238AA"/>
    <w:rsid w:val="00F2510D"/>
    <w:rsid w:val="00F3257E"/>
    <w:rsid w:val="00F34B9D"/>
    <w:rsid w:val="00F35859"/>
    <w:rsid w:val="00F36EBF"/>
    <w:rsid w:val="00F45E18"/>
    <w:rsid w:val="00F478B1"/>
    <w:rsid w:val="00F5412E"/>
    <w:rsid w:val="00F76108"/>
    <w:rsid w:val="00F76821"/>
    <w:rsid w:val="00F8413B"/>
    <w:rsid w:val="00F9766A"/>
    <w:rsid w:val="00FA2231"/>
    <w:rsid w:val="00FA397D"/>
    <w:rsid w:val="00FB30E7"/>
    <w:rsid w:val="00FB3A97"/>
    <w:rsid w:val="00FB3E23"/>
    <w:rsid w:val="00FE2E84"/>
    <w:rsid w:val="00FE62A0"/>
    <w:rsid w:val="00FE7D6F"/>
    <w:rsid w:val="00FF0883"/>
    <w:rsid w:val="00FF345F"/>
    <w:rsid w:val="00FF36CF"/>
    <w:rsid w:val="025FE108"/>
    <w:rsid w:val="03720A94"/>
    <w:rsid w:val="0579BAC8"/>
    <w:rsid w:val="05E8C359"/>
    <w:rsid w:val="07158B29"/>
    <w:rsid w:val="0857F06D"/>
    <w:rsid w:val="0A85FE8B"/>
    <w:rsid w:val="0AE0B09C"/>
    <w:rsid w:val="0AEA474C"/>
    <w:rsid w:val="0B0BE575"/>
    <w:rsid w:val="0B40AE35"/>
    <w:rsid w:val="0EB61FD0"/>
    <w:rsid w:val="0EF00E43"/>
    <w:rsid w:val="13857A1B"/>
    <w:rsid w:val="16EFC794"/>
    <w:rsid w:val="1746F051"/>
    <w:rsid w:val="176FB45B"/>
    <w:rsid w:val="17D7B5D7"/>
    <w:rsid w:val="17D90D09"/>
    <w:rsid w:val="18123E3C"/>
    <w:rsid w:val="186339E5"/>
    <w:rsid w:val="1888CC9B"/>
    <w:rsid w:val="18BA096B"/>
    <w:rsid w:val="190B84BC"/>
    <w:rsid w:val="194699E5"/>
    <w:rsid w:val="1A5E0991"/>
    <w:rsid w:val="1AA52B71"/>
    <w:rsid w:val="1B88169E"/>
    <w:rsid w:val="1BACF2DC"/>
    <w:rsid w:val="1BF4712A"/>
    <w:rsid w:val="1BF9D9F2"/>
    <w:rsid w:val="1CF5135C"/>
    <w:rsid w:val="1CF781AE"/>
    <w:rsid w:val="1DE3571B"/>
    <w:rsid w:val="202DAD57"/>
    <w:rsid w:val="224FF319"/>
    <w:rsid w:val="234612F1"/>
    <w:rsid w:val="24E4CC91"/>
    <w:rsid w:val="2794B69D"/>
    <w:rsid w:val="2DB37586"/>
    <w:rsid w:val="2FDA8CB2"/>
    <w:rsid w:val="323A45B0"/>
    <w:rsid w:val="323A8445"/>
    <w:rsid w:val="325CAD4F"/>
    <w:rsid w:val="329C804D"/>
    <w:rsid w:val="32ADC22D"/>
    <w:rsid w:val="34782D5C"/>
    <w:rsid w:val="35ABB915"/>
    <w:rsid w:val="36CE6FAF"/>
    <w:rsid w:val="38C343B3"/>
    <w:rsid w:val="392AF2B5"/>
    <w:rsid w:val="3A8F7B29"/>
    <w:rsid w:val="3AA1245B"/>
    <w:rsid w:val="3AAB73F7"/>
    <w:rsid w:val="3B58F708"/>
    <w:rsid w:val="3D289ED1"/>
    <w:rsid w:val="45C8690E"/>
    <w:rsid w:val="46F55510"/>
    <w:rsid w:val="472F2E60"/>
    <w:rsid w:val="482F90F6"/>
    <w:rsid w:val="4AE52CF4"/>
    <w:rsid w:val="4B69F0CE"/>
    <w:rsid w:val="4BAD392C"/>
    <w:rsid w:val="4D8CB3A9"/>
    <w:rsid w:val="4DFBC4E7"/>
    <w:rsid w:val="4EEAC0FC"/>
    <w:rsid w:val="50881A19"/>
    <w:rsid w:val="511CCDFD"/>
    <w:rsid w:val="515415EA"/>
    <w:rsid w:val="51EF7B0D"/>
    <w:rsid w:val="5627870D"/>
    <w:rsid w:val="56D0898A"/>
    <w:rsid w:val="57CA0146"/>
    <w:rsid w:val="593DB3D6"/>
    <w:rsid w:val="5AC408D1"/>
    <w:rsid w:val="5AE1CFD3"/>
    <w:rsid w:val="5C5FD932"/>
    <w:rsid w:val="5CA2D175"/>
    <w:rsid w:val="5D769EED"/>
    <w:rsid w:val="5F78CB3F"/>
    <w:rsid w:val="61727FC8"/>
    <w:rsid w:val="62C595AE"/>
    <w:rsid w:val="62F4277F"/>
    <w:rsid w:val="65AE37EB"/>
    <w:rsid w:val="66AC427E"/>
    <w:rsid w:val="6893658D"/>
    <w:rsid w:val="69203974"/>
    <w:rsid w:val="692C2C12"/>
    <w:rsid w:val="6ACF111C"/>
    <w:rsid w:val="6AD4E677"/>
    <w:rsid w:val="6B92448D"/>
    <w:rsid w:val="6DD69E23"/>
    <w:rsid w:val="70A5FF56"/>
    <w:rsid w:val="7311D2F9"/>
    <w:rsid w:val="74D56118"/>
    <w:rsid w:val="7736AF4B"/>
    <w:rsid w:val="77696F44"/>
    <w:rsid w:val="78467A6A"/>
    <w:rsid w:val="78B1113B"/>
    <w:rsid w:val="7903E9FD"/>
    <w:rsid w:val="79617BE3"/>
    <w:rsid w:val="7986B49E"/>
    <w:rsid w:val="79989FCD"/>
    <w:rsid w:val="7A8B7B81"/>
    <w:rsid w:val="7E579510"/>
    <w:rsid w:val="7FFB52F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337030"/>
  <w15:chartTrackingRefBased/>
  <w15:docId w15:val="{B5EB9719-FB18-4105-ACA5-7A9E62395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A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D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2D09"/>
  </w:style>
  <w:style w:type="paragraph" w:styleId="Footer">
    <w:name w:val="footer"/>
    <w:basedOn w:val="Normal"/>
    <w:link w:val="FooterChar"/>
    <w:uiPriority w:val="99"/>
    <w:unhideWhenUsed/>
    <w:rsid w:val="00352D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2D09"/>
  </w:style>
  <w:style w:type="table" w:styleId="TableGrid">
    <w:name w:val="Table Grid"/>
    <w:basedOn w:val="TableNormal"/>
    <w:uiPriority w:val="39"/>
    <w:rsid w:val="00D52A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MAIN CONTENT,List Paragraph2,Normal numbered,List Paragraph12,Bullet Style,Párrafo de lista,Recommendation,Normal numbere,Dot pt,F5 List Paragraph,List Paragraph1,No Spacing1,List Paragraph Char Char Char,Indicator Text,Numbered Para 1,L"/>
    <w:basedOn w:val="Normal"/>
    <w:link w:val="ListParagraphChar"/>
    <w:uiPriority w:val="34"/>
    <w:qFormat/>
    <w:rsid w:val="00D52A4C"/>
    <w:pPr>
      <w:ind w:left="720"/>
      <w:contextualSpacing/>
    </w:pPr>
    <w:rPr>
      <w:lang w:val="ru-RU"/>
    </w:rPr>
  </w:style>
  <w:style w:type="character" w:customStyle="1" w:styleId="ListParagraphChar">
    <w:name w:val="List Paragraph Char"/>
    <w:aliases w:val="MAIN CONTENT Char,List Paragraph2 Char,Normal numbered Char,List Paragraph12 Char,Bullet Style Char,Párrafo de lista Char,Recommendation Char,Normal numbere Char,Dot pt Char,F5 List Paragraph Char,List Paragraph1 Char,L Char"/>
    <w:basedOn w:val="DefaultParagraphFont"/>
    <w:link w:val="ListParagraph"/>
    <w:uiPriority w:val="34"/>
    <w:qFormat/>
    <w:locked/>
    <w:rsid w:val="00D52A4C"/>
    <w:rPr>
      <w:lang w:val="ru-RU"/>
    </w:rPr>
  </w:style>
  <w:style w:type="character" w:styleId="CommentReference">
    <w:name w:val="annotation reference"/>
    <w:basedOn w:val="DefaultParagraphFont"/>
    <w:uiPriority w:val="99"/>
    <w:semiHidden/>
    <w:unhideWhenUsed/>
    <w:rsid w:val="005C30F0"/>
    <w:rPr>
      <w:sz w:val="16"/>
      <w:szCs w:val="16"/>
    </w:rPr>
  </w:style>
  <w:style w:type="paragraph" w:styleId="CommentText">
    <w:name w:val="annotation text"/>
    <w:basedOn w:val="Normal"/>
    <w:link w:val="CommentTextChar"/>
    <w:uiPriority w:val="99"/>
    <w:unhideWhenUsed/>
    <w:rsid w:val="005C30F0"/>
    <w:pPr>
      <w:spacing w:line="240" w:lineRule="auto"/>
    </w:pPr>
    <w:rPr>
      <w:sz w:val="20"/>
      <w:szCs w:val="20"/>
    </w:rPr>
  </w:style>
  <w:style w:type="character" w:customStyle="1" w:styleId="CommentTextChar">
    <w:name w:val="Comment Text Char"/>
    <w:basedOn w:val="DefaultParagraphFont"/>
    <w:link w:val="CommentText"/>
    <w:uiPriority w:val="99"/>
    <w:rsid w:val="005C30F0"/>
    <w:rPr>
      <w:sz w:val="20"/>
      <w:szCs w:val="20"/>
    </w:rPr>
  </w:style>
  <w:style w:type="paragraph" w:styleId="CommentSubject">
    <w:name w:val="annotation subject"/>
    <w:basedOn w:val="CommentText"/>
    <w:next w:val="CommentText"/>
    <w:link w:val="CommentSubjectChar"/>
    <w:uiPriority w:val="99"/>
    <w:semiHidden/>
    <w:unhideWhenUsed/>
    <w:rsid w:val="005C30F0"/>
    <w:rPr>
      <w:b/>
      <w:bCs/>
    </w:rPr>
  </w:style>
  <w:style w:type="character" w:customStyle="1" w:styleId="CommentSubjectChar">
    <w:name w:val="Comment Subject Char"/>
    <w:basedOn w:val="CommentTextChar"/>
    <w:link w:val="CommentSubject"/>
    <w:uiPriority w:val="99"/>
    <w:semiHidden/>
    <w:rsid w:val="005C30F0"/>
    <w:rPr>
      <w:b/>
      <w:bCs/>
      <w:sz w:val="20"/>
      <w:szCs w:val="20"/>
    </w:rPr>
  </w:style>
  <w:style w:type="character" w:styleId="Mention">
    <w:name w:val="Mention"/>
    <w:basedOn w:val="DefaultParagraphFont"/>
    <w:uiPriority w:val="99"/>
    <w:unhideWhenUsed/>
    <w:rsid w:val="003F2A26"/>
    <w:rPr>
      <w:color w:val="2B579A"/>
      <w:shd w:val="clear" w:color="auto" w:fill="E1DFDD"/>
    </w:rPr>
  </w:style>
  <w:style w:type="paragraph" w:styleId="Revision">
    <w:name w:val="Revision"/>
    <w:hidden/>
    <w:uiPriority w:val="99"/>
    <w:semiHidden/>
    <w:rsid w:val="009D38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4557">
      <w:bodyDiv w:val="1"/>
      <w:marLeft w:val="0"/>
      <w:marRight w:val="0"/>
      <w:marTop w:val="0"/>
      <w:marBottom w:val="0"/>
      <w:divBdr>
        <w:top w:val="none" w:sz="0" w:space="0" w:color="auto"/>
        <w:left w:val="none" w:sz="0" w:space="0" w:color="auto"/>
        <w:bottom w:val="none" w:sz="0" w:space="0" w:color="auto"/>
        <w:right w:val="none" w:sz="0" w:space="0" w:color="auto"/>
      </w:divBdr>
    </w:div>
    <w:div w:id="47803035">
      <w:bodyDiv w:val="1"/>
      <w:marLeft w:val="0"/>
      <w:marRight w:val="0"/>
      <w:marTop w:val="0"/>
      <w:marBottom w:val="0"/>
      <w:divBdr>
        <w:top w:val="none" w:sz="0" w:space="0" w:color="auto"/>
        <w:left w:val="none" w:sz="0" w:space="0" w:color="auto"/>
        <w:bottom w:val="none" w:sz="0" w:space="0" w:color="auto"/>
        <w:right w:val="none" w:sz="0" w:space="0" w:color="auto"/>
      </w:divBdr>
    </w:div>
    <w:div w:id="65543520">
      <w:bodyDiv w:val="1"/>
      <w:marLeft w:val="0"/>
      <w:marRight w:val="0"/>
      <w:marTop w:val="0"/>
      <w:marBottom w:val="0"/>
      <w:divBdr>
        <w:top w:val="none" w:sz="0" w:space="0" w:color="auto"/>
        <w:left w:val="none" w:sz="0" w:space="0" w:color="auto"/>
        <w:bottom w:val="none" w:sz="0" w:space="0" w:color="auto"/>
        <w:right w:val="none" w:sz="0" w:space="0" w:color="auto"/>
      </w:divBdr>
    </w:div>
    <w:div w:id="88158076">
      <w:bodyDiv w:val="1"/>
      <w:marLeft w:val="0"/>
      <w:marRight w:val="0"/>
      <w:marTop w:val="0"/>
      <w:marBottom w:val="0"/>
      <w:divBdr>
        <w:top w:val="none" w:sz="0" w:space="0" w:color="auto"/>
        <w:left w:val="none" w:sz="0" w:space="0" w:color="auto"/>
        <w:bottom w:val="none" w:sz="0" w:space="0" w:color="auto"/>
        <w:right w:val="none" w:sz="0" w:space="0" w:color="auto"/>
      </w:divBdr>
    </w:div>
    <w:div w:id="161043267">
      <w:bodyDiv w:val="1"/>
      <w:marLeft w:val="0"/>
      <w:marRight w:val="0"/>
      <w:marTop w:val="0"/>
      <w:marBottom w:val="0"/>
      <w:divBdr>
        <w:top w:val="none" w:sz="0" w:space="0" w:color="auto"/>
        <w:left w:val="none" w:sz="0" w:space="0" w:color="auto"/>
        <w:bottom w:val="none" w:sz="0" w:space="0" w:color="auto"/>
        <w:right w:val="none" w:sz="0" w:space="0" w:color="auto"/>
      </w:divBdr>
    </w:div>
    <w:div w:id="202645101">
      <w:bodyDiv w:val="1"/>
      <w:marLeft w:val="0"/>
      <w:marRight w:val="0"/>
      <w:marTop w:val="0"/>
      <w:marBottom w:val="0"/>
      <w:divBdr>
        <w:top w:val="none" w:sz="0" w:space="0" w:color="auto"/>
        <w:left w:val="none" w:sz="0" w:space="0" w:color="auto"/>
        <w:bottom w:val="none" w:sz="0" w:space="0" w:color="auto"/>
        <w:right w:val="none" w:sz="0" w:space="0" w:color="auto"/>
      </w:divBdr>
    </w:div>
    <w:div w:id="224340922">
      <w:bodyDiv w:val="1"/>
      <w:marLeft w:val="0"/>
      <w:marRight w:val="0"/>
      <w:marTop w:val="0"/>
      <w:marBottom w:val="0"/>
      <w:divBdr>
        <w:top w:val="none" w:sz="0" w:space="0" w:color="auto"/>
        <w:left w:val="none" w:sz="0" w:space="0" w:color="auto"/>
        <w:bottom w:val="none" w:sz="0" w:space="0" w:color="auto"/>
        <w:right w:val="none" w:sz="0" w:space="0" w:color="auto"/>
      </w:divBdr>
    </w:div>
    <w:div w:id="293098823">
      <w:bodyDiv w:val="1"/>
      <w:marLeft w:val="0"/>
      <w:marRight w:val="0"/>
      <w:marTop w:val="0"/>
      <w:marBottom w:val="0"/>
      <w:divBdr>
        <w:top w:val="none" w:sz="0" w:space="0" w:color="auto"/>
        <w:left w:val="none" w:sz="0" w:space="0" w:color="auto"/>
        <w:bottom w:val="none" w:sz="0" w:space="0" w:color="auto"/>
        <w:right w:val="none" w:sz="0" w:space="0" w:color="auto"/>
      </w:divBdr>
    </w:div>
    <w:div w:id="416247993">
      <w:bodyDiv w:val="1"/>
      <w:marLeft w:val="0"/>
      <w:marRight w:val="0"/>
      <w:marTop w:val="0"/>
      <w:marBottom w:val="0"/>
      <w:divBdr>
        <w:top w:val="none" w:sz="0" w:space="0" w:color="auto"/>
        <w:left w:val="none" w:sz="0" w:space="0" w:color="auto"/>
        <w:bottom w:val="none" w:sz="0" w:space="0" w:color="auto"/>
        <w:right w:val="none" w:sz="0" w:space="0" w:color="auto"/>
      </w:divBdr>
    </w:div>
    <w:div w:id="453985723">
      <w:bodyDiv w:val="1"/>
      <w:marLeft w:val="0"/>
      <w:marRight w:val="0"/>
      <w:marTop w:val="0"/>
      <w:marBottom w:val="0"/>
      <w:divBdr>
        <w:top w:val="none" w:sz="0" w:space="0" w:color="auto"/>
        <w:left w:val="none" w:sz="0" w:space="0" w:color="auto"/>
        <w:bottom w:val="none" w:sz="0" w:space="0" w:color="auto"/>
        <w:right w:val="none" w:sz="0" w:space="0" w:color="auto"/>
      </w:divBdr>
    </w:div>
    <w:div w:id="471019611">
      <w:bodyDiv w:val="1"/>
      <w:marLeft w:val="0"/>
      <w:marRight w:val="0"/>
      <w:marTop w:val="0"/>
      <w:marBottom w:val="0"/>
      <w:divBdr>
        <w:top w:val="none" w:sz="0" w:space="0" w:color="auto"/>
        <w:left w:val="none" w:sz="0" w:space="0" w:color="auto"/>
        <w:bottom w:val="none" w:sz="0" w:space="0" w:color="auto"/>
        <w:right w:val="none" w:sz="0" w:space="0" w:color="auto"/>
      </w:divBdr>
    </w:div>
    <w:div w:id="621376730">
      <w:bodyDiv w:val="1"/>
      <w:marLeft w:val="0"/>
      <w:marRight w:val="0"/>
      <w:marTop w:val="0"/>
      <w:marBottom w:val="0"/>
      <w:divBdr>
        <w:top w:val="none" w:sz="0" w:space="0" w:color="auto"/>
        <w:left w:val="none" w:sz="0" w:space="0" w:color="auto"/>
        <w:bottom w:val="none" w:sz="0" w:space="0" w:color="auto"/>
        <w:right w:val="none" w:sz="0" w:space="0" w:color="auto"/>
      </w:divBdr>
    </w:div>
    <w:div w:id="635600622">
      <w:bodyDiv w:val="1"/>
      <w:marLeft w:val="0"/>
      <w:marRight w:val="0"/>
      <w:marTop w:val="0"/>
      <w:marBottom w:val="0"/>
      <w:divBdr>
        <w:top w:val="none" w:sz="0" w:space="0" w:color="auto"/>
        <w:left w:val="none" w:sz="0" w:space="0" w:color="auto"/>
        <w:bottom w:val="none" w:sz="0" w:space="0" w:color="auto"/>
        <w:right w:val="none" w:sz="0" w:space="0" w:color="auto"/>
      </w:divBdr>
    </w:div>
    <w:div w:id="680014358">
      <w:bodyDiv w:val="1"/>
      <w:marLeft w:val="0"/>
      <w:marRight w:val="0"/>
      <w:marTop w:val="0"/>
      <w:marBottom w:val="0"/>
      <w:divBdr>
        <w:top w:val="none" w:sz="0" w:space="0" w:color="auto"/>
        <w:left w:val="none" w:sz="0" w:space="0" w:color="auto"/>
        <w:bottom w:val="none" w:sz="0" w:space="0" w:color="auto"/>
        <w:right w:val="none" w:sz="0" w:space="0" w:color="auto"/>
      </w:divBdr>
    </w:div>
    <w:div w:id="736514330">
      <w:bodyDiv w:val="1"/>
      <w:marLeft w:val="0"/>
      <w:marRight w:val="0"/>
      <w:marTop w:val="0"/>
      <w:marBottom w:val="0"/>
      <w:divBdr>
        <w:top w:val="none" w:sz="0" w:space="0" w:color="auto"/>
        <w:left w:val="none" w:sz="0" w:space="0" w:color="auto"/>
        <w:bottom w:val="none" w:sz="0" w:space="0" w:color="auto"/>
        <w:right w:val="none" w:sz="0" w:space="0" w:color="auto"/>
      </w:divBdr>
    </w:div>
    <w:div w:id="1080980643">
      <w:bodyDiv w:val="1"/>
      <w:marLeft w:val="0"/>
      <w:marRight w:val="0"/>
      <w:marTop w:val="0"/>
      <w:marBottom w:val="0"/>
      <w:divBdr>
        <w:top w:val="none" w:sz="0" w:space="0" w:color="auto"/>
        <w:left w:val="none" w:sz="0" w:space="0" w:color="auto"/>
        <w:bottom w:val="none" w:sz="0" w:space="0" w:color="auto"/>
        <w:right w:val="none" w:sz="0" w:space="0" w:color="auto"/>
      </w:divBdr>
    </w:div>
    <w:div w:id="1147160809">
      <w:bodyDiv w:val="1"/>
      <w:marLeft w:val="0"/>
      <w:marRight w:val="0"/>
      <w:marTop w:val="0"/>
      <w:marBottom w:val="0"/>
      <w:divBdr>
        <w:top w:val="none" w:sz="0" w:space="0" w:color="auto"/>
        <w:left w:val="none" w:sz="0" w:space="0" w:color="auto"/>
        <w:bottom w:val="none" w:sz="0" w:space="0" w:color="auto"/>
        <w:right w:val="none" w:sz="0" w:space="0" w:color="auto"/>
      </w:divBdr>
    </w:div>
    <w:div w:id="1177648860">
      <w:bodyDiv w:val="1"/>
      <w:marLeft w:val="0"/>
      <w:marRight w:val="0"/>
      <w:marTop w:val="0"/>
      <w:marBottom w:val="0"/>
      <w:divBdr>
        <w:top w:val="none" w:sz="0" w:space="0" w:color="auto"/>
        <w:left w:val="none" w:sz="0" w:space="0" w:color="auto"/>
        <w:bottom w:val="none" w:sz="0" w:space="0" w:color="auto"/>
        <w:right w:val="none" w:sz="0" w:space="0" w:color="auto"/>
      </w:divBdr>
    </w:div>
    <w:div w:id="1380322371">
      <w:bodyDiv w:val="1"/>
      <w:marLeft w:val="0"/>
      <w:marRight w:val="0"/>
      <w:marTop w:val="0"/>
      <w:marBottom w:val="0"/>
      <w:divBdr>
        <w:top w:val="none" w:sz="0" w:space="0" w:color="auto"/>
        <w:left w:val="none" w:sz="0" w:space="0" w:color="auto"/>
        <w:bottom w:val="none" w:sz="0" w:space="0" w:color="auto"/>
        <w:right w:val="none" w:sz="0" w:space="0" w:color="auto"/>
      </w:divBdr>
    </w:div>
    <w:div w:id="1609845857">
      <w:bodyDiv w:val="1"/>
      <w:marLeft w:val="0"/>
      <w:marRight w:val="0"/>
      <w:marTop w:val="0"/>
      <w:marBottom w:val="0"/>
      <w:divBdr>
        <w:top w:val="none" w:sz="0" w:space="0" w:color="auto"/>
        <w:left w:val="none" w:sz="0" w:space="0" w:color="auto"/>
        <w:bottom w:val="none" w:sz="0" w:space="0" w:color="auto"/>
        <w:right w:val="none" w:sz="0" w:space="0" w:color="auto"/>
      </w:divBdr>
    </w:div>
    <w:div w:id="1897818345">
      <w:bodyDiv w:val="1"/>
      <w:marLeft w:val="0"/>
      <w:marRight w:val="0"/>
      <w:marTop w:val="0"/>
      <w:marBottom w:val="0"/>
      <w:divBdr>
        <w:top w:val="none" w:sz="0" w:space="0" w:color="auto"/>
        <w:left w:val="none" w:sz="0" w:space="0" w:color="auto"/>
        <w:bottom w:val="none" w:sz="0" w:space="0" w:color="auto"/>
        <w:right w:val="none" w:sz="0" w:space="0" w:color="auto"/>
      </w:divBdr>
    </w:div>
    <w:div w:id="2015374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85ec44e-1bab-4c0b-9df0-6ba128686fc9" xsi:nil="true"/>
    <lcf76f155ced4ddcb4097134ff3c332f xmlns="86eb590f-288c-4e95-b2e6-b360845ed26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7D8B3DBD012B840B23FE97E720D0F8A" ma:contentTypeVersion="17" ma:contentTypeDescription="Create a new document." ma:contentTypeScope="" ma:versionID="ad763e23c7aee4579958b28e89f897b5">
  <xsd:schema xmlns:xsd="http://www.w3.org/2001/XMLSchema" xmlns:xs="http://www.w3.org/2001/XMLSchema" xmlns:p="http://schemas.microsoft.com/office/2006/metadata/properties" xmlns:ns2="86eb590f-288c-4e95-b2e6-b360845ed26b" xmlns:ns3="75d0919d-9c2a-4042-969d-e8805bd3cb4c" xmlns:ns4="985ec44e-1bab-4c0b-9df0-6ba128686fc9" targetNamespace="http://schemas.microsoft.com/office/2006/metadata/properties" ma:root="true" ma:fieldsID="f8fc2d61a848ae8beb7b41b66ec45e63" ns2:_="" ns3:_="" ns4:_="">
    <xsd:import namespace="86eb590f-288c-4e95-b2e6-b360845ed26b"/>
    <xsd:import namespace="75d0919d-9c2a-4042-969d-e8805bd3cb4c"/>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eb590f-288c-4e95-b2e6-b360845ed2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d0919d-9c2a-4042-969d-e8805bd3cb4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e8194204-41ed-473f-b57f-3f939afa804a}" ma:internalName="TaxCatchAll" ma:showField="CatchAllData" ma:web="75d0919d-9c2a-4042-969d-e8805bd3cb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CCC69F-9091-4063-A57D-B0B945A91261}">
  <ds:schemaRefs>
    <ds:schemaRef ds:uri="http://schemas.microsoft.com/office/2006/metadata/properties"/>
    <ds:schemaRef ds:uri="http://schemas.microsoft.com/office/infopath/2007/PartnerControls"/>
    <ds:schemaRef ds:uri="985ec44e-1bab-4c0b-9df0-6ba128686fc9"/>
    <ds:schemaRef ds:uri="86eb590f-288c-4e95-b2e6-b360845ed26b"/>
  </ds:schemaRefs>
</ds:datastoreItem>
</file>

<file path=customXml/itemProps2.xml><?xml version="1.0" encoding="utf-8"?>
<ds:datastoreItem xmlns:ds="http://schemas.openxmlformats.org/officeDocument/2006/customXml" ds:itemID="{6A73B913-5B08-4CCA-8D03-46120305D2BD}">
  <ds:schemaRefs>
    <ds:schemaRef ds:uri="http://schemas.microsoft.com/sharepoint/v3/contenttype/forms"/>
  </ds:schemaRefs>
</ds:datastoreItem>
</file>

<file path=customXml/itemProps3.xml><?xml version="1.0" encoding="utf-8"?>
<ds:datastoreItem xmlns:ds="http://schemas.openxmlformats.org/officeDocument/2006/customXml" ds:itemID="{42A38C24-B7A7-429D-8F6D-A9BAD8BC8A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eb590f-288c-4e95-b2e6-b360845ed26b"/>
    <ds:schemaRef ds:uri="75d0919d-9c2a-4042-969d-e8805bd3cb4c"/>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2757</Words>
  <Characters>15716</Characters>
  <Application>Microsoft Office Word</Application>
  <DocSecurity>0</DocSecurity>
  <Lines>130</Lines>
  <Paragraphs>36</Paragraphs>
  <ScaleCrop>false</ScaleCrop>
  <Company/>
  <LinksUpToDate>false</LinksUpToDate>
  <CharactersWithSpaces>18437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Zamora</dc:creator>
  <cp:keywords/>
  <dc:description/>
  <cp:lastModifiedBy>Jale Rokoika</cp:lastModifiedBy>
  <cp:revision>2</cp:revision>
  <cp:lastPrinted>2023-07-24T02:53:00Z</cp:lastPrinted>
  <dcterms:created xsi:type="dcterms:W3CDTF">2023-11-28T00:47:00Z</dcterms:created>
  <dcterms:modified xsi:type="dcterms:W3CDTF">2023-11-28T00:47:00Z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0x01010027D8B3DBD012B840B23FE97E720D0F8A</vt:lpwstr>
  </property>
  <property fmtid="{D5CDD505-2E9C-101B-9397-08002B2CF9AE}" pid="3" name="MediaServiceImageTags">
    <vt:lpwstr/>
  </property>
</Properties>
</file>