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D24924" w14:textId="77777777" w:rsidR="001465C4" w:rsidRDefault="001465C4" w:rsidP="00A71499">
      <w:pPr>
        <w:spacing w:after="0"/>
        <w:jc w:val="center"/>
        <w:rPr>
          <w:b/>
          <w:bCs/>
          <w:sz w:val="32"/>
          <w:szCs w:val="32"/>
          <w:u w:val="single"/>
        </w:rPr>
      </w:pPr>
    </w:p>
    <w:p w14:paraId="141E679E" w14:textId="77777777" w:rsidR="000A78EF" w:rsidRDefault="000A78EF" w:rsidP="00A71499">
      <w:pPr>
        <w:spacing w:after="0"/>
        <w:jc w:val="center"/>
        <w:rPr>
          <w:b/>
          <w:bCs/>
          <w:sz w:val="32"/>
          <w:szCs w:val="32"/>
          <w:u w:val="single"/>
        </w:rPr>
      </w:pPr>
    </w:p>
    <w:p w14:paraId="3EE355E4" w14:textId="77777777" w:rsidR="001465C4" w:rsidRPr="001465C4" w:rsidRDefault="001465C4" w:rsidP="001465C4">
      <w:pPr>
        <w:spacing w:after="0" w:line="240" w:lineRule="auto"/>
        <w:contextualSpacing/>
        <w:rPr>
          <w:rFonts w:ascii="Calibri Light" w:eastAsia="Yu Gothic Light" w:hAnsi="Calibri Light" w:cs="Calibri Light"/>
          <w:bCs/>
          <w:spacing w:val="-10"/>
          <w:kern w:val="28"/>
          <w:sz w:val="56"/>
          <w:szCs w:val="56"/>
          <w:lang w:eastAsia="en-GB"/>
        </w:rPr>
      </w:pPr>
      <w:r w:rsidRPr="001465C4">
        <w:rPr>
          <w:rFonts w:ascii="Calibri Light" w:eastAsia="Yu Gothic Light" w:hAnsi="Calibri Light" w:cs="Calibri Light"/>
          <w:bCs/>
          <w:spacing w:val="-10"/>
          <w:kern w:val="28"/>
          <w:sz w:val="56"/>
          <w:szCs w:val="56"/>
          <w:lang w:eastAsia="en-GB"/>
        </w:rPr>
        <w:t xml:space="preserve">L’Analyse commune de pays </w:t>
      </w:r>
    </w:p>
    <w:p w14:paraId="3262E931" w14:textId="65374581" w:rsidR="001465C4" w:rsidRPr="001465C4" w:rsidRDefault="001465C4" w:rsidP="001465C4">
      <w:pPr>
        <w:spacing w:after="0" w:line="240" w:lineRule="auto"/>
        <w:contextualSpacing/>
        <w:rPr>
          <w:rFonts w:ascii="Calibri Light" w:eastAsia="Yu Gothic Light" w:hAnsi="Calibri Light" w:cs="Calibri Light"/>
          <w:bCs/>
          <w:spacing w:val="-10"/>
          <w:kern w:val="28"/>
          <w:sz w:val="56"/>
          <w:szCs w:val="56"/>
          <w:lang w:eastAsia="en-GB"/>
        </w:rPr>
      </w:pPr>
      <w:r w:rsidRPr="001465C4">
        <w:rPr>
          <w:rFonts w:ascii="Calibri Light" w:eastAsia="Yu Gothic Light" w:hAnsi="Calibri Light" w:cs="Calibri Light"/>
          <w:bCs/>
          <w:spacing w:val="-10"/>
          <w:kern w:val="28"/>
          <w:sz w:val="56"/>
          <w:szCs w:val="56"/>
          <w:lang w:eastAsia="en-GB"/>
        </w:rPr>
        <w:t>T</w:t>
      </w:r>
      <w:r>
        <w:rPr>
          <w:rFonts w:ascii="Calibri Light" w:eastAsia="Yu Gothic Light" w:hAnsi="Calibri Light" w:cs="Calibri Light"/>
          <w:bCs/>
          <w:spacing w:val="-10"/>
          <w:kern w:val="28"/>
          <w:sz w:val="56"/>
          <w:szCs w:val="56"/>
          <w:lang w:eastAsia="en-GB"/>
        </w:rPr>
        <w:t>chad</w:t>
      </w:r>
    </w:p>
    <w:p w14:paraId="1798BCB8" w14:textId="4A0D5368" w:rsidR="001465C4" w:rsidRPr="001465C4" w:rsidRDefault="006F3994" w:rsidP="001465C4">
      <w:pPr>
        <w:spacing w:after="0" w:line="240" w:lineRule="auto"/>
        <w:contextualSpacing/>
        <w:rPr>
          <w:rFonts w:ascii="Calibri Light" w:eastAsia="Yu Gothic Light" w:hAnsi="Calibri Light" w:cs="Calibri Light"/>
          <w:bCs/>
          <w:spacing w:val="-10"/>
          <w:kern w:val="28"/>
          <w:sz w:val="56"/>
          <w:szCs w:val="56"/>
          <w:lang w:eastAsia="en-GB"/>
        </w:rPr>
      </w:pPr>
      <w:r>
        <w:rPr>
          <w:rFonts w:ascii="Calibri Light" w:eastAsia="Yu Gothic Light" w:hAnsi="Calibri Light" w:cs="Calibri Light"/>
          <w:bCs/>
          <w:spacing w:val="-10"/>
          <w:kern w:val="28"/>
          <w:sz w:val="56"/>
          <w:szCs w:val="56"/>
          <w:lang w:eastAsia="en-GB"/>
        </w:rPr>
        <w:t>Octo</w:t>
      </w:r>
      <w:r w:rsidR="001465C4">
        <w:rPr>
          <w:rFonts w:ascii="Calibri Light" w:eastAsia="Yu Gothic Light" w:hAnsi="Calibri Light" w:cs="Calibri Light"/>
          <w:bCs/>
          <w:spacing w:val="-10"/>
          <w:kern w:val="28"/>
          <w:sz w:val="56"/>
          <w:szCs w:val="56"/>
          <w:lang w:eastAsia="en-GB"/>
        </w:rPr>
        <w:t>bre</w:t>
      </w:r>
      <w:r w:rsidR="001465C4" w:rsidRPr="001465C4">
        <w:rPr>
          <w:rFonts w:ascii="Calibri Light" w:eastAsia="Yu Gothic Light" w:hAnsi="Calibri Light" w:cs="Calibri Light"/>
          <w:bCs/>
          <w:spacing w:val="-10"/>
          <w:kern w:val="28"/>
          <w:sz w:val="56"/>
          <w:szCs w:val="56"/>
          <w:lang w:eastAsia="en-GB"/>
        </w:rPr>
        <w:t xml:space="preserve"> 202</w:t>
      </w:r>
      <w:r w:rsidR="00DC1BDA">
        <w:rPr>
          <w:rFonts w:ascii="Calibri Light" w:eastAsia="Yu Gothic Light" w:hAnsi="Calibri Light" w:cs="Calibri Light"/>
          <w:bCs/>
          <w:spacing w:val="-10"/>
          <w:kern w:val="28"/>
          <w:sz w:val="56"/>
          <w:szCs w:val="56"/>
          <w:lang w:eastAsia="en-GB"/>
        </w:rPr>
        <w:t>1</w:t>
      </w:r>
    </w:p>
    <w:p w14:paraId="598C8FFF" w14:textId="60CF7EB1" w:rsidR="001465C4" w:rsidRPr="001465C4" w:rsidRDefault="001465C4" w:rsidP="001465C4">
      <w:pPr>
        <w:spacing w:before="120" w:after="120" w:line="240" w:lineRule="auto"/>
        <w:rPr>
          <w:rFonts w:ascii="Times New Roman" w:hAnsi="Times New Roman"/>
          <w:bCs/>
          <w:sz w:val="24"/>
          <w:szCs w:val="24"/>
          <w:lang w:eastAsia="en-GB"/>
        </w:rPr>
      </w:pPr>
    </w:p>
    <w:p w14:paraId="007D0979" w14:textId="60FE0663" w:rsidR="001465C4" w:rsidRPr="001465C4" w:rsidRDefault="00A40C4F" w:rsidP="001465C4">
      <w:pPr>
        <w:spacing w:before="120" w:after="120" w:line="240" w:lineRule="auto"/>
        <w:rPr>
          <w:rFonts w:ascii="Times New Roman" w:hAnsi="Times New Roman"/>
          <w:bCs/>
          <w:sz w:val="24"/>
          <w:szCs w:val="24"/>
          <w:lang w:eastAsia="en-GB"/>
        </w:rPr>
      </w:pPr>
      <w:r w:rsidRPr="00A8375B">
        <w:rPr>
          <w:noProof/>
          <w:color w:val="0D598E"/>
          <w:sz w:val="56"/>
          <w:shd w:val="clear" w:color="auto" w:fill="FFF2CC"/>
        </w:rPr>
        <mc:AlternateContent>
          <mc:Choice Requires="wpg">
            <w:drawing>
              <wp:anchor distT="0" distB="0" distL="114300" distR="114300" simplePos="0" relativeHeight="251658240" behindDoc="1" locked="0" layoutInCell="1" allowOverlap="1" wp14:anchorId="2A5EB7F1" wp14:editId="2AEB5313">
                <wp:simplePos x="0" y="0"/>
                <wp:positionH relativeFrom="page">
                  <wp:posOffset>1089660</wp:posOffset>
                </wp:positionH>
                <wp:positionV relativeFrom="page">
                  <wp:posOffset>3169920</wp:posOffset>
                </wp:positionV>
                <wp:extent cx="5623560" cy="5303520"/>
                <wp:effectExtent l="0" t="0" r="0" b="0"/>
                <wp:wrapNone/>
                <wp:docPr id="63"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23560" cy="5303520"/>
                          <a:chOff x="0" y="0"/>
                          <a:chExt cx="4329113" cy="4491038"/>
                        </a:xfrm>
                        <a:solidFill>
                          <a:srgbClr val="44546A">
                            <a:lumMod val="60000"/>
                            <a:lumOff val="40000"/>
                          </a:srgbClr>
                        </a:solidFill>
                      </wpg:grpSpPr>
                      <wps:wsp>
                        <wps:cNvPr id="64" name="Freeform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5" name="Freeform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6" name="Freeform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7" name="Freeform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8" name="Freeform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747526B0" id="Group 2" o:spid="_x0000_s1026" style="position:absolute;margin-left:85.8pt;margin-top:249.6pt;width:442.8pt;height:417.6pt;z-index:-251658240;mso-position-horizontal-relative:page;mso-position-vertical-relative:page"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">
                <o:lock v:ext="edit" aspectratio="t"/>
                <v:shape id="Freeform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" path="m4,1786l,1782,1776,r5,5l4,1786xe" filled="f" stroked="f">
                  <v:path arrowok="t" o:connecttype="custom" o:connectlocs="6350,2835275;0,2828925;2819400,0;2827338,7938;6350,2835275" o:connectangles="0,0,0,0,0"/>
                </v:shape>
                <v:shape id="Freeform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" path="m5,2234l,2229,2229,r5,5l5,2234xe" filled="f" stroked="f">
                  <v:path arrowok="t" o:connecttype="custom" o:connectlocs="7938,3546475;0,3538538;3538538,0;3546475,7938;7938,3546475" o:connectangles="0,0,0,0,0"/>
                </v:shape>
                <v:shape id="Freeform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" path="m9,2197l,2193,2188,r9,10l9,2197xe" filled="f" stroked="f">
                  <v:path arrowok="t" o:connecttype="custom" o:connectlocs="14288,3487738;0,3481388;3473450,0;3487738,15875;14288,3487738" o:connectangles="0,0,0,0,0"/>
                </v:shape>
                <v:shape id="Freeform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" path="m,2732r,-4l2722,r5,5l,2732xe" filled="f" stroked="f">
                  <v:path arrowok="t" o:connecttype="custom" o:connectlocs="0,4337050;0,4330700;4321175,0;4329113,7938;0,4337050" o:connectangles="0,0,0,0,0"/>
                </v:shape>
                <w10:wrap anchorx="page" anchory="page"/>
              </v:group>
            </w:pict>
          </mc:Fallback>
        </mc:AlternateContent>
      </w:r>
    </w:p>
    <w:p w14:paraId="57E126A5" w14:textId="695EA985" w:rsidR="001465C4" w:rsidRPr="001465C4" w:rsidRDefault="001465C4" w:rsidP="001465C4">
      <w:pPr>
        <w:spacing w:before="120" w:after="120" w:line="240" w:lineRule="auto"/>
        <w:rPr>
          <w:rFonts w:ascii="Times New Roman" w:hAnsi="Times New Roman"/>
          <w:bCs/>
          <w:sz w:val="24"/>
          <w:szCs w:val="24"/>
          <w:lang w:eastAsia="en-GB"/>
        </w:rPr>
      </w:pPr>
    </w:p>
    <w:p w14:paraId="739470EA" w14:textId="77777777" w:rsidR="001465C4" w:rsidRPr="001465C4" w:rsidRDefault="001465C4" w:rsidP="001465C4">
      <w:pPr>
        <w:spacing w:before="120" w:after="120" w:line="240" w:lineRule="auto"/>
        <w:rPr>
          <w:rFonts w:ascii="Times New Roman" w:hAnsi="Times New Roman"/>
          <w:bCs/>
          <w:sz w:val="24"/>
          <w:szCs w:val="24"/>
          <w:lang w:eastAsia="en-GB"/>
        </w:rPr>
      </w:pPr>
    </w:p>
    <w:p w14:paraId="20BCB8AC" w14:textId="32C5C964" w:rsidR="001465C4" w:rsidRPr="001465C4" w:rsidRDefault="001465C4" w:rsidP="001465C4">
      <w:pPr>
        <w:spacing w:before="120" w:after="120" w:line="240" w:lineRule="auto"/>
        <w:rPr>
          <w:rFonts w:ascii="Times New Roman" w:hAnsi="Times New Roman"/>
          <w:bCs/>
          <w:sz w:val="24"/>
          <w:szCs w:val="24"/>
          <w:lang w:eastAsia="en-GB"/>
        </w:rPr>
      </w:pPr>
    </w:p>
    <w:p w14:paraId="0305551C" w14:textId="6FB9E9C2" w:rsidR="001465C4" w:rsidRPr="001465C4" w:rsidRDefault="001465C4" w:rsidP="001465C4">
      <w:pPr>
        <w:spacing w:before="120" w:after="120" w:line="240" w:lineRule="auto"/>
        <w:rPr>
          <w:rFonts w:ascii="Times New Roman" w:hAnsi="Times New Roman"/>
          <w:bCs/>
          <w:sz w:val="24"/>
          <w:szCs w:val="24"/>
          <w:lang w:eastAsia="en-GB"/>
        </w:rPr>
      </w:pPr>
    </w:p>
    <w:p w14:paraId="7E9ED69B" w14:textId="77777777" w:rsidR="001465C4" w:rsidRPr="001465C4" w:rsidRDefault="001465C4" w:rsidP="001465C4">
      <w:pPr>
        <w:spacing w:before="120" w:after="120" w:line="240" w:lineRule="auto"/>
        <w:rPr>
          <w:rFonts w:ascii="Times New Roman" w:hAnsi="Times New Roman"/>
          <w:bCs/>
          <w:sz w:val="24"/>
          <w:szCs w:val="24"/>
          <w:lang w:eastAsia="en-GB"/>
        </w:rPr>
      </w:pPr>
    </w:p>
    <w:p w14:paraId="2E9BE46F" w14:textId="77777777" w:rsidR="001465C4" w:rsidRPr="001465C4" w:rsidRDefault="001465C4" w:rsidP="001465C4">
      <w:pPr>
        <w:spacing w:before="120" w:after="120" w:line="240" w:lineRule="auto"/>
        <w:rPr>
          <w:rFonts w:ascii="Times New Roman" w:hAnsi="Times New Roman"/>
          <w:bCs/>
          <w:sz w:val="24"/>
          <w:szCs w:val="24"/>
          <w:lang w:eastAsia="en-GB"/>
        </w:rPr>
      </w:pPr>
    </w:p>
    <w:p w14:paraId="2D9744ED" w14:textId="77777777" w:rsidR="001465C4" w:rsidRPr="001465C4" w:rsidRDefault="001465C4" w:rsidP="001465C4">
      <w:pPr>
        <w:spacing w:before="120" w:after="120" w:line="240" w:lineRule="auto"/>
        <w:rPr>
          <w:rFonts w:ascii="Times New Roman" w:hAnsi="Times New Roman"/>
          <w:bCs/>
          <w:sz w:val="24"/>
          <w:szCs w:val="24"/>
          <w:lang w:eastAsia="en-GB"/>
        </w:rPr>
      </w:pPr>
    </w:p>
    <w:p w14:paraId="1F3C0055" w14:textId="77777777" w:rsidR="001465C4" w:rsidRPr="001465C4" w:rsidRDefault="001465C4" w:rsidP="001465C4">
      <w:pPr>
        <w:spacing w:before="120" w:after="120" w:line="240" w:lineRule="auto"/>
        <w:rPr>
          <w:rFonts w:ascii="Times New Roman" w:hAnsi="Times New Roman"/>
          <w:bCs/>
          <w:sz w:val="24"/>
          <w:szCs w:val="24"/>
          <w:lang w:eastAsia="en-GB"/>
        </w:rPr>
      </w:pPr>
    </w:p>
    <w:p w14:paraId="5BE57440" w14:textId="77777777" w:rsidR="001465C4" w:rsidRPr="001465C4" w:rsidRDefault="001465C4" w:rsidP="001465C4">
      <w:pPr>
        <w:spacing w:before="120" w:after="120" w:line="240" w:lineRule="auto"/>
        <w:rPr>
          <w:rFonts w:ascii="Times New Roman" w:hAnsi="Times New Roman"/>
          <w:bCs/>
          <w:sz w:val="24"/>
          <w:szCs w:val="24"/>
          <w:lang w:eastAsia="en-GB"/>
        </w:rPr>
      </w:pPr>
    </w:p>
    <w:p w14:paraId="0CA99E02" w14:textId="77777777" w:rsidR="001465C4" w:rsidRPr="001465C4" w:rsidRDefault="001465C4" w:rsidP="001465C4">
      <w:pPr>
        <w:spacing w:before="120" w:after="120" w:line="240" w:lineRule="auto"/>
        <w:rPr>
          <w:rFonts w:ascii="Times New Roman" w:hAnsi="Times New Roman"/>
          <w:bCs/>
          <w:sz w:val="24"/>
          <w:szCs w:val="24"/>
          <w:lang w:eastAsia="en-GB"/>
        </w:rPr>
      </w:pPr>
    </w:p>
    <w:p w14:paraId="6C11B040" w14:textId="77777777" w:rsidR="009C7A6F" w:rsidRDefault="009C7A6F" w:rsidP="001465C4">
      <w:pPr>
        <w:spacing w:before="120" w:after="120" w:line="240" w:lineRule="auto"/>
        <w:rPr>
          <w:rFonts w:ascii="Times New Roman" w:hAnsi="Times New Roman"/>
          <w:bCs/>
          <w:color w:val="4472C4" w:themeColor="accent1"/>
          <w:sz w:val="24"/>
          <w:szCs w:val="24"/>
          <w:lang w:eastAsia="en-GB"/>
        </w:rPr>
      </w:pPr>
    </w:p>
    <w:p w14:paraId="040670AF" w14:textId="77777777" w:rsidR="009C7A6F" w:rsidRDefault="009C7A6F" w:rsidP="001465C4">
      <w:pPr>
        <w:spacing w:before="120" w:after="120" w:line="240" w:lineRule="auto"/>
        <w:rPr>
          <w:rFonts w:ascii="Times New Roman" w:hAnsi="Times New Roman"/>
          <w:bCs/>
          <w:color w:val="4472C4" w:themeColor="accent1"/>
          <w:sz w:val="24"/>
          <w:szCs w:val="24"/>
          <w:lang w:eastAsia="en-GB"/>
        </w:rPr>
      </w:pPr>
    </w:p>
    <w:p w14:paraId="398648BD" w14:textId="77777777" w:rsidR="009C7A6F" w:rsidRDefault="009C7A6F" w:rsidP="001465C4">
      <w:pPr>
        <w:spacing w:before="120" w:after="120" w:line="240" w:lineRule="auto"/>
        <w:rPr>
          <w:rFonts w:ascii="Times New Roman" w:hAnsi="Times New Roman"/>
          <w:bCs/>
          <w:color w:val="4472C4" w:themeColor="accent1"/>
          <w:sz w:val="24"/>
          <w:szCs w:val="24"/>
          <w:lang w:eastAsia="en-GB"/>
        </w:rPr>
      </w:pPr>
    </w:p>
    <w:p w14:paraId="1B282F1B" w14:textId="77777777" w:rsidR="009C7A6F" w:rsidRDefault="009C7A6F" w:rsidP="001465C4">
      <w:pPr>
        <w:spacing w:before="120" w:after="120" w:line="240" w:lineRule="auto"/>
        <w:rPr>
          <w:rFonts w:ascii="Times New Roman" w:hAnsi="Times New Roman"/>
          <w:bCs/>
          <w:color w:val="4472C4" w:themeColor="accent1"/>
          <w:sz w:val="24"/>
          <w:szCs w:val="24"/>
          <w:lang w:eastAsia="en-GB"/>
        </w:rPr>
      </w:pPr>
    </w:p>
    <w:p w14:paraId="7CC6B52B" w14:textId="77777777" w:rsidR="009C7A6F" w:rsidRDefault="009C7A6F" w:rsidP="001465C4">
      <w:pPr>
        <w:spacing w:before="120" w:after="120" w:line="240" w:lineRule="auto"/>
        <w:rPr>
          <w:rFonts w:ascii="Times New Roman" w:hAnsi="Times New Roman"/>
          <w:bCs/>
          <w:color w:val="4472C4" w:themeColor="accent1"/>
          <w:sz w:val="24"/>
          <w:szCs w:val="24"/>
          <w:lang w:eastAsia="en-GB"/>
        </w:rPr>
      </w:pPr>
    </w:p>
    <w:p w14:paraId="09E42332" w14:textId="77777777" w:rsidR="009C7A6F" w:rsidRDefault="009C7A6F" w:rsidP="001465C4">
      <w:pPr>
        <w:spacing w:before="120" w:after="120" w:line="240" w:lineRule="auto"/>
        <w:rPr>
          <w:rFonts w:ascii="Times New Roman" w:hAnsi="Times New Roman"/>
          <w:bCs/>
          <w:color w:val="4472C4" w:themeColor="accent1"/>
          <w:sz w:val="24"/>
          <w:szCs w:val="24"/>
          <w:lang w:eastAsia="en-GB"/>
        </w:rPr>
      </w:pPr>
    </w:p>
    <w:p w14:paraId="42750DB2" w14:textId="77777777" w:rsidR="009C7A6F" w:rsidRDefault="009C7A6F" w:rsidP="001465C4">
      <w:pPr>
        <w:spacing w:before="120" w:after="120" w:line="240" w:lineRule="auto"/>
        <w:rPr>
          <w:rFonts w:ascii="Times New Roman" w:hAnsi="Times New Roman"/>
          <w:bCs/>
          <w:color w:val="4472C4" w:themeColor="accent1"/>
          <w:sz w:val="24"/>
          <w:szCs w:val="24"/>
          <w:lang w:eastAsia="en-GB"/>
        </w:rPr>
      </w:pPr>
    </w:p>
    <w:p w14:paraId="2FD7FC7A" w14:textId="77777777" w:rsidR="00A40C4F" w:rsidRDefault="00A40C4F" w:rsidP="001465C4">
      <w:pPr>
        <w:spacing w:before="120" w:after="120" w:line="240" w:lineRule="auto"/>
        <w:rPr>
          <w:rFonts w:ascii="Times New Roman" w:hAnsi="Times New Roman"/>
          <w:bCs/>
          <w:color w:val="4472C4" w:themeColor="accent1"/>
          <w:sz w:val="24"/>
          <w:szCs w:val="24"/>
          <w:lang w:eastAsia="en-GB"/>
        </w:rPr>
      </w:pPr>
    </w:p>
    <w:p w14:paraId="1DCA2FAC" w14:textId="77777777" w:rsidR="00A40C4F" w:rsidRDefault="00A40C4F" w:rsidP="001465C4">
      <w:pPr>
        <w:spacing w:before="120" w:after="120" w:line="240" w:lineRule="auto"/>
        <w:rPr>
          <w:rFonts w:ascii="Times New Roman" w:hAnsi="Times New Roman"/>
          <w:bCs/>
          <w:color w:val="4472C4" w:themeColor="accent1"/>
          <w:sz w:val="24"/>
          <w:szCs w:val="24"/>
          <w:lang w:eastAsia="en-GB"/>
        </w:rPr>
      </w:pPr>
    </w:p>
    <w:p w14:paraId="6AD52588" w14:textId="77777777" w:rsidR="00A40C4F" w:rsidRDefault="00A40C4F" w:rsidP="001465C4">
      <w:pPr>
        <w:spacing w:before="120" w:after="120" w:line="240" w:lineRule="auto"/>
        <w:rPr>
          <w:rFonts w:ascii="Times New Roman" w:hAnsi="Times New Roman"/>
          <w:bCs/>
          <w:color w:val="4472C4" w:themeColor="accent1"/>
          <w:sz w:val="24"/>
          <w:szCs w:val="24"/>
          <w:lang w:eastAsia="en-GB"/>
        </w:rPr>
      </w:pPr>
    </w:p>
    <w:p w14:paraId="42640748" w14:textId="77777777" w:rsidR="00A40C4F" w:rsidRDefault="00A40C4F" w:rsidP="001465C4">
      <w:pPr>
        <w:spacing w:before="120" w:after="120" w:line="240" w:lineRule="auto"/>
        <w:rPr>
          <w:rFonts w:ascii="Times New Roman" w:hAnsi="Times New Roman"/>
          <w:bCs/>
          <w:color w:val="4472C4" w:themeColor="accent1"/>
          <w:sz w:val="24"/>
          <w:szCs w:val="24"/>
          <w:lang w:eastAsia="en-GB"/>
        </w:rPr>
      </w:pPr>
    </w:p>
    <w:p w14:paraId="28CC5182" w14:textId="77777777" w:rsidR="00A40C4F" w:rsidRDefault="00A40C4F" w:rsidP="001465C4">
      <w:pPr>
        <w:spacing w:before="120" w:after="120" w:line="240" w:lineRule="auto"/>
        <w:rPr>
          <w:rFonts w:ascii="Times New Roman" w:hAnsi="Times New Roman"/>
          <w:bCs/>
          <w:color w:val="4472C4" w:themeColor="accent1"/>
          <w:sz w:val="24"/>
          <w:szCs w:val="24"/>
          <w:lang w:eastAsia="en-GB"/>
        </w:rPr>
      </w:pPr>
    </w:p>
    <w:p w14:paraId="621F75A3" w14:textId="1278366B" w:rsidR="001465C4" w:rsidRPr="001465C4" w:rsidRDefault="001465C4" w:rsidP="001465C4">
      <w:pPr>
        <w:spacing w:before="120" w:after="120" w:line="240" w:lineRule="auto"/>
        <w:rPr>
          <w:rFonts w:ascii="Times New Roman" w:hAnsi="Times New Roman"/>
          <w:bCs/>
          <w:color w:val="4472C4" w:themeColor="accent1"/>
          <w:sz w:val="24"/>
          <w:szCs w:val="24"/>
          <w:lang w:eastAsia="en-GB"/>
        </w:rPr>
      </w:pPr>
      <w:r w:rsidRPr="001465C4">
        <w:rPr>
          <w:rFonts w:ascii="Times New Roman" w:hAnsi="Times New Roman"/>
          <w:bCs/>
          <w:color w:val="4472C4" w:themeColor="accent1"/>
          <w:sz w:val="24"/>
          <w:szCs w:val="24"/>
          <w:lang w:eastAsia="en-GB"/>
        </w:rPr>
        <w:t xml:space="preserve">Nations </w:t>
      </w:r>
      <w:r w:rsidRPr="00455E2E">
        <w:rPr>
          <w:rFonts w:ascii="Times New Roman" w:hAnsi="Times New Roman"/>
          <w:bCs/>
          <w:color w:val="4472C4" w:themeColor="accent1"/>
          <w:sz w:val="24"/>
          <w:szCs w:val="24"/>
          <w:lang w:eastAsia="en-GB"/>
        </w:rPr>
        <w:t>U</w:t>
      </w:r>
      <w:r w:rsidRPr="001465C4">
        <w:rPr>
          <w:rFonts w:ascii="Times New Roman" w:hAnsi="Times New Roman"/>
          <w:bCs/>
          <w:color w:val="4472C4" w:themeColor="accent1"/>
          <w:sz w:val="24"/>
          <w:szCs w:val="24"/>
          <w:lang w:eastAsia="en-GB"/>
        </w:rPr>
        <w:t>nies</w:t>
      </w:r>
    </w:p>
    <w:p w14:paraId="6BF0CFEB" w14:textId="46892E2C" w:rsidR="001465C4" w:rsidRPr="001465C4" w:rsidRDefault="001465C4" w:rsidP="001465C4">
      <w:pPr>
        <w:spacing w:before="120" w:after="120" w:line="240" w:lineRule="auto"/>
        <w:rPr>
          <w:rFonts w:ascii="Times New Roman" w:hAnsi="Times New Roman"/>
          <w:bCs/>
          <w:color w:val="4472C4" w:themeColor="accent1"/>
          <w:sz w:val="24"/>
          <w:szCs w:val="24"/>
          <w:lang w:eastAsia="en-GB"/>
        </w:rPr>
      </w:pPr>
      <w:r w:rsidRPr="001465C4">
        <w:rPr>
          <w:rFonts w:ascii="Times New Roman" w:hAnsi="Times New Roman"/>
          <w:bCs/>
          <w:color w:val="4472C4" w:themeColor="accent1"/>
          <w:sz w:val="24"/>
          <w:szCs w:val="24"/>
          <w:lang w:eastAsia="en-GB"/>
        </w:rPr>
        <w:t>Bureau d</w:t>
      </w:r>
      <w:r w:rsidR="00455E2E">
        <w:rPr>
          <w:rFonts w:ascii="Times New Roman" w:hAnsi="Times New Roman"/>
          <w:bCs/>
          <w:color w:val="4472C4" w:themeColor="accent1"/>
          <w:sz w:val="24"/>
          <w:szCs w:val="24"/>
          <w:lang w:eastAsia="en-GB"/>
        </w:rPr>
        <w:t>u</w:t>
      </w:r>
      <w:r w:rsidRPr="001465C4">
        <w:rPr>
          <w:rFonts w:ascii="Times New Roman" w:hAnsi="Times New Roman"/>
          <w:bCs/>
          <w:color w:val="4472C4" w:themeColor="accent1"/>
          <w:sz w:val="24"/>
          <w:szCs w:val="24"/>
          <w:lang w:eastAsia="en-GB"/>
        </w:rPr>
        <w:t xml:space="preserve"> Coordonnat</w:t>
      </w:r>
      <w:r w:rsidR="00455E2E">
        <w:rPr>
          <w:rFonts w:ascii="Times New Roman" w:hAnsi="Times New Roman"/>
          <w:bCs/>
          <w:color w:val="4472C4" w:themeColor="accent1"/>
          <w:sz w:val="24"/>
          <w:szCs w:val="24"/>
          <w:lang w:eastAsia="en-GB"/>
        </w:rPr>
        <w:t>eur</w:t>
      </w:r>
      <w:r w:rsidRPr="001465C4">
        <w:rPr>
          <w:rFonts w:ascii="Times New Roman" w:hAnsi="Times New Roman"/>
          <w:bCs/>
          <w:color w:val="4472C4" w:themeColor="accent1"/>
          <w:sz w:val="24"/>
          <w:szCs w:val="24"/>
          <w:lang w:eastAsia="en-GB"/>
        </w:rPr>
        <w:t xml:space="preserve"> </w:t>
      </w:r>
      <w:r w:rsidR="009C7A6F">
        <w:rPr>
          <w:rFonts w:ascii="Times New Roman" w:hAnsi="Times New Roman"/>
          <w:bCs/>
          <w:color w:val="4472C4" w:themeColor="accent1"/>
          <w:sz w:val="24"/>
          <w:szCs w:val="24"/>
          <w:lang w:eastAsia="en-GB"/>
        </w:rPr>
        <w:t>R</w:t>
      </w:r>
      <w:r w:rsidRPr="001465C4">
        <w:rPr>
          <w:rFonts w:ascii="Times New Roman" w:hAnsi="Times New Roman"/>
          <w:bCs/>
          <w:color w:val="4472C4" w:themeColor="accent1"/>
          <w:sz w:val="24"/>
          <w:szCs w:val="24"/>
          <w:lang w:eastAsia="en-GB"/>
        </w:rPr>
        <w:t>ésident (BCR)</w:t>
      </w:r>
      <w:r w:rsidR="00455E2E" w:rsidRPr="00455E2E">
        <w:rPr>
          <w:rFonts w:ascii="Times New Roman" w:hAnsi="Times New Roman"/>
          <w:bCs/>
          <w:color w:val="4472C4" w:themeColor="accent1"/>
          <w:sz w:val="24"/>
          <w:szCs w:val="24"/>
          <w:lang w:eastAsia="en-GB"/>
        </w:rPr>
        <w:t xml:space="preserve"> </w:t>
      </w:r>
    </w:p>
    <w:p w14:paraId="4071ADDE" w14:textId="77777777" w:rsidR="008A0417" w:rsidRPr="00455E2E" w:rsidRDefault="001465C4" w:rsidP="001465C4">
      <w:pPr>
        <w:tabs>
          <w:tab w:val="left" w:pos="360"/>
        </w:tabs>
        <w:spacing w:after="0"/>
        <w:rPr>
          <w:rFonts w:ascii="Times New Roman" w:hAnsi="Times New Roman"/>
          <w:bCs/>
          <w:color w:val="4472C4" w:themeColor="accent1"/>
          <w:sz w:val="24"/>
          <w:szCs w:val="24"/>
          <w:lang w:eastAsia="en-GB"/>
        </w:rPr>
      </w:pPr>
      <w:r w:rsidRPr="00455E2E">
        <w:rPr>
          <w:rFonts w:ascii="Times New Roman" w:hAnsi="Times New Roman"/>
          <w:bCs/>
          <w:color w:val="4472C4" w:themeColor="accent1"/>
          <w:sz w:val="24"/>
          <w:szCs w:val="24"/>
          <w:lang w:eastAsia="en-GB"/>
        </w:rPr>
        <w:t>Tchad</w:t>
      </w:r>
    </w:p>
    <w:p w14:paraId="5D60BC02" w14:textId="77777777" w:rsidR="008A0417" w:rsidRDefault="008A0417" w:rsidP="001465C4">
      <w:pPr>
        <w:tabs>
          <w:tab w:val="left" w:pos="360"/>
        </w:tabs>
        <w:spacing w:after="0"/>
        <w:rPr>
          <w:rFonts w:ascii="Times New Roman" w:hAnsi="Times New Roman"/>
          <w:bCs/>
          <w:sz w:val="24"/>
          <w:szCs w:val="24"/>
          <w:lang w:eastAsia="en-GB"/>
        </w:rPr>
      </w:pPr>
      <w:r>
        <w:rPr>
          <w:rFonts w:ascii="Times New Roman" w:hAnsi="Times New Roman"/>
          <w:bCs/>
          <w:sz w:val="24"/>
          <w:szCs w:val="24"/>
          <w:lang w:eastAsia="en-GB"/>
        </w:rPr>
        <w:br w:type="page"/>
      </w:r>
    </w:p>
    <w:p w14:paraId="18F9542F" w14:textId="77777777" w:rsidR="00455E2E" w:rsidRDefault="00455E2E" w:rsidP="00A71499">
      <w:pPr>
        <w:spacing w:after="0"/>
        <w:jc w:val="center"/>
        <w:rPr>
          <w:b/>
          <w:bCs/>
          <w:sz w:val="32"/>
          <w:szCs w:val="32"/>
          <w:u w:val="single"/>
        </w:rPr>
      </w:pPr>
    </w:p>
    <w:p w14:paraId="021DAEDE" w14:textId="60257B55" w:rsidR="00725366" w:rsidRDefault="00725366" w:rsidP="00A71499">
      <w:pPr>
        <w:spacing w:after="0"/>
        <w:jc w:val="center"/>
        <w:rPr>
          <w:b/>
          <w:bCs/>
          <w:sz w:val="32"/>
          <w:szCs w:val="32"/>
          <w:u w:val="single"/>
        </w:rPr>
      </w:pPr>
      <w:r w:rsidRPr="00D63D84">
        <w:rPr>
          <w:b/>
          <w:bCs/>
          <w:sz w:val="32"/>
          <w:szCs w:val="32"/>
          <w:u w:val="single"/>
        </w:rPr>
        <w:t>ANALYSE COMMUNE DE PAYS</w:t>
      </w:r>
    </w:p>
    <w:sdt>
      <w:sdtPr>
        <w:rPr>
          <w:rFonts w:ascii="Calibri" w:eastAsia="Calibri" w:hAnsi="Calibri" w:cs="Times New Roman"/>
          <w:color w:val="auto"/>
          <w:sz w:val="22"/>
          <w:szCs w:val="22"/>
          <w:lang w:eastAsia="en-US"/>
        </w:rPr>
        <w:id w:val="-524634186"/>
        <w:docPartObj>
          <w:docPartGallery w:val="Table of Contents"/>
          <w:docPartUnique/>
        </w:docPartObj>
      </w:sdtPr>
      <w:sdtEndPr>
        <w:rPr>
          <w:b/>
          <w:bCs/>
        </w:rPr>
      </w:sdtEndPr>
      <w:sdtContent>
        <w:p w14:paraId="1637B398" w14:textId="4CBD86C6" w:rsidR="00C87C7F" w:rsidRPr="00A8375B" w:rsidRDefault="00C87C7F" w:rsidP="00A8375B">
          <w:pPr>
            <w:pStyle w:val="En-ttedetabledesmatires"/>
            <w:spacing w:before="0"/>
            <w:rPr>
              <w:sz w:val="28"/>
            </w:rPr>
          </w:pPr>
        </w:p>
        <w:p w14:paraId="1D36386C" w14:textId="5F4F02F3" w:rsidR="00A8375B" w:rsidRDefault="00C87C7F">
          <w:pPr>
            <w:pStyle w:val="TM1"/>
            <w:tabs>
              <w:tab w:val="right" w:leader="dot" w:pos="9911"/>
            </w:tabs>
            <w:rPr>
              <w:rFonts w:asciiTheme="minorHAnsi" w:eastAsiaTheme="minorEastAsia" w:hAnsiTheme="minorHAnsi" w:cstheme="minorBidi"/>
              <w:noProof/>
              <w:lang w:eastAsia="fr-FR"/>
            </w:rPr>
          </w:pPr>
          <w:r w:rsidRPr="00A8375B">
            <w:rPr>
              <w:sz w:val="20"/>
            </w:rPr>
            <w:fldChar w:fldCharType="begin"/>
          </w:r>
          <w:r w:rsidRPr="00414A31">
            <w:rPr>
              <w:sz w:val="20"/>
              <w:szCs w:val="20"/>
            </w:rPr>
            <w:instrText xml:space="preserve"> TOC \o "1-3" \h \z \u </w:instrText>
          </w:r>
          <w:r w:rsidRPr="00A8375B">
            <w:rPr>
              <w:sz w:val="20"/>
            </w:rPr>
            <w:fldChar w:fldCharType="separate"/>
          </w:r>
          <w:hyperlink w:anchor="_Toc90910778" w:history="1">
            <w:r w:rsidR="00A8375B" w:rsidRPr="009E3DDD">
              <w:rPr>
                <w:rStyle w:val="Lienhypertexte"/>
                <w:rFonts w:ascii="Times New Roman" w:hAnsi="Times New Roman"/>
                <w:b/>
                <w:bCs/>
                <w:noProof/>
              </w:rPr>
              <w:t>RESUME ANALYTIQUE</w:t>
            </w:r>
            <w:r w:rsidR="00A8375B">
              <w:rPr>
                <w:noProof/>
                <w:webHidden/>
              </w:rPr>
              <w:tab/>
            </w:r>
            <w:r w:rsidR="00A8375B">
              <w:rPr>
                <w:noProof/>
                <w:webHidden/>
              </w:rPr>
              <w:fldChar w:fldCharType="begin"/>
            </w:r>
            <w:r w:rsidR="00A8375B">
              <w:rPr>
                <w:noProof/>
                <w:webHidden/>
              </w:rPr>
              <w:instrText xml:space="preserve"> PAGEREF _Toc90910778 \h </w:instrText>
            </w:r>
            <w:r w:rsidR="00A8375B">
              <w:rPr>
                <w:noProof/>
                <w:webHidden/>
              </w:rPr>
            </w:r>
            <w:r w:rsidR="00A8375B">
              <w:rPr>
                <w:noProof/>
                <w:webHidden/>
              </w:rPr>
              <w:fldChar w:fldCharType="separate"/>
            </w:r>
            <w:r w:rsidR="00A8375B">
              <w:rPr>
                <w:noProof/>
                <w:webHidden/>
              </w:rPr>
              <w:t>3</w:t>
            </w:r>
            <w:r w:rsidR="00A8375B">
              <w:rPr>
                <w:noProof/>
                <w:webHidden/>
              </w:rPr>
              <w:fldChar w:fldCharType="end"/>
            </w:r>
          </w:hyperlink>
        </w:p>
        <w:p w14:paraId="441F3A56" w14:textId="53584329"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779" w:history="1">
            <w:r w:rsidR="00A8375B" w:rsidRPr="009E3DDD">
              <w:rPr>
                <w:rStyle w:val="Lienhypertexte"/>
                <w:rFonts w:ascii="Times New Roman" w:hAnsi="Times New Roman"/>
                <w:b/>
                <w:bCs/>
                <w:noProof/>
              </w:rPr>
              <w:t>1.</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CONTEXTE NATIONAL</w:t>
            </w:r>
            <w:r w:rsidR="00A8375B">
              <w:rPr>
                <w:noProof/>
                <w:webHidden/>
              </w:rPr>
              <w:tab/>
            </w:r>
            <w:r w:rsidR="00A8375B">
              <w:rPr>
                <w:noProof/>
                <w:webHidden/>
              </w:rPr>
              <w:fldChar w:fldCharType="begin"/>
            </w:r>
            <w:r w:rsidR="00A8375B">
              <w:rPr>
                <w:noProof/>
                <w:webHidden/>
              </w:rPr>
              <w:instrText xml:space="preserve"> PAGEREF _Toc90910779 \h </w:instrText>
            </w:r>
            <w:r w:rsidR="00A8375B">
              <w:rPr>
                <w:noProof/>
                <w:webHidden/>
              </w:rPr>
            </w:r>
            <w:r w:rsidR="00A8375B">
              <w:rPr>
                <w:noProof/>
                <w:webHidden/>
              </w:rPr>
              <w:fldChar w:fldCharType="separate"/>
            </w:r>
            <w:r w:rsidR="00A8375B">
              <w:rPr>
                <w:noProof/>
                <w:webHidden/>
              </w:rPr>
              <w:t>9</w:t>
            </w:r>
            <w:r w:rsidR="00A8375B">
              <w:rPr>
                <w:noProof/>
                <w:webHidden/>
              </w:rPr>
              <w:fldChar w:fldCharType="end"/>
            </w:r>
          </w:hyperlink>
        </w:p>
        <w:p w14:paraId="7D0DCA6F" w14:textId="4BD7CCA5"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0" w:history="1">
            <w:r w:rsidR="00A8375B" w:rsidRPr="009E3DDD">
              <w:rPr>
                <w:rStyle w:val="Lienhypertexte"/>
                <w:b/>
                <w:noProof/>
              </w:rPr>
              <w:t>1.1.</w:t>
            </w:r>
            <w:r w:rsidR="00A8375B">
              <w:rPr>
                <w:rFonts w:asciiTheme="minorHAnsi" w:eastAsiaTheme="minorEastAsia" w:hAnsiTheme="minorHAnsi" w:cstheme="minorBidi"/>
                <w:noProof/>
                <w:lang w:eastAsia="fr-FR"/>
              </w:rPr>
              <w:tab/>
            </w:r>
            <w:r w:rsidR="00A8375B" w:rsidRPr="009E3DDD">
              <w:rPr>
                <w:rStyle w:val="Lienhypertexte"/>
                <w:b/>
                <w:noProof/>
              </w:rPr>
              <w:t>Economie</w:t>
            </w:r>
            <w:r w:rsidR="00A8375B">
              <w:rPr>
                <w:noProof/>
                <w:webHidden/>
              </w:rPr>
              <w:tab/>
            </w:r>
            <w:r w:rsidR="00A8375B">
              <w:rPr>
                <w:noProof/>
                <w:webHidden/>
              </w:rPr>
              <w:fldChar w:fldCharType="begin"/>
            </w:r>
            <w:r w:rsidR="00A8375B">
              <w:rPr>
                <w:noProof/>
                <w:webHidden/>
              </w:rPr>
              <w:instrText xml:space="preserve"> PAGEREF _Toc90910780 \h </w:instrText>
            </w:r>
            <w:r w:rsidR="00A8375B">
              <w:rPr>
                <w:noProof/>
                <w:webHidden/>
              </w:rPr>
            </w:r>
            <w:r w:rsidR="00A8375B">
              <w:rPr>
                <w:noProof/>
                <w:webHidden/>
              </w:rPr>
              <w:fldChar w:fldCharType="separate"/>
            </w:r>
            <w:r w:rsidR="00A8375B">
              <w:rPr>
                <w:noProof/>
                <w:webHidden/>
              </w:rPr>
              <w:t>10</w:t>
            </w:r>
            <w:r w:rsidR="00A8375B">
              <w:rPr>
                <w:noProof/>
                <w:webHidden/>
              </w:rPr>
              <w:fldChar w:fldCharType="end"/>
            </w:r>
          </w:hyperlink>
        </w:p>
        <w:p w14:paraId="151BF252" w14:textId="643F54F2"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1" w:history="1">
            <w:r w:rsidR="00A8375B" w:rsidRPr="009E3DDD">
              <w:rPr>
                <w:rStyle w:val="Lienhypertexte"/>
                <w:b/>
                <w:noProof/>
              </w:rPr>
              <w:t>1.2.</w:t>
            </w:r>
            <w:r w:rsidR="00A8375B">
              <w:rPr>
                <w:rFonts w:asciiTheme="minorHAnsi" w:eastAsiaTheme="minorEastAsia" w:hAnsiTheme="minorHAnsi" w:cstheme="minorBidi"/>
                <w:noProof/>
                <w:lang w:eastAsia="fr-FR"/>
              </w:rPr>
              <w:tab/>
            </w:r>
            <w:r w:rsidR="00A8375B" w:rsidRPr="009E3DDD">
              <w:rPr>
                <w:rStyle w:val="Lienhypertexte"/>
                <w:b/>
                <w:noProof/>
              </w:rPr>
              <w:t>Paix et Sécurité</w:t>
            </w:r>
            <w:r w:rsidR="00A8375B">
              <w:rPr>
                <w:noProof/>
                <w:webHidden/>
              </w:rPr>
              <w:tab/>
            </w:r>
            <w:r w:rsidR="00A8375B">
              <w:rPr>
                <w:noProof/>
                <w:webHidden/>
              </w:rPr>
              <w:fldChar w:fldCharType="begin"/>
            </w:r>
            <w:r w:rsidR="00A8375B">
              <w:rPr>
                <w:noProof/>
                <w:webHidden/>
              </w:rPr>
              <w:instrText xml:space="preserve"> PAGEREF _Toc90910781 \h </w:instrText>
            </w:r>
            <w:r w:rsidR="00A8375B">
              <w:rPr>
                <w:noProof/>
                <w:webHidden/>
              </w:rPr>
            </w:r>
            <w:r w:rsidR="00A8375B">
              <w:rPr>
                <w:noProof/>
                <w:webHidden/>
              </w:rPr>
              <w:fldChar w:fldCharType="separate"/>
            </w:r>
            <w:r w:rsidR="00A8375B">
              <w:rPr>
                <w:noProof/>
                <w:webHidden/>
              </w:rPr>
              <w:t>14</w:t>
            </w:r>
            <w:r w:rsidR="00A8375B">
              <w:rPr>
                <w:noProof/>
                <w:webHidden/>
              </w:rPr>
              <w:fldChar w:fldCharType="end"/>
            </w:r>
          </w:hyperlink>
        </w:p>
        <w:p w14:paraId="6C2C0023" w14:textId="0D04623D"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2" w:history="1">
            <w:r w:rsidR="00A8375B" w:rsidRPr="009E3DDD">
              <w:rPr>
                <w:rStyle w:val="Lienhypertexte"/>
                <w:b/>
                <w:noProof/>
              </w:rPr>
              <w:t>1.3.</w:t>
            </w:r>
            <w:r w:rsidR="00A8375B">
              <w:rPr>
                <w:rFonts w:asciiTheme="minorHAnsi" w:eastAsiaTheme="minorEastAsia" w:hAnsiTheme="minorHAnsi" w:cstheme="minorBidi"/>
                <w:noProof/>
                <w:lang w:eastAsia="fr-FR"/>
              </w:rPr>
              <w:tab/>
            </w:r>
            <w:r w:rsidR="00A8375B" w:rsidRPr="009E3DDD">
              <w:rPr>
                <w:rStyle w:val="Lienhypertexte"/>
                <w:b/>
                <w:noProof/>
              </w:rPr>
              <w:t>Education, Santé et Protection Sociale</w:t>
            </w:r>
            <w:r w:rsidR="00A8375B">
              <w:rPr>
                <w:noProof/>
                <w:webHidden/>
              </w:rPr>
              <w:tab/>
            </w:r>
            <w:r w:rsidR="00A8375B">
              <w:rPr>
                <w:noProof/>
                <w:webHidden/>
              </w:rPr>
              <w:fldChar w:fldCharType="begin"/>
            </w:r>
            <w:r w:rsidR="00A8375B">
              <w:rPr>
                <w:noProof/>
                <w:webHidden/>
              </w:rPr>
              <w:instrText xml:space="preserve"> PAGEREF _Toc90910782 \h </w:instrText>
            </w:r>
            <w:r w:rsidR="00A8375B">
              <w:rPr>
                <w:noProof/>
                <w:webHidden/>
              </w:rPr>
            </w:r>
            <w:r w:rsidR="00A8375B">
              <w:rPr>
                <w:noProof/>
                <w:webHidden/>
              </w:rPr>
              <w:fldChar w:fldCharType="separate"/>
            </w:r>
            <w:r w:rsidR="00A8375B">
              <w:rPr>
                <w:noProof/>
                <w:webHidden/>
              </w:rPr>
              <w:t>16</w:t>
            </w:r>
            <w:r w:rsidR="00A8375B">
              <w:rPr>
                <w:noProof/>
                <w:webHidden/>
              </w:rPr>
              <w:fldChar w:fldCharType="end"/>
            </w:r>
          </w:hyperlink>
        </w:p>
        <w:p w14:paraId="6F0E4270" w14:textId="6E69279B"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3" w:history="1">
            <w:r w:rsidR="00A8375B" w:rsidRPr="009E3DDD">
              <w:rPr>
                <w:rStyle w:val="Lienhypertexte"/>
                <w:b/>
                <w:noProof/>
              </w:rPr>
              <w:t>1.4.</w:t>
            </w:r>
            <w:r w:rsidR="00A8375B">
              <w:rPr>
                <w:rFonts w:asciiTheme="minorHAnsi" w:eastAsiaTheme="minorEastAsia" w:hAnsiTheme="minorHAnsi" w:cstheme="minorBidi"/>
                <w:noProof/>
                <w:lang w:eastAsia="fr-FR"/>
              </w:rPr>
              <w:tab/>
            </w:r>
            <w:r w:rsidR="00A8375B" w:rsidRPr="009E3DDD">
              <w:rPr>
                <w:rStyle w:val="Lienhypertexte"/>
                <w:b/>
                <w:noProof/>
              </w:rPr>
              <w:t>Sécurité alimentaire et nutritionnelle</w:t>
            </w:r>
            <w:r w:rsidR="00A8375B">
              <w:rPr>
                <w:noProof/>
                <w:webHidden/>
              </w:rPr>
              <w:tab/>
            </w:r>
            <w:r w:rsidR="00A8375B">
              <w:rPr>
                <w:noProof/>
                <w:webHidden/>
              </w:rPr>
              <w:fldChar w:fldCharType="begin"/>
            </w:r>
            <w:r w:rsidR="00A8375B">
              <w:rPr>
                <w:noProof/>
                <w:webHidden/>
              </w:rPr>
              <w:instrText xml:space="preserve"> PAGEREF _Toc90910783 \h </w:instrText>
            </w:r>
            <w:r w:rsidR="00A8375B">
              <w:rPr>
                <w:noProof/>
                <w:webHidden/>
              </w:rPr>
            </w:r>
            <w:r w:rsidR="00A8375B">
              <w:rPr>
                <w:noProof/>
                <w:webHidden/>
              </w:rPr>
              <w:fldChar w:fldCharType="separate"/>
            </w:r>
            <w:r w:rsidR="00A8375B">
              <w:rPr>
                <w:noProof/>
                <w:webHidden/>
              </w:rPr>
              <w:t>20</w:t>
            </w:r>
            <w:r w:rsidR="00A8375B">
              <w:rPr>
                <w:noProof/>
                <w:webHidden/>
              </w:rPr>
              <w:fldChar w:fldCharType="end"/>
            </w:r>
          </w:hyperlink>
        </w:p>
        <w:p w14:paraId="1117A91E" w14:textId="55636506"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4" w:history="1">
            <w:r w:rsidR="00A8375B" w:rsidRPr="009E3DDD">
              <w:rPr>
                <w:rStyle w:val="Lienhypertexte"/>
                <w:b/>
                <w:noProof/>
              </w:rPr>
              <w:t>1.5.</w:t>
            </w:r>
            <w:r w:rsidR="00A8375B">
              <w:rPr>
                <w:rFonts w:asciiTheme="minorHAnsi" w:eastAsiaTheme="minorEastAsia" w:hAnsiTheme="minorHAnsi" w:cstheme="minorBidi"/>
                <w:noProof/>
                <w:lang w:eastAsia="fr-FR"/>
              </w:rPr>
              <w:tab/>
            </w:r>
            <w:r w:rsidR="00A8375B" w:rsidRPr="009E3DDD">
              <w:rPr>
                <w:rStyle w:val="Lienhypertexte"/>
                <w:b/>
                <w:noProof/>
              </w:rPr>
              <w:t>Emploi et travail</w:t>
            </w:r>
            <w:r w:rsidR="00A8375B">
              <w:rPr>
                <w:noProof/>
                <w:webHidden/>
              </w:rPr>
              <w:tab/>
            </w:r>
            <w:r w:rsidR="00A8375B">
              <w:rPr>
                <w:noProof/>
                <w:webHidden/>
              </w:rPr>
              <w:fldChar w:fldCharType="begin"/>
            </w:r>
            <w:r w:rsidR="00A8375B">
              <w:rPr>
                <w:noProof/>
                <w:webHidden/>
              </w:rPr>
              <w:instrText xml:space="preserve"> PAGEREF _Toc90910784 \h </w:instrText>
            </w:r>
            <w:r w:rsidR="00A8375B">
              <w:rPr>
                <w:noProof/>
                <w:webHidden/>
              </w:rPr>
            </w:r>
            <w:r w:rsidR="00A8375B">
              <w:rPr>
                <w:noProof/>
                <w:webHidden/>
              </w:rPr>
              <w:fldChar w:fldCharType="separate"/>
            </w:r>
            <w:r w:rsidR="00A8375B">
              <w:rPr>
                <w:noProof/>
                <w:webHidden/>
              </w:rPr>
              <w:t>25</w:t>
            </w:r>
            <w:r w:rsidR="00A8375B">
              <w:rPr>
                <w:noProof/>
                <w:webHidden/>
              </w:rPr>
              <w:fldChar w:fldCharType="end"/>
            </w:r>
          </w:hyperlink>
        </w:p>
        <w:p w14:paraId="53BFA310" w14:textId="5F314A3F"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5" w:history="1">
            <w:r w:rsidR="00A8375B" w:rsidRPr="009E3DDD">
              <w:rPr>
                <w:rStyle w:val="Lienhypertexte"/>
                <w:b/>
                <w:noProof/>
              </w:rPr>
              <w:t>1.6.</w:t>
            </w:r>
            <w:r w:rsidR="00A8375B">
              <w:rPr>
                <w:rFonts w:asciiTheme="minorHAnsi" w:eastAsiaTheme="minorEastAsia" w:hAnsiTheme="minorHAnsi" w:cstheme="minorBidi"/>
                <w:noProof/>
                <w:lang w:eastAsia="fr-FR"/>
              </w:rPr>
              <w:tab/>
            </w:r>
            <w:r w:rsidR="00A8375B" w:rsidRPr="009E3DDD">
              <w:rPr>
                <w:rStyle w:val="Lienhypertexte"/>
                <w:b/>
                <w:noProof/>
              </w:rPr>
              <w:t>Energie, Eau et Assainissement</w:t>
            </w:r>
            <w:r w:rsidR="00A8375B">
              <w:rPr>
                <w:noProof/>
                <w:webHidden/>
              </w:rPr>
              <w:tab/>
            </w:r>
            <w:r w:rsidR="00A8375B">
              <w:rPr>
                <w:noProof/>
                <w:webHidden/>
              </w:rPr>
              <w:fldChar w:fldCharType="begin"/>
            </w:r>
            <w:r w:rsidR="00A8375B">
              <w:rPr>
                <w:noProof/>
                <w:webHidden/>
              </w:rPr>
              <w:instrText xml:space="preserve"> PAGEREF _Toc90910785 \h </w:instrText>
            </w:r>
            <w:r w:rsidR="00A8375B">
              <w:rPr>
                <w:noProof/>
                <w:webHidden/>
              </w:rPr>
            </w:r>
            <w:r w:rsidR="00A8375B">
              <w:rPr>
                <w:noProof/>
                <w:webHidden/>
              </w:rPr>
              <w:fldChar w:fldCharType="separate"/>
            </w:r>
            <w:r w:rsidR="00A8375B">
              <w:rPr>
                <w:noProof/>
                <w:webHidden/>
              </w:rPr>
              <w:t>26</w:t>
            </w:r>
            <w:r w:rsidR="00A8375B">
              <w:rPr>
                <w:noProof/>
                <w:webHidden/>
              </w:rPr>
              <w:fldChar w:fldCharType="end"/>
            </w:r>
          </w:hyperlink>
        </w:p>
        <w:p w14:paraId="79DF7B5E" w14:textId="5ED91A12"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6" w:history="1">
            <w:r w:rsidR="00A8375B" w:rsidRPr="009E3DDD">
              <w:rPr>
                <w:rStyle w:val="Lienhypertexte"/>
                <w:b/>
                <w:noProof/>
              </w:rPr>
              <w:t>1.7.</w:t>
            </w:r>
            <w:r w:rsidR="00A8375B">
              <w:rPr>
                <w:rFonts w:asciiTheme="minorHAnsi" w:eastAsiaTheme="minorEastAsia" w:hAnsiTheme="minorHAnsi" w:cstheme="minorBidi"/>
                <w:noProof/>
                <w:lang w:eastAsia="fr-FR"/>
              </w:rPr>
              <w:tab/>
            </w:r>
            <w:r w:rsidR="00A8375B" w:rsidRPr="009E3DDD">
              <w:rPr>
                <w:rStyle w:val="Lienhypertexte"/>
                <w:b/>
                <w:noProof/>
              </w:rPr>
              <w:t>Environnement</w:t>
            </w:r>
            <w:r w:rsidR="00A8375B">
              <w:rPr>
                <w:noProof/>
                <w:webHidden/>
              </w:rPr>
              <w:tab/>
            </w:r>
            <w:r w:rsidR="00A8375B">
              <w:rPr>
                <w:noProof/>
                <w:webHidden/>
              </w:rPr>
              <w:fldChar w:fldCharType="begin"/>
            </w:r>
            <w:r w:rsidR="00A8375B">
              <w:rPr>
                <w:noProof/>
                <w:webHidden/>
              </w:rPr>
              <w:instrText xml:space="preserve"> PAGEREF _Toc90910786 \h </w:instrText>
            </w:r>
            <w:r w:rsidR="00A8375B">
              <w:rPr>
                <w:noProof/>
                <w:webHidden/>
              </w:rPr>
            </w:r>
            <w:r w:rsidR="00A8375B">
              <w:rPr>
                <w:noProof/>
                <w:webHidden/>
              </w:rPr>
              <w:fldChar w:fldCharType="separate"/>
            </w:r>
            <w:r w:rsidR="00A8375B">
              <w:rPr>
                <w:noProof/>
                <w:webHidden/>
              </w:rPr>
              <w:t>27</w:t>
            </w:r>
            <w:r w:rsidR="00A8375B">
              <w:rPr>
                <w:noProof/>
                <w:webHidden/>
              </w:rPr>
              <w:fldChar w:fldCharType="end"/>
            </w:r>
          </w:hyperlink>
        </w:p>
        <w:p w14:paraId="0D8CCE32" w14:textId="5EF09716"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7" w:history="1">
            <w:r w:rsidR="00A8375B" w:rsidRPr="009E3DDD">
              <w:rPr>
                <w:rStyle w:val="Lienhypertexte"/>
                <w:b/>
                <w:noProof/>
              </w:rPr>
              <w:t>1.8.</w:t>
            </w:r>
            <w:r w:rsidR="00A8375B">
              <w:rPr>
                <w:rFonts w:asciiTheme="minorHAnsi" w:eastAsiaTheme="minorEastAsia" w:hAnsiTheme="minorHAnsi" w:cstheme="minorBidi"/>
                <w:noProof/>
                <w:lang w:eastAsia="fr-FR"/>
              </w:rPr>
              <w:tab/>
            </w:r>
            <w:r w:rsidR="00A8375B" w:rsidRPr="009E3DDD">
              <w:rPr>
                <w:rStyle w:val="Lienhypertexte"/>
                <w:b/>
                <w:noProof/>
              </w:rPr>
              <w:t>Droits de l’homme</w:t>
            </w:r>
            <w:r w:rsidR="00A8375B">
              <w:rPr>
                <w:noProof/>
                <w:webHidden/>
              </w:rPr>
              <w:tab/>
            </w:r>
            <w:r w:rsidR="00A8375B">
              <w:rPr>
                <w:noProof/>
                <w:webHidden/>
              </w:rPr>
              <w:fldChar w:fldCharType="begin"/>
            </w:r>
            <w:r w:rsidR="00A8375B">
              <w:rPr>
                <w:noProof/>
                <w:webHidden/>
              </w:rPr>
              <w:instrText xml:space="preserve"> PAGEREF _Toc90910787 \h </w:instrText>
            </w:r>
            <w:r w:rsidR="00A8375B">
              <w:rPr>
                <w:noProof/>
                <w:webHidden/>
              </w:rPr>
            </w:r>
            <w:r w:rsidR="00A8375B">
              <w:rPr>
                <w:noProof/>
                <w:webHidden/>
              </w:rPr>
              <w:fldChar w:fldCharType="separate"/>
            </w:r>
            <w:r w:rsidR="00A8375B">
              <w:rPr>
                <w:noProof/>
                <w:webHidden/>
              </w:rPr>
              <w:t>31</w:t>
            </w:r>
            <w:r w:rsidR="00A8375B">
              <w:rPr>
                <w:noProof/>
                <w:webHidden/>
              </w:rPr>
              <w:fldChar w:fldCharType="end"/>
            </w:r>
          </w:hyperlink>
        </w:p>
        <w:p w14:paraId="6DCF102E" w14:textId="0DDE15DD"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88" w:history="1">
            <w:r w:rsidR="00A8375B" w:rsidRPr="009E3DDD">
              <w:rPr>
                <w:rStyle w:val="Lienhypertexte"/>
                <w:b/>
                <w:noProof/>
              </w:rPr>
              <w:t>1.9.</w:t>
            </w:r>
            <w:r w:rsidR="00A8375B">
              <w:rPr>
                <w:rFonts w:asciiTheme="minorHAnsi" w:eastAsiaTheme="minorEastAsia" w:hAnsiTheme="minorHAnsi" w:cstheme="minorBidi"/>
                <w:noProof/>
                <w:lang w:eastAsia="fr-FR"/>
              </w:rPr>
              <w:tab/>
            </w:r>
            <w:r w:rsidR="00A8375B" w:rsidRPr="009E3DDD">
              <w:rPr>
                <w:rStyle w:val="Lienhypertexte"/>
                <w:b/>
                <w:noProof/>
              </w:rPr>
              <w:t>Mobilité</w:t>
            </w:r>
            <w:r w:rsidR="00A8375B">
              <w:rPr>
                <w:noProof/>
                <w:webHidden/>
              </w:rPr>
              <w:tab/>
            </w:r>
            <w:r w:rsidR="00A8375B">
              <w:rPr>
                <w:noProof/>
                <w:webHidden/>
              </w:rPr>
              <w:fldChar w:fldCharType="begin"/>
            </w:r>
            <w:r w:rsidR="00A8375B">
              <w:rPr>
                <w:noProof/>
                <w:webHidden/>
              </w:rPr>
              <w:instrText xml:space="preserve"> PAGEREF _Toc90910788 \h </w:instrText>
            </w:r>
            <w:r w:rsidR="00A8375B">
              <w:rPr>
                <w:noProof/>
                <w:webHidden/>
              </w:rPr>
            </w:r>
            <w:r w:rsidR="00A8375B">
              <w:rPr>
                <w:noProof/>
                <w:webHidden/>
              </w:rPr>
              <w:fldChar w:fldCharType="separate"/>
            </w:r>
            <w:r w:rsidR="00A8375B">
              <w:rPr>
                <w:noProof/>
                <w:webHidden/>
              </w:rPr>
              <w:t>32</w:t>
            </w:r>
            <w:r w:rsidR="00A8375B">
              <w:rPr>
                <w:noProof/>
                <w:webHidden/>
              </w:rPr>
              <w:fldChar w:fldCharType="end"/>
            </w:r>
          </w:hyperlink>
        </w:p>
        <w:p w14:paraId="3BACA182" w14:textId="5EDC4546"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789" w:history="1">
            <w:r w:rsidR="00A8375B" w:rsidRPr="009E3DDD">
              <w:rPr>
                <w:rStyle w:val="Lienhypertexte"/>
                <w:rFonts w:ascii="Times New Roman" w:hAnsi="Times New Roman"/>
                <w:b/>
                <w:bCs/>
                <w:noProof/>
              </w:rPr>
              <w:t>2.</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VISION NATIONALE SUR LES OBJECTIFS DE DEVELOPPEMENT DURABLE</w:t>
            </w:r>
            <w:r w:rsidR="00A8375B">
              <w:rPr>
                <w:noProof/>
                <w:webHidden/>
              </w:rPr>
              <w:tab/>
            </w:r>
            <w:r w:rsidR="00A8375B">
              <w:rPr>
                <w:noProof/>
                <w:webHidden/>
              </w:rPr>
              <w:fldChar w:fldCharType="begin"/>
            </w:r>
            <w:r w:rsidR="00A8375B">
              <w:rPr>
                <w:noProof/>
                <w:webHidden/>
              </w:rPr>
              <w:instrText xml:space="preserve"> PAGEREF _Toc90910789 \h </w:instrText>
            </w:r>
            <w:r w:rsidR="00A8375B">
              <w:rPr>
                <w:noProof/>
                <w:webHidden/>
              </w:rPr>
            </w:r>
            <w:r w:rsidR="00A8375B">
              <w:rPr>
                <w:noProof/>
                <w:webHidden/>
              </w:rPr>
              <w:fldChar w:fldCharType="separate"/>
            </w:r>
            <w:r w:rsidR="00A8375B">
              <w:rPr>
                <w:noProof/>
                <w:webHidden/>
              </w:rPr>
              <w:t>33</w:t>
            </w:r>
            <w:r w:rsidR="00A8375B">
              <w:rPr>
                <w:noProof/>
                <w:webHidden/>
              </w:rPr>
              <w:fldChar w:fldCharType="end"/>
            </w:r>
          </w:hyperlink>
        </w:p>
        <w:p w14:paraId="68BCC82C" w14:textId="2189A29B"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790" w:history="1">
            <w:r w:rsidR="00A8375B" w:rsidRPr="009E3DDD">
              <w:rPr>
                <w:rStyle w:val="Lienhypertexte"/>
                <w:rFonts w:ascii="Times New Roman" w:hAnsi="Times New Roman"/>
                <w:b/>
                <w:bCs/>
                <w:noProof/>
              </w:rPr>
              <w:t>3.</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PROGRES ACCOMPLIS DANS LA MISE EN ŒUVRE DE L’AGENDA 2030</w:t>
            </w:r>
            <w:r w:rsidR="00A8375B">
              <w:rPr>
                <w:noProof/>
                <w:webHidden/>
              </w:rPr>
              <w:tab/>
            </w:r>
            <w:r w:rsidR="00A8375B">
              <w:rPr>
                <w:noProof/>
                <w:webHidden/>
              </w:rPr>
              <w:fldChar w:fldCharType="begin"/>
            </w:r>
            <w:r w:rsidR="00A8375B">
              <w:rPr>
                <w:noProof/>
                <w:webHidden/>
              </w:rPr>
              <w:instrText xml:space="preserve"> PAGEREF _Toc90910790 \h </w:instrText>
            </w:r>
            <w:r w:rsidR="00A8375B">
              <w:rPr>
                <w:noProof/>
                <w:webHidden/>
              </w:rPr>
            </w:r>
            <w:r w:rsidR="00A8375B">
              <w:rPr>
                <w:noProof/>
                <w:webHidden/>
              </w:rPr>
              <w:fldChar w:fldCharType="separate"/>
            </w:r>
            <w:r w:rsidR="00A8375B">
              <w:rPr>
                <w:noProof/>
                <w:webHidden/>
              </w:rPr>
              <w:t>37</w:t>
            </w:r>
            <w:r w:rsidR="00A8375B">
              <w:rPr>
                <w:noProof/>
                <w:webHidden/>
              </w:rPr>
              <w:fldChar w:fldCharType="end"/>
            </w:r>
          </w:hyperlink>
        </w:p>
        <w:p w14:paraId="2D5838EC" w14:textId="66890464"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94" w:history="1">
            <w:r w:rsidR="00A8375B" w:rsidRPr="009E3DDD">
              <w:rPr>
                <w:rStyle w:val="Lienhypertexte"/>
                <w:rFonts w:ascii="Times New Roman" w:eastAsia="Times New Roman" w:hAnsi="Times New Roman"/>
                <w:b/>
                <w:noProof/>
                <w:lang w:val="fr"/>
              </w:rPr>
              <w:t>3.1.</w:t>
            </w:r>
            <w:r w:rsidR="00A8375B">
              <w:rPr>
                <w:rFonts w:asciiTheme="minorHAnsi" w:eastAsiaTheme="minorEastAsia" w:hAnsiTheme="minorHAnsi" w:cstheme="minorBidi"/>
                <w:noProof/>
                <w:lang w:eastAsia="fr-FR"/>
              </w:rPr>
              <w:tab/>
            </w:r>
            <w:r w:rsidR="00A8375B" w:rsidRPr="009E3DDD">
              <w:rPr>
                <w:rStyle w:val="Lienhypertexte"/>
                <w:rFonts w:ascii="Times New Roman" w:eastAsia="Times New Roman" w:hAnsi="Times New Roman"/>
                <w:b/>
                <w:noProof/>
                <w:lang w:val="fr"/>
              </w:rPr>
              <w:t>Progrès réalisés dans la mise en œuvre de l’agenda 2030</w:t>
            </w:r>
            <w:r w:rsidR="00A8375B">
              <w:rPr>
                <w:noProof/>
                <w:webHidden/>
              </w:rPr>
              <w:tab/>
            </w:r>
            <w:r w:rsidR="00A8375B">
              <w:rPr>
                <w:noProof/>
                <w:webHidden/>
              </w:rPr>
              <w:fldChar w:fldCharType="begin"/>
            </w:r>
            <w:r w:rsidR="00A8375B">
              <w:rPr>
                <w:noProof/>
                <w:webHidden/>
              </w:rPr>
              <w:instrText xml:space="preserve"> PAGEREF _Toc90910794 \h </w:instrText>
            </w:r>
            <w:r w:rsidR="00A8375B">
              <w:rPr>
                <w:noProof/>
                <w:webHidden/>
              </w:rPr>
            </w:r>
            <w:r w:rsidR="00A8375B">
              <w:rPr>
                <w:noProof/>
                <w:webHidden/>
              </w:rPr>
              <w:fldChar w:fldCharType="separate"/>
            </w:r>
            <w:r w:rsidR="00A8375B">
              <w:rPr>
                <w:noProof/>
                <w:webHidden/>
              </w:rPr>
              <w:t>37</w:t>
            </w:r>
            <w:r w:rsidR="00A8375B">
              <w:rPr>
                <w:noProof/>
                <w:webHidden/>
              </w:rPr>
              <w:fldChar w:fldCharType="end"/>
            </w:r>
          </w:hyperlink>
        </w:p>
        <w:p w14:paraId="2C8C6FA8" w14:textId="7F4EC756"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795" w:history="1">
            <w:r w:rsidR="00A8375B" w:rsidRPr="009E3DDD">
              <w:rPr>
                <w:rStyle w:val="Lienhypertexte"/>
                <w:b/>
                <w:noProof/>
              </w:rPr>
              <w:t>3.2.</w:t>
            </w:r>
            <w:r w:rsidR="00A8375B">
              <w:rPr>
                <w:rFonts w:asciiTheme="minorHAnsi" w:eastAsiaTheme="minorEastAsia" w:hAnsiTheme="minorHAnsi" w:cstheme="minorBidi"/>
                <w:noProof/>
                <w:lang w:eastAsia="fr-FR"/>
              </w:rPr>
              <w:tab/>
            </w:r>
            <w:r w:rsidR="00A8375B" w:rsidRPr="009E3DDD">
              <w:rPr>
                <w:rStyle w:val="Lienhypertexte"/>
                <w:b/>
                <w:noProof/>
              </w:rPr>
              <w:t>Analyse de l’impact de la COVID-19 sur la réalisation de l’agenda 2030 et l’atteinte des objectifs de développement durable au Tchad</w:t>
            </w:r>
            <w:r w:rsidR="00A8375B">
              <w:rPr>
                <w:noProof/>
                <w:webHidden/>
              </w:rPr>
              <w:tab/>
            </w:r>
            <w:r w:rsidR="00A8375B">
              <w:rPr>
                <w:noProof/>
                <w:webHidden/>
              </w:rPr>
              <w:fldChar w:fldCharType="begin"/>
            </w:r>
            <w:r w:rsidR="00A8375B">
              <w:rPr>
                <w:noProof/>
                <w:webHidden/>
              </w:rPr>
              <w:instrText xml:space="preserve"> PAGEREF _Toc90910795 \h </w:instrText>
            </w:r>
            <w:r w:rsidR="00A8375B">
              <w:rPr>
                <w:noProof/>
                <w:webHidden/>
              </w:rPr>
            </w:r>
            <w:r w:rsidR="00A8375B">
              <w:rPr>
                <w:noProof/>
                <w:webHidden/>
              </w:rPr>
              <w:fldChar w:fldCharType="separate"/>
            </w:r>
            <w:r w:rsidR="00A8375B">
              <w:rPr>
                <w:noProof/>
                <w:webHidden/>
              </w:rPr>
              <w:t>43</w:t>
            </w:r>
            <w:r w:rsidR="00A8375B">
              <w:rPr>
                <w:noProof/>
                <w:webHidden/>
              </w:rPr>
              <w:fldChar w:fldCharType="end"/>
            </w:r>
          </w:hyperlink>
        </w:p>
        <w:p w14:paraId="22A4432B" w14:textId="73245F01"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796" w:history="1">
            <w:r w:rsidR="00A8375B" w:rsidRPr="009E3DDD">
              <w:rPr>
                <w:rStyle w:val="Lienhypertexte"/>
                <w:rFonts w:ascii="Times New Roman" w:hAnsi="Times New Roman"/>
                <w:b/>
                <w:bCs/>
                <w:noProof/>
              </w:rPr>
              <w:t>4.</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NE LAISSER PERSONNE DE COTE</w:t>
            </w:r>
            <w:r w:rsidR="00A8375B">
              <w:rPr>
                <w:noProof/>
                <w:webHidden/>
              </w:rPr>
              <w:tab/>
            </w:r>
            <w:r w:rsidR="00A8375B">
              <w:rPr>
                <w:noProof/>
                <w:webHidden/>
              </w:rPr>
              <w:fldChar w:fldCharType="begin"/>
            </w:r>
            <w:r w:rsidR="00A8375B">
              <w:rPr>
                <w:noProof/>
                <w:webHidden/>
              </w:rPr>
              <w:instrText xml:space="preserve"> PAGEREF _Toc90910796 \h </w:instrText>
            </w:r>
            <w:r w:rsidR="00A8375B">
              <w:rPr>
                <w:noProof/>
                <w:webHidden/>
              </w:rPr>
            </w:r>
            <w:r w:rsidR="00A8375B">
              <w:rPr>
                <w:noProof/>
                <w:webHidden/>
              </w:rPr>
              <w:fldChar w:fldCharType="separate"/>
            </w:r>
            <w:r w:rsidR="00A8375B">
              <w:rPr>
                <w:noProof/>
                <w:webHidden/>
              </w:rPr>
              <w:t>45</w:t>
            </w:r>
            <w:r w:rsidR="00A8375B">
              <w:rPr>
                <w:noProof/>
                <w:webHidden/>
              </w:rPr>
              <w:fldChar w:fldCharType="end"/>
            </w:r>
          </w:hyperlink>
        </w:p>
        <w:p w14:paraId="12B198DF" w14:textId="4E55119B"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797" w:history="1">
            <w:r w:rsidR="00A8375B" w:rsidRPr="009E3DDD">
              <w:rPr>
                <w:rStyle w:val="Lienhypertexte"/>
                <w:rFonts w:ascii="Times New Roman" w:hAnsi="Times New Roman"/>
                <w:b/>
                <w:bCs/>
                <w:noProof/>
              </w:rPr>
              <w:t>5.</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ENGAGEMENTS PRIS AU REGARD DES NORMES ET REGLES INTERNATIONALES</w:t>
            </w:r>
            <w:r w:rsidR="00A8375B">
              <w:rPr>
                <w:noProof/>
                <w:webHidden/>
              </w:rPr>
              <w:tab/>
            </w:r>
            <w:r w:rsidR="00A8375B">
              <w:rPr>
                <w:noProof/>
                <w:webHidden/>
              </w:rPr>
              <w:fldChar w:fldCharType="begin"/>
            </w:r>
            <w:r w:rsidR="00A8375B">
              <w:rPr>
                <w:noProof/>
                <w:webHidden/>
              </w:rPr>
              <w:instrText xml:space="preserve"> PAGEREF _Toc90910797 \h </w:instrText>
            </w:r>
            <w:r w:rsidR="00A8375B">
              <w:rPr>
                <w:noProof/>
                <w:webHidden/>
              </w:rPr>
            </w:r>
            <w:r w:rsidR="00A8375B">
              <w:rPr>
                <w:noProof/>
                <w:webHidden/>
              </w:rPr>
              <w:fldChar w:fldCharType="separate"/>
            </w:r>
            <w:r w:rsidR="00A8375B">
              <w:rPr>
                <w:noProof/>
                <w:webHidden/>
              </w:rPr>
              <w:t>49</w:t>
            </w:r>
            <w:r w:rsidR="00A8375B">
              <w:rPr>
                <w:noProof/>
                <w:webHidden/>
              </w:rPr>
              <w:fldChar w:fldCharType="end"/>
            </w:r>
          </w:hyperlink>
        </w:p>
        <w:p w14:paraId="42426B18" w14:textId="708F15FE"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798" w:history="1">
            <w:r w:rsidR="00A8375B" w:rsidRPr="009E3DDD">
              <w:rPr>
                <w:rStyle w:val="Lienhypertexte"/>
                <w:rFonts w:ascii="Times New Roman" w:hAnsi="Times New Roman"/>
                <w:b/>
                <w:bCs/>
                <w:noProof/>
              </w:rPr>
              <w:t>6.</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PERSPECTIVES EN CE QUI CONCERNE LES PAYS VOISINS, LA REGION ET LA SOUS-REGION</w:t>
            </w:r>
            <w:r w:rsidR="00A8375B">
              <w:rPr>
                <w:noProof/>
                <w:webHidden/>
              </w:rPr>
              <w:tab/>
            </w:r>
            <w:r w:rsidR="00A8375B">
              <w:rPr>
                <w:noProof/>
                <w:webHidden/>
              </w:rPr>
              <w:fldChar w:fldCharType="begin"/>
            </w:r>
            <w:r w:rsidR="00A8375B">
              <w:rPr>
                <w:noProof/>
                <w:webHidden/>
              </w:rPr>
              <w:instrText xml:space="preserve"> PAGEREF _Toc90910798 \h </w:instrText>
            </w:r>
            <w:r w:rsidR="00A8375B">
              <w:rPr>
                <w:noProof/>
                <w:webHidden/>
              </w:rPr>
            </w:r>
            <w:r w:rsidR="00A8375B">
              <w:rPr>
                <w:noProof/>
                <w:webHidden/>
              </w:rPr>
              <w:fldChar w:fldCharType="separate"/>
            </w:r>
            <w:r w:rsidR="00A8375B">
              <w:rPr>
                <w:noProof/>
                <w:webHidden/>
              </w:rPr>
              <w:t>56</w:t>
            </w:r>
            <w:r w:rsidR="00A8375B">
              <w:rPr>
                <w:noProof/>
                <w:webHidden/>
              </w:rPr>
              <w:fldChar w:fldCharType="end"/>
            </w:r>
          </w:hyperlink>
        </w:p>
        <w:p w14:paraId="09134785" w14:textId="27C09884"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799" w:history="1">
            <w:r w:rsidR="00A8375B" w:rsidRPr="009E3DDD">
              <w:rPr>
                <w:rStyle w:val="Lienhypertexte"/>
                <w:rFonts w:ascii="Times New Roman" w:hAnsi="Times New Roman"/>
                <w:b/>
                <w:bCs/>
                <w:noProof/>
              </w:rPr>
              <w:t>7.</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FINANCEMENT ET POSSIBILITES DE FINANCEMENT</w:t>
            </w:r>
            <w:r w:rsidR="00A8375B">
              <w:rPr>
                <w:noProof/>
                <w:webHidden/>
              </w:rPr>
              <w:tab/>
            </w:r>
            <w:r w:rsidR="00A8375B">
              <w:rPr>
                <w:noProof/>
                <w:webHidden/>
              </w:rPr>
              <w:fldChar w:fldCharType="begin"/>
            </w:r>
            <w:r w:rsidR="00A8375B">
              <w:rPr>
                <w:noProof/>
                <w:webHidden/>
              </w:rPr>
              <w:instrText xml:space="preserve"> PAGEREF _Toc90910799 \h </w:instrText>
            </w:r>
            <w:r w:rsidR="00A8375B">
              <w:rPr>
                <w:noProof/>
                <w:webHidden/>
              </w:rPr>
            </w:r>
            <w:r w:rsidR="00A8375B">
              <w:rPr>
                <w:noProof/>
                <w:webHidden/>
              </w:rPr>
              <w:fldChar w:fldCharType="separate"/>
            </w:r>
            <w:r w:rsidR="00A8375B">
              <w:rPr>
                <w:noProof/>
                <w:webHidden/>
              </w:rPr>
              <w:t>61</w:t>
            </w:r>
            <w:r w:rsidR="00A8375B">
              <w:rPr>
                <w:noProof/>
                <w:webHidden/>
              </w:rPr>
              <w:fldChar w:fldCharType="end"/>
            </w:r>
          </w:hyperlink>
        </w:p>
        <w:p w14:paraId="43AB7DF3" w14:textId="42320B3E"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807" w:history="1">
            <w:r w:rsidR="00A8375B" w:rsidRPr="009E3DDD">
              <w:rPr>
                <w:rStyle w:val="Lienhypertexte"/>
                <w:rFonts w:ascii="Calibri Light" w:eastAsia="Times New Roman" w:hAnsi="Calibri Light"/>
                <w:b/>
                <w:noProof/>
                <w:lang w:val="fr"/>
              </w:rPr>
              <w:t>7.1.</w:t>
            </w:r>
            <w:r w:rsidR="00A8375B">
              <w:rPr>
                <w:rFonts w:asciiTheme="minorHAnsi" w:eastAsiaTheme="minorEastAsia" w:hAnsiTheme="minorHAnsi" w:cstheme="minorBidi"/>
                <w:noProof/>
                <w:lang w:eastAsia="fr-FR"/>
              </w:rPr>
              <w:tab/>
            </w:r>
            <w:r w:rsidR="00A8375B" w:rsidRPr="009E3DDD">
              <w:rPr>
                <w:rStyle w:val="Lienhypertexte"/>
                <w:rFonts w:ascii="Calibri Light" w:eastAsia="Times New Roman" w:hAnsi="Calibri Light"/>
                <w:b/>
                <w:noProof/>
                <w:lang w:val="fr"/>
              </w:rPr>
              <w:t>Financement de quelques objectifs de développement durable</w:t>
            </w:r>
            <w:r w:rsidR="00A8375B">
              <w:rPr>
                <w:noProof/>
                <w:webHidden/>
              </w:rPr>
              <w:tab/>
            </w:r>
            <w:r w:rsidR="00A8375B">
              <w:rPr>
                <w:noProof/>
                <w:webHidden/>
              </w:rPr>
              <w:fldChar w:fldCharType="begin"/>
            </w:r>
            <w:r w:rsidR="00A8375B">
              <w:rPr>
                <w:noProof/>
                <w:webHidden/>
              </w:rPr>
              <w:instrText xml:space="preserve"> PAGEREF _Toc90910807 \h </w:instrText>
            </w:r>
            <w:r w:rsidR="00A8375B">
              <w:rPr>
                <w:noProof/>
                <w:webHidden/>
              </w:rPr>
            </w:r>
            <w:r w:rsidR="00A8375B">
              <w:rPr>
                <w:noProof/>
                <w:webHidden/>
              </w:rPr>
              <w:fldChar w:fldCharType="separate"/>
            </w:r>
            <w:r w:rsidR="00A8375B">
              <w:rPr>
                <w:noProof/>
                <w:webHidden/>
              </w:rPr>
              <w:t>61</w:t>
            </w:r>
            <w:r w:rsidR="00A8375B">
              <w:rPr>
                <w:noProof/>
                <w:webHidden/>
              </w:rPr>
              <w:fldChar w:fldCharType="end"/>
            </w:r>
          </w:hyperlink>
        </w:p>
        <w:p w14:paraId="250BBBCE" w14:textId="5A539B19"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808" w:history="1">
            <w:r w:rsidR="00A8375B" w:rsidRPr="009E3DDD">
              <w:rPr>
                <w:rStyle w:val="Lienhypertexte"/>
                <w:rFonts w:ascii="Calibri Light" w:eastAsia="Times New Roman" w:hAnsi="Calibri Light"/>
                <w:b/>
                <w:noProof/>
                <w:lang w:val="fr"/>
              </w:rPr>
              <w:t>7.2.</w:t>
            </w:r>
            <w:r w:rsidR="00A8375B">
              <w:rPr>
                <w:rFonts w:asciiTheme="minorHAnsi" w:eastAsiaTheme="minorEastAsia" w:hAnsiTheme="minorHAnsi" w:cstheme="minorBidi"/>
                <w:noProof/>
                <w:lang w:eastAsia="fr-FR"/>
              </w:rPr>
              <w:tab/>
            </w:r>
            <w:r w:rsidR="00A8375B" w:rsidRPr="009E3DDD">
              <w:rPr>
                <w:rStyle w:val="Lienhypertexte"/>
                <w:rFonts w:ascii="Calibri Light" w:eastAsia="Times New Roman" w:hAnsi="Calibri Light"/>
                <w:b/>
                <w:noProof/>
                <w:lang w:val="fr"/>
              </w:rPr>
              <w:t>Sources potentielles de financement des objectifs de développement durable</w:t>
            </w:r>
            <w:r w:rsidR="00A8375B">
              <w:rPr>
                <w:noProof/>
                <w:webHidden/>
              </w:rPr>
              <w:tab/>
            </w:r>
            <w:r w:rsidR="00A8375B">
              <w:rPr>
                <w:noProof/>
                <w:webHidden/>
              </w:rPr>
              <w:fldChar w:fldCharType="begin"/>
            </w:r>
            <w:r w:rsidR="00A8375B">
              <w:rPr>
                <w:noProof/>
                <w:webHidden/>
              </w:rPr>
              <w:instrText xml:space="preserve"> PAGEREF _Toc90910808 \h </w:instrText>
            </w:r>
            <w:r w:rsidR="00A8375B">
              <w:rPr>
                <w:noProof/>
                <w:webHidden/>
              </w:rPr>
            </w:r>
            <w:r w:rsidR="00A8375B">
              <w:rPr>
                <w:noProof/>
                <w:webHidden/>
              </w:rPr>
              <w:fldChar w:fldCharType="separate"/>
            </w:r>
            <w:r w:rsidR="00A8375B">
              <w:rPr>
                <w:noProof/>
                <w:webHidden/>
              </w:rPr>
              <w:t>64</w:t>
            </w:r>
            <w:r w:rsidR="00A8375B">
              <w:rPr>
                <w:noProof/>
                <w:webHidden/>
              </w:rPr>
              <w:fldChar w:fldCharType="end"/>
            </w:r>
          </w:hyperlink>
        </w:p>
        <w:p w14:paraId="4E309039" w14:textId="6201A329"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809" w:history="1">
            <w:r w:rsidR="00A8375B" w:rsidRPr="009E3DDD">
              <w:rPr>
                <w:rStyle w:val="Lienhypertexte"/>
                <w:rFonts w:ascii="Times New Roman" w:hAnsi="Times New Roman"/>
                <w:b/>
                <w:bCs/>
                <w:noProof/>
              </w:rPr>
              <w:t>8.</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ANALYSE DES RISQUES</w:t>
            </w:r>
            <w:r w:rsidR="00A8375B">
              <w:rPr>
                <w:noProof/>
                <w:webHidden/>
              </w:rPr>
              <w:tab/>
            </w:r>
            <w:r w:rsidR="00A8375B">
              <w:rPr>
                <w:noProof/>
                <w:webHidden/>
              </w:rPr>
              <w:fldChar w:fldCharType="begin"/>
            </w:r>
            <w:r w:rsidR="00A8375B">
              <w:rPr>
                <w:noProof/>
                <w:webHidden/>
              </w:rPr>
              <w:instrText xml:space="preserve"> PAGEREF _Toc90910809 \h </w:instrText>
            </w:r>
            <w:r w:rsidR="00A8375B">
              <w:rPr>
                <w:noProof/>
                <w:webHidden/>
              </w:rPr>
            </w:r>
            <w:r w:rsidR="00A8375B">
              <w:rPr>
                <w:noProof/>
                <w:webHidden/>
              </w:rPr>
              <w:fldChar w:fldCharType="separate"/>
            </w:r>
            <w:r w:rsidR="00A8375B">
              <w:rPr>
                <w:noProof/>
                <w:webHidden/>
              </w:rPr>
              <w:t>70</w:t>
            </w:r>
            <w:r w:rsidR="00A8375B">
              <w:rPr>
                <w:noProof/>
                <w:webHidden/>
              </w:rPr>
              <w:fldChar w:fldCharType="end"/>
            </w:r>
          </w:hyperlink>
        </w:p>
        <w:p w14:paraId="3819B200" w14:textId="5CE6FB7E"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818" w:history="1">
            <w:r w:rsidR="00A8375B" w:rsidRPr="009E3DDD">
              <w:rPr>
                <w:rStyle w:val="Lienhypertexte"/>
                <w:b/>
                <w:noProof/>
              </w:rPr>
              <w:t>8.1.</w:t>
            </w:r>
            <w:r w:rsidR="00A8375B">
              <w:rPr>
                <w:rFonts w:asciiTheme="minorHAnsi" w:eastAsiaTheme="minorEastAsia" w:hAnsiTheme="minorHAnsi" w:cstheme="minorBidi"/>
                <w:noProof/>
                <w:lang w:eastAsia="fr-FR"/>
              </w:rPr>
              <w:tab/>
            </w:r>
            <w:r w:rsidR="00A8375B" w:rsidRPr="009E3DDD">
              <w:rPr>
                <w:rStyle w:val="Lienhypertexte"/>
                <w:b/>
                <w:noProof/>
              </w:rPr>
              <w:t>Quelques indicateurs d’alerte à suivre pour le développement face aux risques</w:t>
            </w:r>
            <w:r w:rsidR="00A8375B">
              <w:rPr>
                <w:noProof/>
                <w:webHidden/>
              </w:rPr>
              <w:tab/>
            </w:r>
            <w:r w:rsidR="00A8375B">
              <w:rPr>
                <w:noProof/>
                <w:webHidden/>
              </w:rPr>
              <w:fldChar w:fldCharType="begin"/>
            </w:r>
            <w:r w:rsidR="00A8375B">
              <w:rPr>
                <w:noProof/>
                <w:webHidden/>
              </w:rPr>
              <w:instrText xml:space="preserve"> PAGEREF _Toc90910818 \h </w:instrText>
            </w:r>
            <w:r w:rsidR="00A8375B">
              <w:rPr>
                <w:noProof/>
                <w:webHidden/>
              </w:rPr>
            </w:r>
            <w:r w:rsidR="00A8375B">
              <w:rPr>
                <w:noProof/>
                <w:webHidden/>
              </w:rPr>
              <w:fldChar w:fldCharType="separate"/>
            </w:r>
            <w:r w:rsidR="00A8375B">
              <w:rPr>
                <w:noProof/>
                <w:webHidden/>
              </w:rPr>
              <w:t>71</w:t>
            </w:r>
            <w:r w:rsidR="00A8375B">
              <w:rPr>
                <w:noProof/>
                <w:webHidden/>
              </w:rPr>
              <w:fldChar w:fldCharType="end"/>
            </w:r>
          </w:hyperlink>
        </w:p>
        <w:p w14:paraId="4CCE74EE" w14:textId="444700F2" w:rsidR="00A8375B" w:rsidRDefault="0080316C">
          <w:pPr>
            <w:pStyle w:val="TM2"/>
            <w:tabs>
              <w:tab w:val="left" w:pos="880"/>
              <w:tab w:val="right" w:leader="dot" w:pos="9911"/>
            </w:tabs>
            <w:rPr>
              <w:rFonts w:asciiTheme="minorHAnsi" w:eastAsiaTheme="minorEastAsia" w:hAnsiTheme="minorHAnsi" w:cstheme="minorBidi"/>
              <w:noProof/>
              <w:lang w:eastAsia="fr-FR"/>
            </w:rPr>
          </w:pPr>
          <w:hyperlink w:anchor="_Toc90910819" w:history="1">
            <w:r w:rsidR="00A8375B" w:rsidRPr="009E3DDD">
              <w:rPr>
                <w:rStyle w:val="Lienhypertexte"/>
                <w:b/>
                <w:noProof/>
              </w:rPr>
              <w:t>8.2.</w:t>
            </w:r>
            <w:r w:rsidR="00A8375B">
              <w:rPr>
                <w:rFonts w:asciiTheme="minorHAnsi" w:eastAsiaTheme="minorEastAsia" w:hAnsiTheme="minorHAnsi" w:cstheme="minorBidi"/>
                <w:noProof/>
                <w:lang w:eastAsia="fr-FR"/>
              </w:rPr>
              <w:tab/>
            </w:r>
            <w:r w:rsidR="00A8375B" w:rsidRPr="009E3DDD">
              <w:rPr>
                <w:rStyle w:val="Lienhypertexte"/>
                <w:b/>
                <w:noProof/>
              </w:rPr>
              <w:t>Facteurs de risque, vulnérabilité, besoins et probabilité</w:t>
            </w:r>
            <w:r w:rsidR="00A8375B">
              <w:rPr>
                <w:noProof/>
                <w:webHidden/>
              </w:rPr>
              <w:tab/>
            </w:r>
            <w:r w:rsidR="00A8375B">
              <w:rPr>
                <w:noProof/>
                <w:webHidden/>
              </w:rPr>
              <w:fldChar w:fldCharType="begin"/>
            </w:r>
            <w:r w:rsidR="00A8375B">
              <w:rPr>
                <w:noProof/>
                <w:webHidden/>
              </w:rPr>
              <w:instrText xml:space="preserve"> PAGEREF _Toc90910819 \h </w:instrText>
            </w:r>
            <w:r w:rsidR="00A8375B">
              <w:rPr>
                <w:noProof/>
                <w:webHidden/>
              </w:rPr>
            </w:r>
            <w:r w:rsidR="00A8375B">
              <w:rPr>
                <w:noProof/>
                <w:webHidden/>
              </w:rPr>
              <w:fldChar w:fldCharType="separate"/>
            </w:r>
            <w:r w:rsidR="00A8375B">
              <w:rPr>
                <w:noProof/>
                <w:webHidden/>
              </w:rPr>
              <w:t>73</w:t>
            </w:r>
            <w:r w:rsidR="00A8375B">
              <w:rPr>
                <w:noProof/>
                <w:webHidden/>
              </w:rPr>
              <w:fldChar w:fldCharType="end"/>
            </w:r>
          </w:hyperlink>
        </w:p>
        <w:p w14:paraId="27689A84" w14:textId="0DD93CF9" w:rsidR="00A8375B" w:rsidRDefault="0080316C">
          <w:pPr>
            <w:pStyle w:val="TM1"/>
            <w:tabs>
              <w:tab w:val="left" w:pos="440"/>
              <w:tab w:val="right" w:leader="dot" w:pos="9911"/>
            </w:tabs>
            <w:rPr>
              <w:rFonts w:asciiTheme="minorHAnsi" w:eastAsiaTheme="minorEastAsia" w:hAnsiTheme="minorHAnsi" w:cstheme="minorBidi"/>
              <w:noProof/>
              <w:lang w:eastAsia="fr-FR"/>
            </w:rPr>
          </w:pPr>
          <w:hyperlink w:anchor="_Toc90910820" w:history="1">
            <w:r w:rsidR="00A8375B" w:rsidRPr="009E3DDD">
              <w:rPr>
                <w:rStyle w:val="Lienhypertexte"/>
                <w:rFonts w:ascii="Times New Roman" w:hAnsi="Times New Roman"/>
                <w:b/>
                <w:bCs/>
                <w:noProof/>
              </w:rPr>
              <w:t>9.</w:t>
            </w:r>
            <w:r w:rsidR="00A8375B">
              <w:rPr>
                <w:rFonts w:asciiTheme="minorHAnsi" w:eastAsiaTheme="minorEastAsia" w:hAnsiTheme="minorHAnsi" w:cstheme="minorBidi"/>
                <w:noProof/>
                <w:lang w:eastAsia="fr-FR"/>
              </w:rPr>
              <w:tab/>
            </w:r>
            <w:r w:rsidR="00A8375B" w:rsidRPr="009E3DDD">
              <w:rPr>
                <w:rStyle w:val="Lienhypertexte"/>
                <w:rFonts w:ascii="Times New Roman" w:hAnsi="Times New Roman"/>
                <w:b/>
                <w:bCs/>
                <w:noProof/>
              </w:rPr>
              <w:t>LACUNES A COMBLER ET DIFFICULTES RENCONTREES DANS LA REALISATION DU PROGRAMME 2030</w:t>
            </w:r>
            <w:r w:rsidR="00A8375B">
              <w:rPr>
                <w:noProof/>
                <w:webHidden/>
              </w:rPr>
              <w:tab/>
            </w:r>
            <w:r w:rsidR="00A8375B">
              <w:rPr>
                <w:noProof/>
                <w:webHidden/>
              </w:rPr>
              <w:fldChar w:fldCharType="begin"/>
            </w:r>
            <w:r w:rsidR="00A8375B">
              <w:rPr>
                <w:noProof/>
                <w:webHidden/>
              </w:rPr>
              <w:instrText xml:space="preserve"> PAGEREF _Toc90910820 \h </w:instrText>
            </w:r>
            <w:r w:rsidR="00A8375B">
              <w:rPr>
                <w:noProof/>
                <w:webHidden/>
              </w:rPr>
            </w:r>
            <w:r w:rsidR="00A8375B">
              <w:rPr>
                <w:noProof/>
                <w:webHidden/>
              </w:rPr>
              <w:fldChar w:fldCharType="separate"/>
            </w:r>
            <w:r w:rsidR="00A8375B">
              <w:rPr>
                <w:noProof/>
                <w:webHidden/>
              </w:rPr>
              <w:t>78</w:t>
            </w:r>
            <w:r w:rsidR="00A8375B">
              <w:rPr>
                <w:noProof/>
                <w:webHidden/>
              </w:rPr>
              <w:fldChar w:fldCharType="end"/>
            </w:r>
          </w:hyperlink>
        </w:p>
        <w:p w14:paraId="72FC7B70" w14:textId="49E6F504" w:rsidR="00A8375B" w:rsidRDefault="0080316C">
          <w:pPr>
            <w:pStyle w:val="TM1"/>
            <w:tabs>
              <w:tab w:val="right" w:leader="dot" w:pos="9911"/>
            </w:tabs>
            <w:rPr>
              <w:rFonts w:asciiTheme="minorHAnsi" w:eastAsiaTheme="minorEastAsia" w:hAnsiTheme="minorHAnsi" w:cstheme="minorBidi"/>
              <w:noProof/>
              <w:lang w:eastAsia="fr-FR"/>
            </w:rPr>
          </w:pPr>
          <w:hyperlink w:anchor="_Toc90910821" w:history="1">
            <w:r w:rsidR="00A8375B" w:rsidRPr="009E3DDD">
              <w:rPr>
                <w:rStyle w:val="Lienhypertexte"/>
                <w:rFonts w:ascii="Times New Roman" w:hAnsi="Times New Roman"/>
                <w:b/>
                <w:bCs/>
                <w:noProof/>
              </w:rPr>
              <w:t>ANNEXE 1 :</w:t>
            </w:r>
            <w:r w:rsidR="00A8375B">
              <w:rPr>
                <w:noProof/>
                <w:webHidden/>
              </w:rPr>
              <w:tab/>
            </w:r>
            <w:r w:rsidR="00A8375B">
              <w:rPr>
                <w:noProof/>
                <w:webHidden/>
              </w:rPr>
              <w:fldChar w:fldCharType="begin"/>
            </w:r>
            <w:r w:rsidR="00A8375B">
              <w:rPr>
                <w:noProof/>
                <w:webHidden/>
              </w:rPr>
              <w:instrText xml:space="preserve"> PAGEREF _Toc90910821 \h </w:instrText>
            </w:r>
            <w:r w:rsidR="00A8375B">
              <w:rPr>
                <w:noProof/>
                <w:webHidden/>
              </w:rPr>
            </w:r>
            <w:r w:rsidR="00A8375B">
              <w:rPr>
                <w:noProof/>
                <w:webHidden/>
              </w:rPr>
              <w:fldChar w:fldCharType="separate"/>
            </w:r>
            <w:r w:rsidR="00A8375B">
              <w:rPr>
                <w:noProof/>
                <w:webHidden/>
              </w:rPr>
              <w:t>90</w:t>
            </w:r>
            <w:r w:rsidR="00A8375B">
              <w:rPr>
                <w:noProof/>
                <w:webHidden/>
              </w:rPr>
              <w:fldChar w:fldCharType="end"/>
            </w:r>
          </w:hyperlink>
        </w:p>
        <w:p w14:paraId="5B186E73" w14:textId="65ECA874" w:rsidR="00A8375B" w:rsidRDefault="0080316C">
          <w:pPr>
            <w:pStyle w:val="TM1"/>
            <w:tabs>
              <w:tab w:val="right" w:leader="dot" w:pos="9911"/>
            </w:tabs>
            <w:rPr>
              <w:rFonts w:asciiTheme="minorHAnsi" w:eastAsiaTheme="minorEastAsia" w:hAnsiTheme="minorHAnsi" w:cstheme="minorBidi"/>
              <w:noProof/>
              <w:lang w:eastAsia="fr-FR"/>
            </w:rPr>
          </w:pPr>
          <w:hyperlink w:anchor="_Toc90910822" w:history="1">
            <w:r w:rsidR="00A8375B" w:rsidRPr="009E3DDD">
              <w:rPr>
                <w:rStyle w:val="Lienhypertexte"/>
                <w:rFonts w:ascii="Times New Roman" w:hAnsi="Times New Roman"/>
                <w:b/>
                <w:bCs/>
                <w:noProof/>
              </w:rPr>
              <w:t>VARIATIONS DE LA PREVALENCE DE LA VIOLENCE BASEE SUR LE GENRE</w:t>
            </w:r>
            <w:r w:rsidR="00A8375B">
              <w:rPr>
                <w:noProof/>
                <w:webHidden/>
              </w:rPr>
              <w:tab/>
            </w:r>
            <w:r w:rsidR="00A8375B">
              <w:rPr>
                <w:noProof/>
                <w:webHidden/>
              </w:rPr>
              <w:fldChar w:fldCharType="begin"/>
            </w:r>
            <w:r w:rsidR="00A8375B">
              <w:rPr>
                <w:noProof/>
                <w:webHidden/>
              </w:rPr>
              <w:instrText xml:space="preserve"> PAGEREF _Toc90910822 \h </w:instrText>
            </w:r>
            <w:r w:rsidR="00A8375B">
              <w:rPr>
                <w:noProof/>
                <w:webHidden/>
              </w:rPr>
            </w:r>
            <w:r w:rsidR="00A8375B">
              <w:rPr>
                <w:noProof/>
                <w:webHidden/>
              </w:rPr>
              <w:fldChar w:fldCharType="separate"/>
            </w:r>
            <w:r w:rsidR="00A8375B">
              <w:rPr>
                <w:noProof/>
                <w:webHidden/>
              </w:rPr>
              <w:t>91</w:t>
            </w:r>
            <w:r w:rsidR="00A8375B">
              <w:rPr>
                <w:noProof/>
                <w:webHidden/>
              </w:rPr>
              <w:fldChar w:fldCharType="end"/>
            </w:r>
          </w:hyperlink>
        </w:p>
        <w:p w14:paraId="535207DE" w14:textId="25388ECB" w:rsidR="00A8375B" w:rsidRDefault="0080316C">
          <w:pPr>
            <w:pStyle w:val="TM1"/>
            <w:tabs>
              <w:tab w:val="right" w:leader="dot" w:pos="9911"/>
            </w:tabs>
            <w:rPr>
              <w:rFonts w:asciiTheme="minorHAnsi" w:eastAsiaTheme="minorEastAsia" w:hAnsiTheme="minorHAnsi" w:cstheme="minorBidi"/>
              <w:noProof/>
              <w:lang w:eastAsia="fr-FR"/>
            </w:rPr>
          </w:pPr>
          <w:hyperlink w:anchor="_Toc90910823" w:history="1">
            <w:r w:rsidR="00A8375B" w:rsidRPr="009E3DDD">
              <w:rPr>
                <w:rStyle w:val="Lienhypertexte"/>
                <w:rFonts w:ascii="Times New Roman" w:hAnsi="Times New Roman"/>
                <w:b/>
                <w:bCs/>
                <w:noProof/>
              </w:rPr>
              <w:t>ANNEXE 5 : Evolution des principaux indicateurs scolaires du Tchad sur la période 2015 – 2019</w:t>
            </w:r>
            <w:r w:rsidR="00A8375B">
              <w:rPr>
                <w:noProof/>
                <w:webHidden/>
              </w:rPr>
              <w:tab/>
            </w:r>
            <w:r w:rsidR="00A8375B">
              <w:rPr>
                <w:noProof/>
                <w:webHidden/>
              </w:rPr>
              <w:fldChar w:fldCharType="begin"/>
            </w:r>
            <w:r w:rsidR="00A8375B">
              <w:rPr>
                <w:noProof/>
                <w:webHidden/>
              </w:rPr>
              <w:instrText xml:space="preserve"> PAGEREF _Toc90910823 \h </w:instrText>
            </w:r>
            <w:r w:rsidR="00A8375B">
              <w:rPr>
                <w:noProof/>
                <w:webHidden/>
              </w:rPr>
            </w:r>
            <w:r w:rsidR="00A8375B">
              <w:rPr>
                <w:noProof/>
                <w:webHidden/>
              </w:rPr>
              <w:fldChar w:fldCharType="separate"/>
            </w:r>
            <w:r w:rsidR="00A8375B">
              <w:rPr>
                <w:noProof/>
                <w:webHidden/>
              </w:rPr>
              <w:t>94</w:t>
            </w:r>
            <w:r w:rsidR="00A8375B">
              <w:rPr>
                <w:noProof/>
                <w:webHidden/>
              </w:rPr>
              <w:fldChar w:fldCharType="end"/>
            </w:r>
          </w:hyperlink>
        </w:p>
        <w:p w14:paraId="71F179C0" w14:textId="0D04C48A" w:rsidR="00C87C7F" w:rsidRDefault="00C87C7F" w:rsidP="00414A31">
          <w:r w:rsidRPr="00A8375B">
            <w:rPr>
              <w:b/>
              <w:sz w:val="20"/>
            </w:rPr>
            <w:fldChar w:fldCharType="end"/>
          </w:r>
        </w:p>
      </w:sdtContent>
    </w:sdt>
    <w:p w14:paraId="1707FB3E" w14:textId="77777777" w:rsidR="00F060D7" w:rsidRDefault="00F060D7" w:rsidP="00CD37DE">
      <w:pPr>
        <w:pStyle w:val="Titre1"/>
        <w:rPr>
          <w:rFonts w:ascii="Times New Roman" w:hAnsi="Times New Roman"/>
          <w:b/>
          <w:bCs/>
        </w:rPr>
      </w:pPr>
      <w:bookmarkStart w:id="0" w:name="_Toc51745189"/>
      <w:bookmarkStart w:id="1" w:name="_Toc55372890"/>
      <w:bookmarkStart w:id="2" w:name="_Toc55539094"/>
    </w:p>
    <w:p w14:paraId="2E8192D3" w14:textId="05833EAC" w:rsidR="00CD37DE" w:rsidRPr="00CD37DE" w:rsidRDefault="00CD37DE" w:rsidP="00CD37DE">
      <w:pPr>
        <w:pStyle w:val="Titre1"/>
        <w:rPr>
          <w:rFonts w:ascii="Times New Roman" w:hAnsi="Times New Roman"/>
          <w:b/>
          <w:bCs/>
        </w:rPr>
      </w:pPr>
      <w:bookmarkStart w:id="3" w:name="_Toc61523563"/>
      <w:bookmarkStart w:id="4" w:name="_Toc90910778"/>
      <w:r w:rsidRPr="00CD37DE">
        <w:rPr>
          <w:rFonts w:ascii="Times New Roman" w:hAnsi="Times New Roman"/>
          <w:b/>
          <w:bCs/>
        </w:rPr>
        <w:t>RESUME ANALYTIQUE</w:t>
      </w:r>
      <w:bookmarkEnd w:id="0"/>
      <w:bookmarkEnd w:id="1"/>
      <w:bookmarkEnd w:id="2"/>
      <w:bookmarkEnd w:id="3"/>
      <w:bookmarkEnd w:id="4"/>
    </w:p>
    <w:p w14:paraId="3BEA6306" w14:textId="77777777" w:rsidR="00CD37DE" w:rsidRPr="00CD37DE" w:rsidRDefault="00CD37DE" w:rsidP="00CD37DE">
      <w:pPr>
        <w:spacing w:after="0"/>
        <w:ind w:left="360"/>
        <w:jc w:val="both"/>
        <w:rPr>
          <w:color w:val="C45911"/>
          <w:sz w:val="24"/>
        </w:rPr>
      </w:pPr>
    </w:p>
    <w:p w14:paraId="0303C137" w14:textId="76711FDD" w:rsidR="00B91FB7" w:rsidRPr="00CA2C3D" w:rsidRDefault="00B91FB7" w:rsidP="071302E4">
      <w:pPr>
        <w:spacing w:after="0"/>
        <w:jc w:val="both"/>
        <w:rPr>
          <w:rFonts w:ascii="Times New Roman" w:hAnsi="Times New Roman"/>
          <w:sz w:val="24"/>
          <w:szCs w:val="24"/>
        </w:rPr>
      </w:pPr>
      <w:bookmarkStart w:id="5" w:name="_Toc51745190"/>
      <w:bookmarkStart w:id="6" w:name="_Toc55372891"/>
      <w:bookmarkStart w:id="7" w:name="_Toc55539095"/>
      <w:r w:rsidRPr="00CA2C3D">
        <w:rPr>
          <w:rFonts w:ascii="Times New Roman" w:hAnsi="Times New Roman"/>
          <w:sz w:val="24"/>
          <w:szCs w:val="24"/>
        </w:rPr>
        <w:t>Avec une superficie de 1 284 000 Km</w:t>
      </w:r>
      <w:r w:rsidRPr="00CA2C3D">
        <w:rPr>
          <w:rFonts w:ascii="Times New Roman" w:hAnsi="Times New Roman"/>
          <w:sz w:val="24"/>
          <w:szCs w:val="24"/>
          <w:vertAlign w:val="superscript"/>
        </w:rPr>
        <w:t>2</w:t>
      </w:r>
      <w:r w:rsidRPr="00CA2C3D">
        <w:rPr>
          <w:rFonts w:ascii="Times New Roman" w:hAnsi="Times New Roman"/>
          <w:sz w:val="24"/>
          <w:szCs w:val="24"/>
        </w:rPr>
        <w:t xml:space="preserve"> faisant de lui le cinquième plus grand pays d’Afrique, le Tchad est un pays enclavé d’Afrique centrale qui partage ses frontières au Nord avec la Libye, à l'Est, avec le Soudan, au Sud, avec la République Centrafricaine et, à l'Ouest, avec le Cameroun, le Nigeria et le Niger. Selon le rapport sur les perspectives de la population mondiale 2019 des Nations Unies, la population tchadienne est estimée à 16,4 millions d’habitants en 2020 avec une croissance démographique de 3%, l'une des plus élevées d'Afrique subsaharienne. Cette population est composée de 51% de femmes</w:t>
      </w:r>
      <w:r w:rsidR="20FE5EC6" w:rsidRPr="00CA2C3D">
        <w:rPr>
          <w:rFonts w:ascii="Times New Roman" w:hAnsi="Times New Roman"/>
          <w:sz w:val="24"/>
          <w:szCs w:val="24"/>
        </w:rPr>
        <w:t>,</w:t>
      </w:r>
      <w:r w:rsidRPr="00CA2C3D">
        <w:rPr>
          <w:rFonts w:ascii="Times New Roman" w:hAnsi="Times New Roman"/>
          <w:sz w:val="24"/>
          <w:szCs w:val="24"/>
        </w:rPr>
        <w:t xml:space="preserve"> 67% de</w:t>
      </w:r>
      <w:r w:rsidR="326FF02E" w:rsidRPr="00CA2C3D">
        <w:rPr>
          <w:rFonts w:ascii="Times New Roman" w:hAnsi="Times New Roman"/>
          <w:sz w:val="24"/>
          <w:szCs w:val="24"/>
        </w:rPr>
        <w:t xml:space="preserve"> jeunes de</w:t>
      </w:r>
      <w:r w:rsidRPr="00CA2C3D">
        <w:rPr>
          <w:rFonts w:ascii="Times New Roman" w:hAnsi="Times New Roman"/>
          <w:sz w:val="24"/>
          <w:szCs w:val="24"/>
        </w:rPr>
        <w:t xml:space="preserve"> moins de 25 ans et 55% de jeunes de moins de 15 ans. Selon la même source, la fécondité totale au Tchad est estimée à 5,3 enfants par femme sur la période de 2020-2025, l’espérance de vie à la naissance s’est quant à elle améliorée passant de 49,6 ans (44 ans pour les</w:t>
      </w:r>
      <w:r w:rsidRPr="00CA2C3D">
        <w:t xml:space="preserve"> </w:t>
      </w:r>
      <w:r w:rsidRPr="00CA2C3D">
        <w:rPr>
          <w:rFonts w:ascii="Times New Roman" w:hAnsi="Times New Roman"/>
          <w:sz w:val="24"/>
          <w:szCs w:val="24"/>
        </w:rPr>
        <w:t>hommes et 49 ans pour les femmes) à 57,5 ans (56,7 ans pour les hommes et 59,3 ans pour les femmes) entre 2010 et 2019.</w:t>
      </w:r>
    </w:p>
    <w:p w14:paraId="42180757" w14:textId="77777777" w:rsidR="00B91FB7" w:rsidRPr="00CA2C3D" w:rsidRDefault="00B91FB7" w:rsidP="00B91FB7">
      <w:pPr>
        <w:spacing w:after="0"/>
        <w:jc w:val="both"/>
        <w:rPr>
          <w:rFonts w:ascii="Times New Roman" w:hAnsi="Times New Roman"/>
          <w:sz w:val="24"/>
        </w:rPr>
      </w:pPr>
    </w:p>
    <w:p w14:paraId="2EDE5C77" w14:textId="5B1F6EF9" w:rsidR="00B91FB7" w:rsidRPr="00CA2C3D" w:rsidRDefault="00B91FB7" w:rsidP="00B91FB7">
      <w:pPr>
        <w:spacing w:after="0"/>
        <w:jc w:val="both"/>
        <w:rPr>
          <w:rFonts w:ascii="Times New Roman" w:hAnsi="Times New Roman"/>
          <w:sz w:val="24"/>
          <w:szCs w:val="24"/>
        </w:rPr>
      </w:pPr>
      <w:r w:rsidRPr="00CA2C3D">
        <w:rPr>
          <w:rFonts w:ascii="Times New Roman" w:hAnsi="Times New Roman"/>
          <w:sz w:val="24"/>
          <w:szCs w:val="24"/>
        </w:rPr>
        <w:t xml:space="preserve">Selon la quatrième enquête sur les conditions de vie des ménages et de pauvreté au Tchad (ECOSIT4, </w:t>
      </w:r>
      <w:r w:rsidR="00F44514">
        <w:rPr>
          <w:rFonts w:ascii="Times New Roman" w:hAnsi="Times New Roman"/>
          <w:sz w:val="24"/>
          <w:szCs w:val="24"/>
        </w:rPr>
        <w:t>2018/</w:t>
      </w:r>
      <w:r w:rsidRPr="00CA2C3D">
        <w:rPr>
          <w:rFonts w:ascii="Times New Roman" w:hAnsi="Times New Roman"/>
          <w:sz w:val="24"/>
          <w:szCs w:val="24"/>
        </w:rPr>
        <w:t>2019),</w:t>
      </w:r>
      <w:r w:rsidR="00B2138E" w:rsidRPr="00CA2C3D">
        <w:rPr>
          <w:rFonts w:ascii="Times New Roman" w:hAnsi="Times New Roman"/>
          <w:sz w:val="24"/>
          <w:szCs w:val="24"/>
        </w:rPr>
        <w:t xml:space="preserve"> l</w:t>
      </w:r>
      <w:r w:rsidRPr="00CA2C3D">
        <w:rPr>
          <w:rFonts w:ascii="Times New Roman" w:hAnsi="Times New Roman"/>
          <w:sz w:val="24"/>
          <w:szCs w:val="24"/>
        </w:rPr>
        <w:t>e Tchad a enregistré des progrès sur le front de la lutte contre la pauvreté, dont le taux national a baissé de 55 à 4</w:t>
      </w:r>
      <w:r w:rsidR="00FB62A5">
        <w:rPr>
          <w:rFonts w:ascii="Times New Roman" w:hAnsi="Times New Roman"/>
          <w:sz w:val="24"/>
          <w:szCs w:val="24"/>
        </w:rPr>
        <w:t>6,</w:t>
      </w:r>
      <w:r w:rsidRPr="00CA2C3D">
        <w:rPr>
          <w:rFonts w:ascii="Times New Roman" w:hAnsi="Times New Roman"/>
          <w:sz w:val="24"/>
          <w:szCs w:val="24"/>
        </w:rPr>
        <w:t>7</w:t>
      </w:r>
      <w:bookmarkStart w:id="8" w:name="_Hlk55981219"/>
      <w:r w:rsidRPr="00CA2C3D">
        <w:rPr>
          <w:rFonts w:ascii="Times New Roman" w:hAnsi="Times New Roman"/>
          <w:sz w:val="24"/>
          <w:szCs w:val="24"/>
        </w:rPr>
        <w:t>%</w:t>
      </w:r>
      <w:bookmarkEnd w:id="8"/>
      <w:r w:rsidRPr="00CA2C3D">
        <w:rPr>
          <w:rFonts w:ascii="Times New Roman" w:hAnsi="Times New Roman"/>
          <w:sz w:val="24"/>
          <w:szCs w:val="24"/>
        </w:rPr>
        <w:t xml:space="preserve"> entre 2003 et 2011. En </w:t>
      </w:r>
      <w:r w:rsidR="00244934">
        <w:rPr>
          <w:rFonts w:ascii="Times New Roman" w:hAnsi="Times New Roman"/>
          <w:sz w:val="24"/>
          <w:szCs w:val="24"/>
        </w:rPr>
        <w:t>2018/</w:t>
      </w:r>
      <w:r w:rsidRPr="00CA2C3D">
        <w:rPr>
          <w:rFonts w:ascii="Times New Roman" w:hAnsi="Times New Roman"/>
          <w:sz w:val="24"/>
          <w:szCs w:val="24"/>
        </w:rPr>
        <w:t xml:space="preserve">2019, selon la même source, ce taux </w:t>
      </w:r>
      <w:r w:rsidR="2DE32E5A" w:rsidRPr="00CA2C3D">
        <w:rPr>
          <w:rFonts w:ascii="Times New Roman" w:hAnsi="Times New Roman"/>
          <w:sz w:val="24"/>
          <w:szCs w:val="24"/>
        </w:rPr>
        <w:t>était</w:t>
      </w:r>
      <w:r w:rsidRPr="00CA2C3D">
        <w:rPr>
          <w:rFonts w:ascii="Times New Roman" w:hAnsi="Times New Roman"/>
          <w:sz w:val="24"/>
          <w:szCs w:val="24"/>
        </w:rPr>
        <w:t xml:space="preserve"> de 42,3%, Cependant le nombre de personnes pauvres a augmenté passant de 4,7 à 6,3 millions entre 2011 et 2018 du fait de la croissance démographique.</w:t>
      </w:r>
      <w:r w:rsidRPr="00CA2C3D">
        <w:t xml:space="preserve"> </w:t>
      </w:r>
      <w:r w:rsidRPr="00CA2C3D">
        <w:rPr>
          <w:rFonts w:ascii="Times New Roman" w:hAnsi="Times New Roman"/>
          <w:sz w:val="24"/>
          <w:szCs w:val="24"/>
        </w:rPr>
        <w:t>La pauvreté est aussi plus accentuée en zone rurale (49</w:t>
      </w:r>
      <w:r w:rsidR="1B2AB157" w:rsidRPr="00CA2C3D">
        <w:rPr>
          <w:rFonts w:ascii="Times New Roman" w:hAnsi="Times New Roman"/>
          <w:sz w:val="24"/>
          <w:szCs w:val="24"/>
        </w:rPr>
        <w:t>,</w:t>
      </w:r>
      <w:r w:rsidRPr="00CA2C3D">
        <w:rPr>
          <w:rFonts w:ascii="Times New Roman" w:hAnsi="Times New Roman"/>
          <w:sz w:val="24"/>
          <w:szCs w:val="24"/>
        </w:rPr>
        <w:t>7%) qu’en zone urbaine (19</w:t>
      </w:r>
      <w:r w:rsidR="1DF6BE7F" w:rsidRPr="00CA2C3D">
        <w:rPr>
          <w:rFonts w:ascii="Times New Roman" w:hAnsi="Times New Roman"/>
          <w:sz w:val="24"/>
          <w:szCs w:val="24"/>
        </w:rPr>
        <w:t>,</w:t>
      </w:r>
      <w:r w:rsidRPr="00CA2C3D">
        <w:rPr>
          <w:rFonts w:ascii="Times New Roman" w:hAnsi="Times New Roman"/>
          <w:sz w:val="24"/>
          <w:szCs w:val="24"/>
        </w:rPr>
        <w:t xml:space="preserve">3%). On note aussi une persistance des inégalités de revenus, </w:t>
      </w:r>
      <w:r w:rsidR="70E111D1" w:rsidRPr="00CA2C3D">
        <w:rPr>
          <w:rFonts w:ascii="Times New Roman" w:hAnsi="Times New Roman"/>
          <w:sz w:val="24"/>
          <w:szCs w:val="24"/>
        </w:rPr>
        <w:t>comme en témoigne</w:t>
      </w:r>
      <w:r w:rsidRPr="00CA2C3D">
        <w:rPr>
          <w:rFonts w:ascii="Times New Roman" w:hAnsi="Times New Roman"/>
          <w:sz w:val="24"/>
          <w:szCs w:val="24"/>
        </w:rPr>
        <w:t xml:space="preserve"> l’Indice de Gini </w:t>
      </w:r>
      <w:r w:rsidR="1D79950A" w:rsidRPr="00CA2C3D">
        <w:rPr>
          <w:rFonts w:ascii="Times New Roman" w:hAnsi="Times New Roman"/>
          <w:sz w:val="24"/>
          <w:szCs w:val="24"/>
        </w:rPr>
        <w:t xml:space="preserve">qui </w:t>
      </w:r>
      <w:r w:rsidRPr="00CA2C3D">
        <w:rPr>
          <w:rFonts w:ascii="Times New Roman" w:hAnsi="Times New Roman"/>
          <w:sz w:val="24"/>
          <w:szCs w:val="24"/>
        </w:rPr>
        <w:t>est passé de 39,4 en 2003 à 33</w:t>
      </w:r>
      <w:r w:rsidR="3CF6B007" w:rsidRPr="00CA2C3D">
        <w:rPr>
          <w:rFonts w:ascii="Times New Roman" w:hAnsi="Times New Roman"/>
          <w:sz w:val="24"/>
          <w:szCs w:val="24"/>
        </w:rPr>
        <w:t>,</w:t>
      </w:r>
      <w:r w:rsidRPr="00CA2C3D">
        <w:rPr>
          <w:rFonts w:ascii="Times New Roman" w:hAnsi="Times New Roman"/>
          <w:sz w:val="24"/>
          <w:szCs w:val="24"/>
        </w:rPr>
        <w:t>4 en 2018. L'indice de développement humain</w:t>
      </w:r>
      <w:r w:rsidR="00125D09" w:rsidRPr="00CA2C3D">
        <w:rPr>
          <w:rFonts w:ascii="Times New Roman" w:hAnsi="Times New Roman"/>
          <w:sz w:val="24"/>
          <w:szCs w:val="24"/>
        </w:rPr>
        <w:t xml:space="preserve"> (IDH)</w:t>
      </w:r>
      <w:r w:rsidRPr="00CA2C3D">
        <w:rPr>
          <w:rFonts w:ascii="Times New Roman" w:hAnsi="Times New Roman"/>
          <w:sz w:val="24"/>
          <w:szCs w:val="24"/>
        </w:rPr>
        <w:t xml:space="preserve"> de septembre 2020 classe le Tchad </w:t>
      </w:r>
      <w:r w:rsidR="002007F7" w:rsidRPr="00CA2C3D">
        <w:rPr>
          <w:rFonts w:ascii="Times New Roman" w:hAnsi="Times New Roman"/>
          <w:sz w:val="24"/>
          <w:szCs w:val="24"/>
        </w:rPr>
        <w:t>187</w:t>
      </w:r>
      <w:r w:rsidR="002007F7" w:rsidRPr="00CA2C3D">
        <w:rPr>
          <w:rFonts w:ascii="Times New Roman" w:hAnsi="Times New Roman"/>
          <w:sz w:val="24"/>
          <w:szCs w:val="24"/>
          <w:vertAlign w:val="superscript"/>
        </w:rPr>
        <w:t>e</w:t>
      </w:r>
      <w:r w:rsidR="002007F7" w:rsidRPr="00CA2C3D">
        <w:rPr>
          <w:rFonts w:ascii="Times New Roman" w:hAnsi="Times New Roman"/>
          <w:sz w:val="24"/>
          <w:szCs w:val="24"/>
        </w:rPr>
        <w:t xml:space="preserve"> sur 189</w:t>
      </w:r>
      <w:r w:rsidRPr="00CA2C3D">
        <w:rPr>
          <w:rFonts w:ascii="Times New Roman" w:hAnsi="Times New Roman"/>
          <w:sz w:val="24"/>
          <w:szCs w:val="24"/>
        </w:rPr>
        <w:t xml:space="preserve"> pays au monde avec</w:t>
      </w:r>
      <w:r w:rsidR="002007F7" w:rsidRPr="00CA2C3D">
        <w:rPr>
          <w:rFonts w:ascii="Times New Roman" w:hAnsi="Times New Roman"/>
          <w:sz w:val="24"/>
          <w:szCs w:val="24"/>
        </w:rPr>
        <w:t xml:space="preserve"> un IDH de</w:t>
      </w:r>
      <w:r w:rsidRPr="00CA2C3D">
        <w:rPr>
          <w:rFonts w:ascii="Times New Roman" w:hAnsi="Times New Roman"/>
          <w:sz w:val="24"/>
          <w:szCs w:val="24"/>
        </w:rPr>
        <w:t xml:space="preserve"> 0,3</w:t>
      </w:r>
      <w:r w:rsidR="002007F7" w:rsidRPr="00CA2C3D">
        <w:rPr>
          <w:rFonts w:ascii="Times New Roman" w:hAnsi="Times New Roman"/>
          <w:sz w:val="24"/>
          <w:szCs w:val="24"/>
        </w:rPr>
        <w:t>98</w:t>
      </w:r>
      <w:r w:rsidRPr="00CA2C3D">
        <w:rPr>
          <w:rFonts w:ascii="Times New Roman" w:hAnsi="Times New Roman"/>
          <w:sz w:val="24"/>
          <w:szCs w:val="24"/>
        </w:rPr>
        <w:t>. Cela signifie qu'en moyenne, les citoyens tchadiens n'atteignent que 30 % de leur potentiel au cours de leur vie.</w:t>
      </w:r>
    </w:p>
    <w:p w14:paraId="238E1321" w14:textId="77777777" w:rsidR="00B91FB7" w:rsidRPr="00CA2C3D" w:rsidRDefault="00B91FB7" w:rsidP="00B91FB7">
      <w:pPr>
        <w:spacing w:after="0"/>
        <w:jc w:val="both"/>
        <w:rPr>
          <w:rFonts w:ascii="Times New Roman" w:hAnsi="Times New Roman"/>
          <w:sz w:val="24"/>
        </w:rPr>
      </w:pPr>
    </w:p>
    <w:p w14:paraId="1C80A0EC" w14:textId="256C3EF2" w:rsidR="00B91FB7" w:rsidRPr="00CA2C3D" w:rsidRDefault="00B91FB7" w:rsidP="071302E4">
      <w:pPr>
        <w:spacing w:after="0"/>
        <w:jc w:val="both"/>
        <w:rPr>
          <w:rFonts w:ascii="Times New Roman" w:hAnsi="Times New Roman"/>
          <w:sz w:val="24"/>
          <w:szCs w:val="24"/>
        </w:rPr>
      </w:pPr>
      <w:r w:rsidRPr="00CA2C3D">
        <w:rPr>
          <w:rFonts w:ascii="Times New Roman" w:hAnsi="Times New Roman"/>
          <w:sz w:val="24"/>
          <w:szCs w:val="24"/>
        </w:rPr>
        <w:t xml:space="preserve">L’analyse des indicateurs des objectifs de développement durable </w:t>
      </w:r>
      <w:r w:rsidR="66B2D055" w:rsidRPr="00CA2C3D">
        <w:rPr>
          <w:rFonts w:ascii="Times New Roman" w:hAnsi="Times New Roman"/>
          <w:sz w:val="24"/>
          <w:szCs w:val="24"/>
        </w:rPr>
        <w:t xml:space="preserve">(ODD) </w:t>
      </w:r>
      <w:r w:rsidRPr="00CA2C3D">
        <w:rPr>
          <w:rFonts w:ascii="Times New Roman" w:hAnsi="Times New Roman"/>
          <w:sz w:val="24"/>
          <w:szCs w:val="24"/>
        </w:rPr>
        <w:t>retenus pour le Forum Politique de Haut Niveau sur le développement durable de 20</w:t>
      </w:r>
      <w:r w:rsidR="002169A9">
        <w:rPr>
          <w:rFonts w:ascii="Times New Roman" w:hAnsi="Times New Roman"/>
          <w:sz w:val="24"/>
          <w:szCs w:val="24"/>
        </w:rPr>
        <w:t>21</w:t>
      </w:r>
      <w:r w:rsidRPr="00CA2C3D">
        <w:rPr>
          <w:rFonts w:ascii="Times New Roman" w:hAnsi="Times New Roman"/>
          <w:sz w:val="24"/>
          <w:szCs w:val="24"/>
        </w:rPr>
        <w:t xml:space="preserve"> révèle une </w:t>
      </w:r>
      <w:r w:rsidR="002169A9" w:rsidRPr="002169A9">
        <w:rPr>
          <w:rFonts w:ascii="Times New Roman" w:hAnsi="Times New Roman"/>
          <w:sz w:val="24"/>
          <w:szCs w:val="24"/>
        </w:rPr>
        <w:t>l’amélioration</w:t>
      </w:r>
      <w:r w:rsidR="002169A9">
        <w:rPr>
          <w:rFonts w:ascii="Times New Roman" w:hAnsi="Times New Roman"/>
          <w:sz w:val="24"/>
          <w:szCs w:val="24"/>
        </w:rPr>
        <w:t xml:space="preserve"> de certains indicateurs sociaux à l’instar</w:t>
      </w:r>
      <w:r w:rsidR="002169A9" w:rsidRPr="002169A9">
        <w:rPr>
          <w:rFonts w:ascii="Times New Roman" w:hAnsi="Times New Roman"/>
          <w:sz w:val="24"/>
          <w:szCs w:val="24"/>
        </w:rPr>
        <w:t xml:space="preserve"> du taux de maintien des filles à l’école et l’amélioration du taux d’alphabétisation des adultes qui est passé de 28,8% à 41,5% entre 2011 et 2019.</w:t>
      </w:r>
      <w:r w:rsidR="002169A9">
        <w:rPr>
          <w:rFonts w:ascii="Times New Roman" w:hAnsi="Times New Roman"/>
          <w:sz w:val="24"/>
          <w:szCs w:val="24"/>
        </w:rPr>
        <w:t xml:space="preserve"> </w:t>
      </w:r>
      <w:r w:rsidRPr="00CA2C3D">
        <w:rPr>
          <w:rFonts w:ascii="Times New Roman" w:hAnsi="Times New Roman"/>
          <w:sz w:val="24"/>
          <w:szCs w:val="24"/>
        </w:rPr>
        <w:t xml:space="preserve">Selon le Fonds Monétaire International </w:t>
      </w:r>
      <w:r w:rsidRPr="00CA2C3D">
        <w:rPr>
          <w:rStyle w:val="Appelnotedebasdep"/>
          <w:vertAlign w:val="superscript"/>
        </w:rPr>
        <w:footnoteReference w:id="2"/>
      </w:r>
      <w:r w:rsidRPr="00CA2C3D">
        <w:rPr>
          <w:rFonts w:ascii="Times New Roman" w:hAnsi="Times New Roman"/>
          <w:sz w:val="24"/>
          <w:szCs w:val="24"/>
        </w:rPr>
        <w:t xml:space="preserve"> (FMI), le taux de croissance du Produit Intérieur Brut (PIB) était de 2,</w:t>
      </w:r>
      <w:r w:rsidR="004C6523">
        <w:rPr>
          <w:rFonts w:ascii="Times New Roman" w:hAnsi="Times New Roman"/>
          <w:sz w:val="24"/>
          <w:szCs w:val="24"/>
        </w:rPr>
        <w:t>3</w:t>
      </w:r>
      <w:r w:rsidRPr="00CA2C3D">
        <w:rPr>
          <w:rFonts w:ascii="Times New Roman" w:hAnsi="Times New Roman"/>
          <w:sz w:val="24"/>
          <w:szCs w:val="24"/>
        </w:rPr>
        <w:t xml:space="preserve">% en 2018 </w:t>
      </w:r>
      <w:r w:rsidR="004C6523">
        <w:rPr>
          <w:rFonts w:ascii="Times New Roman" w:hAnsi="Times New Roman"/>
          <w:sz w:val="24"/>
          <w:szCs w:val="24"/>
        </w:rPr>
        <w:t xml:space="preserve">et </w:t>
      </w:r>
      <w:r w:rsidR="006955D3">
        <w:rPr>
          <w:rFonts w:ascii="Times New Roman" w:hAnsi="Times New Roman"/>
          <w:sz w:val="24"/>
          <w:szCs w:val="24"/>
        </w:rPr>
        <w:t>3</w:t>
      </w:r>
      <w:r w:rsidR="00DF5C3C">
        <w:rPr>
          <w:rFonts w:ascii="Times New Roman" w:hAnsi="Times New Roman"/>
          <w:sz w:val="24"/>
          <w:szCs w:val="24"/>
        </w:rPr>
        <w:t xml:space="preserve">,0 </w:t>
      </w:r>
      <w:r w:rsidRPr="00CA2C3D">
        <w:rPr>
          <w:rFonts w:ascii="Times New Roman" w:hAnsi="Times New Roman"/>
          <w:sz w:val="24"/>
          <w:szCs w:val="24"/>
        </w:rPr>
        <w:t>% en 201</w:t>
      </w:r>
      <w:r w:rsidR="00DF5C3C">
        <w:rPr>
          <w:rFonts w:ascii="Times New Roman" w:hAnsi="Times New Roman"/>
          <w:sz w:val="24"/>
          <w:szCs w:val="24"/>
        </w:rPr>
        <w:t>9</w:t>
      </w:r>
      <w:r w:rsidRPr="00CA2C3D">
        <w:rPr>
          <w:rFonts w:ascii="Times New Roman" w:hAnsi="Times New Roman"/>
          <w:sz w:val="24"/>
          <w:szCs w:val="24"/>
        </w:rPr>
        <w:t xml:space="preserve"> contre -2,4% en 2017. Avec la survenue de la pandémie de la COVID-19, </w:t>
      </w:r>
      <w:r w:rsidR="00DF5C3C">
        <w:rPr>
          <w:rFonts w:ascii="Times New Roman" w:hAnsi="Times New Roman"/>
          <w:sz w:val="24"/>
          <w:szCs w:val="24"/>
        </w:rPr>
        <w:t>le PIB s’est contract</w:t>
      </w:r>
      <w:r w:rsidR="002169A9">
        <w:rPr>
          <w:rFonts w:ascii="Times New Roman" w:hAnsi="Times New Roman"/>
          <w:sz w:val="24"/>
          <w:szCs w:val="24"/>
        </w:rPr>
        <w:t>é</w:t>
      </w:r>
      <w:r w:rsidR="00DF5C3C">
        <w:rPr>
          <w:rFonts w:ascii="Times New Roman" w:hAnsi="Times New Roman"/>
          <w:sz w:val="24"/>
          <w:szCs w:val="24"/>
        </w:rPr>
        <w:t xml:space="preserve"> de </w:t>
      </w:r>
      <w:r w:rsidR="00804DBA">
        <w:rPr>
          <w:rFonts w:ascii="Times New Roman" w:hAnsi="Times New Roman"/>
          <w:sz w:val="24"/>
          <w:szCs w:val="24"/>
        </w:rPr>
        <w:t>0,</w:t>
      </w:r>
      <w:r w:rsidR="002169A9">
        <w:rPr>
          <w:rFonts w:ascii="Times New Roman" w:hAnsi="Times New Roman"/>
          <w:sz w:val="24"/>
          <w:szCs w:val="24"/>
        </w:rPr>
        <w:t>9</w:t>
      </w:r>
      <w:r w:rsidR="00804DBA">
        <w:rPr>
          <w:rFonts w:ascii="Times New Roman" w:hAnsi="Times New Roman"/>
          <w:sz w:val="24"/>
          <w:szCs w:val="24"/>
        </w:rPr>
        <w:t xml:space="preserve">% en 2020 par rapport </w:t>
      </w:r>
      <w:r w:rsidR="00825D67">
        <w:rPr>
          <w:rFonts w:ascii="Times New Roman" w:hAnsi="Times New Roman"/>
          <w:sz w:val="24"/>
          <w:szCs w:val="24"/>
        </w:rPr>
        <w:t>à</w:t>
      </w:r>
      <w:r w:rsidR="00804DBA">
        <w:rPr>
          <w:rFonts w:ascii="Times New Roman" w:hAnsi="Times New Roman"/>
          <w:sz w:val="24"/>
          <w:szCs w:val="24"/>
        </w:rPr>
        <w:t xml:space="preserve"> d</w:t>
      </w:r>
      <w:r w:rsidRPr="00CA2C3D">
        <w:rPr>
          <w:rFonts w:ascii="Times New Roman" w:hAnsi="Times New Roman"/>
          <w:sz w:val="24"/>
          <w:szCs w:val="24"/>
        </w:rPr>
        <w:t>es projections d</w:t>
      </w:r>
      <w:r w:rsidR="00057530">
        <w:rPr>
          <w:rFonts w:ascii="Times New Roman" w:hAnsi="Times New Roman"/>
          <w:sz w:val="24"/>
          <w:szCs w:val="24"/>
        </w:rPr>
        <w:t>’</w:t>
      </w:r>
      <w:r w:rsidRPr="00CA2C3D">
        <w:rPr>
          <w:rFonts w:ascii="Times New Roman" w:hAnsi="Times New Roman"/>
          <w:sz w:val="24"/>
          <w:szCs w:val="24"/>
        </w:rPr>
        <w:t>u</w:t>
      </w:r>
      <w:r w:rsidR="00057530">
        <w:rPr>
          <w:rFonts w:ascii="Times New Roman" w:hAnsi="Times New Roman"/>
          <w:sz w:val="24"/>
          <w:szCs w:val="24"/>
        </w:rPr>
        <w:t>n</w:t>
      </w:r>
      <w:r w:rsidRPr="00CA2C3D">
        <w:rPr>
          <w:rFonts w:ascii="Times New Roman" w:hAnsi="Times New Roman"/>
          <w:sz w:val="24"/>
          <w:szCs w:val="24"/>
        </w:rPr>
        <w:t xml:space="preserve"> taux de croissance du PIB </w:t>
      </w:r>
      <w:r w:rsidR="00057530">
        <w:rPr>
          <w:rFonts w:ascii="Times New Roman" w:hAnsi="Times New Roman"/>
          <w:sz w:val="24"/>
          <w:szCs w:val="24"/>
        </w:rPr>
        <w:t xml:space="preserve">d’avant la </w:t>
      </w:r>
      <w:r w:rsidR="00CF6BA2">
        <w:rPr>
          <w:rFonts w:ascii="Times New Roman" w:hAnsi="Times New Roman"/>
          <w:sz w:val="24"/>
          <w:szCs w:val="24"/>
        </w:rPr>
        <w:lastRenderedPageBreak/>
        <w:t>pandémie</w:t>
      </w:r>
      <w:r w:rsidR="00057530">
        <w:rPr>
          <w:rFonts w:ascii="Times New Roman" w:hAnsi="Times New Roman"/>
          <w:sz w:val="24"/>
          <w:szCs w:val="24"/>
        </w:rPr>
        <w:t xml:space="preserve"> </w:t>
      </w:r>
      <w:r w:rsidRPr="00CA2C3D">
        <w:rPr>
          <w:rFonts w:ascii="Times New Roman" w:hAnsi="Times New Roman"/>
          <w:sz w:val="24"/>
          <w:szCs w:val="24"/>
        </w:rPr>
        <w:t xml:space="preserve">de 6,9. </w:t>
      </w:r>
      <w:r w:rsidR="002169A9">
        <w:rPr>
          <w:rFonts w:ascii="Times New Roman" w:hAnsi="Times New Roman"/>
          <w:sz w:val="24"/>
          <w:szCs w:val="24"/>
        </w:rPr>
        <w:t xml:space="preserve"> </w:t>
      </w:r>
      <w:r w:rsidRPr="00CA2C3D">
        <w:rPr>
          <w:rFonts w:ascii="Times New Roman" w:hAnsi="Times New Roman"/>
          <w:sz w:val="24"/>
          <w:szCs w:val="24"/>
        </w:rPr>
        <w:t xml:space="preserve">Les exportations de pétrole </w:t>
      </w:r>
      <w:r w:rsidR="002169A9">
        <w:rPr>
          <w:rFonts w:ascii="Times New Roman" w:hAnsi="Times New Roman"/>
          <w:sz w:val="24"/>
          <w:szCs w:val="24"/>
        </w:rPr>
        <w:t>ont</w:t>
      </w:r>
      <w:r w:rsidR="009D3A47">
        <w:rPr>
          <w:rFonts w:ascii="Times New Roman" w:hAnsi="Times New Roman"/>
          <w:sz w:val="24"/>
          <w:szCs w:val="24"/>
        </w:rPr>
        <w:t xml:space="preserve"> </w:t>
      </w:r>
      <w:r w:rsidRPr="00CA2C3D">
        <w:rPr>
          <w:rFonts w:ascii="Times New Roman" w:hAnsi="Times New Roman"/>
          <w:sz w:val="24"/>
          <w:szCs w:val="24"/>
        </w:rPr>
        <w:t>chut</w:t>
      </w:r>
      <w:r w:rsidR="009D3A47">
        <w:rPr>
          <w:rFonts w:ascii="Times New Roman" w:hAnsi="Times New Roman"/>
          <w:sz w:val="24"/>
          <w:szCs w:val="24"/>
        </w:rPr>
        <w:t>é</w:t>
      </w:r>
      <w:r w:rsidRPr="00CA2C3D">
        <w:rPr>
          <w:rFonts w:ascii="Times New Roman" w:hAnsi="Times New Roman"/>
          <w:sz w:val="24"/>
          <w:szCs w:val="24"/>
        </w:rPr>
        <w:t xml:space="preserve"> de près de </w:t>
      </w:r>
      <w:r w:rsidR="009D3A47">
        <w:rPr>
          <w:rFonts w:ascii="Times New Roman" w:hAnsi="Times New Roman"/>
          <w:sz w:val="24"/>
          <w:szCs w:val="24"/>
        </w:rPr>
        <w:t>4</w:t>
      </w:r>
      <w:r w:rsidRPr="00CA2C3D">
        <w:rPr>
          <w:rFonts w:ascii="Times New Roman" w:hAnsi="Times New Roman"/>
          <w:sz w:val="24"/>
          <w:szCs w:val="24"/>
        </w:rPr>
        <w:t xml:space="preserve">0% en 2020 et les exportations totales de </w:t>
      </w:r>
      <w:r w:rsidR="00793D10">
        <w:rPr>
          <w:rFonts w:ascii="Times New Roman" w:hAnsi="Times New Roman"/>
          <w:sz w:val="24"/>
          <w:szCs w:val="24"/>
        </w:rPr>
        <w:t>27</w:t>
      </w:r>
      <w:r w:rsidRPr="00CA2C3D">
        <w:rPr>
          <w:rFonts w:ascii="Times New Roman" w:hAnsi="Times New Roman"/>
          <w:sz w:val="24"/>
          <w:szCs w:val="24"/>
        </w:rPr>
        <w:t xml:space="preserve"> % en raison de l'impact de </w:t>
      </w:r>
      <w:r w:rsidR="003B66CE" w:rsidRPr="00CA2C3D">
        <w:rPr>
          <w:rFonts w:ascii="Times New Roman" w:hAnsi="Times New Roman"/>
          <w:sz w:val="24"/>
          <w:szCs w:val="24"/>
        </w:rPr>
        <w:t xml:space="preserve">la </w:t>
      </w:r>
      <w:r w:rsidRPr="00CA2C3D">
        <w:rPr>
          <w:rFonts w:ascii="Times New Roman" w:hAnsi="Times New Roman"/>
          <w:sz w:val="24"/>
          <w:szCs w:val="24"/>
        </w:rPr>
        <w:t>COVID-19 sur la demande mondiale, de la chute des cours du pétrole et de la fermeture des frontières. Cet impact devrait s'atténuer en 2021 selon le FMI</w:t>
      </w:r>
      <w:r w:rsidRPr="00CA2C3D">
        <w:rPr>
          <w:rStyle w:val="Appelnotedebasdep"/>
          <w:vertAlign w:val="superscript"/>
        </w:rPr>
        <w:footnoteReference w:id="3"/>
      </w:r>
      <w:r w:rsidRPr="00CA2C3D">
        <w:rPr>
          <w:rFonts w:ascii="Times New Roman" w:hAnsi="Times New Roman"/>
          <w:sz w:val="24"/>
          <w:szCs w:val="24"/>
        </w:rPr>
        <w:t>, avec un rebond prévu des exportations</w:t>
      </w:r>
      <w:r w:rsidR="00156BC9">
        <w:rPr>
          <w:rFonts w:ascii="Times New Roman" w:hAnsi="Times New Roman"/>
          <w:sz w:val="24"/>
          <w:szCs w:val="24"/>
        </w:rPr>
        <w:t>,</w:t>
      </w:r>
      <w:r w:rsidRPr="00CA2C3D">
        <w:rPr>
          <w:rFonts w:ascii="Times New Roman" w:hAnsi="Times New Roman"/>
          <w:sz w:val="24"/>
          <w:szCs w:val="24"/>
        </w:rPr>
        <w:t xml:space="preserve"> </w:t>
      </w:r>
      <w:r w:rsidR="00156BC9">
        <w:rPr>
          <w:rFonts w:ascii="Times New Roman" w:hAnsi="Times New Roman"/>
          <w:sz w:val="24"/>
          <w:szCs w:val="24"/>
        </w:rPr>
        <w:t>à la suite d</w:t>
      </w:r>
      <w:r w:rsidR="00443426">
        <w:rPr>
          <w:rFonts w:ascii="Times New Roman" w:hAnsi="Times New Roman"/>
          <w:sz w:val="24"/>
          <w:szCs w:val="24"/>
        </w:rPr>
        <w:t xml:space="preserve">’une embellie </w:t>
      </w:r>
      <w:r w:rsidR="00DD37DA">
        <w:rPr>
          <w:rFonts w:ascii="Times New Roman" w:hAnsi="Times New Roman"/>
          <w:sz w:val="24"/>
          <w:szCs w:val="24"/>
        </w:rPr>
        <w:t>des cours du pétrole</w:t>
      </w:r>
      <w:r w:rsidR="000F1D47">
        <w:rPr>
          <w:rFonts w:ascii="Times New Roman" w:hAnsi="Times New Roman"/>
          <w:sz w:val="24"/>
          <w:szCs w:val="24"/>
        </w:rPr>
        <w:t>.</w:t>
      </w:r>
      <w:r w:rsidR="42717BFD" w:rsidRPr="00CA2C3D">
        <w:rPr>
          <w:rFonts w:ascii="Times New Roman" w:hAnsi="Times New Roman"/>
          <w:sz w:val="24"/>
          <w:szCs w:val="24"/>
        </w:rPr>
        <w:t xml:space="preserve"> Q</w:t>
      </w:r>
      <w:r w:rsidRPr="00CA2C3D">
        <w:rPr>
          <w:rFonts w:ascii="Times New Roman" w:hAnsi="Times New Roman"/>
          <w:sz w:val="24"/>
          <w:szCs w:val="24"/>
        </w:rPr>
        <w:t xml:space="preserve">uant aux prévisions de croissance du PIB pour 2021, </w:t>
      </w:r>
      <w:r w:rsidR="00CF6BA2">
        <w:rPr>
          <w:rFonts w:ascii="Times New Roman" w:hAnsi="Times New Roman"/>
          <w:sz w:val="24"/>
          <w:szCs w:val="24"/>
        </w:rPr>
        <w:t>étant donn</w:t>
      </w:r>
      <w:r w:rsidR="00443426">
        <w:rPr>
          <w:rFonts w:ascii="Times New Roman" w:hAnsi="Times New Roman"/>
          <w:sz w:val="24"/>
          <w:szCs w:val="24"/>
        </w:rPr>
        <w:t>é</w:t>
      </w:r>
      <w:r w:rsidR="00CF6BA2">
        <w:rPr>
          <w:rFonts w:ascii="Times New Roman" w:hAnsi="Times New Roman"/>
          <w:sz w:val="24"/>
          <w:szCs w:val="24"/>
        </w:rPr>
        <w:t xml:space="preserve"> la persistance de la pandémie, </w:t>
      </w:r>
      <w:r w:rsidRPr="00CA2C3D">
        <w:rPr>
          <w:rFonts w:ascii="Times New Roman" w:hAnsi="Times New Roman"/>
          <w:sz w:val="24"/>
          <w:szCs w:val="24"/>
        </w:rPr>
        <w:t xml:space="preserve">les projections </w:t>
      </w:r>
      <w:r w:rsidR="000F1D47">
        <w:rPr>
          <w:rFonts w:ascii="Times New Roman" w:hAnsi="Times New Roman"/>
          <w:sz w:val="24"/>
          <w:szCs w:val="24"/>
        </w:rPr>
        <w:t xml:space="preserve">ont été </w:t>
      </w:r>
      <w:r w:rsidR="00CF6BA2">
        <w:rPr>
          <w:rFonts w:ascii="Times New Roman" w:hAnsi="Times New Roman"/>
          <w:sz w:val="24"/>
          <w:szCs w:val="24"/>
        </w:rPr>
        <w:t>révisées</w:t>
      </w:r>
      <w:r w:rsidR="000F1D47">
        <w:rPr>
          <w:rFonts w:ascii="Times New Roman" w:hAnsi="Times New Roman"/>
          <w:sz w:val="24"/>
          <w:szCs w:val="24"/>
        </w:rPr>
        <w:t xml:space="preserve"> fortement à</w:t>
      </w:r>
      <w:r w:rsidR="00CB55D0">
        <w:rPr>
          <w:rFonts w:ascii="Times New Roman" w:hAnsi="Times New Roman"/>
          <w:sz w:val="24"/>
          <w:szCs w:val="24"/>
        </w:rPr>
        <w:t xml:space="preserve"> la baisse, de </w:t>
      </w:r>
      <w:r w:rsidRPr="00CA2C3D">
        <w:rPr>
          <w:rFonts w:ascii="Times New Roman" w:hAnsi="Times New Roman"/>
          <w:sz w:val="24"/>
          <w:szCs w:val="24"/>
        </w:rPr>
        <w:t xml:space="preserve">6,1% </w:t>
      </w:r>
      <m:oMath>
        <m:r>
          <w:rPr>
            <w:rFonts w:ascii="Cambria Math" w:hAnsi="Cambria Math"/>
            <w:sz w:val="24"/>
            <w:szCs w:val="24"/>
          </w:rPr>
          <m:t>à</m:t>
        </m:r>
      </m:oMath>
      <w:r w:rsidR="00CB55D0">
        <w:rPr>
          <w:rFonts w:ascii="Times New Roman" w:hAnsi="Times New Roman"/>
          <w:sz w:val="24"/>
          <w:szCs w:val="24"/>
        </w:rPr>
        <w:t xml:space="preserve"> seulement 1%</w:t>
      </w:r>
      <w:r w:rsidRPr="00CA2C3D">
        <w:rPr>
          <w:rFonts w:ascii="Times New Roman" w:hAnsi="Times New Roman"/>
          <w:sz w:val="24"/>
          <w:szCs w:val="24"/>
        </w:rPr>
        <w:t xml:space="preserve">.  </w:t>
      </w:r>
    </w:p>
    <w:p w14:paraId="7552652F" w14:textId="77777777" w:rsidR="002D753E" w:rsidRPr="00231235" w:rsidRDefault="002D753E" w:rsidP="00B91FB7">
      <w:pPr>
        <w:spacing w:after="0"/>
        <w:jc w:val="both"/>
        <w:rPr>
          <w:rFonts w:ascii="Times New Roman" w:hAnsi="Times New Roman"/>
          <w:color w:val="FF0000"/>
          <w:sz w:val="24"/>
          <w:szCs w:val="24"/>
        </w:rPr>
      </w:pPr>
    </w:p>
    <w:p w14:paraId="257D50E6" w14:textId="77777777" w:rsidR="002D753E" w:rsidRPr="00231235" w:rsidRDefault="002D753E" w:rsidP="00B91FB7">
      <w:pPr>
        <w:spacing w:after="0"/>
        <w:jc w:val="both"/>
        <w:rPr>
          <w:rFonts w:ascii="Times New Roman" w:hAnsi="Times New Roman"/>
          <w:color w:val="FF0000"/>
          <w:sz w:val="24"/>
          <w:szCs w:val="24"/>
        </w:rPr>
      </w:pPr>
    </w:p>
    <w:p w14:paraId="0DAA3F9A" w14:textId="5DC838C9" w:rsidR="00B91FB7" w:rsidRPr="00CA2C3D" w:rsidRDefault="00B91FB7" w:rsidP="071302E4">
      <w:pPr>
        <w:spacing w:after="0"/>
        <w:jc w:val="both"/>
        <w:rPr>
          <w:rFonts w:ascii="Times New Roman" w:hAnsi="Times New Roman"/>
          <w:sz w:val="24"/>
          <w:szCs w:val="24"/>
        </w:rPr>
      </w:pPr>
      <w:r w:rsidRPr="00CA2C3D">
        <w:rPr>
          <w:rFonts w:ascii="Times New Roman" w:hAnsi="Times New Roman"/>
          <w:sz w:val="24"/>
          <w:szCs w:val="24"/>
        </w:rPr>
        <w:t>L’engagement du Tchad à atteindre les objectifs de développement durable et faire face aux défis du développement économique, social et environnemental s’est traduit par l’élaboration de la « Vision 2030 : le Tchad que nous voulons » et la mise en œuvre d’un premier plan quinquennal 2017-2021 s’inscrivant dans le cadre de la réalisation des agendas internationaux auxquels le pays a souscrit. À cette fin, en dépit des chocs exogènes liés à l’insécurité transfrontalière affaiblissant les capacités du pays et la baisse du cours du pétrole, principale source de recettes budgétaires du pays depuis 2003, des efforts considérables sont en cours dans les domaines économique, social et environnemental en vue de renforcer les capacités du Tchad à atteindre les objectifs de développement durable d’ici 2030. Ces efforts ont eu des impacts dans certains secteurs. Au vu des données de la revue à mi-parcours du Plan National de Développement (PND 2017-2021)</w:t>
      </w:r>
      <w:r w:rsidR="489AAE29" w:rsidRPr="00CA2C3D">
        <w:rPr>
          <w:rFonts w:ascii="Times New Roman" w:hAnsi="Times New Roman"/>
          <w:sz w:val="24"/>
          <w:szCs w:val="24"/>
        </w:rPr>
        <w:t>,</w:t>
      </w:r>
      <w:r w:rsidRPr="00CA2C3D">
        <w:rPr>
          <w:rFonts w:ascii="Times New Roman" w:hAnsi="Times New Roman"/>
          <w:sz w:val="24"/>
          <w:szCs w:val="24"/>
        </w:rPr>
        <w:t xml:space="preserve"> le taux d’accès à l’eau potable des ménages est passé de 43,7% en 2011 à 62,7% en 2018, celui de</w:t>
      </w:r>
      <w:r w:rsidR="7A4ACB79" w:rsidRPr="00CA2C3D">
        <w:rPr>
          <w:rFonts w:ascii="Times New Roman" w:hAnsi="Times New Roman"/>
          <w:sz w:val="24"/>
          <w:szCs w:val="24"/>
        </w:rPr>
        <w:t xml:space="preserve"> l’accès à</w:t>
      </w:r>
      <w:r w:rsidRPr="00CA2C3D">
        <w:rPr>
          <w:rFonts w:ascii="Times New Roman" w:hAnsi="Times New Roman"/>
          <w:sz w:val="24"/>
          <w:szCs w:val="24"/>
        </w:rPr>
        <w:t xml:space="preserve"> l’électricité de 3% à 8% sur la même période et le taux brut de scolarisation au primaire n’a pas varié significativement</w:t>
      </w:r>
      <w:r w:rsidR="6A61CB98" w:rsidRPr="00CA2C3D">
        <w:rPr>
          <w:rFonts w:ascii="Times New Roman" w:hAnsi="Times New Roman"/>
          <w:sz w:val="24"/>
          <w:szCs w:val="24"/>
        </w:rPr>
        <w:t>, passant</w:t>
      </w:r>
      <w:r w:rsidRPr="00CA2C3D">
        <w:rPr>
          <w:rFonts w:ascii="Times New Roman" w:hAnsi="Times New Roman"/>
          <w:sz w:val="24"/>
          <w:szCs w:val="24"/>
        </w:rPr>
        <w:t xml:space="preserve"> de 89,3% en 2017 à 89,1% en 2019</w:t>
      </w:r>
      <w:r w:rsidR="006A1AB9" w:rsidRPr="00CA2C3D">
        <w:rPr>
          <w:rFonts w:ascii="Times New Roman" w:hAnsi="Times New Roman"/>
          <w:sz w:val="24"/>
          <w:szCs w:val="24"/>
        </w:rPr>
        <w:t>.</w:t>
      </w:r>
      <w:r w:rsidRPr="00CA2C3D">
        <w:rPr>
          <w:rFonts w:ascii="Times New Roman" w:hAnsi="Times New Roman"/>
          <w:sz w:val="24"/>
          <w:szCs w:val="24"/>
        </w:rPr>
        <w:t xml:space="preserve"> </w:t>
      </w:r>
    </w:p>
    <w:p w14:paraId="57569D75" w14:textId="77777777" w:rsidR="00B91FB7" w:rsidRPr="00CA2C3D" w:rsidRDefault="00B91FB7" w:rsidP="00B91FB7">
      <w:pPr>
        <w:spacing w:after="0"/>
        <w:ind w:right="288"/>
        <w:jc w:val="both"/>
        <w:rPr>
          <w:rFonts w:ascii="Times New Roman" w:hAnsi="Times New Roman"/>
          <w:sz w:val="24"/>
          <w:szCs w:val="24"/>
        </w:rPr>
      </w:pPr>
    </w:p>
    <w:p w14:paraId="30E37948" w14:textId="3DD45747" w:rsidR="00B91FB7" w:rsidRPr="00CA2C3D" w:rsidRDefault="00B91FB7" w:rsidP="071302E4">
      <w:pPr>
        <w:spacing w:after="0"/>
        <w:ind w:right="288"/>
        <w:jc w:val="both"/>
        <w:rPr>
          <w:rFonts w:ascii="Times New Roman" w:eastAsiaTheme="minorEastAsia" w:hAnsi="Times New Roman" w:cstheme="minorBidi"/>
          <w:sz w:val="24"/>
          <w:szCs w:val="24"/>
        </w:rPr>
      </w:pPr>
      <w:r w:rsidRPr="00CA2C3D">
        <w:rPr>
          <w:rFonts w:ascii="Times New Roman" w:hAnsi="Times New Roman"/>
          <w:sz w:val="24"/>
          <w:szCs w:val="24"/>
        </w:rPr>
        <w:t>Les ressources financières limitées dont dispose le Tchad ne permettent pas de mettre en œuvre eff</w:t>
      </w:r>
      <w:r w:rsidR="5EF66246" w:rsidRPr="00CA2C3D">
        <w:rPr>
          <w:rFonts w:ascii="Times New Roman" w:hAnsi="Times New Roman"/>
          <w:sz w:val="24"/>
          <w:szCs w:val="24"/>
        </w:rPr>
        <w:t>ectivement</w:t>
      </w:r>
      <w:r w:rsidRPr="00CA2C3D">
        <w:rPr>
          <w:rFonts w:ascii="Times New Roman" w:hAnsi="Times New Roman"/>
          <w:sz w:val="24"/>
          <w:szCs w:val="24"/>
        </w:rPr>
        <w:t xml:space="preserve"> l’Agenda 2030 et les objectifs de développement durable. La pandémie de la COVID-19 est venue amplifier cette situation et </w:t>
      </w:r>
      <w:r w:rsidR="31A67B07" w:rsidRPr="00CA2C3D">
        <w:rPr>
          <w:rFonts w:ascii="Times New Roman" w:hAnsi="Times New Roman"/>
          <w:sz w:val="24"/>
          <w:szCs w:val="24"/>
        </w:rPr>
        <w:t>modifie</w:t>
      </w:r>
      <w:r w:rsidR="00F52473">
        <w:rPr>
          <w:rFonts w:ascii="Times New Roman" w:hAnsi="Times New Roman"/>
          <w:sz w:val="24"/>
          <w:szCs w:val="24"/>
        </w:rPr>
        <w:t>r</w:t>
      </w:r>
      <w:r w:rsidR="31A67B07" w:rsidRPr="00CA2C3D">
        <w:rPr>
          <w:rFonts w:ascii="Times New Roman" w:hAnsi="Times New Roman"/>
          <w:sz w:val="24"/>
          <w:szCs w:val="24"/>
        </w:rPr>
        <w:t xml:space="preserve"> encore</w:t>
      </w:r>
      <w:r w:rsidRPr="00CA2C3D">
        <w:rPr>
          <w:rFonts w:ascii="Times New Roman" w:hAnsi="Times New Roman"/>
          <w:sz w:val="24"/>
          <w:szCs w:val="24"/>
        </w:rPr>
        <w:t xml:space="preserve"> davantage la trajectoire vers l’atteinte des cibles des objectifs de développement durable. En outre, les défis en matière de gouvernance et la corruption entravent aussi le développement</w:t>
      </w:r>
      <w:r w:rsidRPr="00CA2C3D">
        <w:rPr>
          <w:rFonts w:ascii="Times New Roman" w:hAnsi="Times New Roman"/>
          <w:sz w:val="24"/>
          <w:szCs w:val="24"/>
          <w:vertAlign w:val="superscript"/>
        </w:rPr>
        <w:footnoteReference w:id="4"/>
      </w:r>
      <w:r w:rsidRPr="00CA2C3D">
        <w:rPr>
          <w:rFonts w:ascii="Times New Roman" w:hAnsi="Times New Roman"/>
          <w:sz w:val="24"/>
          <w:szCs w:val="24"/>
        </w:rPr>
        <w:t xml:space="preserve">. Les mesures de confinement, de fermeture partielle ou totale des frontières pour limiter </w:t>
      </w:r>
      <w:r w:rsidR="00125D09" w:rsidRPr="00CA2C3D">
        <w:rPr>
          <w:rFonts w:ascii="Times New Roman" w:hAnsi="Times New Roman"/>
          <w:sz w:val="24"/>
          <w:szCs w:val="24"/>
        </w:rPr>
        <w:t>la propagation du COVID-19</w:t>
      </w:r>
      <w:r w:rsidRPr="00CA2C3D">
        <w:rPr>
          <w:rFonts w:ascii="Times New Roman" w:hAnsi="Times New Roman"/>
          <w:sz w:val="24"/>
          <w:szCs w:val="24"/>
        </w:rPr>
        <w:t xml:space="preserve"> ont contribué à la baisse du volume des échanges, de la qualité et de la quantité du travail formel et informel, </w:t>
      </w:r>
      <w:r w:rsidR="61C931B9" w:rsidRPr="00CA2C3D">
        <w:rPr>
          <w:rFonts w:ascii="Times New Roman" w:hAnsi="Times New Roman"/>
          <w:sz w:val="24"/>
          <w:szCs w:val="24"/>
        </w:rPr>
        <w:t>ainsi qu’</w:t>
      </w:r>
      <w:r w:rsidRPr="00CA2C3D">
        <w:rPr>
          <w:rFonts w:ascii="Times New Roman" w:hAnsi="Times New Roman"/>
          <w:sz w:val="24"/>
          <w:szCs w:val="24"/>
        </w:rPr>
        <w:t>à la hausse de la sous-utilisation de la main-d’œuvre</w:t>
      </w:r>
      <w:r w:rsidRPr="00CA2C3D">
        <w:rPr>
          <w:sz w:val="24"/>
          <w:szCs w:val="24"/>
          <w:vertAlign w:val="superscript"/>
        </w:rPr>
        <w:footnoteReference w:id="5"/>
      </w:r>
      <w:r w:rsidRPr="00CA2C3D">
        <w:rPr>
          <w:rFonts w:ascii="Times New Roman" w:hAnsi="Times New Roman"/>
          <w:sz w:val="24"/>
          <w:szCs w:val="24"/>
        </w:rPr>
        <w:t>, avec des effets plus immédiats et dramatiques sur les groupes les plus vulnérables</w:t>
      </w:r>
      <w:r w:rsidRPr="00CA2C3D">
        <w:rPr>
          <w:rFonts w:ascii="Times New Roman" w:hAnsi="Times New Roman"/>
          <w:sz w:val="24"/>
          <w:szCs w:val="24"/>
          <w:vertAlign w:val="superscript"/>
        </w:rPr>
        <w:footnoteReference w:id="6"/>
      </w:r>
      <w:r w:rsidRPr="00CA2C3D">
        <w:rPr>
          <w:rFonts w:ascii="Times New Roman" w:hAnsi="Times New Roman"/>
          <w:sz w:val="24"/>
          <w:szCs w:val="24"/>
        </w:rPr>
        <w:t xml:space="preserve">. Si la crise sanitaire se prolonge, cela pourrait entrainer des retards à tous les niveaux de la trajectoire des cibles des objectifs de développement durable prioritaires validées en 2018, </w:t>
      </w:r>
      <w:r w:rsidR="4D3CA438" w:rsidRPr="00CA2C3D">
        <w:rPr>
          <w:rFonts w:ascii="Times New Roman" w:hAnsi="Times New Roman"/>
          <w:sz w:val="24"/>
          <w:szCs w:val="24"/>
        </w:rPr>
        <w:t>et en particulier</w:t>
      </w:r>
      <w:r w:rsidRPr="00CA2C3D">
        <w:rPr>
          <w:rFonts w:ascii="Times New Roman" w:hAnsi="Times New Roman"/>
          <w:sz w:val="24"/>
          <w:szCs w:val="24"/>
        </w:rPr>
        <w:t xml:space="preserve"> la gouvernance économique qui est considérée comme la deuxième stratégie </w:t>
      </w:r>
      <w:r w:rsidRPr="00CA2C3D">
        <w:rPr>
          <w:rFonts w:ascii="Times New Roman" w:hAnsi="Times New Roman"/>
          <w:sz w:val="24"/>
          <w:szCs w:val="24"/>
        </w:rPr>
        <w:lastRenderedPageBreak/>
        <w:t>d’accélération d’atteinte de six</w:t>
      </w:r>
      <w:r w:rsidRPr="00CA2C3D">
        <w:rPr>
          <w:vertAlign w:val="superscript"/>
        </w:rPr>
        <w:footnoteReference w:id="7"/>
      </w:r>
      <w:r w:rsidRPr="00CA2C3D">
        <w:rPr>
          <w:rFonts w:ascii="Times New Roman" w:hAnsi="Times New Roman"/>
          <w:sz w:val="24"/>
          <w:szCs w:val="24"/>
        </w:rPr>
        <w:t xml:space="preserve"> des cibles des objectifs de développement durable. Ainsi, le Tchad devrait fournir plus d’efforts pour la mise en œuvre de l’agenda pour le développement durable. </w:t>
      </w:r>
    </w:p>
    <w:p w14:paraId="21B08897" w14:textId="77777777" w:rsidR="00B91FB7" w:rsidRPr="00CA2C3D" w:rsidRDefault="00B91FB7" w:rsidP="00B91FB7">
      <w:pPr>
        <w:spacing w:after="0"/>
        <w:ind w:right="288"/>
        <w:jc w:val="both"/>
        <w:rPr>
          <w:rFonts w:ascii="Times New Roman" w:hAnsi="Times New Roman"/>
          <w:sz w:val="24"/>
          <w:szCs w:val="24"/>
        </w:rPr>
      </w:pPr>
    </w:p>
    <w:p w14:paraId="0C74BCA2" w14:textId="49F310AF" w:rsidR="00B91FB7" w:rsidRPr="00CA2C3D" w:rsidRDefault="00B91FB7" w:rsidP="071302E4">
      <w:pPr>
        <w:spacing w:after="0" w:line="240" w:lineRule="auto"/>
        <w:ind w:right="288"/>
        <w:jc w:val="both"/>
        <w:rPr>
          <w:rFonts w:ascii="Times New Roman" w:hAnsi="Times New Roman"/>
          <w:sz w:val="24"/>
          <w:szCs w:val="24"/>
        </w:rPr>
      </w:pPr>
      <w:r w:rsidRPr="00CA2C3D">
        <w:rPr>
          <w:rFonts w:ascii="Times New Roman" w:hAnsi="Times New Roman"/>
          <w:sz w:val="24"/>
          <w:szCs w:val="24"/>
        </w:rPr>
        <w:t>La pandémie de la COVID-19 est une crise sanitaire à effet multidimensionnel</w:t>
      </w:r>
      <w:r w:rsidR="009456A8">
        <w:rPr>
          <w:rFonts w:ascii="Times New Roman" w:hAnsi="Times New Roman"/>
          <w:sz w:val="24"/>
          <w:szCs w:val="24"/>
        </w:rPr>
        <w:t xml:space="preserve"> (</w:t>
      </w:r>
      <w:r w:rsidR="009456A8" w:rsidRPr="00CA2C3D">
        <w:rPr>
          <w:rFonts w:ascii="Times New Roman" w:hAnsi="Times New Roman"/>
          <w:sz w:val="24"/>
          <w:szCs w:val="24"/>
        </w:rPr>
        <w:t>effets directs et indirects et aux effets indirects différés</w:t>
      </w:r>
      <w:r w:rsidR="009456A8">
        <w:rPr>
          <w:rFonts w:ascii="Times New Roman" w:hAnsi="Times New Roman"/>
          <w:sz w:val="24"/>
          <w:szCs w:val="24"/>
        </w:rPr>
        <w:t>)</w:t>
      </w:r>
      <w:r w:rsidRPr="00CA2C3D">
        <w:rPr>
          <w:rFonts w:ascii="Times New Roman" w:hAnsi="Times New Roman"/>
          <w:sz w:val="24"/>
          <w:szCs w:val="24"/>
        </w:rPr>
        <w:t>, qui a d</w:t>
      </w:r>
      <w:r w:rsidR="7D5E4B7D" w:rsidRPr="00CA2C3D">
        <w:rPr>
          <w:rFonts w:ascii="Times New Roman" w:hAnsi="Times New Roman"/>
          <w:sz w:val="24"/>
          <w:szCs w:val="24"/>
        </w:rPr>
        <w:t xml:space="preserve">’importantes </w:t>
      </w:r>
      <w:r w:rsidRPr="00CA2C3D">
        <w:rPr>
          <w:rFonts w:ascii="Times New Roman" w:hAnsi="Times New Roman"/>
          <w:sz w:val="24"/>
          <w:szCs w:val="24"/>
        </w:rPr>
        <w:t xml:space="preserve">conséquences socioéconomiques. Comparé à d’autres pays </w:t>
      </w:r>
      <w:r w:rsidR="56CE59D4" w:rsidRPr="00CA2C3D">
        <w:rPr>
          <w:rFonts w:ascii="Times New Roman" w:hAnsi="Times New Roman"/>
          <w:sz w:val="24"/>
          <w:szCs w:val="24"/>
        </w:rPr>
        <w:t>d’</w:t>
      </w:r>
      <w:r w:rsidRPr="00CA2C3D">
        <w:rPr>
          <w:rFonts w:ascii="Times New Roman" w:hAnsi="Times New Roman"/>
          <w:sz w:val="24"/>
          <w:szCs w:val="24"/>
        </w:rPr>
        <w:t xml:space="preserve">Afrique et </w:t>
      </w:r>
      <w:r w:rsidR="5B6ADF04" w:rsidRPr="00CA2C3D">
        <w:rPr>
          <w:rFonts w:ascii="Times New Roman" w:hAnsi="Times New Roman"/>
          <w:sz w:val="24"/>
          <w:szCs w:val="24"/>
        </w:rPr>
        <w:t>du</w:t>
      </w:r>
      <w:r w:rsidRPr="00CA2C3D">
        <w:rPr>
          <w:rFonts w:ascii="Times New Roman" w:hAnsi="Times New Roman"/>
          <w:sz w:val="24"/>
          <w:szCs w:val="24"/>
        </w:rPr>
        <w:t xml:space="preserve"> monde, </w:t>
      </w:r>
      <w:r w:rsidR="292834B5" w:rsidRPr="00CA2C3D">
        <w:rPr>
          <w:rFonts w:ascii="Times New Roman" w:hAnsi="Times New Roman"/>
          <w:sz w:val="24"/>
          <w:szCs w:val="24"/>
        </w:rPr>
        <w:t xml:space="preserve">jusqu’à présent, </w:t>
      </w:r>
      <w:r w:rsidRPr="00CA2C3D">
        <w:rPr>
          <w:rFonts w:ascii="Times New Roman" w:hAnsi="Times New Roman"/>
          <w:sz w:val="24"/>
          <w:szCs w:val="24"/>
        </w:rPr>
        <w:t>la pandémie a été en grande partie contenue au Tchad. Cependant</w:t>
      </w:r>
      <w:r w:rsidR="616D21F9" w:rsidRPr="00CA2C3D">
        <w:rPr>
          <w:rFonts w:ascii="Times New Roman" w:hAnsi="Times New Roman"/>
          <w:sz w:val="24"/>
          <w:szCs w:val="24"/>
        </w:rPr>
        <w:t>,</w:t>
      </w:r>
      <w:r w:rsidRPr="00CA2C3D">
        <w:rPr>
          <w:rFonts w:ascii="Times New Roman" w:hAnsi="Times New Roman"/>
          <w:sz w:val="24"/>
          <w:szCs w:val="24"/>
        </w:rPr>
        <w:t xml:space="preserve"> les effets à long terme pourraient être plus lourds. Les secteurs les plus touchés sont l’éducation et la santé. </w:t>
      </w:r>
      <w:r w:rsidR="00B37624" w:rsidRPr="00CA2C3D">
        <w:rPr>
          <w:rFonts w:ascii="Times New Roman" w:hAnsi="Times New Roman"/>
          <w:sz w:val="24"/>
          <w:szCs w:val="24"/>
        </w:rPr>
        <w:t xml:space="preserve"> </w:t>
      </w:r>
      <w:r w:rsidR="613A1C66" w:rsidRPr="00CA2C3D">
        <w:rPr>
          <w:rFonts w:ascii="Times New Roman" w:hAnsi="Times New Roman"/>
          <w:sz w:val="24"/>
          <w:szCs w:val="24"/>
        </w:rPr>
        <w:t xml:space="preserve"> </w:t>
      </w:r>
      <w:r w:rsidRPr="00CA2C3D">
        <w:rPr>
          <w:rFonts w:ascii="Times New Roman" w:hAnsi="Times New Roman"/>
          <w:sz w:val="24"/>
          <w:szCs w:val="24"/>
        </w:rPr>
        <w:t>Les autres secteurs impactés sont : le transport, l’hôtellerie-restauration, le tourisme, le commerce général, l’industrie en li</w:t>
      </w:r>
      <w:r w:rsidR="536F259C" w:rsidRPr="00CA2C3D">
        <w:rPr>
          <w:rFonts w:ascii="Times New Roman" w:hAnsi="Times New Roman"/>
          <w:sz w:val="24"/>
          <w:szCs w:val="24"/>
        </w:rPr>
        <w:t>en</w:t>
      </w:r>
      <w:r w:rsidRPr="00CA2C3D">
        <w:rPr>
          <w:rFonts w:ascii="Times New Roman" w:hAnsi="Times New Roman"/>
          <w:sz w:val="24"/>
          <w:szCs w:val="24"/>
        </w:rPr>
        <w:t xml:space="preserve"> avec la baisse des échanges intérieurs et internationaux ainsi que le secteur agricole et </w:t>
      </w:r>
      <w:r w:rsidR="007D4105" w:rsidRPr="00CA2C3D">
        <w:rPr>
          <w:rFonts w:ascii="Times New Roman" w:hAnsi="Times New Roman"/>
          <w:sz w:val="24"/>
          <w:szCs w:val="24"/>
        </w:rPr>
        <w:t xml:space="preserve">celui </w:t>
      </w:r>
      <w:r w:rsidRPr="00CA2C3D">
        <w:rPr>
          <w:rFonts w:ascii="Times New Roman" w:hAnsi="Times New Roman"/>
          <w:sz w:val="24"/>
          <w:szCs w:val="24"/>
        </w:rPr>
        <w:t>de l’élevage qui ont été affectés par le manque d’intrants, les restrictions de mouvements pour la commercialisation et les transactions transfrontalières traditionnelles de bétail. Ainsi, ces contraintes observées au niveau du marché des biens et services ont des effets sur le marché du travail avec la baisse du volume et de la rémunération du travail aussi bien dans le secteur formel que dans l’économie informelle au Tchad.</w:t>
      </w:r>
    </w:p>
    <w:p w14:paraId="75755A08" w14:textId="77777777" w:rsidR="00B91FB7" w:rsidRPr="00CA2C3D" w:rsidRDefault="00B91FB7" w:rsidP="00B91FB7">
      <w:pPr>
        <w:spacing w:after="0"/>
        <w:ind w:right="288"/>
        <w:jc w:val="both"/>
        <w:rPr>
          <w:rFonts w:ascii="Times New Roman" w:hAnsi="Times New Roman"/>
          <w:sz w:val="24"/>
          <w:szCs w:val="24"/>
        </w:rPr>
      </w:pPr>
    </w:p>
    <w:p w14:paraId="0595B87A" w14:textId="37ED8980" w:rsidR="001F4B4E" w:rsidRPr="00B86CFF" w:rsidRDefault="00B37624" w:rsidP="00F52473">
      <w:pPr>
        <w:tabs>
          <w:tab w:val="num" w:pos="720"/>
        </w:tabs>
        <w:ind w:right="288"/>
        <w:jc w:val="both"/>
        <w:rPr>
          <w:rFonts w:ascii="Times New Roman" w:hAnsi="Times New Roman"/>
          <w:sz w:val="24"/>
          <w:szCs w:val="24"/>
        </w:rPr>
      </w:pPr>
      <w:r w:rsidRPr="00CA2C3D">
        <w:rPr>
          <w:rFonts w:ascii="Times New Roman" w:hAnsi="Times New Roman"/>
          <w:sz w:val="24"/>
          <w:szCs w:val="24"/>
        </w:rPr>
        <w:t xml:space="preserve"> </w:t>
      </w:r>
      <w:r w:rsidR="00BB435F" w:rsidRPr="00CA2C3D">
        <w:rPr>
          <w:rFonts w:ascii="Times New Roman" w:hAnsi="Times New Roman"/>
          <w:sz w:val="24"/>
          <w:szCs w:val="24"/>
        </w:rPr>
        <w:t>En matière de droits humains, sur le plan international, le Tchad a ratifié les conventions et les pactes les plus importants. En dépit de nombreuses recommandations faites, entre autres, par les Etat</w:t>
      </w:r>
      <w:r w:rsidR="007F45B6" w:rsidRPr="00CA2C3D">
        <w:rPr>
          <w:rFonts w:ascii="Times New Roman" w:hAnsi="Times New Roman"/>
          <w:sz w:val="24"/>
          <w:szCs w:val="24"/>
        </w:rPr>
        <w:t>s</w:t>
      </w:r>
      <w:r w:rsidR="00BB435F" w:rsidRPr="00CA2C3D">
        <w:rPr>
          <w:rFonts w:ascii="Times New Roman" w:hAnsi="Times New Roman"/>
          <w:sz w:val="24"/>
          <w:szCs w:val="24"/>
        </w:rPr>
        <w:t xml:space="preserve"> membres des Nations Unies dans le contexte des successives revues à l’Examen Périodique Universel du Conseil des Droits de l’Homme, le protocole facultatif se rapportant au pacte international relatif aux droits économiques, sociaux et culturels, la Convention internationale pour la protection de toutes les personnes contre les disparitions forcées et le protocole additionnel à la charte africaine sur les droits de l’Homme et des peuples relatif aux droits des femmes africaines n’ont pas encore été ratifiés. Le Tchad a aboli la peine de mort en 2020.  Le Tchad a aussi adhéré à la Convention de Genève de 1951 sur le statut de</w:t>
      </w:r>
      <w:r w:rsidR="00991B8F" w:rsidRPr="00CA2C3D">
        <w:rPr>
          <w:rFonts w:ascii="Times New Roman" w:hAnsi="Times New Roman"/>
          <w:sz w:val="24"/>
          <w:szCs w:val="24"/>
        </w:rPr>
        <w:t>s</w:t>
      </w:r>
      <w:r w:rsidR="00BB435F" w:rsidRPr="00CA2C3D">
        <w:rPr>
          <w:rFonts w:ascii="Times New Roman" w:hAnsi="Times New Roman"/>
          <w:sz w:val="24"/>
          <w:szCs w:val="24"/>
        </w:rPr>
        <w:t xml:space="preserve"> réfugié</w:t>
      </w:r>
      <w:r w:rsidR="00991B8F" w:rsidRPr="00CA2C3D">
        <w:rPr>
          <w:rFonts w:ascii="Times New Roman" w:hAnsi="Times New Roman"/>
          <w:sz w:val="24"/>
          <w:szCs w:val="24"/>
        </w:rPr>
        <w:t>s</w:t>
      </w:r>
      <w:r w:rsidR="00BB435F" w:rsidRPr="00CA2C3D">
        <w:rPr>
          <w:rFonts w:ascii="Times New Roman" w:hAnsi="Times New Roman"/>
          <w:sz w:val="24"/>
          <w:szCs w:val="24"/>
        </w:rPr>
        <w:t xml:space="preserve">, à son Protocole de 1967 et à la Convention de l’OUA régissant les aspects propres aux problèmes des réfugiés en Afrique de 1969. </w:t>
      </w:r>
      <w:r w:rsidR="002007F7" w:rsidRPr="00CA2C3D">
        <w:rPr>
          <w:rFonts w:ascii="Times New Roman" w:hAnsi="Times New Roman"/>
          <w:sz w:val="24"/>
          <w:szCs w:val="24"/>
        </w:rPr>
        <w:t>L</w:t>
      </w:r>
      <w:r w:rsidR="00F52624" w:rsidRPr="00CA2C3D">
        <w:rPr>
          <w:rFonts w:ascii="Times New Roman" w:hAnsi="Times New Roman"/>
          <w:sz w:val="24"/>
          <w:szCs w:val="24"/>
        </w:rPr>
        <w:t>e pays</w:t>
      </w:r>
      <w:r w:rsidR="00BB435F" w:rsidRPr="00CA2C3D">
        <w:rPr>
          <w:rFonts w:ascii="Times New Roman" w:hAnsi="Times New Roman"/>
          <w:sz w:val="24"/>
          <w:szCs w:val="24"/>
        </w:rPr>
        <w:t xml:space="preserve"> </w:t>
      </w:r>
      <w:r w:rsidR="002007F7" w:rsidRPr="00CA2C3D">
        <w:rPr>
          <w:rFonts w:ascii="Times New Roman" w:hAnsi="Times New Roman"/>
          <w:sz w:val="24"/>
          <w:szCs w:val="24"/>
        </w:rPr>
        <w:t xml:space="preserve">a adopté le 23 décembre </w:t>
      </w:r>
      <w:r w:rsidR="000F2B7E">
        <w:rPr>
          <w:rFonts w:ascii="Times New Roman" w:hAnsi="Times New Roman"/>
          <w:sz w:val="24"/>
          <w:szCs w:val="24"/>
        </w:rPr>
        <w:t>2020</w:t>
      </w:r>
      <w:r w:rsidR="002007F7" w:rsidRPr="00CA2C3D">
        <w:rPr>
          <w:rFonts w:ascii="Times New Roman" w:hAnsi="Times New Roman"/>
          <w:sz w:val="24"/>
          <w:szCs w:val="24"/>
        </w:rPr>
        <w:t xml:space="preserve"> une loi pour la protection des réfugiés et des demandeurs d’asile au Tchad</w:t>
      </w:r>
      <w:r w:rsidR="002007F7" w:rsidRPr="00CA2C3D" w:rsidDel="002007F7">
        <w:rPr>
          <w:rFonts w:ascii="Times New Roman" w:hAnsi="Times New Roman"/>
          <w:sz w:val="24"/>
          <w:szCs w:val="24"/>
        </w:rPr>
        <w:t xml:space="preserve"> </w:t>
      </w:r>
      <w:r w:rsidR="002007F7" w:rsidRPr="00CA2C3D">
        <w:rPr>
          <w:rFonts w:ascii="Times New Roman" w:hAnsi="Times New Roman"/>
          <w:sz w:val="24"/>
          <w:szCs w:val="24"/>
        </w:rPr>
        <w:t>qui vient</w:t>
      </w:r>
      <w:r w:rsidR="00BB435F" w:rsidRPr="00CA2C3D">
        <w:rPr>
          <w:rFonts w:ascii="Times New Roman" w:hAnsi="Times New Roman"/>
          <w:sz w:val="24"/>
          <w:szCs w:val="24"/>
        </w:rPr>
        <w:t xml:space="preserve"> compléter le cadre légal relatif à la protection des réfugiés</w:t>
      </w:r>
      <w:r w:rsidR="00F52624" w:rsidRPr="00CA2C3D">
        <w:rPr>
          <w:rFonts w:ascii="Times New Roman" w:hAnsi="Times New Roman"/>
          <w:sz w:val="24"/>
          <w:szCs w:val="24"/>
        </w:rPr>
        <w:t xml:space="preserve"> bien qu’il ait</w:t>
      </w:r>
      <w:r w:rsidR="00BB435F" w:rsidRPr="00CA2C3D">
        <w:rPr>
          <w:rFonts w:ascii="Times New Roman" w:hAnsi="Times New Roman"/>
          <w:sz w:val="24"/>
          <w:szCs w:val="24"/>
        </w:rPr>
        <w:t xml:space="preserve"> créé une Commission Nationale d’Accueil et de Réinsertion des Refugies et Apatrides </w:t>
      </w:r>
      <w:r w:rsidR="000603E0">
        <w:rPr>
          <w:rFonts w:ascii="Times New Roman" w:hAnsi="Times New Roman"/>
          <w:sz w:val="24"/>
          <w:szCs w:val="24"/>
        </w:rPr>
        <w:t xml:space="preserve">(CNARR) </w:t>
      </w:r>
      <w:r w:rsidR="00BB435F" w:rsidRPr="00CA2C3D">
        <w:rPr>
          <w:rFonts w:ascii="Times New Roman" w:hAnsi="Times New Roman"/>
          <w:sz w:val="24"/>
          <w:szCs w:val="24"/>
        </w:rPr>
        <w:t>qui se charge d’examiner et de statuer sur les demandes d’asile.</w:t>
      </w:r>
      <w:r w:rsidR="00B5543E">
        <w:rPr>
          <w:rFonts w:ascii="Times New Roman" w:hAnsi="Times New Roman"/>
          <w:sz w:val="24"/>
          <w:szCs w:val="24"/>
        </w:rPr>
        <w:t xml:space="preserve"> </w:t>
      </w:r>
      <w:r w:rsidR="24CCCFA6" w:rsidRPr="30DCC7F0">
        <w:rPr>
          <w:rFonts w:ascii="Times New Roman" w:hAnsi="Times New Roman"/>
          <w:sz w:val="24"/>
          <w:szCs w:val="24"/>
        </w:rPr>
        <w:t>Bien plus, la traite des personnes</w:t>
      </w:r>
      <w:r w:rsidR="71C843CB" w:rsidRPr="30DCC7F0">
        <w:rPr>
          <w:rFonts w:ascii="Times New Roman" w:hAnsi="Times New Roman"/>
          <w:sz w:val="24"/>
          <w:szCs w:val="24"/>
        </w:rPr>
        <w:t xml:space="preserve"> </w:t>
      </w:r>
      <w:r w:rsidR="7850ADAC" w:rsidRPr="30DCC7F0">
        <w:rPr>
          <w:rFonts w:ascii="Times New Roman" w:hAnsi="Times New Roman"/>
          <w:sz w:val="24"/>
          <w:szCs w:val="24"/>
        </w:rPr>
        <w:t>étant</w:t>
      </w:r>
      <w:r w:rsidR="71C843CB" w:rsidRPr="30DCC7F0">
        <w:rPr>
          <w:rFonts w:ascii="Times New Roman" w:hAnsi="Times New Roman"/>
          <w:sz w:val="24"/>
          <w:szCs w:val="24"/>
        </w:rPr>
        <w:t xml:space="preserve"> un mal qui ronge</w:t>
      </w:r>
      <w:r w:rsidR="000D27A0">
        <w:rPr>
          <w:rFonts w:ascii="Times New Roman" w:hAnsi="Times New Roman"/>
          <w:sz w:val="24"/>
          <w:szCs w:val="24"/>
        </w:rPr>
        <w:t xml:space="preserve">. </w:t>
      </w:r>
      <w:r w:rsidR="00326C54">
        <w:rPr>
          <w:rFonts w:ascii="Times New Roman" w:hAnsi="Times New Roman"/>
          <w:sz w:val="24"/>
          <w:szCs w:val="24"/>
        </w:rPr>
        <w:t xml:space="preserve">Toutefois </w:t>
      </w:r>
      <w:r w:rsidR="00326C54" w:rsidRPr="00B86CFF">
        <w:rPr>
          <w:rFonts w:ascii="Times New Roman" w:hAnsi="Times New Roman"/>
          <w:sz w:val="24"/>
          <w:szCs w:val="24"/>
        </w:rPr>
        <w:t xml:space="preserve">les </w:t>
      </w:r>
      <w:r w:rsidR="71C843CB" w:rsidRPr="00B86CFF">
        <w:rPr>
          <w:rFonts w:ascii="Times New Roman" w:hAnsi="Times New Roman"/>
          <w:sz w:val="24"/>
          <w:szCs w:val="24"/>
        </w:rPr>
        <w:t>nations</w:t>
      </w:r>
      <w:r w:rsidR="24CCCFA6" w:rsidRPr="00B86CFF">
        <w:rPr>
          <w:rFonts w:ascii="Times New Roman" w:hAnsi="Times New Roman"/>
          <w:sz w:val="24"/>
          <w:szCs w:val="24"/>
        </w:rPr>
        <w:t xml:space="preserve">, </w:t>
      </w:r>
      <w:r w:rsidR="5C041448" w:rsidRPr="00B86CFF">
        <w:rPr>
          <w:rFonts w:ascii="Times New Roman" w:hAnsi="Times New Roman"/>
          <w:sz w:val="24"/>
          <w:szCs w:val="24"/>
        </w:rPr>
        <w:t xml:space="preserve">en 2009, </w:t>
      </w:r>
      <w:r w:rsidR="24CCCFA6" w:rsidRPr="00B86CFF">
        <w:rPr>
          <w:rFonts w:ascii="Times New Roman" w:hAnsi="Times New Roman"/>
          <w:sz w:val="24"/>
          <w:szCs w:val="24"/>
        </w:rPr>
        <w:t xml:space="preserve">le Tchad a </w:t>
      </w:r>
      <w:r w:rsidR="481F7D25" w:rsidRPr="00B86CFF">
        <w:rPr>
          <w:rFonts w:ascii="Times New Roman" w:hAnsi="Times New Roman"/>
          <w:sz w:val="24"/>
          <w:szCs w:val="24"/>
        </w:rPr>
        <w:t>ratifié</w:t>
      </w:r>
      <w:r w:rsidR="24CCCFA6" w:rsidRPr="00B86CFF">
        <w:rPr>
          <w:rFonts w:ascii="Times New Roman" w:hAnsi="Times New Roman"/>
          <w:sz w:val="24"/>
          <w:szCs w:val="24"/>
        </w:rPr>
        <w:t xml:space="preserve"> la </w:t>
      </w:r>
      <w:r w:rsidR="6B3928D0" w:rsidRPr="00B86CFF">
        <w:rPr>
          <w:rFonts w:ascii="Times New Roman" w:eastAsiaTheme="majorEastAsia" w:hAnsi="Times New Roman" w:cstheme="majorBidi"/>
          <w:sz w:val="24"/>
          <w:szCs w:val="24"/>
        </w:rPr>
        <w:t xml:space="preserve">Convention des Nations Unies contre la criminalité transnationale organisée </w:t>
      </w:r>
      <w:r w:rsidR="5F703A70" w:rsidRPr="00B86CFF">
        <w:rPr>
          <w:rFonts w:ascii="Times New Roman" w:eastAsiaTheme="majorEastAsia" w:hAnsi="Times New Roman" w:cstheme="majorBidi"/>
          <w:sz w:val="24"/>
          <w:szCs w:val="24"/>
        </w:rPr>
        <w:t xml:space="preserve">ainsi que </w:t>
      </w:r>
      <w:r w:rsidR="627355CC" w:rsidRPr="00B86CFF">
        <w:rPr>
          <w:rFonts w:ascii="Times New Roman" w:eastAsiaTheme="majorEastAsia" w:hAnsi="Times New Roman" w:cstheme="majorBidi"/>
          <w:sz w:val="24"/>
          <w:szCs w:val="24"/>
        </w:rPr>
        <w:t>son</w:t>
      </w:r>
      <w:r w:rsidR="5F703A70" w:rsidRPr="00B86CFF">
        <w:rPr>
          <w:rFonts w:ascii="Times New Roman" w:eastAsiaTheme="majorEastAsia" w:hAnsi="Times New Roman" w:cstheme="majorBidi"/>
          <w:sz w:val="24"/>
          <w:szCs w:val="24"/>
        </w:rPr>
        <w:t xml:space="preserve"> Protocole</w:t>
      </w:r>
      <w:r w:rsidR="6882F333" w:rsidRPr="00B86CFF">
        <w:rPr>
          <w:rFonts w:ascii="Times New Roman" w:eastAsiaTheme="majorEastAsia" w:hAnsi="Times New Roman" w:cstheme="majorBidi"/>
          <w:sz w:val="24"/>
          <w:szCs w:val="24"/>
        </w:rPr>
        <w:t xml:space="preserve"> </w:t>
      </w:r>
      <w:r w:rsidR="0F88DDE5" w:rsidRPr="00B86CFF">
        <w:rPr>
          <w:rFonts w:ascii="Times New Roman" w:eastAsiaTheme="majorEastAsia" w:hAnsi="Times New Roman" w:cstheme="majorBidi"/>
          <w:sz w:val="24"/>
          <w:szCs w:val="24"/>
        </w:rPr>
        <w:t>additionnel visant</w:t>
      </w:r>
      <w:r w:rsidR="5F703A70" w:rsidRPr="00B86CFF">
        <w:rPr>
          <w:rFonts w:ascii="Times New Roman" w:eastAsiaTheme="majorEastAsia" w:hAnsi="Times New Roman" w:cstheme="majorBidi"/>
          <w:sz w:val="24"/>
          <w:szCs w:val="24"/>
        </w:rPr>
        <w:t xml:space="preserve"> à prévenir,</w:t>
      </w:r>
      <w:r w:rsidR="2D2005DD" w:rsidRPr="00B86CFF">
        <w:rPr>
          <w:rFonts w:ascii="Times New Roman" w:eastAsiaTheme="majorEastAsia" w:hAnsi="Times New Roman" w:cstheme="majorBidi"/>
          <w:sz w:val="24"/>
          <w:szCs w:val="24"/>
        </w:rPr>
        <w:t xml:space="preserve"> </w:t>
      </w:r>
      <w:r w:rsidR="5F703A70" w:rsidRPr="00B86CFF">
        <w:rPr>
          <w:rFonts w:ascii="Times New Roman" w:eastAsiaTheme="majorEastAsia" w:hAnsi="Times New Roman" w:cstheme="majorBidi"/>
          <w:sz w:val="24"/>
          <w:szCs w:val="24"/>
        </w:rPr>
        <w:t>réprimer et punir la traite des personnes, en</w:t>
      </w:r>
      <w:r w:rsidR="7DBA7305" w:rsidRPr="00B86CFF">
        <w:rPr>
          <w:rFonts w:ascii="Times New Roman" w:eastAsiaTheme="majorEastAsia" w:hAnsi="Times New Roman" w:cstheme="majorBidi"/>
          <w:sz w:val="24"/>
          <w:szCs w:val="24"/>
        </w:rPr>
        <w:t xml:space="preserve"> </w:t>
      </w:r>
      <w:r w:rsidR="5F703A70" w:rsidRPr="00B86CFF">
        <w:rPr>
          <w:rFonts w:ascii="Times New Roman" w:eastAsiaTheme="majorEastAsia" w:hAnsi="Times New Roman" w:cstheme="majorBidi"/>
          <w:sz w:val="24"/>
          <w:szCs w:val="24"/>
        </w:rPr>
        <w:t>particulier des femmes et des enfants</w:t>
      </w:r>
      <w:r w:rsidR="6E4857A4" w:rsidRPr="00B86CFF">
        <w:rPr>
          <w:rFonts w:ascii="Times New Roman" w:eastAsiaTheme="majorEastAsia" w:hAnsi="Times New Roman" w:cstheme="majorBidi"/>
          <w:sz w:val="24"/>
          <w:szCs w:val="24"/>
        </w:rPr>
        <w:t>. En 2018, le Tchad a adopté un</w:t>
      </w:r>
      <w:r w:rsidR="000D27A0" w:rsidRPr="00B86CFF">
        <w:rPr>
          <w:rFonts w:ascii="Times New Roman" w:eastAsiaTheme="majorEastAsia" w:hAnsi="Times New Roman" w:cstheme="majorBidi"/>
          <w:sz w:val="24"/>
          <w:szCs w:val="24"/>
        </w:rPr>
        <w:t xml:space="preserve"> </w:t>
      </w:r>
      <w:r w:rsidR="00326C54" w:rsidRPr="00B86CFF">
        <w:rPr>
          <w:rFonts w:ascii="Times New Roman" w:hAnsi="Times New Roman"/>
          <w:sz w:val="24"/>
          <w:szCs w:val="24"/>
        </w:rPr>
        <w:t>d</w:t>
      </w:r>
      <w:r w:rsidR="009578FD" w:rsidRPr="00B86CFF">
        <w:rPr>
          <w:rFonts w:ascii="Times New Roman" w:hAnsi="Times New Roman"/>
          <w:sz w:val="24"/>
          <w:szCs w:val="24"/>
        </w:rPr>
        <w:t>écret devant préciser les modalités d’application de cette</w:t>
      </w:r>
      <w:r w:rsidR="009578FD" w:rsidRPr="00B86CFF">
        <w:rPr>
          <w:rFonts w:ascii="Times New Roman" w:hAnsi="Times New Roman"/>
          <w:sz w:val="24"/>
        </w:rPr>
        <w:t xml:space="preserve"> loi </w:t>
      </w:r>
      <w:r w:rsidR="6E4857A4" w:rsidRPr="00B86CFF">
        <w:rPr>
          <w:rFonts w:ascii="Times New Roman" w:eastAsiaTheme="majorEastAsia" w:hAnsi="Times New Roman" w:cstheme="majorBidi"/>
          <w:sz w:val="24"/>
          <w:szCs w:val="24"/>
        </w:rPr>
        <w:t>sur la lu</w:t>
      </w:r>
      <w:r w:rsidR="2C94198C" w:rsidRPr="00B86CFF">
        <w:rPr>
          <w:rFonts w:ascii="Times New Roman" w:eastAsiaTheme="majorEastAsia" w:hAnsi="Times New Roman" w:cstheme="majorBidi"/>
          <w:sz w:val="24"/>
          <w:szCs w:val="24"/>
        </w:rPr>
        <w:t>tte contre la traite des personnes et</w:t>
      </w:r>
      <w:r w:rsidR="2E2FE9ED" w:rsidRPr="00B86CFF">
        <w:rPr>
          <w:rFonts w:ascii="Times New Roman" w:eastAsiaTheme="majorEastAsia" w:hAnsi="Times New Roman" w:cstheme="majorBidi"/>
          <w:sz w:val="24"/>
          <w:szCs w:val="24"/>
        </w:rPr>
        <w:t>,</w:t>
      </w:r>
      <w:r w:rsidR="2C94198C" w:rsidRPr="00B86CFF">
        <w:rPr>
          <w:rFonts w:ascii="Times New Roman" w:eastAsiaTheme="majorEastAsia" w:hAnsi="Times New Roman" w:cstheme="majorBidi"/>
          <w:sz w:val="24"/>
          <w:szCs w:val="24"/>
        </w:rPr>
        <w:t xml:space="preserve"> en 2021, </w:t>
      </w:r>
      <w:r w:rsidR="6BAF21D8" w:rsidRPr="00B86CFF">
        <w:rPr>
          <w:rFonts w:ascii="Times New Roman" w:eastAsiaTheme="majorEastAsia" w:hAnsi="Times New Roman" w:cstheme="majorBidi"/>
          <w:sz w:val="24"/>
          <w:szCs w:val="24"/>
        </w:rPr>
        <w:t xml:space="preserve">la Commission Nationale de lutte contre la traite des personnes au Tchad ainsi que le </w:t>
      </w:r>
      <w:r w:rsidR="53E7A21C" w:rsidRPr="00B86CFF">
        <w:rPr>
          <w:rFonts w:ascii="Times New Roman" w:eastAsiaTheme="majorEastAsia" w:hAnsi="Times New Roman" w:cstheme="majorBidi"/>
          <w:sz w:val="24"/>
          <w:szCs w:val="24"/>
        </w:rPr>
        <w:t>Comité</w:t>
      </w:r>
      <w:r w:rsidR="6BAF21D8" w:rsidRPr="00B86CFF">
        <w:rPr>
          <w:rFonts w:ascii="Times New Roman" w:eastAsiaTheme="majorEastAsia" w:hAnsi="Times New Roman" w:cstheme="majorBidi"/>
          <w:sz w:val="24"/>
          <w:szCs w:val="24"/>
        </w:rPr>
        <w:t xml:space="preserve"> Technique Multisectoriel de lutte contre le trafic illicite des migrants et la traite des personnes </w:t>
      </w:r>
      <w:r w:rsidR="009578FD" w:rsidRPr="00B86CFF">
        <w:rPr>
          <w:rFonts w:ascii="Times New Roman" w:hAnsi="Times New Roman"/>
          <w:sz w:val="24"/>
          <w:szCs w:val="24"/>
        </w:rPr>
        <w:t xml:space="preserve">n’ont </w:t>
      </w:r>
      <w:r w:rsidR="00F11A3F" w:rsidRPr="00B86CFF">
        <w:rPr>
          <w:rFonts w:ascii="Times New Roman" w:hAnsi="Times New Roman"/>
          <w:sz w:val="24"/>
          <w:szCs w:val="24"/>
        </w:rPr>
        <w:t>toujours</w:t>
      </w:r>
      <w:r w:rsidR="009578FD" w:rsidRPr="00B86CFF">
        <w:rPr>
          <w:rFonts w:ascii="Times New Roman" w:hAnsi="Times New Roman"/>
          <w:sz w:val="24"/>
          <w:szCs w:val="24"/>
        </w:rPr>
        <w:t xml:space="preserve"> pas</w:t>
      </w:r>
      <w:r w:rsidR="009578FD" w:rsidRPr="00B86CFF">
        <w:rPr>
          <w:rFonts w:ascii="Times New Roman" w:hAnsi="Times New Roman"/>
          <w:sz w:val="24"/>
        </w:rPr>
        <w:t xml:space="preserve"> été </w:t>
      </w:r>
      <w:r w:rsidR="6BAF21D8" w:rsidRPr="00B86CFF">
        <w:rPr>
          <w:rFonts w:ascii="Times New Roman" w:eastAsiaTheme="majorEastAsia" w:hAnsi="Times New Roman" w:cstheme="majorBidi"/>
          <w:sz w:val="24"/>
          <w:szCs w:val="24"/>
        </w:rPr>
        <w:t>mis en place.</w:t>
      </w:r>
      <w:r w:rsidR="6BAF21D8" w:rsidRPr="00B86CFF">
        <w:rPr>
          <w:rFonts w:ascii="Times New Roman" w:hAnsi="Times New Roman"/>
          <w:sz w:val="24"/>
        </w:rPr>
        <w:t xml:space="preserve"> </w:t>
      </w:r>
    </w:p>
    <w:p w14:paraId="60016670" w14:textId="099AA524" w:rsidR="00B91FB7" w:rsidRPr="00CA2C3D" w:rsidRDefault="00B91FB7" w:rsidP="00961447">
      <w:pPr>
        <w:tabs>
          <w:tab w:val="num" w:pos="720"/>
        </w:tabs>
        <w:ind w:right="288"/>
        <w:jc w:val="both"/>
        <w:rPr>
          <w:rFonts w:ascii="Times New Roman" w:hAnsi="Times New Roman"/>
          <w:sz w:val="24"/>
          <w:szCs w:val="24"/>
        </w:rPr>
      </w:pPr>
      <w:r w:rsidRPr="00CA2C3D">
        <w:rPr>
          <w:rFonts w:ascii="Times New Roman" w:hAnsi="Times New Roman"/>
          <w:sz w:val="24"/>
          <w:szCs w:val="24"/>
        </w:rPr>
        <w:t>Une analyse des différentes sources légales et des documents sur les droits humains présentés lors des Examens Périodiques Universels démontre que le Gouvernement n’a pas</w:t>
      </w:r>
      <w:r w:rsidR="001F4B4E" w:rsidRPr="00CA2C3D">
        <w:rPr>
          <w:rFonts w:ascii="Times New Roman" w:hAnsi="Times New Roman"/>
          <w:sz w:val="24"/>
          <w:szCs w:val="24"/>
        </w:rPr>
        <w:t xml:space="preserve"> </w:t>
      </w:r>
      <w:r w:rsidRPr="00CA2C3D">
        <w:rPr>
          <w:rFonts w:ascii="Times New Roman" w:hAnsi="Times New Roman"/>
          <w:sz w:val="24"/>
          <w:szCs w:val="24"/>
        </w:rPr>
        <w:t xml:space="preserve">entièrement mis en œuvre toutes les recommandations. Relativement au troisième passage du Tchad à l’Examen Périodique Universel en fin 2018, au total 204 recommandations ont été adressées aux autorités </w:t>
      </w:r>
      <w:r w:rsidRPr="00CA2C3D">
        <w:rPr>
          <w:rFonts w:ascii="Times New Roman" w:hAnsi="Times New Roman"/>
          <w:sz w:val="24"/>
          <w:szCs w:val="24"/>
        </w:rPr>
        <w:lastRenderedPageBreak/>
        <w:t>tchadiennes, dont 195 acceptées et 9 autres notées.</w:t>
      </w:r>
      <w:r w:rsidR="00090BD0" w:rsidRPr="00CA2C3D">
        <w:rPr>
          <w:rFonts w:ascii="Times New Roman" w:hAnsi="Times New Roman"/>
          <w:sz w:val="24"/>
          <w:szCs w:val="24"/>
        </w:rPr>
        <w:t xml:space="preserve"> Au niveau régional, le Tchad recevra les appuis des </w:t>
      </w:r>
      <w:r w:rsidR="00EF254E">
        <w:rPr>
          <w:rFonts w:ascii="Times New Roman" w:hAnsi="Times New Roman"/>
          <w:sz w:val="24"/>
          <w:szCs w:val="24"/>
        </w:rPr>
        <w:t>N</w:t>
      </w:r>
      <w:r w:rsidR="00090BD0" w:rsidRPr="00CA2C3D">
        <w:rPr>
          <w:rFonts w:ascii="Times New Roman" w:hAnsi="Times New Roman"/>
          <w:sz w:val="24"/>
          <w:szCs w:val="24"/>
        </w:rPr>
        <w:t xml:space="preserve">ations </w:t>
      </w:r>
      <w:r w:rsidR="00EF254E">
        <w:rPr>
          <w:rFonts w:ascii="Times New Roman" w:hAnsi="Times New Roman"/>
          <w:sz w:val="24"/>
          <w:szCs w:val="24"/>
        </w:rPr>
        <w:t>U</w:t>
      </w:r>
      <w:r w:rsidR="00090BD0" w:rsidRPr="00CA2C3D">
        <w:rPr>
          <w:rFonts w:ascii="Times New Roman" w:hAnsi="Times New Roman"/>
          <w:sz w:val="24"/>
          <w:szCs w:val="24"/>
        </w:rPr>
        <w:t xml:space="preserve">nies à travers la mise </w:t>
      </w:r>
      <w:r w:rsidR="00293019" w:rsidRPr="00CA2C3D">
        <w:rPr>
          <w:rFonts w:ascii="Times New Roman" w:hAnsi="Times New Roman"/>
          <w:sz w:val="24"/>
          <w:szCs w:val="24"/>
        </w:rPr>
        <w:t xml:space="preserve">en </w:t>
      </w:r>
      <w:r w:rsidR="00090BD0" w:rsidRPr="00CA2C3D">
        <w:rPr>
          <w:rFonts w:ascii="Times New Roman" w:hAnsi="Times New Roman"/>
          <w:sz w:val="24"/>
          <w:szCs w:val="24"/>
        </w:rPr>
        <w:t xml:space="preserve">œuvre du Plan du Soutien de la Stratégie Intégrée des Nations Unies pour le Sahel visant à promouvoir la professionnalisation, </w:t>
      </w:r>
      <w:r w:rsidR="00976200">
        <w:rPr>
          <w:rFonts w:ascii="Times New Roman" w:hAnsi="Times New Roman"/>
          <w:sz w:val="24"/>
          <w:szCs w:val="24"/>
        </w:rPr>
        <w:t xml:space="preserve">la </w:t>
      </w:r>
      <w:r w:rsidR="00090BD0" w:rsidRPr="00CA2C3D">
        <w:rPr>
          <w:rFonts w:ascii="Times New Roman" w:hAnsi="Times New Roman"/>
          <w:sz w:val="24"/>
          <w:szCs w:val="24"/>
        </w:rPr>
        <w:t xml:space="preserve">transparence, </w:t>
      </w:r>
      <w:r w:rsidR="00976200">
        <w:rPr>
          <w:rFonts w:ascii="Times New Roman" w:hAnsi="Times New Roman"/>
          <w:sz w:val="24"/>
          <w:szCs w:val="24"/>
        </w:rPr>
        <w:t xml:space="preserve">la </w:t>
      </w:r>
      <w:r w:rsidR="00090BD0" w:rsidRPr="00CA2C3D">
        <w:rPr>
          <w:rFonts w:ascii="Times New Roman" w:hAnsi="Times New Roman"/>
          <w:sz w:val="24"/>
          <w:szCs w:val="24"/>
        </w:rPr>
        <w:t xml:space="preserve">responsabilité, et la réglementation des institutions sécuritaire et judicaire. </w:t>
      </w:r>
      <w:r w:rsidR="00BB435F" w:rsidRPr="00CA2C3D">
        <w:rPr>
          <w:rFonts w:ascii="Times New Roman" w:hAnsi="Times New Roman"/>
          <w:sz w:val="24"/>
          <w:szCs w:val="24"/>
        </w:rPr>
        <w:t>L</w:t>
      </w:r>
      <w:r w:rsidRPr="00CA2C3D">
        <w:rPr>
          <w:rFonts w:ascii="Times New Roman" w:hAnsi="Times New Roman"/>
          <w:sz w:val="24"/>
          <w:szCs w:val="24"/>
        </w:rPr>
        <w:t>a constitution de la 4</w:t>
      </w:r>
      <w:r w:rsidRPr="00CA2C3D">
        <w:rPr>
          <w:rFonts w:ascii="Times New Roman" w:hAnsi="Times New Roman"/>
          <w:sz w:val="24"/>
          <w:szCs w:val="24"/>
          <w:vertAlign w:val="superscript"/>
        </w:rPr>
        <w:t>ème</w:t>
      </w:r>
      <w:r w:rsidRPr="00CA2C3D">
        <w:rPr>
          <w:rFonts w:ascii="Times New Roman" w:hAnsi="Times New Roman"/>
          <w:sz w:val="24"/>
          <w:szCs w:val="24"/>
        </w:rPr>
        <w:t xml:space="preserve"> République promulguée en 2018 réaffirme l’attachement du Tchad aux principes des Droits de l’Homme tels que définis par la Charte des Nations Unies de 1945, de la Déclaration Universelle des Droits de l’Homme de 1948 et la Charte Africaine des Droits de l’Homme et des Peuples de 1981. Le Tchad est</w:t>
      </w:r>
      <w:r w:rsidR="0CCA0ECC" w:rsidRPr="00CA2C3D">
        <w:rPr>
          <w:rFonts w:ascii="Times New Roman" w:hAnsi="Times New Roman"/>
          <w:sz w:val="24"/>
          <w:szCs w:val="24"/>
        </w:rPr>
        <w:t>,</w:t>
      </w:r>
      <w:r w:rsidRPr="00CA2C3D">
        <w:rPr>
          <w:rFonts w:ascii="Times New Roman" w:hAnsi="Times New Roman"/>
          <w:sz w:val="24"/>
          <w:szCs w:val="24"/>
        </w:rPr>
        <w:t xml:space="preserve"> par ailleurs</w:t>
      </w:r>
      <w:r w:rsidR="4F12221C" w:rsidRPr="00CA2C3D">
        <w:rPr>
          <w:rFonts w:ascii="Times New Roman" w:hAnsi="Times New Roman"/>
          <w:sz w:val="24"/>
          <w:szCs w:val="24"/>
        </w:rPr>
        <w:t>,</w:t>
      </w:r>
      <w:r w:rsidRPr="00CA2C3D">
        <w:rPr>
          <w:rFonts w:ascii="Times New Roman" w:hAnsi="Times New Roman"/>
          <w:sz w:val="24"/>
          <w:szCs w:val="24"/>
        </w:rPr>
        <w:t xml:space="preserve"> confronté à la coexistence du droit moderne et des droits coutumiers créant un environnement</w:t>
      </w:r>
      <w:r w:rsidR="00B86CFF">
        <w:rPr>
          <w:rFonts w:ascii="Times New Roman" w:hAnsi="Times New Roman"/>
          <w:sz w:val="24"/>
          <w:szCs w:val="24"/>
        </w:rPr>
        <w:t xml:space="preserve"> qui se montre parfois </w:t>
      </w:r>
      <w:r w:rsidRPr="00CA2C3D">
        <w:rPr>
          <w:rFonts w:ascii="Times New Roman" w:hAnsi="Times New Roman"/>
          <w:sz w:val="24"/>
          <w:szCs w:val="24"/>
        </w:rPr>
        <w:t xml:space="preserve">peu propice à la mise en œuvre des lois et des politiques favorables à la promotion des droits humains. </w:t>
      </w:r>
    </w:p>
    <w:p w14:paraId="10A3431F" w14:textId="77777777" w:rsidR="00B611DF" w:rsidRPr="00CA2C3D" w:rsidRDefault="00B611DF" w:rsidP="00B91FB7">
      <w:pPr>
        <w:spacing w:after="0"/>
        <w:ind w:right="288"/>
        <w:jc w:val="both"/>
        <w:rPr>
          <w:rFonts w:ascii="Times New Roman" w:hAnsi="Times New Roman"/>
          <w:sz w:val="24"/>
          <w:szCs w:val="24"/>
        </w:rPr>
      </w:pPr>
    </w:p>
    <w:p w14:paraId="30C3C7FB" w14:textId="477BCA0F" w:rsidR="00B91FB7" w:rsidRPr="00CA2C3D" w:rsidRDefault="00B91FB7" w:rsidP="00B91FB7">
      <w:pPr>
        <w:spacing w:after="0"/>
        <w:ind w:right="288"/>
        <w:jc w:val="both"/>
        <w:rPr>
          <w:rFonts w:ascii="Times New Roman" w:hAnsi="Times New Roman"/>
          <w:sz w:val="24"/>
          <w:szCs w:val="24"/>
        </w:rPr>
      </w:pPr>
      <w:r w:rsidRPr="00CA2C3D">
        <w:rPr>
          <w:rFonts w:ascii="Times New Roman" w:hAnsi="Times New Roman"/>
          <w:sz w:val="24"/>
          <w:szCs w:val="24"/>
        </w:rPr>
        <w:t>Le Tchad s’est doté d’un cadre législatif suffisamment robuste pour protéger les enfants contre les violences depuis 2018. Cependant l’application des différentes dispositions demeure un véritable défi. L’Assemblée Nationale du Tchad a adopté le 8 décembre 2017 la loi No 026/PR/2017 portant réforme de la Commission Nationale des Droits de l’Homme. Celle-ci dote la Commission du mandat de promotion et de protection des droits humains, de larges pouvoirs d’investigation des cas de violation des droits de l’Homme et de l’indépendance d’action. Sous la 4</w:t>
      </w:r>
      <w:r w:rsidRPr="00CA2C3D">
        <w:rPr>
          <w:rFonts w:ascii="Times New Roman" w:hAnsi="Times New Roman"/>
          <w:sz w:val="24"/>
          <w:szCs w:val="24"/>
          <w:vertAlign w:val="superscript"/>
        </w:rPr>
        <w:t>èm</w:t>
      </w:r>
      <w:r w:rsidR="3F3B62CF" w:rsidRPr="00CA2C3D">
        <w:rPr>
          <w:rFonts w:ascii="Times New Roman" w:hAnsi="Times New Roman"/>
          <w:sz w:val="24"/>
          <w:szCs w:val="24"/>
          <w:vertAlign w:val="superscript"/>
        </w:rPr>
        <w:t>e</w:t>
      </w:r>
      <w:r w:rsidRPr="00CA2C3D">
        <w:rPr>
          <w:rFonts w:ascii="Times New Roman" w:hAnsi="Times New Roman"/>
          <w:sz w:val="24"/>
          <w:szCs w:val="24"/>
        </w:rPr>
        <w:t xml:space="preserve"> République, la Commission Nationale des Droits de l’Homme est une institution constitutionnelle</w:t>
      </w:r>
      <w:r w:rsidR="0095717F" w:rsidRPr="00CA2C3D">
        <w:rPr>
          <w:rFonts w:ascii="Times New Roman" w:hAnsi="Times New Roman"/>
          <w:sz w:val="24"/>
          <w:szCs w:val="24"/>
        </w:rPr>
        <w:t>,</w:t>
      </w:r>
      <w:r w:rsidRPr="00CA2C3D">
        <w:rPr>
          <w:rFonts w:ascii="Times New Roman" w:hAnsi="Times New Roman"/>
          <w:sz w:val="24"/>
          <w:szCs w:val="24"/>
        </w:rPr>
        <w:t xml:space="preserve"> ce qui est une avancée. </w:t>
      </w:r>
      <w:bookmarkStart w:id="9" w:name="_Hlk51599799"/>
      <w:bookmarkEnd w:id="9"/>
    </w:p>
    <w:p w14:paraId="61DBB43C" w14:textId="77777777" w:rsidR="00B91FB7" w:rsidRPr="00CA2C3D" w:rsidRDefault="00B91FB7" w:rsidP="00B91FB7">
      <w:pPr>
        <w:spacing w:after="0"/>
        <w:ind w:right="288"/>
        <w:jc w:val="both"/>
        <w:rPr>
          <w:rFonts w:ascii="Times New Roman" w:hAnsi="Times New Roman"/>
          <w:b/>
          <w:bCs/>
          <w:sz w:val="24"/>
          <w:szCs w:val="24"/>
        </w:rPr>
      </w:pPr>
    </w:p>
    <w:p w14:paraId="449E49A6" w14:textId="6242A486" w:rsidR="00B91FB7" w:rsidRPr="00CA2C3D" w:rsidRDefault="00B91FB7" w:rsidP="00B91FB7">
      <w:pPr>
        <w:spacing w:after="0"/>
        <w:ind w:right="288"/>
        <w:jc w:val="both"/>
        <w:rPr>
          <w:rFonts w:ascii="Times New Roman" w:hAnsi="Times New Roman"/>
          <w:sz w:val="24"/>
          <w:szCs w:val="24"/>
        </w:rPr>
      </w:pPr>
      <w:r w:rsidRPr="00CA2C3D">
        <w:rPr>
          <w:rFonts w:ascii="Times New Roman" w:hAnsi="Times New Roman"/>
          <w:sz w:val="24"/>
          <w:szCs w:val="24"/>
        </w:rPr>
        <w:t xml:space="preserve">Les défis </w:t>
      </w:r>
      <w:r w:rsidR="189607AE" w:rsidRPr="00CA2C3D">
        <w:rPr>
          <w:rFonts w:ascii="Times New Roman" w:hAnsi="Times New Roman"/>
          <w:sz w:val="24"/>
          <w:szCs w:val="24"/>
        </w:rPr>
        <w:t>dans</w:t>
      </w:r>
      <w:r w:rsidRPr="00CA2C3D">
        <w:rPr>
          <w:rFonts w:ascii="Times New Roman" w:hAnsi="Times New Roman"/>
          <w:sz w:val="24"/>
          <w:szCs w:val="24"/>
        </w:rPr>
        <w:t xml:space="preserve"> la mise en œuvre des droits de l’</w:t>
      </w:r>
      <w:r w:rsidR="32598721" w:rsidRPr="00CA2C3D">
        <w:rPr>
          <w:rFonts w:ascii="Times New Roman" w:hAnsi="Times New Roman"/>
          <w:sz w:val="24"/>
          <w:szCs w:val="24"/>
        </w:rPr>
        <w:t>H</w:t>
      </w:r>
      <w:r w:rsidRPr="00CA2C3D">
        <w:rPr>
          <w:rFonts w:ascii="Times New Roman" w:hAnsi="Times New Roman"/>
          <w:sz w:val="24"/>
          <w:szCs w:val="24"/>
        </w:rPr>
        <w:t xml:space="preserve">omme restent multiples et urgents à relever, </w:t>
      </w:r>
      <w:r w:rsidR="005C53E9" w:rsidRPr="00CA2C3D">
        <w:rPr>
          <w:rFonts w:ascii="Times New Roman" w:hAnsi="Times New Roman"/>
          <w:sz w:val="24"/>
          <w:szCs w:val="24"/>
        </w:rPr>
        <w:t xml:space="preserve">tant </w:t>
      </w:r>
      <w:r w:rsidRPr="00CA2C3D">
        <w:rPr>
          <w:rFonts w:ascii="Times New Roman" w:hAnsi="Times New Roman"/>
          <w:sz w:val="24"/>
          <w:szCs w:val="24"/>
        </w:rPr>
        <w:t>dans les domaines économique, socia</w:t>
      </w:r>
      <w:r w:rsidR="009E4BD3" w:rsidRPr="00CA2C3D">
        <w:rPr>
          <w:rFonts w:ascii="Times New Roman" w:hAnsi="Times New Roman"/>
          <w:sz w:val="24"/>
          <w:szCs w:val="24"/>
        </w:rPr>
        <w:t>l</w:t>
      </w:r>
      <w:r w:rsidRPr="00CA2C3D">
        <w:rPr>
          <w:rFonts w:ascii="Times New Roman" w:hAnsi="Times New Roman"/>
          <w:sz w:val="24"/>
          <w:szCs w:val="24"/>
        </w:rPr>
        <w:t xml:space="preserve"> et culturel que civil et politique. Les recommandations des Etats Membres issues du 3</w:t>
      </w:r>
      <w:r w:rsidRPr="00CA2C3D">
        <w:rPr>
          <w:rFonts w:ascii="Times New Roman" w:hAnsi="Times New Roman"/>
          <w:sz w:val="24"/>
          <w:szCs w:val="24"/>
          <w:vertAlign w:val="superscript"/>
        </w:rPr>
        <w:t>ème</w:t>
      </w:r>
      <w:r w:rsidRPr="00CA2C3D">
        <w:rPr>
          <w:rFonts w:ascii="Times New Roman" w:hAnsi="Times New Roman"/>
          <w:sz w:val="24"/>
          <w:szCs w:val="24"/>
        </w:rPr>
        <w:t xml:space="preserve"> cycle de l’Examen Périodique Universel de fin 2018 se focalisent en particulier sur l’accès à la santé et à l’éducation, ainsi que sur la situation des femmes (en termes de discrimination et participation), la jouissance des libertés fondamentales (en particulier de la liberté d’expression et de réunion), le cadre législatif et le système de justice afin de diminuer l’impunité et augmenter la responsabilité des agents de l’Etat.</w:t>
      </w:r>
    </w:p>
    <w:p w14:paraId="077C35B5" w14:textId="77777777" w:rsidR="00B91FB7" w:rsidRPr="00CA2C3D" w:rsidRDefault="00B91FB7" w:rsidP="00B91FB7">
      <w:pPr>
        <w:spacing w:after="0" w:line="240" w:lineRule="auto"/>
        <w:rPr>
          <w:rFonts w:ascii="Times New Roman" w:hAnsi="Times New Roman"/>
          <w:sz w:val="24"/>
          <w:szCs w:val="24"/>
        </w:rPr>
      </w:pPr>
    </w:p>
    <w:p w14:paraId="4BAAFC44" w14:textId="392FA879" w:rsidR="002A73F5" w:rsidRDefault="00251739" w:rsidP="002557CD">
      <w:pPr>
        <w:spacing w:after="0" w:line="240" w:lineRule="auto"/>
        <w:jc w:val="both"/>
        <w:rPr>
          <w:rFonts w:ascii="Times New Roman" w:hAnsi="Times New Roman"/>
          <w:sz w:val="24"/>
          <w:szCs w:val="24"/>
        </w:rPr>
      </w:pPr>
      <w:r w:rsidRPr="00CA2C3D">
        <w:rPr>
          <w:rFonts w:ascii="Times New Roman" w:hAnsi="Times New Roman"/>
          <w:sz w:val="24"/>
          <w:szCs w:val="24"/>
        </w:rPr>
        <w:t>Sur le plan de la sécurité alimentaire et nutritionnelle, les rapports d’activités d</w:t>
      </w:r>
      <w:r w:rsidR="00DD349D" w:rsidRPr="00CA2C3D">
        <w:rPr>
          <w:rFonts w:ascii="Times New Roman" w:hAnsi="Times New Roman"/>
          <w:sz w:val="24"/>
          <w:szCs w:val="24"/>
        </w:rPr>
        <w:t>es</w:t>
      </w:r>
      <w:r w:rsidRPr="00CA2C3D">
        <w:rPr>
          <w:rFonts w:ascii="Times New Roman" w:hAnsi="Times New Roman"/>
          <w:sz w:val="24"/>
          <w:szCs w:val="24"/>
        </w:rPr>
        <w:t xml:space="preserve"> Ministères de l’Agriculture et de l’Elevage ainsi que les données du cadre harmonisé 20</w:t>
      </w:r>
      <w:r w:rsidR="00086DF4" w:rsidRPr="00CA2C3D">
        <w:rPr>
          <w:rFonts w:ascii="Times New Roman" w:hAnsi="Times New Roman"/>
          <w:sz w:val="24"/>
          <w:szCs w:val="24"/>
        </w:rPr>
        <w:t>20</w:t>
      </w:r>
      <w:r w:rsidRPr="00CA2C3D">
        <w:rPr>
          <w:rFonts w:ascii="Times New Roman" w:hAnsi="Times New Roman"/>
          <w:sz w:val="24"/>
          <w:szCs w:val="24"/>
        </w:rPr>
        <w:t xml:space="preserve"> </w:t>
      </w:r>
      <w:r w:rsidR="00086DF4" w:rsidRPr="00CA2C3D">
        <w:rPr>
          <w:rFonts w:ascii="Times New Roman" w:hAnsi="Times New Roman"/>
          <w:sz w:val="24"/>
          <w:szCs w:val="24"/>
        </w:rPr>
        <w:t>indiquent que la production céréalière prévisionnelle de la campagne agricole 2020/2021 est estimée à 2 901 683 tonnes. Elle est presque équivalente à celle de l’année dernière (-0,8%) et en légère hausse de 3,7% par rapport à la moyenne quinquennale</w:t>
      </w:r>
      <w:r w:rsidR="00294C29" w:rsidRPr="00CA2C3D">
        <w:rPr>
          <w:rFonts w:ascii="Times New Roman" w:hAnsi="Times New Roman"/>
          <w:sz w:val="24"/>
          <w:szCs w:val="24"/>
        </w:rPr>
        <w:t>.</w:t>
      </w:r>
      <w:r w:rsidR="00086DF4" w:rsidRPr="00CA2C3D">
        <w:rPr>
          <w:rFonts w:ascii="Times New Roman" w:hAnsi="Times New Roman"/>
          <w:sz w:val="24"/>
          <w:szCs w:val="24"/>
        </w:rPr>
        <w:t xml:space="preserve"> </w:t>
      </w:r>
      <w:r w:rsidR="00E37780" w:rsidRPr="00CA2C3D">
        <w:rPr>
          <w:rFonts w:ascii="Times New Roman" w:hAnsi="Times New Roman"/>
          <w:sz w:val="24"/>
          <w:szCs w:val="24"/>
        </w:rPr>
        <w:t xml:space="preserve">Pour la période courante, </w:t>
      </w:r>
      <w:r w:rsidR="002557CD">
        <w:rPr>
          <w:rFonts w:ascii="Times New Roman" w:hAnsi="Times New Roman"/>
          <w:sz w:val="24"/>
          <w:szCs w:val="24"/>
        </w:rPr>
        <w:t>1,7 Million de</w:t>
      </w:r>
      <w:r w:rsidR="00E37780" w:rsidRPr="00CA2C3D">
        <w:rPr>
          <w:rFonts w:ascii="Times New Roman" w:hAnsi="Times New Roman"/>
          <w:sz w:val="24"/>
          <w:szCs w:val="24"/>
        </w:rPr>
        <w:t xml:space="preserve"> personnes sont identifiées en insécurité alimentaire</w:t>
      </w:r>
      <w:r w:rsidR="002557CD">
        <w:rPr>
          <w:rFonts w:ascii="Times New Roman" w:hAnsi="Times New Roman"/>
          <w:sz w:val="24"/>
          <w:szCs w:val="24"/>
        </w:rPr>
        <w:t>.</w:t>
      </w:r>
      <w:r w:rsidR="00E37780" w:rsidRPr="00CA2C3D">
        <w:rPr>
          <w:rFonts w:ascii="Times New Roman" w:hAnsi="Times New Roman"/>
          <w:sz w:val="24"/>
          <w:szCs w:val="24"/>
        </w:rPr>
        <w:t xml:space="preserve"> </w:t>
      </w:r>
      <w:r w:rsidR="002557CD" w:rsidRPr="002557CD">
        <w:rPr>
          <w:rFonts w:ascii="Times New Roman" w:hAnsi="Times New Roman"/>
          <w:sz w:val="24"/>
          <w:szCs w:val="24"/>
        </w:rPr>
        <w:t xml:space="preserve">Le Cadre Harmonisé de mars 2021 prévoit que la malnutrition aigüe touchera 2,2 millions de personnes, notamment les enfants, représentant ainsi la première cause de mortalité </w:t>
      </w:r>
      <w:r w:rsidR="002557CD">
        <w:rPr>
          <w:rStyle w:val="Appelnotedebasdep"/>
        </w:rPr>
        <w:footnoteReference w:id="8"/>
      </w:r>
      <w:r w:rsidR="002557CD" w:rsidRPr="002557CD">
        <w:rPr>
          <w:rFonts w:ascii="Times New Roman" w:hAnsi="Times New Roman"/>
          <w:sz w:val="24"/>
          <w:szCs w:val="24"/>
        </w:rPr>
        <w:t>infantile</w:t>
      </w:r>
      <w:r w:rsidR="00294C29" w:rsidRPr="00CA2C3D">
        <w:rPr>
          <w:rFonts w:ascii="Times New Roman" w:hAnsi="Times New Roman"/>
          <w:sz w:val="24"/>
          <w:szCs w:val="24"/>
        </w:rPr>
        <w:t xml:space="preserve">. </w:t>
      </w:r>
      <w:r w:rsidR="00E37780" w:rsidRPr="00CA2C3D">
        <w:rPr>
          <w:rFonts w:ascii="Times New Roman" w:hAnsi="Times New Roman"/>
          <w:sz w:val="24"/>
          <w:szCs w:val="24"/>
        </w:rPr>
        <w:t>Pour la période projetée (juin-août 202</w:t>
      </w:r>
      <w:r w:rsidR="00B86CFF">
        <w:rPr>
          <w:rFonts w:ascii="Times New Roman" w:hAnsi="Times New Roman"/>
          <w:sz w:val="24"/>
          <w:szCs w:val="24"/>
        </w:rPr>
        <w:t>2</w:t>
      </w:r>
      <w:r w:rsidR="00E37780" w:rsidRPr="00CA2C3D">
        <w:rPr>
          <w:rFonts w:ascii="Times New Roman" w:hAnsi="Times New Roman"/>
          <w:sz w:val="24"/>
          <w:szCs w:val="24"/>
        </w:rPr>
        <w:t xml:space="preserve">), si rien n’est fait en faveur des populations déjà identifiées en insécurité alimentaire, </w:t>
      </w:r>
      <w:r w:rsidR="002557CD">
        <w:rPr>
          <w:rFonts w:ascii="Times New Roman" w:hAnsi="Times New Roman"/>
          <w:sz w:val="24"/>
          <w:szCs w:val="24"/>
        </w:rPr>
        <w:t xml:space="preserve">et que la pluviométrie reste mauvaise, </w:t>
      </w:r>
      <w:r w:rsidR="00E37780" w:rsidRPr="00CA2C3D">
        <w:rPr>
          <w:rFonts w:ascii="Times New Roman" w:hAnsi="Times New Roman"/>
          <w:sz w:val="24"/>
          <w:szCs w:val="24"/>
        </w:rPr>
        <w:t xml:space="preserve">la situation se dégraderait en période de soudure </w:t>
      </w:r>
      <w:r w:rsidR="00030152" w:rsidRPr="00CA2C3D">
        <w:rPr>
          <w:rFonts w:ascii="Times New Roman" w:hAnsi="Times New Roman"/>
          <w:sz w:val="24"/>
          <w:szCs w:val="24"/>
        </w:rPr>
        <w:t xml:space="preserve">dans </w:t>
      </w:r>
      <w:r w:rsidR="00E37780" w:rsidRPr="00CA2C3D">
        <w:rPr>
          <w:rFonts w:ascii="Times New Roman" w:hAnsi="Times New Roman"/>
          <w:sz w:val="24"/>
          <w:szCs w:val="24"/>
        </w:rPr>
        <w:t xml:space="preserve">quatorze (14) départements qui basculeraient en crise soit près de 1 148 995 personnes en insécurité alimentaire et nutritionnelle dont 54 458 personnes seraient en urgence et 1 094 537 personnes </w:t>
      </w:r>
      <w:r w:rsidR="00E37780" w:rsidRPr="00CA2C3D">
        <w:rPr>
          <w:rFonts w:ascii="Times New Roman" w:hAnsi="Times New Roman"/>
          <w:sz w:val="24"/>
          <w:szCs w:val="24"/>
        </w:rPr>
        <w:lastRenderedPageBreak/>
        <w:t xml:space="preserve">en crise.  </w:t>
      </w:r>
      <w:r w:rsidR="00B91FB7" w:rsidRPr="00CA2C3D">
        <w:rPr>
          <w:rFonts w:ascii="Times New Roman" w:hAnsi="Times New Roman"/>
          <w:sz w:val="24"/>
          <w:szCs w:val="24"/>
        </w:rPr>
        <w:t>La situation nutritionnelle</w:t>
      </w:r>
      <w:r w:rsidR="0C627680" w:rsidRPr="00CA2C3D">
        <w:rPr>
          <w:rFonts w:ascii="Times New Roman" w:hAnsi="Times New Roman"/>
          <w:sz w:val="24"/>
          <w:szCs w:val="24"/>
        </w:rPr>
        <w:t>,</w:t>
      </w:r>
      <w:r w:rsidR="00B91FB7" w:rsidRPr="00CA2C3D">
        <w:rPr>
          <w:rFonts w:ascii="Times New Roman" w:hAnsi="Times New Roman"/>
          <w:sz w:val="24"/>
          <w:szCs w:val="24"/>
        </w:rPr>
        <w:t xml:space="preserve"> aggravée par les inondations et les incendies, demeure également préoccupante dans la plupart des provinces des zones sahélienne et saharienne. </w:t>
      </w:r>
      <w:r w:rsidR="00E37780" w:rsidRPr="00CA2C3D">
        <w:rPr>
          <w:rFonts w:ascii="Times New Roman" w:hAnsi="Times New Roman"/>
          <w:sz w:val="24"/>
          <w:szCs w:val="24"/>
        </w:rPr>
        <w:t xml:space="preserve">Les résultats de l’enquête ENSAN d’octobre 2020 révèlent une situation nutritionnelle (MAG PB) comprise entre 5% et 10% dans 12 départements </w:t>
      </w:r>
      <w:r w:rsidR="00D50E17" w:rsidRPr="00CA2C3D">
        <w:rPr>
          <w:rFonts w:ascii="Times New Roman" w:hAnsi="Times New Roman"/>
          <w:sz w:val="24"/>
          <w:szCs w:val="24"/>
        </w:rPr>
        <w:t xml:space="preserve">La situation pastorale s'est considérablement améliorée avec la bonne disponibilité fourragère et le bon niveau de remplissage des points d’eau. </w:t>
      </w:r>
    </w:p>
    <w:p w14:paraId="745EF3D5" w14:textId="77777777" w:rsidR="002A73F5" w:rsidRPr="00CA2C3D" w:rsidRDefault="002A73F5" w:rsidP="002557CD">
      <w:pPr>
        <w:spacing w:after="0" w:line="240" w:lineRule="auto"/>
        <w:jc w:val="both"/>
        <w:rPr>
          <w:rFonts w:ascii="Times New Roman" w:hAnsi="Times New Roman"/>
          <w:sz w:val="24"/>
          <w:szCs w:val="24"/>
        </w:rPr>
      </w:pPr>
    </w:p>
    <w:p w14:paraId="1A6DE477" w14:textId="73DD98E1" w:rsidR="006B179B" w:rsidRDefault="006B179B" w:rsidP="00B91FB7">
      <w:pPr>
        <w:spacing w:after="0" w:line="240" w:lineRule="auto"/>
        <w:jc w:val="both"/>
        <w:rPr>
          <w:rFonts w:ascii="Times New Roman" w:hAnsi="Times New Roman"/>
          <w:sz w:val="24"/>
          <w:szCs w:val="24"/>
        </w:rPr>
      </w:pPr>
      <w:r>
        <w:rPr>
          <w:rFonts w:ascii="Times New Roman" w:hAnsi="Times New Roman"/>
          <w:sz w:val="24"/>
          <w:szCs w:val="24"/>
        </w:rPr>
        <w:t>Sur le Plan de la sécurité alimentaire et nutritionnel et s</w:t>
      </w:r>
      <w:r w:rsidRPr="006B179B">
        <w:rPr>
          <w:rFonts w:ascii="Times New Roman" w:hAnsi="Times New Roman"/>
          <w:sz w:val="24"/>
          <w:szCs w:val="24"/>
        </w:rPr>
        <w:t xml:space="preserve">elon le rapport du Système d'Information sur la Sécurité Alimentaire et d'Alerte Précoce du Tchad de Mars 2021, la campagne agricole 2020/2021 est légèrement en baisse de 1,5% avec une situation pastorale caractérisée par le tarissement des eaux de surfaces dans la partie sahélienne et une faible disponibilité dans la partie soudanienne. Cette situation a plongé 1 180 175 personnes en situation d’insécurité alimentaire « phase crise et 96 016 en phase d’urgence ». L’analyse de l’évolution des moyens d’existence montre que 6,4% et 13,6% des ménages ont respectivement développé des stratégies d’urgence et de crise dans l’ensemble du pays. Face à un ralentissement des activités économiques et la hausse consécutive des prix des denrées de base, le contexte sanitaire difficile impose aux ménages un recours important aux stratégies qui affectent leurs moyens d’existence. La situation nutritionnelle demeure préoccupante dans la plupart des provinces des zones sahélienne et saharienne. Les résultats de la dernière enquête SMART de novembre-décembre 2020 révèlent </w:t>
      </w:r>
      <w:proofErr w:type="gramStart"/>
      <w:r w:rsidRPr="006B179B">
        <w:rPr>
          <w:rFonts w:ascii="Times New Roman" w:hAnsi="Times New Roman"/>
          <w:sz w:val="24"/>
          <w:szCs w:val="24"/>
        </w:rPr>
        <w:t>au</w:t>
      </w:r>
      <w:proofErr w:type="gramEnd"/>
      <w:r w:rsidRPr="006B179B">
        <w:rPr>
          <w:rFonts w:ascii="Times New Roman" w:hAnsi="Times New Roman"/>
          <w:sz w:val="24"/>
          <w:szCs w:val="24"/>
        </w:rPr>
        <w:t xml:space="preserve"> plan national une prévalence de la Malnutrition Aiguë Globale (MAG) de 10%, qui est à la limite du seuil d’alerte de 10% fixé par l’OMS Malgré des prix relativement bas, le faible pouvoir d’achat limite l’accès des ménages pauvres aux produits alimentaires de base, limitant ainsi la possibilité d’avoir une alimentation diversifiée</w:t>
      </w:r>
    </w:p>
    <w:p w14:paraId="61ADDAF8" w14:textId="77777777" w:rsidR="006B179B" w:rsidRDefault="006B179B" w:rsidP="00B91FB7">
      <w:pPr>
        <w:spacing w:after="0" w:line="240" w:lineRule="auto"/>
        <w:jc w:val="both"/>
        <w:rPr>
          <w:rFonts w:ascii="Times New Roman" w:hAnsi="Times New Roman"/>
          <w:sz w:val="24"/>
          <w:szCs w:val="24"/>
        </w:rPr>
      </w:pPr>
    </w:p>
    <w:p w14:paraId="11B1E7DF" w14:textId="6794551B" w:rsidR="006B179B" w:rsidRDefault="00F22761" w:rsidP="00B91FB7">
      <w:pPr>
        <w:spacing w:after="0" w:line="240" w:lineRule="auto"/>
        <w:jc w:val="both"/>
        <w:rPr>
          <w:rFonts w:ascii="Times New Roman" w:hAnsi="Times New Roman"/>
          <w:sz w:val="24"/>
          <w:szCs w:val="24"/>
        </w:rPr>
      </w:pPr>
      <w:r>
        <w:rPr>
          <w:rStyle w:val="Appelnotedebasdep"/>
        </w:rPr>
        <w:footnoteReference w:id="9"/>
      </w:r>
    </w:p>
    <w:p w14:paraId="7FF353B3" w14:textId="77777777" w:rsidR="00B91FB7" w:rsidRPr="00CA2C3D" w:rsidRDefault="006B179B" w:rsidP="00B91FB7">
      <w:pPr>
        <w:spacing w:after="0" w:line="240" w:lineRule="auto"/>
        <w:jc w:val="both"/>
        <w:rPr>
          <w:rFonts w:ascii="Times New Roman" w:hAnsi="Times New Roman"/>
          <w:sz w:val="24"/>
          <w:szCs w:val="24"/>
        </w:rPr>
      </w:pPr>
      <w:r>
        <w:rPr>
          <w:rFonts w:ascii="Times New Roman" w:hAnsi="Times New Roman"/>
          <w:sz w:val="24"/>
          <w:szCs w:val="24"/>
        </w:rPr>
        <w:t>A</w:t>
      </w:r>
      <w:r w:rsidRPr="006B179B">
        <w:rPr>
          <w:rFonts w:ascii="Times New Roman" w:hAnsi="Times New Roman"/>
          <w:sz w:val="24"/>
          <w:szCs w:val="24"/>
        </w:rPr>
        <w:t xml:space="preserve"> l’instar d</w:t>
      </w:r>
      <w:r>
        <w:rPr>
          <w:rFonts w:ascii="Times New Roman" w:hAnsi="Times New Roman"/>
          <w:sz w:val="24"/>
          <w:szCs w:val="24"/>
        </w:rPr>
        <w:t>e</w:t>
      </w:r>
      <w:r w:rsidRPr="006B179B">
        <w:rPr>
          <w:rFonts w:ascii="Times New Roman" w:hAnsi="Times New Roman"/>
          <w:sz w:val="24"/>
          <w:szCs w:val="24"/>
        </w:rPr>
        <w:t>s autres pays du Monde</w:t>
      </w:r>
      <w:r>
        <w:rPr>
          <w:rFonts w:ascii="Times New Roman" w:hAnsi="Times New Roman"/>
          <w:sz w:val="24"/>
          <w:szCs w:val="24"/>
        </w:rPr>
        <w:t>,</w:t>
      </w:r>
      <w:r w:rsidRPr="006B179B">
        <w:rPr>
          <w:rFonts w:ascii="Times New Roman" w:hAnsi="Times New Roman"/>
          <w:sz w:val="24"/>
          <w:szCs w:val="24"/>
        </w:rPr>
        <w:t xml:space="preserve"> </w:t>
      </w:r>
      <w:r>
        <w:rPr>
          <w:rFonts w:ascii="Times New Roman" w:hAnsi="Times New Roman"/>
          <w:sz w:val="24"/>
          <w:szCs w:val="24"/>
        </w:rPr>
        <w:t>le Tchad a élaboré sa</w:t>
      </w:r>
      <w:r w:rsidRPr="006B179B">
        <w:rPr>
          <w:rFonts w:ascii="Times New Roman" w:hAnsi="Times New Roman"/>
          <w:sz w:val="24"/>
          <w:szCs w:val="24"/>
        </w:rPr>
        <w:t xml:space="preserve"> feuille de route nationale qui détermine la voie à suivre vers des systèmes alimentaires plus durables pour soutenir l’Agenda 2030 et accélérer les progrès dans la lutte contre la faim, la malnutrition et la pauvreté. Cette feuille de route  s’articule autour de cinq (5) pistes d’actions retenues, à savoir : (i) renforcer la résilience des ménages et des communautés les plus vulnérables face aux crises et aux catastrophes ; (ii) promouvoir des régimes alimentaires nutritifs et sains pour tous ; (iii) améliorer la productivité, la valorisation et la durabilité des systèmes agricoles et alimentaires ; (iv) promouvoir l’autonomisation des jeunes et des femmes dans les systèmes alimentaires ; (v) assurer le renforcement des capacités des acteurs et une gouvernance des systèmes alimentaires inclusive.</w:t>
      </w:r>
    </w:p>
    <w:p w14:paraId="3417BE9E" w14:textId="77777777" w:rsidR="006B179B" w:rsidRPr="00CA2C3D" w:rsidRDefault="006B179B" w:rsidP="00B91FB7">
      <w:pPr>
        <w:spacing w:after="0" w:line="240" w:lineRule="auto"/>
        <w:jc w:val="both"/>
        <w:rPr>
          <w:rFonts w:ascii="Times New Roman" w:hAnsi="Times New Roman"/>
          <w:sz w:val="24"/>
          <w:szCs w:val="24"/>
        </w:rPr>
      </w:pPr>
    </w:p>
    <w:p w14:paraId="34DEE5C6" w14:textId="445FA871" w:rsidR="00B91FB7" w:rsidRPr="00CA2C3D" w:rsidRDefault="775A2A8D" w:rsidP="00B91FB7">
      <w:pPr>
        <w:spacing w:after="0" w:line="240" w:lineRule="auto"/>
        <w:jc w:val="both"/>
        <w:rPr>
          <w:rFonts w:ascii="Times New Roman" w:hAnsi="Times New Roman"/>
          <w:sz w:val="24"/>
          <w:szCs w:val="24"/>
        </w:rPr>
      </w:pPr>
      <w:r w:rsidRPr="00CA2C3D">
        <w:rPr>
          <w:rFonts w:ascii="Times New Roman" w:hAnsi="Times New Roman"/>
          <w:sz w:val="24"/>
          <w:szCs w:val="24"/>
        </w:rPr>
        <w:lastRenderedPageBreak/>
        <w:t>Sur le plan de l’environnement, le Tchad demeure un pays fortement exposé à différents types de risques de catastrophes. La dernière décennie a été particulièrement marquée par des chocs climatiques et hydrologiques de plus en plus récurrents et complexes. Les sécheresses, les inondations</w:t>
      </w:r>
      <w:r w:rsidR="4EC7863D" w:rsidRPr="00CA2C3D">
        <w:rPr>
          <w:rFonts w:ascii="Times New Roman" w:hAnsi="Times New Roman"/>
          <w:sz w:val="24"/>
          <w:szCs w:val="24"/>
        </w:rPr>
        <w:t>,</w:t>
      </w:r>
      <w:r w:rsidRPr="00CA2C3D">
        <w:rPr>
          <w:rFonts w:ascii="Times New Roman" w:hAnsi="Times New Roman"/>
          <w:sz w:val="24"/>
          <w:szCs w:val="24"/>
        </w:rPr>
        <w:t xml:space="preserve"> les risques liés à </w:t>
      </w:r>
      <w:r w:rsidR="792EAE38" w:rsidRPr="00CA2C3D">
        <w:rPr>
          <w:rFonts w:ascii="Times New Roman" w:hAnsi="Times New Roman"/>
          <w:sz w:val="24"/>
          <w:szCs w:val="24"/>
        </w:rPr>
        <w:t xml:space="preserve">la pollution de </w:t>
      </w:r>
      <w:r w:rsidRPr="00CA2C3D">
        <w:rPr>
          <w:rFonts w:ascii="Times New Roman" w:hAnsi="Times New Roman"/>
          <w:sz w:val="24"/>
          <w:szCs w:val="24"/>
        </w:rPr>
        <w:t xml:space="preserve">l’environnement (gestion des polluants organiques et déchets ménagers), aux épidémies, à la menace acridienne ou encore aux incendies sont parmi les aléas les plus importants du pays et les catastrophes qu’elles engendrent pèsent lourdement sur le développement socioéconomique du pays. </w:t>
      </w:r>
      <w:r w:rsidR="6A6AE4AA">
        <w:rPr>
          <w:rFonts w:ascii="Times New Roman" w:hAnsi="Times New Roman"/>
          <w:sz w:val="24"/>
          <w:szCs w:val="24"/>
        </w:rPr>
        <w:t>Par exemple en Octobre 2021</w:t>
      </w:r>
      <w:r w:rsidR="00675A21">
        <w:rPr>
          <w:rStyle w:val="Appelnotedebasdep"/>
        </w:rPr>
        <w:footnoteReference w:id="10"/>
      </w:r>
      <w:r w:rsidR="6A6AE4AA">
        <w:rPr>
          <w:rFonts w:ascii="Times New Roman" w:hAnsi="Times New Roman"/>
          <w:sz w:val="24"/>
          <w:szCs w:val="24"/>
        </w:rPr>
        <w:t xml:space="preserve">, 256 214 personnes ont été affectées par les inondations à travers le pays et les dégâts dans les secteurs agricoles et de l’élevage s’élève à 79 066 hectares détruits et 6 056 </w:t>
      </w:r>
      <w:r w:rsidR="5737473C">
        <w:rPr>
          <w:rFonts w:ascii="Times New Roman" w:hAnsi="Times New Roman"/>
          <w:sz w:val="24"/>
          <w:szCs w:val="24"/>
        </w:rPr>
        <w:t>têtes</w:t>
      </w:r>
      <w:r w:rsidR="6A6AE4AA">
        <w:rPr>
          <w:rFonts w:ascii="Times New Roman" w:hAnsi="Times New Roman"/>
          <w:sz w:val="24"/>
          <w:szCs w:val="24"/>
        </w:rPr>
        <w:t xml:space="preserve"> de bétail emportés. </w:t>
      </w:r>
      <w:r w:rsidR="07107467">
        <w:rPr>
          <w:rFonts w:ascii="Times New Roman" w:hAnsi="Times New Roman"/>
          <w:sz w:val="24"/>
          <w:szCs w:val="24"/>
        </w:rPr>
        <w:t>Au regard de la récurrence des chocs climatiques</w:t>
      </w:r>
      <w:r w:rsidRPr="00CA2C3D">
        <w:rPr>
          <w:rFonts w:ascii="Times New Roman" w:hAnsi="Times New Roman"/>
          <w:sz w:val="24"/>
          <w:szCs w:val="24"/>
        </w:rPr>
        <w:t>, le programme CADRI (</w:t>
      </w:r>
      <w:proofErr w:type="spellStart"/>
      <w:r w:rsidRPr="00CA2C3D">
        <w:rPr>
          <w:rFonts w:ascii="Times New Roman" w:hAnsi="Times New Roman"/>
          <w:sz w:val="24"/>
          <w:szCs w:val="24"/>
        </w:rPr>
        <w:t>Capacity</w:t>
      </w:r>
      <w:proofErr w:type="spellEnd"/>
      <w:r w:rsidRPr="00CA2C3D">
        <w:rPr>
          <w:rFonts w:ascii="Times New Roman" w:hAnsi="Times New Roman"/>
          <w:sz w:val="24"/>
          <w:szCs w:val="24"/>
        </w:rPr>
        <w:t xml:space="preserve"> for </w:t>
      </w:r>
      <w:proofErr w:type="spellStart"/>
      <w:r w:rsidRPr="00CA2C3D">
        <w:rPr>
          <w:rFonts w:ascii="Times New Roman" w:hAnsi="Times New Roman"/>
          <w:sz w:val="24"/>
          <w:szCs w:val="24"/>
        </w:rPr>
        <w:t>Disaster</w:t>
      </w:r>
      <w:proofErr w:type="spellEnd"/>
      <w:r w:rsidRPr="00CA2C3D">
        <w:rPr>
          <w:rFonts w:ascii="Times New Roman" w:hAnsi="Times New Roman"/>
          <w:sz w:val="24"/>
          <w:szCs w:val="24"/>
        </w:rPr>
        <w:t xml:space="preserve"> Reduction Initiative) demeure une initiative inter-agence salutaire car elle permettra aux Nations Unies et aux autres membres du système de la Stratégie Internationale pour la Prévention des Catastrophes d’appuyer le gouvernement dans son effort visant à élaborer et mettre en œuvre un cadre cohérent pour le renforcement des capacités nationales en matière de Réduction des Risques de Catastrophe et de Préparation et Réponse aux Urgences. Pour le Tchad, un Plan d’Action National de Renforcement des Capacités pour la Réduction des Risques de Catastrophes, la Préparation et la Réponse aux Urgences (2015-2020) existe </w:t>
      </w:r>
      <w:r w:rsidR="6806CF95" w:rsidRPr="00CA2C3D">
        <w:rPr>
          <w:rFonts w:ascii="Times New Roman" w:hAnsi="Times New Roman"/>
          <w:sz w:val="24"/>
          <w:szCs w:val="24"/>
        </w:rPr>
        <w:t xml:space="preserve">déjà </w:t>
      </w:r>
      <w:r w:rsidRPr="00CA2C3D">
        <w:rPr>
          <w:rFonts w:ascii="Times New Roman" w:hAnsi="Times New Roman"/>
          <w:sz w:val="24"/>
          <w:szCs w:val="24"/>
        </w:rPr>
        <w:t>et nécessite une évaluation.</w:t>
      </w:r>
    </w:p>
    <w:p w14:paraId="7F03462F" w14:textId="3BA86C17" w:rsidR="00B91FB7" w:rsidRPr="00CA2C3D" w:rsidRDefault="00B91FB7">
      <w:pPr>
        <w:spacing w:after="0" w:line="240" w:lineRule="auto"/>
        <w:rPr>
          <w:rFonts w:ascii="Times New Roman" w:hAnsi="Times New Roman"/>
          <w:sz w:val="24"/>
          <w:szCs w:val="24"/>
        </w:rPr>
      </w:pPr>
      <w:r w:rsidRPr="00CA2C3D">
        <w:rPr>
          <w:rFonts w:ascii="Times New Roman" w:hAnsi="Times New Roman"/>
          <w:sz w:val="24"/>
          <w:szCs w:val="24"/>
        </w:rPr>
        <w:br w:type="page"/>
      </w:r>
    </w:p>
    <w:p w14:paraId="709A86C2" w14:textId="77777777" w:rsidR="00CD37DE" w:rsidRPr="0095279A" w:rsidRDefault="00CD37DE" w:rsidP="00BC1AE3">
      <w:pPr>
        <w:pStyle w:val="Titre1"/>
        <w:numPr>
          <w:ilvl w:val="0"/>
          <w:numId w:val="23"/>
        </w:numPr>
        <w:rPr>
          <w:rFonts w:ascii="Times New Roman" w:hAnsi="Times New Roman"/>
          <w:b/>
          <w:bCs/>
        </w:rPr>
      </w:pPr>
      <w:bookmarkStart w:id="10" w:name="_Toc61523564"/>
      <w:bookmarkStart w:id="11" w:name="_Toc90910779"/>
      <w:r w:rsidRPr="0095279A">
        <w:rPr>
          <w:rFonts w:ascii="Times New Roman" w:hAnsi="Times New Roman"/>
          <w:b/>
          <w:bCs/>
        </w:rPr>
        <w:lastRenderedPageBreak/>
        <w:t>CONTEXTE NATIONAL</w:t>
      </w:r>
      <w:bookmarkEnd w:id="5"/>
      <w:bookmarkEnd w:id="6"/>
      <w:bookmarkEnd w:id="7"/>
      <w:bookmarkEnd w:id="10"/>
      <w:bookmarkEnd w:id="11"/>
      <w:r w:rsidRPr="0095279A">
        <w:rPr>
          <w:rFonts w:ascii="Times New Roman" w:hAnsi="Times New Roman"/>
          <w:b/>
          <w:bCs/>
        </w:rPr>
        <w:t xml:space="preserve"> </w:t>
      </w:r>
    </w:p>
    <w:p w14:paraId="7330C2A0" w14:textId="77777777" w:rsidR="00CD37DE" w:rsidRPr="00CD37DE" w:rsidRDefault="00CD37DE" w:rsidP="00CD37DE">
      <w:pPr>
        <w:spacing w:after="0"/>
        <w:jc w:val="both"/>
      </w:pPr>
    </w:p>
    <w:p w14:paraId="05078330" w14:textId="50623CD2" w:rsidR="003842C9" w:rsidRDefault="6ADD1D79" w:rsidP="00CD37DE">
      <w:pPr>
        <w:spacing w:after="0" w:line="240" w:lineRule="auto"/>
        <w:jc w:val="both"/>
        <w:rPr>
          <w:rFonts w:ascii="Times New Roman" w:eastAsia="Times New Roman" w:hAnsi="Times New Roman"/>
          <w:sz w:val="24"/>
          <w:szCs w:val="24"/>
          <w:lang w:eastAsia="fr-FR"/>
        </w:rPr>
      </w:pPr>
      <w:r w:rsidRPr="581E4654">
        <w:rPr>
          <w:rFonts w:ascii="Times New Roman" w:eastAsia="Times New Roman" w:hAnsi="Times New Roman"/>
          <w:sz w:val="24"/>
          <w:szCs w:val="24"/>
          <w:lang w:eastAsia="fr-FR"/>
        </w:rPr>
        <w:t>La république du Tchad est un Etat laïc</w:t>
      </w:r>
      <w:r w:rsidR="21CF2125" w:rsidRPr="581E4654">
        <w:rPr>
          <w:rFonts w:ascii="Times New Roman" w:eastAsia="Times New Roman" w:hAnsi="Times New Roman"/>
          <w:sz w:val="24"/>
          <w:szCs w:val="24"/>
          <w:lang w:eastAsia="fr-FR"/>
        </w:rPr>
        <w:t>,</w:t>
      </w:r>
      <w:r w:rsidRPr="581E4654">
        <w:rPr>
          <w:rFonts w:ascii="Times New Roman" w:eastAsia="Times New Roman" w:hAnsi="Times New Roman"/>
          <w:sz w:val="24"/>
          <w:szCs w:val="24"/>
          <w:lang w:eastAsia="fr-FR"/>
        </w:rPr>
        <w:t xml:space="preserve"> fondé sur les principes de la démocratie au suffrage universel direct. Après plusieurs reports, </w:t>
      </w:r>
      <w:r w:rsidR="42B9C472" w:rsidRPr="581E4654">
        <w:rPr>
          <w:rFonts w:ascii="Times New Roman" w:eastAsia="Times New Roman" w:hAnsi="Times New Roman"/>
          <w:sz w:val="24"/>
          <w:szCs w:val="24"/>
          <w:lang w:eastAsia="fr-FR"/>
        </w:rPr>
        <w:t>l</w:t>
      </w:r>
      <w:r w:rsidRPr="581E4654">
        <w:rPr>
          <w:rFonts w:ascii="Times New Roman" w:eastAsia="Times New Roman" w:hAnsi="Times New Roman"/>
          <w:sz w:val="24"/>
          <w:szCs w:val="24"/>
          <w:lang w:eastAsia="fr-FR"/>
        </w:rPr>
        <w:t>a</w:t>
      </w:r>
      <w:r w:rsidR="21CF2125" w:rsidRPr="581E4654">
        <w:rPr>
          <w:rFonts w:ascii="Times New Roman" w:eastAsia="Times New Roman" w:hAnsi="Times New Roman"/>
          <w:sz w:val="24"/>
          <w:szCs w:val="24"/>
          <w:lang w:eastAsia="fr-FR"/>
        </w:rPr>
        <w:t>l</w:t>
      </w:r>
      <w:r w:rsidRPr="581E4654">
        <w:rPr>
          <w:rFonts w:ascii="Times New Roman" w:eastAsia="Times New Roman" w:hAnsi="Times New Roman"/>
          <w:sz w:val="24"/>
          <w:szCs w:val="24"/>
          <w:lang w:eastAsia="fr-FR"/>
        </w:rPr>
        <w:t>a réforme institutionnelle de 2018 a instauré la IVème République et a modifié l’organisation administrative du pays en optant pour un État unitaire décentralisé, comptant 23 provinces, 107 départements et 377 communes. Cette réforme réduit également le niveau de décentralisation de quatre niveaux à trois niveaux (Province, Département et Commune). La réforme institutionnelle avait renforcé les pouvoirs du Président de la République dans le cadre d'un régime présidentiel et fixé le mandat présidentiel à six ans, renouvelable une fois tout en supprimant le poste de Premier Ministre. Conformément à la structure politique et institutionnelle du pays, le parlement a la charge de voter les lois et de contrôler dans la mesure du possible l’action gouvernementale</w:t>
      </w:r>
      <w:r w:rsidR="0BFB4897" w:rsidRPr="581E4654">
        <w:rPr>
          <w:rFonts w:ascii="Times New Roman" w:eastAsia="Times New Roman" w:hAnsi="Times New Roman"/>
          <w:sz w:val="24"/>
          <w:szCs w:val="24"/>
          <w:lang w:eastAsia="fr-FR"/>
        </w:rPr>
        <w:t>.</w:t>
      </w:r>
      <w:r w:rsidRPr="581E4654">
        <w:rPr>
          <w:rFonts w:ascii="Times New Roman" w:eastAsia="Times New Roman" w:hAnsi="Times New Roman"/>
          <w:sz w:val="24"/>
          <w:szCs w:val="24"/>
          <w:lang w:eastAsia="fr-FR"/>
        </w:rPr>
        <w:t xml:space="preserve"> </w:t>
      </w:r>
    </w:p>
    <w:p w14:paraId="6A13BCA8" w14:textId="63C434E8" w:rsidR="002B6BC6" w:rsidRDefault="002B6BC6" w:rsidP="00CD37DE">
      <w:pPr>
        <w:spacing w:after="0" w:line="240" w:lineRule="auto"/>
        <w:jc w:val="both"/>
        <w:rPr>
          <w:rFonts w:ascii="Times New Roman" w:eastAsia="Times New Roman" w:hAnsi="Times New Roman"/>
          <w:sz w:val="24"/>
          <w:szCs w:val="24"/>
          <w:lang w:eastAsia="fr-FR"/>
        </w:rPr>
      </w:pPr>
    </w:p>
    <w:p w14:paraId="6D9807E8" w14:textId="20349DDE" w:rsidR="00E54D87" w:rsidRDefault="3AEDEDAB" w:rsidP="00CD37DE">
      <w:pPr>
        <w:spacing w:after="0" w:line="240" w:lineRule="auto"/>
        <w:jc w:val="both"/>
        <w:rPr>
          <w:rFonts w:ascii="Times New Roman" w:eastAsia="Times New Roman" w:hAnsi="Times New Roman"/>
          <w:sz w:val="24"/>
          <w:szCs w:val="24"/>
          <w:lang w:eastAsia="fr-FR"/>
        </w:rPr>
      </w:pPr>
      <w:r w:rsidRPr="581E4654">
        <w:rPr>
          <w:rFonts w:ascii="Times New Roman" w:eastAsia="Times New Roman" w:hAnsi="Times New Roman"/>
          <w:sz w:val="24"/>
          <w:szCs w:val="24"/>
          <w:lang w:eastAsia="fr-FR"/>
        </w:rPr>
        <w:t xml:space="preserve">A la suite </w:t>
      </w:r>
      <w:r w:rsidR="6ADD1D79" w:rsidRPr="581E4654">
        <w:rPr>
          <w:rFonts w:ascii="Times New Roman" w:eastAsia="Times New Roman" w:hAnsi="Times New Roman"/>
          <w:sz w:val="24"/>
          <w:szCs w:val="24"/>
          <w:lang w:eastAsia="fr-FR"/>
        </w:rPr>
        <w:t xml:space="preserve">du décès du Maréchal du Tchad </w:t>
      </w:r>
      <w:r w:rsidR="42B9C472" w:rsidRPr="581E4654">
        <w:rPr>
          <w:rFonts w:ascii="Times New Roman" w:eastAsia="Times New Roman" w:hAnsi="Times New Roman"/>
          <w:sz w:val="24"/>
          <w:szCs w:val="24"/>
          <w:lang w:eastAsia="fr-FR"/>
        </w:rPr>
        <w:t>en avril 2021</w:t>
      </w:r>
      <w:r w:rsidR="4537E6D1" w:rsidRPr="581E4654">
        <w:rPr>
          <w:rFonts w:ascii="Times New Roman" w:eastAsia="Times New Roman" w:hAnsi="Times New Roman"/>
          <w:sz w:val="24"/>
          <w:szCs w:val="24"/>
          <w:lang w:eastAsia="fr-FR"/>
        </w:rPr>
        <w:t xml:space="preserve">, la Constitution a été suspendue et </w:t>
      </w:r>
      <w:r w:rsidR="713B7412" w:rsidRPr="581E4654">
        <w:rPr>
          <w:rFonts w:ascii="Times New Roman" w:eastAsia="Times New Roman" w:hAnsi="Times New Roman"/>
          <w:sz w:val="24"/>
          <w:szCs w:val="24"/>
          <w:lang w:eastAsia="fr-FR"/>
        </w:rPr>
        <w:t xml:space="preserve">une Charte de Transition et </w:t>
      </w:r>
      <w:r w:rsidR="4537E6D1" w:rsidRPr="581E4654">
        <w:rPr>
          <w:rFonts w:ascii="Times New Roman" w:eastAsia="Times New Roman" w:hAnsi="Times New Roman"/>
          <w:sz w:val="24"/>
          <w:szCs w:val="24"/>
          <w:lang w:eastAsia="fr-FR"/>
        </w:rPr>
        <w:t xml:space="preserve">des institutions ont été mises </w:t>
      </w:r>
      <w:r w:rsidR="6ADD1D79" w:rsidRPr="581E4654">
        <w:rPr>
          <w:rFonts w:ascii="Times New Roman" w:eastAsia="Times New Roman" w:hAnsi="Times New Roman"/>
          <w:sz w:val="24"/>
          <w:szCs w:val="24"/>
          <w:lang w:eastAsia="fr-FR"/>
        </w:rPr>
        <w:t>en place</w:t>
      </w:r>
      <w:r w:rsidR="009269C5">
        <w:rPr>
          <w:rFonts w:ascii="Times New Roman" w:eastAsia="Times New Roman" w:hAnsi="Times New Roman"/>
          <w:sz w:val="24"/>
          <w:szCs w:val="24"/>
          <w:lang w:eastAsia="fr-FR"/>
        </w:rPr>
        <w:t xml:space="preserve"> </w:t>
      </w:r>
      <w:r w:rsidR="471723FD" w:rsidRPr="581E4654">
        <w:rPr>
          <w:rFonts w:ascii="Times New Roman" w:eastAsia="Times New Roman" w:hAnsi="Times New Roman"/>
          <w:sz w:val="24"/>
          <w:szCs w:val="24"/>
          <w:lang w:eastAsia="fr-FR"/>
        </w:rPr>
        <w:t xml:space="preserve">pour une période transitoire de </w:t>
      </w:r>
      <w:r w:rsidR="0A2DDD16" w:rsidRPr="581E4654">
        <w:rPr>
          <w:rFonts w:ascii="Times New Roman" w:eastAsia="Times New Roman" w:hAnsi="Times New Roman"/>
          <w:sz w:val="24"/>
          <w:szCs w:val="24"/>
          <w:lang w:eastAsia="fr-FR"/>
        </w:rPr>
        <w:t>dix-huit mois renouvelables</w:t>
      </w:r>
      <w:r w:rsidR="5B0D244E" w:rsidRPr="581E4654">
        <w:rPr>
          <w:rFonts w:ascii="Times New Roman" w:eastAsia="Times New Roman" w:hAnsi="Times New Roman"/>
          <w:sz w:val="24"/>
          <w:szCs w:val="24"/>
          <w:lang w:eastAsia="fr-FR"/>
        </w:rPr>
        <w:t xml:space="preserve"> une fois</w:t>
      </w:r>
      <w:r w:rsidR="7E630F79" w:rsidRPr="581E4654">
        <w:rPr>
          <w:rFonts w:ascii="Times New Roman" w:eastAsia="Times New Roman" w:hAnsi="Times New Roman"/>
          <w:sz w:val="24"/>
          <w:szCs w:val="24"/>
          <w:lang w:eastAsia="fr-FR"/>
        </w:rPr>
        <w:t>. Le</w:t>
      </w:r>
      <w:r w:rsidR="009269C5">
        <w:rPr>
          <w:rFonts w:ascii="Times New Roman" w:eastAsia="Times New Roman" w:hAnsi="Times New Roman"/>
          <w:sz w:val="24"/>
          <w:szCs w:val="24"/>
          <w:lang w:eastAsia="fr-FR"/>
        </w:rPr>
        <w:t xml:space="preserve"> </w:t>
      </w:r>
      <w:r w:rsidR="6ADD1D79" w:rsidRPr="581E4654">
        <w:rPr>
          <w:rFonts w:ascii="Times New Roman" w:eastAsia="Times New Roman" w:hAnsi="Times New Roman"/>
          <w:sz w:val="24"/>
          <w:szCs w:val="24"/>
          <w:lang w:eastAsia="fr-FR"/>
        </w:rPr>
        <w:t xml:space="preserve">nouveau cadre institutionnel </w:t>
      </w:r>
      <w:r w:rsidR="495089C8" w:rsidRPr="581E4654">
        <w:rPr>
          <w:rFonts w:ascii="Times New Roman" w:eastAsia="Times New Roman" w:hAnsi="Times New Roman"/>
          <w:sz w:val="24"/>
          <w:szCs w:val="24"/>
          <w:lang w:eastAsia="fr-FR"/>
        </w:rPr>
        <w:t xml:space="preserve">est établi comme </w:t>
      </w:r>
      <w:r w:rsidR="009269C5" w:rsidRPr="581E4654">
        <w:rPr>
          <w:rFonts w:ascii="Times New Roman" w:eastAsia="Times New Roman" w:hAnsi="Times New Roman"/>
          <w:sz w:val="24"/>
          <w:szCs w:val="24"/>
          <w:lang w:eastAsia="fr-FR"/>
        </w:rPr>
        <w:t>suit :</w:t>
      </w:r>
    </w:p>
    <w:p w14:paraId="52E75B9D" w14:textId="78826D47" w:rsidR="00E54D87" w:rsidRDefault="003249C8" w:rsidP="00BC1AE3">
      <w:pPr>
        <w:pStyle w:val="Paragraphedeliste"/>
        <w:numPr>
          <w:ilvl w:val="0"/>
          <w:numId w:val="45"/>
        </w:numPr>
        <w:spacing w:after="0" w:line="240" w:lineRule="auto"/>
        <w:jc w:val="both"/>
        <w:rPr>
          <w:rFonts w:ascii="Times New Roman" w:eastAsia="Times New Roman" w:hAnsi="Times New Roman"/>
          <w:sz w:val="24"/>
          <w:szCs w:val="24"/>
          <w:lang w:eastAsia="fr-FR"/>
        </w:rPr>
      </w:pPr>
      <w:r>
        <w:rPr>
          <w:rFonts w:ascii="Times New Roman" w:eastAsia="Times New Roman" w:hAnsi="Times New Roman"/>
          <w:sz w:val="24"/>
          <w:szCs w:val="24"/>
          <w:lang w:eastAsia="fr-FR"/>
        </w:rPr>
        <w:t>Le</w:t>
      </w:r>
      <w:r w:rsidR="00F22761">
        <w:rPr>
          <w:rFonts w:ascii="Times New Roman" w:eastAsia="Times New Roman" w:hAnsi="Times New Roman"/>
          <w:sz w:val="24"/>
          <w:szCs w:val="24"/>
          <w:lang w:eastAsia="fr-FR"/>
        </w:rPr>
        <w:t xml:space="preserve"> </w:t>
      </w:r>
      <w:r w:rsidR="00C92B58" w:rsidRPr="00F22761">
        <w:rPr>
          <w:rFonts w:ascii="Times New Roman" w:eastAsia="Times New Roman" w:hAnsi="Times New Roman"/>
          <w:sz w:val="24"/>
          <w:szCs w:val="24"/>
          <w:lang w:eastAsia="fr-FR"/>
        </w:rPr>
        <w:t xml:space="preserve">Conseil Militaire de Transition (CMT) dont le chef assure la fonction de Chef d’Etat et Président de la République ; </w:t>
      </w:r>
    </w:p>
    <w:p w14:paraId="29244E6B" w14:textId="3EA7385A" w:rsidR="00E54D87" w:rsidRDefault="003249C8" w:rsidP="00BC1AE3">
      <w:pPr>
        <w:pStyle w:val="Paragraphedeliste"/>
        <w:numPr>
          <w:ilvl w:val="0"/>
          <w:numId w:val="45"/>
        </w:numPr>
        <w:spacing w:after="0" w:line="240" w:lineRule="auto"/>
        <w:jc w:val="both"/>
        <w:rPr>
          <w:rFonts w:ascii="Times New Roman" w:eastAsia="Times New Roman" w:hAnsi="Times New Roman"/>
          <w:sz w:val="24"/>
          <w:szCs w:val="24"/>
          <w:lang w:eastAsia="fr-FR"/>
        </w:rPr>
      </w:pPr>
      <w:r>
        <w:rPr>
          <w:rFonts w:ascii="Times New Roman" w:eastAsia="Times New Roman" w:hAnsi="Times New Roman"/>
          <w:sz w:val="24"/>
          <w:szCs w:val="24"/>
          <w:lang w:eastAsia="fr-FR"/>
        </w:rPr>
        <w:t>L</w:t>
      </w:r>
      <w:r w:rsidR="00C92B58" w:rsidRPr="00F22761">
        <w:rPr>
          <w:rFonts w:ascii="Times New Roman" w:eastAsia="Times New Roman" w:hAnsi="Times New Roman"/>
          <w:sz w:val="24"/>
          <w:szCs w:val="24"/>
          <w:lang w:eastAsia="fr-FR"/>
        </w:rPr>
        <w:t xml:space="preserve">e gouvernement de la transition qui assure la fonction de l’exécutif avec à sa tête un Premier Ministre nommé par le Président du CMT ; </w:t>
      </w:r>
    </w:p>
    <w:p w14:paraId="17A3F8C4" w14:textId="2AFFF4B1" w:rsidR="003249C8" w:rsidRDefault="003249C8" w:rsidP="00BC1AE3">
      <w:pPr>
        <w:pStyle w:val="Paragraphedeliste"/>
        <w:numPr>
          <w:ilvl w:val="0"/>
          <w:numId w:val="45"/>
        </w:numPr>
        <w:spacing w:after="0" w:line="240" w:lineRule="auto"/>
        <w:jc w:val="both"/>
        <w:rPr>
          <w:rFonts w:ascii="Times New Roman" w:eastAsia="Times New Roman" w:hAnsi="Times New Roman"/>
          <w:sz w:val="24"/>
          <w:szCs w:val="24"/>
          <w:lang w:eastAsia="fr-FR"/>
        </w:rPr>
      </w:pPr>
      <w:r>
        <w:rPr>
          <w:rFonts w:ascii="Times New Roman" w:eastAsia="Times New Roman" w:hAnsi="Times New Roman"/>
          <w:sz w:val="24"/>
          <w:szCs w:val="24"/>
          <w:lang w:eastAsia="fr-FR"/>
        </w:rPr>
        <w:t>L</w:t>
      </w:r>
      <w:r w:rsidR="00C92B58" w:rsidRPr="00F22761">
        <w:rPr>
          <w:rFonts w:ascii="Times New Roman" w:eastAsia="Times New Roman" w:hAnsi="Times New Roman"/>
          <w:sz w:val="24"/>
          <w:szCs w:val="24"/>
          <w:lang w:eastAsia="fr-FR"/>
        </w:rPr>
        <w:t xml:space="preserve">e Conseil National de Transition qui joue le rôle de l’organe législatif et composé de toutes les couches représentatives du Tchad. </w:t>
      </w:r>
    </w:p>
    <w:p w14:paraId="3E496E5F" w14:textId="77777777" w:rsidR="002B6BC6" w:rsidRDefault="002B6BC6" w:rsidP="003249C8">
      <w:pPr>
        <w:spacing w:after="0" w:line="240" w:lineRule="auto"/>
        <w:ind w:left="60"/>
        <w:jc w:val="both"/>
        <w:rPr>
          <w:rFonts w:ascii="Times New Roman" w:eastAsia="Times New Roman" w:hAnsi="Times New Roman"/>
          <w:sz w:val="24"/>
          <w:szCs w:val="24"/>
          <w:lang w:eastAsia="fr-FR"/>
        </w:rPr>
      </w:pPr>
    </w:p>
    <w:p w14:paraId="194B8A43" w14:textId="241D359E" w:rsidR="0098777F" w:rsidRDefault="6ADD1D79" w:rsidP="003249C8">
      <w:pPr>
        <w:spacing w:after="0" w:line="240" w:lineRule="auto"/>
        <w:ind w:left="60"/>
        <w:jc w:val="both"/>
        <w:rPr>
          <w:rFonts w:ascii="Times New Roman" w:eastAsia="Times New Roman" w:hAnsi="Times New Roman"/>
          <w:sz w:val="24"/>
          <w:szCs w:val="24"/>
          <w:lang w:eastAsia="fr-FR"/>
        </w:rPr>
      </w:pPr>
      <w:r w:rsidRPr="581E4654">
        <w:rPr>
          <w:rFonts w:ascii="Times New Roman" w:eastAsia="Times New Roman" w:hAnsi="Times New Roman"/>
          <w:sz w:val="24"/>
          <w:szCs w:val="24"/>
          <w:lang w:eastAsia="fr-FR"/>
        </w:rPr>
        <w:t xml:space="preserve">Pour renforcer la cohésion sociale et </w:t>
      </w:r>
      <w:r w:rsidR="1A049995" w:rsidRPr="581E4654">
        <w:rPr>
          <w:rFonts w:ascii="Times New Roman" w:eastAsia="Times New Roman" w:hAnsi="Times New Roman"/>
          <w:sz w:val="24"/>
          <w:szCs w:val="24"/>
          <w:lang w:eastAsia="fr-FR"/>
        </w:rPr>
        <w:t xml:space="preserve">avancer dans </w:t>
      </w:r>
      <w:r w:rsidRPr="581E4654">
        <w:rPr>
          <w:rFonts w:ascii="Times New Roman" w:eastAsia="Times New Roman" w:hAnsi="Times New Roman"/>
          <w:sz w:val="24"/>
          <w:szCs w:val="24"/>
          <w:lang w:eastAsia="fr-FR"/>
        </w:rPr>
        <w:t xml:space="preserve">la réconciliation </w:t>
      </w:r>
      <w:r w:rsidR="1DADC9FE" w:rsidRPr="581E4654">
        <w:rPr>
          <w:rFonts w:ascii="Times New Roman" w:eastAsia="Times New Roman" w:hAnsi="Times New Roman"/>
          <w:sz w:val="24"/>
          <w:szCs w:val="24"/>
          <w:lang w:eastAsia="fr-FR"/>
        </w:rPr>
        <w:t xml:space="preserve">nationale </w:t>
      </w:r>
      <w:r w:rsidRPr="581E4654">
        <w:rPr>
          <w:rFonts w:ascii="Times New Roman" w:eastAsia="Times New Roman" w:hAnsi="Times New Roman"/>
          <w:sz w:val="24"/>
          <w:szCs w:val="24"/>
          <w:lang w:eastAsia="fr-FR"/>
        </w:rPr>
        <w:t xml:space="preserve">avec </w:t>
      </w:r>
      <w:r w:rsidR="460567D4" w:rsidRPr="581E4654">
        <w:rPr>
          <w:rFonts w:ascii="Times New Roman" w:eastAsia="Times New Roman" w:hAnsi="Times New Roman"/>
          <w:sz w:val="24"/>
          <w:szCs w:val="24"/>
          <w:lang w:eastAsia="fr-FR"/>
        </w:rPr>
        <w:t xml:space="preserve">la participation de tous les </w:t>
      </w:r>
      <w:r w:rsidR="2B53CCAD" w:rsidRPr="581E4654">
        <w:rPr>
          <w:rFonts w:ascii="Times New Roman" w:eastAsia="Times New Roman" w:hAnsi="Times New Roman"/>
          <w:sz w:val="24"/>
          <w:szCs w:val="24"/>
          <w:lang w:eastAsia="fr-FR"/>
        </w:rPr>
        <w:t>t</w:t>
      </w:r>
      <w:r w:rsidR="460567D4" w:rsidRPr="581E4654">
        <w:rPr>
          <w:rFonts w:ascii="Times New Roman" w:eastAsia="Times New Roman" w:hAnsi="Times New Roman"/>
          <w:sz w:val="24"/>
          <w:szCs w:val="24"/>
          <w:lang w:eastAsia="fr-FR"/>
        </w:rPr>
        <w:t xml:space="preserve">chadiens </w:t>
      </w:r>
      <w:r w:rsidRPr="581E4654">
        <w:rPr>
          <w:rFonts w:ascii="Times New Roman" w:eastAsia="Times New Roman" w:hAnsi="Times New Roman"/>
          <w:sz w:val="24"/>
          <w:szCs w:val="24"/>
          <w:lang w:eastAsia="fr-FR"/>
        </w:rPr>
        <w:t>vivant à l’intérieur et à l’extérieur du pays, il est prévu d’organiser un dialogue national inclusif avant la fin de la transition en vue de favoriser les conditions pour l’organisation d’élections libres et démocratiques. Une partie de la société civile et des partis politiques s’opposent à la légitimé du Conseil Militaire de Transition et à certaines décisions majeures prises par le gouvernement de la transition</w:t>
      </w:r>
      <w:r w:rsidR="0323E201" w:rsidRPr="581E4654">
        <w:rPr>
          <w:rFonts w:ascii="Times New Roman" w:eastAsia="Times New Roman" w:hAnsi="Times New Roman"/>
          <w:sz w:val="24"/>
          <w:szCs w:val="24"/>
          <w:lang w:eastAsia="fr-FR"/>
        </w:rPr>
        <w:t>,</w:t>
      </w:r>
      <w:r w:rsidRPr="581E4654">
        <w:rPr>
          <w:rFonts w:ascii="Times New Roman" w:eastAsia="Times New Roman" w:hAnsi="Times New Roman"/>
          <w:sz w:val="24"/>
          <w:szCs w:val="24"/>
          <w:lang w:eastAsia="fr-FR"/>
        </w:rPr>
        <w:t xml:space="preserve"> y compris le processus de préparation du dialogue national inclusif devant conduire à la réconciliation. Le Système des Nations Unies et les autres Partenaires au développement intervenant au Tchad travaillent avec la partie nationale pour </w:t>
      </w:r>
      <w:r w:rsidR="166B07CA" w:rsidRPr="581E4654">
        <w:rPr>
          <w:rFonts w:ascii="Times New Roman" w:eastAsia="Times New Roman" w:hAnsi="Times New Roman"/>
          <w:sz w:val="24"/>
          <w:szCs w:val="24"/>
          <w:lang w:eastAsia="fr-FR"/>
        </w:rPr>
        <w:t>le déroulement</w:t>
      </w:r>
      <w:r w:rsidRPr="581E4654">
        <w:rPr>
          <w:rFonts w:ascii="Times New Roman" w:eastAsia="Times New Roman" w:hAnsi="Times New Roman"/>
          <w:sz w:val="24"/>
          <w:szCs w:val="24"/>
          <w:lang w:eastAsia="fr-FR"/>
        </w:rPr>
        <w:t xml:space="preserve"> </w:t>
      </w:r>
      <w:r w:rsidR="5B18DEBF" w:rsidRPr="581E4654">
        <w:rPr>
          <w:rFonts w:ascii="Times New Roman" w:eastAsia="Times New Roman" w:hAnsi="Times New Roman"/>
          <w:sz w:val="24"/>
          <w:szCs w:val="24"/>
          <w:lang w:eastAsia="fr-FR"/>
        </w:rPr>
        <w:t>d’</w:t>
      </w:r>
      <w:r w:rsidRPr="581E4654">
        <w:rPr>
          <w:rFonts w:ascii="Times New Roman" w:eastAsia="Times New Roman" w:hAnsi="Times New Roman"/>
          <w:sz w:val="24"/>
          <w:szCs w:val="24"/>
          <w:lang w:eastAsia="fr-FR"/>
        </w:rPr>
        <w:t xml:space="preserve">une transition apaisée et réussie.  </w:t>
      </w:r>
    </w:p>
    <w:p w14:paraId="27E1F814" w14:textId="77777777" w:rsidR="002B6BC6" w:rsidRDefault="002B6BC6" w:rsidP="003249C8">
      <w:pPr>
        <w:spacing w:after="0" w:line="240" w:lineRule="auto"/>
        <w:ind w:left="60"/>
        <w:jc w:val="both"/>
        <w:rPr>
          <w:rFonts w:ascii="Times New Roman" w:eastAsia="Times New Roman" w:hAnsi="Times New Roman"/>
          <w:sz w:val="24"/>
          <w:szCs w:val="24"/>
          <w:lang w:eastAsia="fr-FR"/>
        </w:rPr>
      </w:pPr>
    </w:p>
    <w:p w14:paraId="1BBCEDD7" w14:textId="221C0469" w:rsidR="00FB5EEC" w:rsidRDefault="00C92B58" w:rsidP="003249C8">
      <w:pPr>
        <w:spacing w:after="0" w:line="240" w:lineRule="auto"/>
        <w:ind w:left="60"/>
        <w:jc w:val="both"/>
        <w:rPr>
          <w:rFonts w:ascii="Times New Roman" w:eastAsia="Times New Roman" w:hAnsi="Times New Roman"/>
          <w:sz w:val="24"/>
          <w:szCs w:val="24"/>
          <w:lang w:eastAsia="fr-FR"/>
        </w:rPr>
      </w:pPr>
      <w:r w:rsidRPr="00F22761">
        <w:rPr>
          <w:rFonts w:ascii="Times New Roman" w:eastAsia="Times New Roman" w:hAnsi="Times New Roman"/>
          <w:sz w:val="24"/>
          <w:szCs w:val="24"/>
          <w:lang w:eastAsia="fr-FR"/>
        </w:rPr>
        <w:t xml:space="preserve">La vision 2030 de développement du pays est de faire du Tchad un pays émergent capable d’assurer la sécurité alimentaire, l’accès pour tous à l’eau potable et l’énergie à travers plusieurs politiques et stratégies sectorielles dont le Plan national de Développement (PND 2017-2021). Le Gouvernement est accompagné dans la mise en œuvre de sa politique par les partenaires techniques et financiers aux premiers rangs desquels les agences du système des Nations Unies. </w:t>
      </w:r>
      <w:r w:rsidR="00FB5EEC">
        <w:rPr>
          <w:rFonts w:ascii="Times New Roman" w:eastAsia="Times New Roman" w:hAnsi="Times New Roman"/>
          <w:sz w:val="24"/>
          <w:szCs w:val="24"/>
          <w:lang w:eastAsia="fr-FR"/>
        </w:rPr>
        <w:t xml:space="preserve"> </w:t>
      </w:r>
    </w:p>
    <w:p w14:paraId="72F493DD" w14:textId="77777777" w:rsidR="002B6BC6" w:rsidRDefault="002B6BC6" w:rsidP="00F52473">
      <w:pPr>
        <w:spacing w:after="0" w:line="240" w:lineRule="auto"/>
        <w:jc w:val="both"/>
        <w:rPr>
          <w:rFonts w:ascii="Times New Roman" w:eastAsia="Times New Roman" w:hAnsi="Times New Roman"/>
          <w:sz w:val="24"/>
          <w:szCs w:val="24"/>
          <w:lang w:eastAsia="fr-FR"/>
        </w:rPr>
      </w:pPr>
    </w:p>
    <w:p w14:paraId="2057EC99" w14:textId="22F6D921" w:rsidR="00CD37DE" w:rsidRPr="00F22761" w:rsidRDefault="00C92B58" w:rsidP="00F52473">
      <w:pPr>
        <w:spacing w:after="0" w:line="240" w:lineRule="auto"/>
        <w:jc w:val="both"/>
        <w:rPr>
          <w:rFonts w:ascii="Times New Roman" w:eastAsia="Times New Roman" w:hAnsi="Times New Roman"/>
          <w:sz w:val="24"/>
          <w:szCs w:val="24"/>
          <w:lang w:eastAsia="fr-FR"/>
        </w:rPr>
      </w:pPr>
      <w:r w:rsidRPr="00F22761">
        <w:rPr>
          <w:rFonts w:ascii="Times New Roman" w:eastAsia="Times New Roman" w:hAnsi="Times New Roman"/>
          <w:sz w:val="24"/>
          <w:szCs w:val="24"/>
          <w:lang w:eastAsia="fr-FR"/>
        </w:rPr>
        <w:t>Il y a également les défis relatifs à la période transitoire et au prochain cycle électoral et a la réponse à la COVID-19 ; les catastrophes humanitaires liées à la guerre et aux catastrophes naturelles ; la lutte contre l’extrémisme violent et l’insurrection ; les abus et non-respect des droits de l’homme ; la pauvreté à la lumière des ODD ; l’amélioration de la gouvernance et les relations avec des parties prenantes externes pour le renforcement de la sécurité nationale et régionale.</w:t>
      </w:r>
    </w:p>
    <w:p w14:paraId="3AE762AB" w14:textId="77777777" w:rsidR="00C92B58" w:rsidRPr="00CD37DE" w:rsidRDefault="00C92B58" w:rsidP="00CD37DE">
      <w:pPr>
        <w:spacing w:after="0" w:line="240" w:lineRule="auto"/>
        <w:jc w:val="both"/>
        <w:rPr>
          <w:rFonts w:ascii="Times New Roman" w:hAnsi="Times New Roman"/>
          <w:sz w:val="24"/>
          <w:szCs w:val="24"/>
        </w:rPr>
      </w:pPr>
    </w:p>
    <w:p w14:paraId="681C5E08" w14:textId="77777777" w:rsidR="00CD37DE" w:rsidRPr="001126F7" w:rsidRDefault="00CD37DE" w:rsidP="00BC1AE3">
      <w:pPr>
        <w:pStyle w:val="Titre2"/>
        <w:numPr>
          <w:ilvl w:val="1"/>
          <w:numId w:val="24"/>
        </w:numPr>
        <w:rPr>
          <w:b/>
          <w:bCs w:val="0"/>
          <w:sz w:val="28"/>
          <w:szCs w:val="28"/>
        </w:rPr>
      </w:pPr>
      <w:bookmarkStart w:id="12" w:name="_Toc51745191"/>
      <w:bookmarkStart w:id="13" w:name="_Toc55372892"/>
      <w:bookmarkStart w:id="14" w:name="_Toc55539096"/>
      <w:bookmarkStart w:id="15" w:name="_Toc61523565"/>
      <w:bookmarkStart w:id="16" w:name="_Toc90910780"/>
      <w:r w:rsidRPr="001126F7">
        <w:rPr>
          <w:b/>
          <w:bCs w:val="0"/>
          <w:sz w:val="28"/>
          <w:szCs w:val="28"/>
        </w:rPr>
        <w:lastRenderedPageBreak/>
        <w:t>Economie</w:t>
      </w:r>
      <w:bookmarkEnd w:id="12"/>
      <w:bookmarkEnd w:id="13"/>
      <w:bookmarkEnd w:id="14"/>
      <w:bookmarkEnd w:id="15"/>
      <w:bookmarkEnd w:id="16"/>
      <w:r w:rsidRPr="001126F7">
        <w:rPr>
          <w:b/>
          <w:bCs w:val="0"/>
          <w:sz w:val="28"/>
          <w:szCs w:val="28"/>
        </w:rPr>
        <w:t xml:space="preserve"> </w:t>
      </w:r>
    </w:p>
    <w:p w14:paraId="543BD948" w14:textId="713F2FAF" w:rsidR="00146DBA"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De 1990 à nos jours, le Produit Intérieur Brut tchadien a connu des changements inter et intra-sectoriels mitigés marqués notamment par un rétrécissement du commerce de détail et des services d’une part, et une progression de l’industrie extractive et notamment pétrolière d’autre part. Les performances macroéconomiques du Tchad avant la survenue de la pandémie de COVID-19 étaient bonnes, car après deux années de récession 2016 et 2017 à la suite de la baisse des cours du pétrole qui a conduit à une crise d’endettement, le taux de croissance était redevenu positif, atteignant 2,3% en 2018 et 3,0% en 2019</w:t>
      </w:r>
      <w:r w:rsidR="0027701A">
        <w:rPr>
          <w:rStyle w:val="Appelnotedebasdep"/>
        </w:rPr>
        <w:footnoteReference w:id="11"/>
      </w:r>
      <w:r w:rsidRPr="00CE1144">
        <w:rPr>
          <w:rFonts w:ascii="Times New Roman" w:hAnsi="Times New Roman"/>
          <w:sz w:val="24"/>
          <w:szCs w:val="24"/>
        </w:rPr>
        <w:t xml:space="preserve"> . Ainsi, </w:t>
      </w:r>
      <w:proofErr w:type="gramStart"/>
      <w:r w:rsidR="00146DBA">
        <w:rPr>
          <w:rFonts w:ascii="Times New Roman" w:hAnsi="Times New Roman"/>
          <w:sz w:val="24"/>
          <w:szCs w:val="24"/>
        </w:rPr>
        <w:t>suite à</w:t>
      </w:r>
      <w:proofErr w:type="gramEnd"/>
      <w:r w:rsidR="00146DBA">
        <w:rPr>
          <w:rFonts w:ascii="Times New Roman" w:hAnsi="Times New Roman"/>
          <w:sz w:val="24"/>
          <w:szCs w:val="24"/>
        </w:rPr>
        <w:t xml:space="preserve"> la survenue de </w:t>
      </w:r>
      <w:r w:rsidRPr="00CE1144">
        <w:rPr>
          <w:rFonts w:ascii="Times New Roman" w:hAnsi="Times New Roman"/>
          <w:sz w:val="24"/>
          <w:szCs w:val="24"/>
        </w:rPr>
        <w:t xml:space="preserve">la pandémie </w:t>
      </w:r>
      <w:r w:rsidR="00146DBA">
        <w:rPr>
          <w:rFonts w:ascii="Times New Roman" w:hAnsi="Times New Roman"/>
          <w:sz w:val="24"/>
          <w:szCs w:val="24"/>
        </w:rPr>
        <w:t>de COVID-19,</w:t>
      </w:r>
      <w:r w:rsidRPr="00CE1144">
        <w:rPr>
          <w:rFonts w:ascii="Times New Roman" w:hAnsi="Times New Roman"/>
          <w:sz w:val="24"/>
          <w:szCs w:val="24"/>
        </w:rPr>
        <w:t xml:space="preserve"> la croissance du PIB réel projetée à 6,9 % en 2020 </w:t>
      </w:r>
      <w:r w:rsidR="00146DBA">
        <w:rPr>
          <w:rFonts w:ascii="Times New Roman" w:hAnsi="Times New Roman"/>
          <w:sz w:val="24"/>
          <w:szCs w:val="24"/>
        </w:rPr>
        <w:t xml:space="preserve">avant la pandémie a finalement été négative pour se situer à </w:t>
      </w:r>
      <w:r w:rsidRPr="00CE1144">
        <w:rPr>
          <w:rFonts w:ascii="Times New Roman" w:hAnsi="Times New Roman"/>
          <w:sz w:val="24"/>
          <w:szCs w:val="24"/>
        </w:rPr>
        <w:t>-0,4% en raison du ralentissement des activités pétrolières (3,2%) et aussi du secteur non pétrolier (-1,3 %).</w:t>
      </w:r>
      <w:r w:rsidR="00146DBA">
        <w:rPr>
          <w:rFonts w:ascii="Times New Roman" w:hAnsi="Times New Roman"/>
          <w:sz w:val="24"/>
          <w:szCs w:val="24"/>
        </w:rPr>
        <w:t xml:space="preserve"> Toutefois les premières estimations pour l’année 2021 annoncent une reprise économique avec une croissance du PIB de 0.94% une reprise qui devrait se poursuivre en 2022 avec une projection du PIB à </w:t>
      </w:r>
      <w:r w:rsidR="00D42963">
        <w:rPr>
          <w:rFonts w:ascii="Times New Roman" w:hAnsi="Times New Roman"/>
          <w:sz w:val="24"/>
          <w:szCs w:val="24"/>
        </w:rPr>
        <w:t>2.5</w:t>
      </w:r>
      <w:r w:rsidR="00146DBA">
        <w:rPr>
          <w:rFonts w:ascii="Times New Roman" w:hAnsi="Times New Roman"/>
          <w:sz w:val="24"/>
          <w:szCs w:val="24"/>
        </w:rPr>
        <w:t>%.</w:t>
      </w:r>
    </w:p>
    <w:p w14:paraId="44A84735" w14:textId="08678788"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 Le taux d’inflation </w:t>
      </w:r>
      <w:r w:rsidR="00324323">
        <w:rPr>
          <w:rFonts w:ascii="Times New Roman" w:hAnsi="Times New Roman"/>
          <w:sz w:val="24"/>
          <w:szCs w:val="24"/>
        </w:rPr>
        <w:t>qui</w:t>
      </w:r>
      <w:r w:rsidRPr="00CE1144">
        <w:rPr>
          <w:rFonts w:ascii="Times New Roman" w:hAnsi="Times New Roman"/>
          <w:sz w:val="24"/>
          <w:szCs w:val="24"/>
        </w:rPr>
        <w:t xml:space="preserve"> en 2019 </w:t>
      </w:r>
      <w:r w:rsidR="00324323">
        <w:rPr>
          <w:rFonts w:ascii="Times New Roman" w:hAnsi="Times New Roman"/>
          <w:sz w:val="24"/>
          <w:szCs w:val="24"/>
        </w:rPr>
        <w:t xml:space="preserve">était </w:t>
      </w:r>
      <w:r w:rsidRPr="00CE1144">
        <w:rPr>
          <w:rFonts w:ascii="Times New Roman" w:hAnsi="Times New Roman"/>
          <w:sz w:val="24"/>
          <w:szCs w:val="24"/>
        </w:rPr>
        <w:t>de -1% en moyenne annuelle, et -1,7% en glissement annuel</w:t>
      </w:r>
      <w:r w:rsidR="00324323">
        <w:rPr>
          <w:rFonts w:ascii="Times New Roman" w:hAnsi="Times New Roman"/>
          <w:sz w:val="24"/>
          <w:szCs w:val="24"/>
        </w:rPr>
        <w:t xml:space="preserve">, </w:t>
      </w:r>
      <w:r w:rsidR="003202A4">
        <w:rPr>
          <w:rFonts w:ascii="Times New Roman" w:hAnsi="Times New Roman"/>
          <w:sz w:val="24"/>
          <w:szCs w:val="24"/>
        </w:rPr>
        <w:t xml:space="preserve">s’est </w:t>
      </w:r>
      <w:r w:rsidR="00DD7582">
        <w:rPr>
          <w:rFonts w:ascii="Times New Roman" w:hAnsi="Times New Roman"/>
          <w:sz w:val="24"/>
          <w:szCs w:val="24"/>
        </w:rPr>
        <w:t>accélérée</w:t>
      </w:r>
      <w:r w:rsidR="003202A4">
        <w:rPr>
          <w:rFonts w:ascii="Times New Roman" w:hAnsi="Times New Roman"/>
          <w:sz w:val="24"/>
          <w:szCs w:val="24"/>
        </w:rPr>
        <w:t xml:space="preserve"> en 202</w:t>
      </w:r>
      <w:r w:rsidR="00086D3D">
        <w:rPr>
          <w:rFonts w:ascii="Times New Roman" w:hAnsi="Times New Roman"/>
          <w:sz w:val="24"/>
          <w:szCs w:val="24"/>
        </w:rPr>
        <w:t>0</w:t>
      </w:r>
      <w:r w:rsidR="003202A4">
        <w:rPr>
          <w:rFonts w:ascii="Times New Roman" w:hAnsi="Times New Roman"/>
          <w:sz w:val="24"/>
          <w:szCs w:val="24"/>
        </w:rPr>
        <w:t xml:space="preserve"> (4,5% en moyenne annuelle et 3,1% en glissement), </w:t>
      </w:r>
      <w:r w:rsidR="0032590E">
        <w:rPr>
          <w:rFonts w:ascii="Times New Roman" w:hAnsi="Times New Roman"/>
          <w:sz w:val="24"/>
          <w:szCs w:val="24"/>
        </w:rPr>
        <w:t xml:space="preserve">en partie </w:t>
      </w:r>
      <w:r w:rsidR="00DD7582">
        <w:rPr>
          <w:rFonts w:ascii="Times New Roman" w:hAnsi="Times New Roman"/>
          <w:sz w:val="24"/>
          <w:szCs w:val="24"/>
        </w:rPr>
        <w:t>à</w:t>
      </w:r>
      <w:r w:rsidR="0032590E">
        <w:rPr>
          <w:rFonts w:ascii="Times New Roman" w:hAnsi="Times New Roman"/>
          <w:sz w:val="24"/>
          <w:szCs w:val="24"/>
        </w:rPr>
        <w:t xml:space="preserve"> cause de</w:t>
      </w:r>
      <w:r w:rsidR="0070130B">
        <w:rPr>
          <w:rFonts w:ascii="Times New Roman" w:hAnsi="Times New Roman"/>
          <w:sz w:val="24"/>
          <w:szCs w:val="24"/>
        </w:rPr>
        <w:t xml:space="preserve"> la perturbation des circuits d</w:t>
      </w:r>
      <w:r w:rsidR="002D4AC9">
        <w:rPr>
          <w:rFonts w:ascii="Times New Roman" w:hAnsi="Times New Roman"/>
          <w:sz w:val="24"/>
          <w:szCs w:val="24"/>
        </w:rPr>
        <w:t>’approvisionnement</w:t>
      </w:r>
      <w:r w:rsidRPr="00CE1144">
        <w:rPr>
          <w:rFonts w:ascii="Times New Roman" w:hAnsi="Times New Roman"/>
          <w:sz w:val="24"/>
          <w:szCs w:val="24"/>
        </w:rPr>
        <w:t xml:space="preserve">. </w:t>
      </w:r>
      <w:r w:rsidR="00086D3D">
        <w:rPr>
          <w:rFonts w:ascii="Times New Roman" w:hAnsi="Times New Roman"/>
          <w:sz w:val="24"/>
          <w:szCs w:val="24"/>
        </w:rPr>
        <w:t xml:space="preserve">Il s’est stabilisé en 2021 pour se situer à 2.6%.   </w:t>
      </w:r>
    </w:p>
    <w:p w14:paraId="06C08576" w14:textId="77777777" w:rsidR="00CE1144" w:rsidRPr="00CE1144" w:rsidRDefault="00CE1144" w:rsidP="00CE1144">
      <w:pPr>
        <w:tabs>
          <w:tab w:val="left" w:pos="567"/>
        </w:tabs>
        <w:spacing w:after="0"/>
        <w:jc w:val="both"/>
        <w:rPr>
          <w:rFonts w:ascii="Times New Roman" w:hAnsi="Times New Roman"/>
          <w:sz w:val="24"/>
          <w:szCs w:val="24"/>
        </w:rPr>
      </w:pPr>
    </w:p>
    <w:p w14:paraId="22CCC51A" w14:textId="226E08A2" w:rsidR="00CE1144" w:rsidRPr="00CE1144" w:rsidRDefault="0027701A" w:rsidP="00CE1144">
      <w:pPr>
        <w:tabs>
          <w:tab w:val="left" w:pos="567"/>
        </w:tabs>
        <w:spacing w:after="0"/>
        <w:jc w:val="both"/>
        <w:rPr>
          <w:rFonts w:ascii="Times New Roman" w:hAnsi="Times New Roman"/>
          <w:sz w:val="24"/>
          <w:szCs w:val="24"/>
        </w:rPr>
      </w:pPr>
      <w:r>
        <w:rPr>
          <w:rFonts w:ascii="Times New Roman" w:hAnsi="Times New Roman"/>
          <w:sz w:val="24"/>
          <w:szCs w:val="24"/>
        </w:rPr>
        <w:t xml:space="preserve"> </w:t>
      </w:r>
      <w:r w:rsidR="00CE1144" w:rsidRPr="00CE1144">
        <w:rPr>
          <w:rFonts w:ascii="Times New Roman" w:hAnsi="Times New Roman"/>
          <w:sz w:val="24"/>
          <w:szCs w:val="24"/>
        </w:rPr>
        <w:t xml:space="preserve">Les exportations de pétrole </w:t>
      </w:r>
      <w:r w:rsidR="00FD2ADF">
        <w:rPr>
          <w:rFonts w:ascii="Times New Roman" w:hAnsi="Times New Roman"/>
          <w:sz w:val="24"/>
          <w:szCs w:val="24"/>
        </w:rPr>
        <w:t>aur</w:t>
      </w:r>
      <w:r w:rsidR="00CE1144" w:rsidRPr="00CE1144">
        <w:rPr>
          <w:rFonts w:ascii="Times New Roman" w:hAnsi="Times New Roman"/>
          <w:sz w:val="24"/>
          <w:szCs w:val="24"/>
        </w:rPr>
        <w:t>aient chut</w:t>
      </w:r>
      <w:r w:rsidR="00FD2ADF">
        <w:rPr>
          <w:rFonts w:ascii="Times New Roman" w:hAnsi="Times New Roman"/>
          <w:sz w:val="24"/>
          <w:szCs w:val="24"/>
        </w:rPr>
        <w:t>é</w:t>
      </w:r>
      <w:r w:rsidR="00CE1144" w:rsidRPr="00CE1144">
        <w:rPr>
          <w:rFonts w:ascii="Times New Roman" w:hAnsi="Times New Roman"/>
          <w:sz w:val="24"/>
          <w:szCs w:val="24"/>
        </w:rPr>
        <w:t xml:space="preserve"> de près de </w:t>
      </w:r>
      <w:r w:rsidR="00FD2ADF">
        <w:rPr>
          <w:rFonts w:ascii="Times New Roman" w:hAnsi="Times New Roman"/>
          <w:sz w:val="24"/>
          <w:szCs w:val="24"/>
        </w:rPr>
        <w:t>4</w:t>
      </w:r>
      <w:r w:rsidR="00CE1144" w:rsidRPr="00CE1144">
        <w:rPr>
          <w:rFonts w:ascii="Times New Roman" w:hAnsi="Times New Roman"/>
          <w:sz w:val="24"/>
          <w:szCs w:val="24"/>
        </w:rPr>
        <w:t>0 % en 202</w:t>
      </w:r>
      <w:r>
        <w:rPr>
          <w:rFonts w:ascii="Times New Roman" w:hAnsi="Times New Roman"/>
          <w:sz w:val="24"/>
          <w:szCs w:val="24"/>
        </w:rPr>
        <w:t>1</w:t>
      </w:r>
      <w:r w:rsidR="00CE1144" w:rsidRPr="00CE1144">
        <w:rPr>
          <w:rFonts w:ascii="Times New Roman" w:hAnsi="Times New Roman"/>
          <w:sz w:val="24"/>
          <w:szCs w:val="24"/>
        </w:rPr>
        <w:t xml:space="preserve"> et les exportations totales de </w:t>
      </w:r>
      <w:r w:rsidR="00FD2ADF">
        <w:rPr>
          <w:rFonts w:ascii="Times New Roman" w:hAnsi="Times New Roman"/>
          <w:sz w:val="24"/>
          <w:szCs w:val="24"/>
        </w:rPr>
        <w:t>27</w:t>
      </w:r>
      <w:r w:rsidR="00CE1144" w:rsidRPr="00CE1144">
        <w:rPr>
          <w:rFonts w:ascii="Times New Roman" w:hAnsi="Times New Roman"/>
          <w:sz w:val="24"/>
          <w:szCs w:val="24"/>
        </w:rPr>
        <w:t xml:space="preserve"> % en raison de l'impact de la COVID-19 sur la demande mondiale, du choc des prix du pétrole et de la fermeture des frontières. Les importations totales ne </w:t>
      </w:r>
      <w:r w:rsidR="000D29D6">
        <w:rPr>
          <w:rFonts w:ascii="Times New Roman" w:hAnsi="Times New Roman"/>
          <w:sz w:val="24"/>
          <w:szCs w:val="24"/>
        </w:rPr>
        <w:t xml:space="preserve">se seraient pas </w:t>
      </w:r>
      <w:r w:rsidR="00CE1144" w:rsidRPr="00CE1144">
        <w:rPr>
          <w:rFonts w:ascii="Times New Roman" w:hAnsi="Times New Roman"/>
          <w:sz w:val="24"/>
          <w:szCs w:val="24"/>
        </w:rPr>
        <w:t>ajust</w:t>
      </w:r>
      <w:r w:rsidR="000D29D6">
        <w:rPr>
          <w:rFonts w:ascii="Times New Roman" w:hAnsi="Times New Roman"/>
          <w:sz w:val="24"/>
          <w:szCs w:val="24"/>
        </w:rPr>
        <w:t>é</w:t>
      </w:r>
      <w:r w:rsidR="00CE1144" w:rsidRPr="00CE1144">
        <w:rPr>
          <w:rFonts w:ascii="Times New Roman" w:hAnsi="Times New Roman"/>
          <w:sz w:val="24"/>
          <w:szCs w:val="24"/>
        </w:rPr>
        <w:t>e</w:t>
      </w:r>
      <w:r w:rsidR="000D29D6">
        <w:rPr>
          <w:rFonts w:ascii="Times New Roman" w:hAnsi="Times New Roman"/>
          <w:sz w:val="24"/>
          <w:szCs w:val="24"/>
        </w:rPr>
        <w:t xml:space="preserve">s </w:t>
      </w:r>
      <w:r w:rsidR="00CE1144" w:rsidRPr="00CE1144">
        <w:rPr>
          <w:rFonts w:ascii="Times New Roman" w:hAnsi="Times New Roman"/>
          <w:sz w:val="24"/>
          <w:szCs w:val="24"/>
        </w:rPr>
        <w:t xml:space="preserve">dans les mêmes proportions, </w:t>
      </w:r>
      <w:r w:rsidR="00D47C57">
        <w:rPr>
          <w:rFonts w:ascii="Times New Roman" w:hAnsi="Times New Roman"/>
          <w:sz w:val="24"/>
          <w:szCs w:val="24"/>
        </w:rPr>
        <w:t xml:space="preserve">en ne </w:t>
      </w:r>
      <w:r w:rsidR="00CE1144" w:rsidRPr="00CE1144">
        <w:rPr>
          <w:rFonts w:ascii="Times New Roman" w:hAnsi="Times New Roman"/>
          <w:sz w:val="24"/>
          <w:szCs w:val="24"/>
        </w:rPr>
        <w:t>diminu</w:t>
      </w:r>
      <w:r w:rsidR="00D47C57">
        <w:rPr>
          <w:rFonts w:ascii="Times New Roman" w:hAnsi="Times New Roman"/>
          <w:sz w:val="24"/>
          <w:szCs w:val="24"/>
        </w:rPr>
        <w:t>ant que</w:t>
      </w:r>
      <w:r w:rsidR="00CE1144" w:rsidRPr="00CE1144">
        <w:rPr>
          <w:rFonts w:ascii="Times New Roman" w:hAnsi="Times New Roman"/>
          <w:sz w:val="24"/>
          <w:szCs w:val="24"/>
        </w:rPr>
        <w:t xml:space="preserve"> de 2,3 %. La balance épargne-investissement du Tchad se </w:t>
      </w:r>
      <w:r w:rsidR="001669F1">
        <w:rPr>
          <w:rFonts w:ascii="Times New Roman" w:hAnsi="Times New Roman"/>
          <w:sz w:val="24"/>
          <w:szCs w:val="24"/>
        </w:rPr>
        <w:t xml:space="preserve">serait </w:t>
      </w:r>
      <w:r w:rsidR="00CE1144" w:rsidRPr="00CE1144">
        <w:rPr>
          <w:rFonts w:ascii="Times New Roman" w:hAnsi="Times New Roman"/>
          <w:sz w:val="24"/>
          <w:szCs w:val="24"/>
        </w:rPr>
        <w:t>détérior</w:t>
      </w:r>
      <w:r w:rsidR="001669F1">
        <w:rPr>
          <w:rFonts w:ascii="Times New Roman" w:hAnsi="Times New Roman"/>
          <w:sz w:val="24"/>
          <w:szCs w:val="24"/>
        </w:rPr>
        <w:t xml:space="preserve">ée </w:t>
      </w:r>
      <w:r w:rsidR="00CE1144" w:rsidRPr="00CE1144">
        <w:rPr>
          <w:rFonts w:ascii="Times New Roman" w:hAnsi="Times New Roman"/>
          <w:sz w:val="24"/>
          <w:szCs w:val="24"/>
        </w:rPr>
        <w:t xml:space="preserve">et le déficit du compte courant (DCC) se </w:t>
      </w:r>
      <w:r w:rsidR="001669F1">
        <w:rPr>
          <w:rFonts w:ascii="Times New Roman" w:hAnsi="Times New Roman"/>
          <w:sz w:val="24"/>
          <w:szCs w:val="24"/>
        </w:rPr>
        <w:t>seraient</w:t>
      </w:r>
      <w:r>
        <w:rPr>
          <w:rFonts w:ascii="Times New Roman" w:hAnsi="Times New Roman"/>
          <w:sz w:val="24"/>
          <w:szCs w:val="24"/>
        </w:rPr>
        <w:t xml:space="preserve"> creusé</w:t>
      </w:r>
      <w:r w:rsidR="00874518">
        <w:rPr>
          <w:rFonts w:ascii="Times New Roman" w:hAnsi="Times New Roman"/>
          <w:sz w:val="24"/>
          <w:szCs w:val="24"/>
        </w:rPr>
        <w:t>s</w:t>
      </w:r>
      <w:r w:rsidR="00CE1144" w:rsidRPr="00CE1144">
        <w:rPr>
          <w:rFonts w:ascii="Times New Roman" w:hAnsi="Times New Roman"/>
          <w:sz w:val="24"/>
          <w:szCs w:val="24"/>
        </w:rPr>
        <w:t xml:space="preserve"> pour atteindre </w:t>
      </w:r>
      <w:r w:rsidR="00D871DC">
        <w:rPr>
          <w:rFonts w:ascii="Times New Roman" w:hAnsi="Times New Roman"/>
          <w:sz w:val="24"/>
          <w:szCs w:val="24"/>
        </w:rPr>
        <w:t>-8,4</w:t>
      </w:r>
      <w:r w:rsidR="00CE1144" w:rsidRPr="00CE1144">
        <w:rPr>
          <w:rFonts w:ascii="Times New Roman" w:hAnsi="Times New Roman"/>
          <w:sz w:val="24"/>
          <w:szCs w:val="24"/>
        </w:rPr>
        <w:t xml:space="preserve"> % </w:t>
      </w:r>
      <w:r w:rsidR="00D871DC">
        <w:rPr>
          <w:rFonts w:ascii="Times New Roman" w:hAnsi="Times New Roman"/>
          <w:sz w:val="24"/>
          <w:szCs w:val="24"/>
        </w:rPr>
        <w:t xml:space="preserve">du PIB </w:t>
      </w:r>
      <w:r w:rsidR="00CE1144" w:rsidRPr="00CE1144">
        <w:rPr>
          <w:rFonts w:ascii="Times New Roman" w:hAnsi="Times New Roman"/>
          <w:sz w:val="24"/>
          <w:szCs w:val="24"/>
        </w:rPr>
        <w:t>en 202</w:t>
      </w:r>
      <w:r w:rsidR="00086D3D">
        <w:rPr>
          <w:rFonts w:ascii="Times New Roman" w:hAnsi="Times New Roman"/>
          <w:sz w:val="24"/>
          <w:szCs w:val="24"/>
        </w:rPr>
        <w:t>0</w:t>
      </w:r>
      <w:r w:rsidR="00CE1144" w:rsidRPr="00CE1144">
        <w:rPr>
          <w:rFonts w:ascii="Times New Roman" w:hAnsi="Times New Roman"/>
          <w:sz w:val="24"/>
          <w:szCs w:val="24"/>
        </w:rPr>
        <w:t xml:space="preserve">. Cet impact devrait s'atténuer en 2021, avec un rebond prévu des exportations, et une réduction du déficit du compte courant à </w:t>
      </w:r>
      <w:r w:rsidR="00144A50">
        <w:rPr>
          <w:rFonts w:ascii="Times New Roman" w:hAnsi="Times New Roman"/>
          <w:sz w:val="24"/>
          <w:szCs w:val="24"/>
        </w:rPr>
        <w:t>-</w:t>
      </w:r>
      <w:r w:rsidR="00CE1144" w:rsidRPr="00CE1144">
        <w:rPr>
          <w:rFonts w:ascii="Times New Roman" w:hAnsi="Times New Roman"/>
          <w:sz w:val="24"/>
          <w:szCs w:val="24"/>
        </w:rPr>
        <w:t>6</w:t>
      </w:r>
      <w:r w:rsidR="00144A50">
        <w:rPr>
          <w:rFonts w:ascii="Times New Roman" w:hAnsi="Times New Roman"/>
          <w:sz w:val="24"/>
          <w:szCs w:val="24"/>
        </w:rPr>
        <w:t>,5</w:t>
      </w:r>
      <w:r w:rsidR="00CE1144" w:rsidRPr="00CE1144">
        <w:rPr>
          <w:rFonts w:ascii="Times New Roman" w:hAnsi="Times New Roman"/>
          <w:sz w:val="24"/>
          <w:szCs w:val="24"/>
        </w:rPr>
        <w:t xml:space="preserve"> % du PIB. L'aide budgétaire des donateurs constituera une source de financement fiable, car les entrées d'Investissement Direct Etranger (IDE) ralentiront en raison de la contraction de la croissance mondiale.  Les inégalités persistantes dans le pays, qui affiche un indice de Gini de 33,4, font craindre un impact démesuré sur les quintiles les plus pauvres et pour les ménages de dimension majeure en zones rurales et en conflit.</w:t>
      </w:r>
    </w:p>
    <w:p w14:paraId="24B249FE" w14:textId="77777777" w:rsidR="00CE1144" w:rsidRPr="00CE1144" w:rsidRDefault="00CE1144" w:rsidP="00CE1144">
      <w:pPr>
        <w:tabs>
          <w:tab w:val="left" w:pos="567"/>
        </w:tabs>
        <w:spacing w:after="0"/>
        <w:jc w:val="both"/>
        <w:rPr>
          <w:rFonts w:ascii="Times New Roman" w:hAnsi="Times New Roman"/>
          <w:sz w:val="24"/>
          <w:szCs w:val="24"/>
        </w:rPr>
      </w:pPr>
    </w:p>
    <w:p w14:paraId="66CD5D0D" w14:textId="146D2D1C"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La crise économique occasionnée par la chute du prix du baril de pétrole de 2014 à 2016, a mis en évidence la fragilité des économies d’Afrique Centrale en général et celle du Tchad en particulier. Il est par conséquent plus que nécessaire de diversifier l’économie tchadienne qui reste fortement dépendante du pétrole. Cette diversification requiert une valorisation des secteurs productifs hors pétrole, une promotion des pôles régionaux de croissance pour tirer profit des avantages comparatifs de chaque région du Tchad, mais aussi de l’avantage comparatif du pays en Afrique Centrale et dans le continent. Cela devrait conduire le pays à développer des compétences spécifiques, et à renforcer le capital </w:t>
      </w:r>
      <w:r w:rsidRPr="00CE1144">
        <w:rPr>
          <w:rFonts w:ascii="Times New Roman" w:hAnsi="Times New Roman"/>
          <w:sz w:val="24"/>
          <w:szCs w:val="24"/>
        </w:rPr>
        <w:lastRenderedPageBreak/>
        <w:t>humain</w:t>
      </w:r>
      <w:r w:rsidR="00101FA9">
        <w:rPr>
          <w:rStyle w:val="Appelnotedebasdep"/>
        </w:rPr>
        <w:footnoteReference w:id="12"/>
      </w:r>
      <w:r w:rsidRPr="00CE1144">
        <w:rPr>
          <w:rFonts w:ascii="Times New Roman" w:hAnsi="Times New Roman"/>
          <w:sz w:val="24"/>
          <w:szCs w:val="24"/>
        </w:rPr>
        <w:t xml:space="preserve"> pour une meilleure productivité de la main-d’œuvre. L’économie tchadienne est ainsi très vulnérable aux chocs externes du fait également de la prédominance du secteur primaire dans l’économie avec une part de 41,5 % du Produit Intérieur Brut en 2015 (UNECA, 2016). L’économie du pays est également très affectée par les risques sécuritaires liés à la menace terroriste et l’insécurité régionale. La persistance de ces facteurs d’instabilité et le coût financier de son engagement militaire a davantage affaibli sa situation budgétaire et sa position extérieure. Afin d’améliorer la résilience aux chocs externes et promouvoir la diversification de son économie, le Tchad a lancé en 2018 la préparation d’un Plan directeur d’industrialisation et de diversification économique (PDIDE) avec l’appui des Nations Unies.</w:t>
      </w:r>
    </w:p>
    <w:p w14:paraId="6F77BC5F" w14:textId="77777777" w:rsidR="00CE1144" w:rsidRPr="00CE1144" w:rsidRDefault="00CE1144" w:rsidP="00CE1144">
      <w:pPr>
        <w:tabs>
          <w:tab w:val="left" w:pos="567"/>
        </w:tabs>
        <w:spacing w:after="0"/>
        <w:jc w:val="both"/>
        <w:rPr>
          <w:rFonts w:ascii="Times New Roman" w:hAnsi="Times New Roman"/>
          <w:sz w:val="24"/>
          <w:szCs w:val="24"/>
        </w:rPr>
      </w:pPr>
    </w:p>
    <w:p w14:paraId="2D0E8E4D" w14:textId="724E028B" w:rsid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L’assainissement des finances publiques dans le cadre d’un programme avec le Fonds Monétaire International, avec le rééchelonnement en 2018 de la dette de la société commerciale </w:t>
      </w:r>
      <w:proofErr w:type="spellStart"/>
      <w:r w:rsidRPr="00CE1144">
        <w:rPr>
          <w:rFonts w:ascii="Times New Roman" w:hAnsi="Times New Roman"/>
          <w:sz w:val="24"/>
          <w:szCs w:val="24"/>
        </w:rPr>
        <w:t>Glencore</w:t>
      </w:r>
      <w:proofErr w:type="spellEnd"/>
      <w:r w:rsidRPr="00CE1144">
        <w:rPr>
          <w:rFonts w:ascii="Times New Roman" w:hAnsi="Times New Roman"/>
          <w:sz w:val="24"/>
          <w:szCs w:val="24"/>
        </w:rPr>
        <w:t xml:space="preserve"> avait assuré un cadre favorable à la soutenabilité des dépenses publiques. En dépit des efforts évoqués ci-dessus, le Tchad est classé 187e sur 189 pays en ce qui concerne l’Indice de Développement humain (IDH) pour l’année 2019. Selon le rapport ECOSIT 4, le taux de pauvreté national qui était de 46,7% en 2011 est aujourd’hui estimé à 42,3% en </w:t>
      </w:r>
      <w:r w:rsidR="0090647C">
        <w:rPr>
          <w:rFonts w:ascii="Times New Roman" w:hAnsi="Times New Roman"/>
          <w:sz w:val="24"/>
          <w:szCs w:val="24"/>
        </w:rPr>
        <w:t>2018/</w:t>
      </w:r>
      <w:r w:rsidRPr="00CE1144">
        <w:rPr>
          <w:rFonts w:ascii="Times New Roman" w:hAnsi="Times New Roman"/>
          <w:sz w:val="24"/>
          <w:szCs w:val="24"/>
        </w:rPr>
        <w:t xml:space="preserve">2019 ; le taux de chômage des 15 ans et plus est évalué à 18,5% au sens large alors qu’il se situe à 2,0% au sens du Bureau International du Travail. </w:t>
      </w:r>
      <w:r w:rsidR="00F32298" w:rsidRPr="00F32298">
        <w:rPr>
          <w:rFonts w:ascii="Times New Roman" w:hAnsi="Times New Roman"/>
          <w:sz w:val="24"/>
          <w:szCs w:val="24"/>
        </w:rPr>
        <w:t>Selon la même source de données, le taux de chômage au sens large est un phénomène qui touche plus les jeunes de 15 à 29 ans (30,</w:t>
      </w:r>
      <w:r w:rsidR="00324A88">
        <w:rPr>
          <w:rFonts w:ascii="Times New Roman" w:hAnsi="Times New Roman"/>
          <w:sz w:val="24"/>
          <w:szCs w:val="24"/>
        </w:rPr>
        <w:t>3</w:t>
      </w:r>
      <w:r w:rsidR="00F32298" w:rsidRPr="00F32298">
        <w:rPr>
          <w:rFonts w:ascii="Times New Roman" w:hAnsi="Times New Roman"/>
          <w:sz w:val="24"/>
          <w:szCs w:val="24"/>
        </w:rPr>
        <w:t>3%) suivi de la tranche de 30 à 49 ans (12,</w:t>
      </w:r>
      <w:r w:rsidR="00324A88">
        <w:rPr>
          <w:rFonts w:ascii="Times New Roman" w:hAnsi="Times New Roman"/>
          <w:sz w:val="24"/>
          <w:szCs w:val="24"/>
        </w:rPr>
        <w:t>4</w:t>
      </w:r>
      <w:r w:rsidR="00F32298" w:rsidRPr="00F32298">
        <w:rPr>
          <w:rFonts w:ascii="Times New Roman" w:hAnsi="Times New Roman"/>
          <w:sz w:val="24"/>
          <w:szCs w:val="24"/>
        </w:rPr>
        <w:t>4%). Il reste également un phénomène plus urbain (19,</w:t>
      </w:r>
      <w:r w:rsidR="00244934">
        <w:rPr>
          <w:rFonts w:ascii="Times New Roman" w:hAnsi="Times New Roman"/>
          <w:sz w:val="24"/>
          <w:szCs w:val="24"/>
        </w:rPr>
        <w:t>7</w:t>
      </w:r>
      <w:r w:rsidR="00F32298" w:rsidRPr="00F32298">
        <w:rPr>
          <w:rFonts w:ascii="Times New Roman" w:hAnsi="Times New Roman"/>
          <w:sz w:val="24"/>
          <w:szCs w:val="24"/>
        </w:rPr>
        <w:t>7%) que rural (13,</w:t>
      </w:r>
      <w:r w:rsidR="00244934">
        <w:rPr>
          <w:rFonts w:ascii="Times New Roman" w:hAnsi="Times New Roman"/>
          <w:sz w:val="24"/>
          <w:szCs w:val="24"/>
        </w:rPr>
        <w:t>9</w:t>
      </w:r>
      <w:r w:rsidR="00F32298" w:rsidRPr="00F32298">
        <w:rPr>
          <w:rFonts w:ascii="Times New Roman" w:hAnsi="Times New Roman"/>
          <w:sz w:val="24"/>
          <w:szCs w:val="24"/>
        </w:rPr>
        <w:t>9%). Le taux d’activité chez les 15 ans et plus est passé de 61,8% en 2011 à 60% en 2018/2019 à cause de la récession économique.</w:t>
      </w:r>
    </w:p>
    <w:p w14:paraId="3EE2EFC4" w14:textId="77777777" w:rsidR="00F32298" w:rsidRPr="00CE1144" w:rsidRDefault="00F32298" w:rsidP="00CE1144">
      <w:pPr>
        <w:tabs>
          <w:tab w:val="left" w:pos="567"/>
        </w:tabs>
        <w:spacing w:after="0"/>
        <w:jc w:val="both"/>
        <w:rPr>
          <w:rFonts w:ascii="Times New Roman" w:hAnsi="Times New Roman"/>
          <w:sz w:val="24"/>
          <w:szCs w:val="24"/>
        </w:rPr>
      </w:pPr>
    </w:p>
    <w:p w14:paraId="7BC4748C" w14:textId="218E6B96" w:rsidR="006860DC" w:rsidRPr="006860DC" w:rsidRDefault="00CE1144" w:rsidP="006860DC">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Le Tchad est classé par le Fonds Monétaire International en tant que pays en surendettement extérieur élevé, ce qui risque d’impliquer une réduction de l’espace fiscal disponible pour la réalisation des objectifs de développement durable. Le Tchad a entamé l’implémentation d’une stratégie de diversification de son économie dans une stratégie de développement ambitieuse pour la période 2016-2030 intitulée "Vision 2030, le Tchad que nous voulons", pour réduire son extrême vulnérabilité aux fluctuations des prix internationaux des matières premières.  Ce processus de réforme est aujourd’hui ralenti par la crise liée au Covid-19 et est mis en péril par la situation d’endettement élevé du pays. </w:t>
      </w:r>
      <w:r w:rsidR="006860DC" w:rsidRPr="006860DC">
        <w:rPr>
          <w:rFonts w:ascii="Times New Roman" w:hAnsi="Times New Roman"/>
          <w:sz w:val="24"/>
          <w:szCs w:val="24"/>
        </w:rPr>
        <w:t>En septembre 2021, le FMI confirme les inquiétudes de plus en plus vives que suscitent les difficultés de financement auxquelles le Tchad est confronté, et qui ont contraint les pouvoirs publics à réduire des dépenses sociales et de développement</w:t>
      </w:r>
      <w:r w:rsidR="00086D3D">
        <w:rPr>
          <w:rFonts w:ascii="Times New Roman" w:hAnsi="Times New Roman"/>
          <w:sz w:val="24"/>
          <w:szCs w:val="24"/>
        </w:rPr>
        <w:t xml:space="preserve"> </w:t>
      </w:r>
      <w:r w:rsidR="006860DC" w:rsidRPr="006860DC">
        <w:rPr>
          <w:rFonts w:ascii="Times New Roman" w:hAnsi="Times New Roman"/>
          <w:sz w:val="24"/>
          <w:szCs w:val="24"/>
        </w:rPr>
        <w:t>essentielle</w:t>
      </w:r>
      <w:r w:rsidR="00C82EDC">
        <w:rPr>
          <w:rFonts w:ascii="Times New Roman" w:hAnsi="Times New Roman"/>
          <w:sz w:val="24"/>
          <w:szCs w:val="24"/>
        </w:rPr>
        <w:t>s</w:t>
      </w:r>
      <w:r w:rsidR="006860DC" w:rsidRPr="006860DC">
        <w:rPr>
          <w:rFonts w:ascii="Times New Roman" w:hAnsi="Times New Roman"/>
          <w:sz w:val="24"/>
          <w:szCs w:val="24"/>
        </w:rPr>
        <w:t xml:space="preserve"> en soulignant que « si ces dépenses ne sont pas rapidement rétablies à leur niveau antérieur, on peut craindre de graves conséquences en matière sociale et pour la sécurité du pays »</w:t>
      </w:r>
      <w:r w:rsidR="006860DC" w:rsidRPr="00086D3D">
        <w:rPr>
          <w:rFonts w:ascii="Times New Roman" w:hAnsi="Times New Roman"/>
          <w:sz w:val="24"/>
          <w:szCs w:val="24"/>
          <w:vertAlign w:val="superscript"/>
        </w:rPr>
        <w:footnoteReference w:id="13"/>
      </w:r>
      <w:r w:rsidR="006860DC" w:rsidRPr="006860DC">
        <w:rPr>
          <w:rFonts w:ascii="Times New Roman" w:hAnsi="Times New Roman"/>
          <w:sz w:val="24"/>
          <w:szCs w:val="24"/>
        </w:rPr>
        <w:t xml:space="preserve">. Par ailleurs, le Tchad est le premier pays à avoir officiellement demandé une restructuration de sa dette en janvier 2021, devenant le premier pays à le faire dans le cadre du cadre commun du G20 pour les traitements de la dette au-delà de l’initiative de suspension du service de la </w:t>
      </w:r>
      <w:r w:rsidR="006860DC" w:rsidRPr="006860DC">
        <w:rPr>
          <w:rFonts w:ascii="Times New Roman" w:hAnsi="Times New Roman"/>
          <w:sz w:val="24"/>
          <w:szCs w:val="24"/>
        </w:rPr>
        <w:lastRenderedPageBreak/>
        <w:t xml:space="preserve">dette. En juin 2021, </w:t>
      </w:r>
      <w:r w:rsidR="006860DC" w:rsidRPr="00C52A52">
        <w:rPr>
          <w:rFonts w:ascii="Times New Roman" w:hAnsi="Times New Roman"/>
          <w:sz w:val="24"/>
          <w:szCs w:val="24"/>
        </w:rPr>
        <w:t>d</w:t>
      </w:r>
      <w:hyperlink r:id="rId14" w:history="1">
        <w:r w:rsidR="006860DC" w:rsidRPr="00C82EDC">
          <w:rPr>
            <w:rStyle w:val="Lienhypertexte"/>
            <w:rFonts w:ascii="Times New Roman" w:hAnsi="Times New Roman"/>
            <w:color w:val="auto"/>
            <w:sz w:val="24"/>
            <w:szCs w:val="24"/>
            <w:u w:val="none"/>
          </w:rPr>
          <w:t>ans leur déclaration </w:t>
        </w:r>
      </w:hyperlink>
      <w:r w:rsidR="006860DC" w:rsidRPr="006860DC">
        <w:rPr>
          <w:rFonts w:ascii="Times New Roman" w:hAnsi="Times New Roman"/>
          <w:sz w:val="24"/>
          <w:szCs w:val="24"/>
        </w:rPr>
        <w:t xml:space="preserve">du 16 juin, les créanciers officiels participant au cadre commun du G20 pour les traitements de dette au-delà de l’ISSD et appartenant au comité des créanciers du Tchad ont affirmé leur soutien au programme que le FMI envisage d’appuyer en faveur du Tchad, et se sont dits prêts à négocier les conditions de restructuration de la dette en conséquence. Les créanciers publics du Tchad et le FMI ont convenu d'une restructuration mais insistent sur le fait que le pays doit parvenir à des conditions comparables avec les créanciers bilatéraux et privés. Les créanciers privés ont entamé les discussions en octobre 2021. </w:t>
      </w:r>
      <w:proofErr w:type="spellStart"/>
      <w:r w:rsidR="006860DC" w:rsidRPr="006860DC">
        <w:rPr>
          <w:rFonts w:ascii="Times New Roman" w:hAnsi="Times New Roman"/>
          <w:sz w:val="24"/>
          <w:szCs w:val="24"/>
        </w:rPr>
        <w:t>Glencore</w:t>
      </w:r>
      <w:proofErr w:type="spellEnd"/>
      <w:r w:rsidR="006860DC" w:rsidRPr="006860DC">
        <w:rPr>
          <w:rFonts w:ascii="Times New Roman" w:hAnsi="Times New Roman"/>
          <w:sz w:val="24"/>
          <w:szCs w:val="24"/>
        </w:rPr>
        <w:t xml:space="preserve"> et un consortium de banques ont entamé des pourparlers avec le Tchad sur la restructuration de la dette commerciale du pays d</w:t>
      </w:r>
      <w:r w:rsidR="008F59C8">
        <w:rPr>
          <w:rFonts w:ascii="Times New Roman" w:hAnsi="Times New Roman"/>
          <w:sz w:val="24"/>
          <w:szCs w:val="24"/>
        </w:rPr>
        <w:t xml:space="preserve">e presque </w:t>
      </w:r>
      <w:r w:rsidR="006860DC" w:rsidRPr="006860DC">
        <w:rPr>
          <w:rFonts w:ascii="Times New Roman" w:hAnsi="Times New Roman"/>
          <w:sz w:val="24"/>
          <w:szCs w:val="24"/>
        </w:rPr>
        <w:t>un milliard de dollars, selon une lettre de la société au Fonds monétaire international (FMI)</w:t>
      </w:r>
      <w:r w:rsidR="006860DC" w:rsidRPr="00086D3D">
        <w:rPr>
          <w:rFonts w:ascii="Times New Roman" w:hAnsi="Times New Roman"/>
          <w:sz w:val="24"/>
          <w:szCs w:val="24"/>
          <w:vertAlign w:val="superscript"/>
        </w:rPr>
        <w:footnoteReference w:id="14"/>
      </w:r>
      <w:r w:rsidR="006860DC" w:rsidRPr="006860DC">
        <w:rPr>
          <w:rFonts w:ascii="Times New Roman" w:hAnsi="Times New Roman"/>
          <w:sz w:val="24"/>
          <w:szCs w:val="24"/>
        </w:rPr>
        <w:t>.</w:t>
      </w:r>
      <w:r w:rsidR="00086D3D">
        <w:rPr>
          <w:rFonts w:ascii="Times New Roman" w:hAnsi="Times New Roman"/>
          <w:sz w:val="24"/>
          <w:szCs w:val="24"/>
        </w:rPr>
        <w:t xml:space="preserve"> Ces discussions ont abouti à un accord début décembre 2021 ce qui a ouvert la voie à une restructuration de la dette du Tchad et la signature d’un nouveau programme avec le FMI.</w:t>
      </w:r>
    </w:p>
    <w:p w14:paraId="2275F073" w14:textId="77777777" w:rsidR="00CE1144" w:rsidRPr="00CE1144" w:rsidRDefault="006860DC" w:rsidP="00CE1144">
      <w:pPr>
        <w:tabs>
          <w:tab w:val="left" w:pos="567"/>
        </w:tabs>
        <w:spacing w:after="0"/>
        <w:jc w:val="both"/>
        <w:rPr>
          <w:rFonts w:ascii="Times New Roman" w:hAnsi="Times New Roman"/>
          <w:sz w:val="24"/>
          <w:szCs w:val="24"/>
        </w:rPr>
      </w:pPr>
      <w:r w:rsidRPr="006860DC">
        <w:rPr>
          <w:rFonts w:ascii="Times New Roman" w:hAnsi="Times New Roman"/>
          <w:sz w:val="24"/>
          <w:szCs w:val="24"/>
        </w:rPr>
        <w:t>La restructuration de la dette du Tchad est une condition préalable pour que le pays bénéficie d'un soutien financier supplémentaire du FMI. Cette restructuration doit être négociée tout en veillant à augmenter l’espace fiscal pour les dépenses sociales et en évaluant son impact sur les Droits de l’Homme et les groupes les plus vulnérables.</w:t>
      </w:r>
      <w:r w:rsidR="00CE1144" w:rsidRPr="00CE1144">
        <w:rPr>
          <w:rFonts w:ascii="Times New Roman" w:hAnsi="Times New Roman"/>
          <w:sz w:val="24"/>
          <w:szCs w:val="24"/>
        </w:rPr>
        <w:t xml:space="preserve"> </w:t>
      </w:r>
    </w:p>
    <w:p w14:paraId="21962267" w14:textId="77777777" w:rsidR="00CE1144" w:rsidRPr="00CE1144" w:rsidRDefault="00CE1144" w:rsidP="00CE1144">
      <w:pPr>
        <w:tabs>
          <w:tab w:val="left" w:pos="567"/>
        </w:tabs>
        <w:spacing w:after="0"/>
        <w:jc w:val="both"/>
        <w:rPr>
          <w:rFonts w:ascii="Times New Roman" w:hAnsi="Times New Roman"/>
          <w:sz w:val="24"/>
          <w:szCs w:val="24"/>
        </w:rPr>
      </w:pPr>
    </w:p>
    <w:p w14:paraId="17B28CDB" w14:textId="77777777"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En plus du pétrole, le Tchad regorge de potentialités énormes dans le domaine de l’agriculture et de l’élevage : 39 millions d’hectares de terres cultivables, 5,6 millions d’hectares de terres irrigables, plus de 110 millions de têtes de cheptel (recensement général de l’élevage 2015). Ce potentiel nécessite d’être exploité : par ailleurs, il faudrait développer les chaines des valeurs agricoles, animales, halieutiques, construire les routes et les infrastructures, mécaniser l’agriculture et développer les industries de transformation et de conservation des produits agricoles, animales et halieutiques. Il est également impératif d’investir dans d’autres sources d’énergie telles que les énergies renouvelables afin d’améliorer l’accès à l’énergie. Le secteur privé peut jouer un rôle important notamment pour booster l’économie nationale. Malgré ce potentiel, les défis sont encore nombreux et posent notamment un risque pour les perspectives économiques du Tchad : une forte dépendance au pétrole (79 % des recettes d’exportations et 37 % des recettes budgétaires en 2019) un environnement des affaires peu favorable; une pauvreté endémique, un important chômage des jeunes (60 % des diplômés de l’enseignement supérieur sont au chômage), une forte pression démographique; une exposition aux effets du changement climatique, un climat politique contesté ainsi qu’une recrudescence des problèmes sécuritaires ; et une inégalité prononcée dans la distribution de la richesse (indice de GINI à 33,4) ; la nécessité de développer les chaines des valeurs agricoles, animales, halieutiques, construire les routes et les infrastructures rurales, mécaniser l’agriculture et développer les industries de transformation et de conservation des produits agricoles, animales et halieutiques. La Création d’un environnement porteur pour favoriser l’investissement du privé</w:t>
      </w:r>
      <w:r w:rsidR="004D28E1">
        <w:rPr>
          <w:rFonts w:ascii="Times New Roman" w:hAnsi="Times New Roman"/>
          <w:sz w:val="24"/>
          <w:szCs w:val="24"/>
        </w:rPr>
        <w:t xml:space="preserve"> et de la diaspora</w:t>
      </w:r>
      <w:r w:rsidRPr="00CE1144">
        <w:rPr>
          <w:rFonts w:ascii="Times New Roman" w:hAnsi="Times New Roman"/>
          <w:sz w:val="24"/>
          <w:szCs w:val="24"/>
        </w:rPr>
        <w:t xml:space="preserve"> dans le but de booster l’économie rurale qui reste l’épine dorsale de l’Economie nationale est un impératif.</w:t>
      </w:r>
    </w:p>
    <w:p w14:paraId="37D27351" w14:textId="77777777" w:rsidR="00CE1144" w:rsidRPr="00CE1144" w:rsidRDefault="00CE1144" w:rsidP="00CE1144">
      <w:pPr>
        <w:tabs>
          <w:tab w:val="left" w:pos="567"/>
        </w:tabs>
        <w:spacing w:after="0"/>
        <w:jc w:val="both"/>
        <w:rPr>
          <w:rFonts w:ascii="Times New Roman" w:hAnsi="Times New Roman"/>
          <w:sz w:val="24"/>
          <w:szCs w:val="24"/>
        </w:rPr>
      </w:pPr>
    </w:p>
    <w:p w14:paraId="1F9EC863" w14:textId="536FD441" w:rsid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lastRenderedPageBreak/>
        <w:t>Ces défis pour l’exploitation du potentiel agricole et de l’élevage au niveau macroéconomique se traduisent par un accroissement de la vulnérabilité des ménages pauvres face aux changements climatiques, les chocs saisonniers (sècheresses, inondations) ainsi que les effets néfastes des conflits récurrents.</w:t>
      </w:r>
    </w:p>
    <w:p w14:paraId="042EB289" w14:textId="5FB47582" w:rsidR="003D5C90" w:rsidRDefault="003D5C90" w:rsidP="00CE1144">
      <w:pPr>
        <w:tabs>
          <w:tab w:val="left" w:pos="567"/>
        </w:tabs>
        <w:spacing w:after="0"/>
        <w:jc w:val="both"/>
        <w:rPr>
          <w:rFonts w:ascii="Times New Roman" w:hAnsi="Times New Roman"/>
          <w:sz w:val="24"/>
          <w:szCs w:val="24"/>
        </w:rPr>
      </w:pPr>
    </w:p>
    <w:p w14:paraId="290CF756" w14:textId="24D52384" w:rsidR="003D5C90" w:rsidRPr="00CE1144" w:rsidRDefault="00F67714" w:rsidP="003D5C90">
      <w:pPr>
        <w:tabs>
          <w:tab w:val="left" w:pos="567"/>
        </w:tabs>
        <w:spacing w:after="0"/>
        <w:jc w:val="both"/>
        <w:rPr>
          <w:rFonts w:ascii="Times New Roman" w:hAnsi="Times New Roman"/>
          <w:sz w:val="24"/>
          <w:szCs w:val="24"/>
        </w:rPr>
      </w:pPr>
      <w:r>
        <w:rPr>
          <w:rFonts w:ascii="Times New Roman" w:hAnsi="Times New Roman"/>
          <w:sz w:val="24"/>
          <w:szCs w:val="24"/>
        </w:rPr>
        <w:t xml:space="preserve">Bien </w:t>
      </w:r>
      <w:r w:rsidRPr="003D5C90">
        <w:rPr>
          <w:rFonts w:ascii="Times New Roman" w:hAnsi="Times New Roman"/>
          <w:sz w:val="24"/>
          <w:szCs w:val="24"/>
        </w:rPr>
        <w:t>que</w:t>
      </w:r>
      <w:r w:rsidR="003D5C90" w:rsidRPr="003D5C90">
        <w:rPr>
          <w:rFonts w:ascii="Times New Roman" w:hAnsi="Times New Roman"/>
          <w:sz w:val="24"/>
          <w:szCs w:val="24"/>
        </w:rPr>
        <w:t xml:space="preserve"> la conjoncture économique et la situation sanitaire soient difficiles, le Tchad a tout de même consenti des efforts supplémentaires dans le domaine agricole qui occupe directement 74,3% des actifs du pays. Par exemple, dans le cadre de l’engagement Malabo tendant à augmenter les dépenses publiques nationales consacrées à l'agriculture, pour les porter à au moins 10 % entre 2015 et 2025, les efforts sont allés </w:t>
      </w:r>
      <w:r w:rsidR="003D5C90">
        <w:rPr>
          <w:rFonts w:ascii="Times New Roman" w:hAnsi="Times New Roman"/>
          <w:sz w:val="24"/>
          <w:szCs w:val="24"/>
        </w:rPr>
        <w:t xml:space="preserve">en augmentation </w:t>
      </w:r>
      <w:r>
        <w:rPr>
          <w:rFonts w:ascii="Times New Roman" w:hAnsi="Times New Roman"/>
          <w:sz w:val="24"/>
          <w:szCs w:val="24"/>
        </w:rPr>
        <w:t>en terme</w:t>
      </w:r>
      <w:r w:rsidR="005C0FDC">
        <w:rPr>
          <w:rFonts w:ascii="Times New Roman" w:hAnsi="Times New Roman"/>
          <w:sz w:val="24"/>
          <w:szCs w:val="24"/>
        </w:rPr>
        <w:t>s</w:t>
      </w:r>
      <w:r>
        <w:rPr>
          <w:rFonts w:ascii="Times New Roman" w:hAnsi="Times New Roman"/>
          <w:sz w:val="24"/>
          <w:szCs w:val="24"/>
        </w:rPr>
        <w:t xml:space="preserve"> de pourcentages des dépenses agricoles notamment </w:t>
      </w:r>
      <w:r w:rsidR="003D5C90" w:rsidRPr="003D5C90">
        <w:rPr>
          <w:rFonts w:ascii="Times New Roman" w:hAnsi="Times New Roman"/>
          <w:sz w:val="24"/>
          <w:szCs w:val="24"/>
        </w:rPr>
        <w:t>a</w:t>
      </w:r>
      <w:r w:rsidR="003D5C90">
        <w:rPr>
          <w:rFonts w:ascii="Times New Roman" w:hAnsi="Times New Roman"/>
          <w:sz w:val="24"/>
          <w:szCs w:val="24"/>
        </w:rPr>
        <w:t xml:space="preserve">u cours des 4 dernières années </w:t>
      </w:r>
      <w:r>
        <w:rPr>
          <w:rFonts w:ascii="Times New Roman" w:hAnsi="Times New Roman"/>
          <w:sz w:val="24"/>
          <w:szCs w:val="24"/>
        </w:rPr>
        <w:t>(</w:t>
      </w:r>
      <w:r w:rsidR="003D5C90" w:rsidRPr="003D5C90">
        <w:rPr>
          <w:rFonts w:ascii="Times New Roman" w:hAnsi="Times New Roman"/>
          <w:sz w:val="24"/>
          <w:szCs w:val="24"/>
        </w:rPr>
        <w:t>3,56%</w:t>
      </w:r>
      <w:r>
        <w:rPr>
          <w:rFonts w:ascii="Times New Roman" w:hAnsi="Times New Roman"/>
          <w:sz w:val="24"/>
          <w:szCs w:val="24"/>
        </w:rPr>
        <w:t xml:space="preserve"> en 2017 ; </w:t>
      </w:r>
      <w:r w:rsidR="003D5C90" w:rsidRPr="003D5C90">
        <w:rPr>
          <w:rFonts w:ascii="Times New Roman" w:hAnsi="Times New Roman"/>
          <w:sz w:val="24"/>
          <w:szCs w:val="24"/>
        </w:rPr>
        <w:tab/>
        <w:t>3,16%</w:t>
      </w:r>
      <w:r w:rsidR="003D5C90" w:rsidRPr="003D5C90">
        <w:rPr>
          <w:rFonts w:ascii="Times New Roman" w:hAnsi="Times New Roman"/>
          <w:sz w:val="24"/>
          <w:szCs w:val="24"/>
        </w:rPr>
        <w:tab/>
      </w:r>
      <w:r>
        <w:rPr>
          <w:rFonts w:ascii="Times New Roman" w:hAnsi="Times New Roman"/>
          <w:sz w:val="24"/>
          <w:szCs w:val="24"/>
        </w:rPr>
        <w:t xml:space="preserve">en 2018 ; </w:t>
      </w:r>
      <w:r w:rsidR="003D5C90" w:rsidRPr="003D5C90">
        <w:rPr>
          <w:rFonts w:ascii="Times New Roman" w:hAnsi="Times New Roman"/>
          <w:sz w:val="24"/>
          <w:szCs w:val="24"/>
        </w:rPr>
        <w:t>5,98%</w:t>
      </w:r>
      <w:r>
        <w:rPr>
          <w:rFonts w:ascii="Times New Roman" w:hAnsi="Times New Roman"/>
          <w:sz w:val="24"/>
          <w:szCs w:val="24"/>
        </w:rPr>
        <w:t xml:space="preserve"> en 2019 et </w:t>
      </w:r>
      <w:r>
        <w:rPr>
          <w:rFonts w:ascii="Times New Roman" w:hAnsi="Times New Roman"/>
          <w:sz w:val="24"/>
          <w:szCs w:val="24"/>
        </w:rPr>
        <w:tab/>
        <w:t xml:space="preserve"> </w:t>
      </w:r>
      <w:r w:rsidR="003D5C90" w:rsidRPr="003D5C90">
        <w:rPr>
          <w:rFonts w:ascii="Times New Roman" w:hAnsi="Times New Roman"/>
          <w:sz w:val="24"/>
          <w:szCs w:val="24"/>
        </w:rPr>
        <w:t>6,5%</w:t>
      </w:r>
      <w:r>
        <w:rPr>
          <w:rFonts w:ascii="Times New Roman" w:hAnsi="Times New Roman"/>
          <w:sz w:val="24"/>
          <w:szCs w:val="24"/>
        </w:rPr>
        <w:t xml:space="preserve"> en 2020) </w:t>
      </w:r>
      <w:r>
        <w:rPr>
          <w:rStyle w:val="Appelnotedebasdep"/>
        </w:rPr>
        <w:footnoteReference w:id="15"/>
      </w:r>
      <w:r w:rsidR="003D5C90" w:rsidRPr="003D5C90">
        <w:rPr>
          <w:rFonts w:ascii="Times New Roman" w:hAnsi="Times New Roman"/>
          <w:sz w:val="24"/>
          <w:szCs w:val="24"/>
        </w:rPr>
        <w:t>.</w:t>
      </w:r>
    </w:p>
    <w:p w14:paraId="297A4F44" w14:textId="77777777" w:rsidR="00CE1144" w:rsidRPr="00CE1144" w:rsidRDefault="00CE1144" w:rsidP="00CE1144">
      <w:pPr>
        <w:tabs>
          <w:tab w:val="left" w:pos="567"/>
        </w:tabs>
        <w:spacing w:after="0"/>
        <w:jc w:val="both"/>
        <w:rPr>
          <w:rFonts w:ascii="Times New Roman" w:hAnsi="Times New Roman"/>
          <w:sz w:val="24"/>
          <w:szCs w:val="24"/>
        </w:rPr>
      </w:pPr>
    </w:p>
    <w:p w14:paraId="543F9A40" w14:textId="539E4B93"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L'impact socio-économique de la COVID-19 menace de remettre en cause les résultats enregistrés par le Tchad, notamment dans la perspective d’atteinte des objectifs de développement durable. Les effets directs et indirects de la pandémie vont toucher davantage les personnes vulnérables, y compris les femmes et les jeunes, mais aussi les migrants, refugiés, les personnes déplacées internes et les retournés. La situation ne semble pas être prometteuse non plus dans le domaine de l’éducation où certains indicateurs prévus dans la stratégie sectorielle 2018-2020 ne seront pas atteints tels que le taux de redoublement au primaire, le nombre de personnes à alphabétiser, etc. Cette pandémie a des impacts sociaux et économiques qui sont multidimensionnels. Il s`agit des effets directs et indirects et des effets indirects en différé. La dimension économique couvre l`impact sur l`agriculture, le commerce, le tourisme, le transport et le secteur privé, particulièrement les Petites et Moyennes Entreprises, les Petites et moyennes entreprises industrielles avec une perte substantive de revenus et d`emplois. Elle touche également l`augmentation des prix de produits vivriers consécutive à la rupture des chaines d’approvisionnements en agriculture ainsi que les effets indirects liés à une faible position fiscale du Gouvernement consécutive aux dépenses élevées pour contrecarrer la crise et une faible mobilisation des ressources fiscales du fait de la structure de l’économie du pays et l’importance du secteur informel qui entraîne des pertes fiscales importantes pour l’Etat.</w:t>
      </w:r>
    </w:p>
    <w:p w14:paraId="270D6C15" w14:textId="77777777" w:rsidR="00CE1144" w:rsidRPr="00CE1144" w:rsidRDefault="00CE1144" w:rsidP="00CE1144">
      <w:pPr>
        <w:tabs>
          <w:tab w:val="left" w:pos="567"/>
        </w:tabs>
        <w:spacing w:after="0"/>
        <w:jc w:val="both"/>
        <w:rPr>
          <w:rFonts w:ascii="Times New Roman" w:hAnsi="Times New Roman"/>
          <w:sz w:val="24"/>
          <w:szCs w:val="24"/>
        </w:rPr>
      </w:pPr>
    </w:p>
    <w:p w14:paraId="48F82B82" w14:textId="77777777"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Face à la COVID-19, le Gouvernement a pris des mesures d’urgence en soutien à la population et aux acteurs économiques dont les plus importantes sont : le renforcement de l’assistance alimentaire aux populations les plus vulnérables, le renforcement du capital productif, le recrutement d’agents de santé supplémentaires (1652 agents de santé), la subvention de l'électricité et de l'eau potable aux couches sociales défavorisées pendant respectivement 3 et 6 mois entre le 1er avril et le 30 septembre 2020, la création de fonds spéciaux, en particulier pour le Soutien aux Populations Vulnérables, l’apurement des arriérés intérieurs et les allégements fiscaux et administratifs. Pour ce faire, un Plan de contingence sanitaire pour la préparation et la riposte à la pandémie d’une durée de 12 mois (01 mars 2020 au 28 février 2021) a été élaboré avec un montant initial de 15 milliards FCFA (soit environ $25 millions) est </w:t>
      </w:r>
      <w:r w:rsidRPr="00CE1144">
        <w:rPr>
          <w:rFonts w:ascii="Times New Roman" w:hAnsi="Times New Roman"/>
          <w:sz w:val="24"/>
          <w:szCs w:val="24"/>
        </w:rPr>
        <w:lastRenderedPageBreak/>
        <w:t>passé à 38,7 milliards de francs CFA (soit $77,4 millions) selon les données du Ministère de la Santé en Août 2020. La réponse à la pandémie a engendré un coût global de 1,6 milliard de dollars US. La restructuration du budget de l’État a permis de mobiliser 20,6% du montant, soit 330 millions de dollars US. Un plan de réponse intégré à la pandémie a également été préparé par le Gouvernement du Tchad et devrait être mis en œuvre dès 2021.</w:t>
      </w:r>
    </w:p>
    <w:p w14:paraId="582551BD" w14:textId="77777777" w:rsidR="002B6BC6" w:rsidRDefault="002B6BC6" w:rsidP="00CE1144">
      <w:pPr>
        <w:tabs>
          <w:tab w:val="left" w:pos="567"/>
        </w:tabs>
        <w:spacing w:after="0"/>
        <w:jc w:val="both"/>
        <w:rPr>
          <w:rFonts w:ascii="Times New Roman" w:hAnsi="Times New Roman"/>
          <w:sz w:val="24"/>
          <w:szCs w:val="24"/>
        </w:rPr>
      </w:pPr>
    </w:p>
    <w:p w14:paraId="16E569C2" w14:textId="26BA679A" w:rsid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Au regard de </w:t>
      </w:r>
      <w:r w:rsidR="00846503">
        <w:rPr>
          <w:rFonts w:ascii="Times New Roman" w:hAnsi="Times New Roman"/>
          <w:sz w:val="24"/>
          <w:szCs w:val="24"/>
        </w:rPr>
        <w:t>cette situation</w:t>
      </w:r>
      <w:r w:rsidRPr="00CE1144">
        <w:rPr>
          <w:rFonts w:ascii="Times New Roman" w:hAnsi="Times New Roman"/>
          <w:sz w:val="24"/>
          <w:szCs w:val="24"/>
        </w:rPr>
        <w:t>, le conseil d’administration du Fonds Monétaire International a approuvé un allégement de la dette immédiate pour 25 pays, y compris le Tchad et deux Facilités Rapides de Crédits (FRC). L’allègement porte sur un montant de 10,1 millions de Droits de Tirage Spéciaux (DTS)</w:t>
      </w:r>
      <w:r w:rsidR="00127EF9">
        <w:rPr>
          <w:rFonts w:ascii="Times New Roman" w:hAnsi="Times New Roman"/>
          <w:sz w:val="24"/>
          <w:szCs w:val="24"/>
        </w:rPr>
        <w:t xml:space="preserve">. Le Tchad </w:t>
      </w:r>
      <w:r w:rsidR="0082430A">
        <w:rPr>
          <w:rFonts w:ascii="Times New Roman" w:hAnsi="Times New Roman"/>
          <w:sz w:val="24"/>
          <w:szCs w:val="24"/>
        </w:rPr>
        <w:t xml:space="preserve">a également </w:t>
      </w:r>
      <w:r w:rsidR="00F7554C">
        <w:rPr>
          <w:rFonts w:ascii="Times New Roman" w:hAnsi="Times New Roman"/>
          <w:sz w:val="24"/>
          <w:szCs w:val="24"/>
        </w:rPr>
        <w:t>bénéficié</w:t>
      </w:r>
      <w:r w:rsidR="0082430A">
        <w:rPr>
          <w:rFonts w:ascii="Times New Roman" w:hAnsi="Times New Roman"/>
          <w:sz w:val="24"/>
          <w:szCs w:val="24"/>
        </w:rPr>
        <w:t xml:space="preserve"> d’un </w:t>
      </w:r>
      <w:r w:rsidR="004A30D2">
        <w:rPr>
          <w:rFonts w:ascii="Times New Roman" w:hAnsi="Times New Roman"/>
          <w:sz w:val="24"/>
          <w:szCs w:val="24"/>
        </w:rPr>
        <w:t xml:space="preserve">financement </w:t>
      </w:r>
      <w:r w:rsidR="0082430A">
        <w:rPr>
          <w:rFonts w:ascii="Times New Roman" w:hAnsi="Times New Roman"/>
          <w:sz w:val="24"/>
          <w:szCs w:val="24"/>
        </w:rPr>
        <w:t xml:space="preserve">d’urgence </w:t>
      </w:r>
      <w:r w:rsidR="004A30D2">
        <w:rPr>
          <w:rFonts w:ascii="Times New Roman" w:hAnsi="Times New Roman"/>
          <w:sz w:val="24"/>
          <w:szCs w:val="24"/>
        </w:rPr>
        <w:t xml:space="preserve">du FMI </w:t>
      </w:r>
      <w:r w:rsidR="0082430A">
        <w:rPr>
          <w:rFonts w:ascii="Times New Roman" w:hAnsi="Times New Roman"/>
          <w:sz w:val="24"/>
          <w:szCs w:val="24"/>
        </w:rPr>
        <w:t xml:space="preserve">au titre de </w:t>
      </w:r>
      <w:r w:rsidR="002861B4">
        <w:rPr>
          <w:rFonts w:ascii="Times New Roman" w:hAnsi="Times New Roman"/>
          <w:sz w:val="24"/>
          <w:szCs w:val="24"/>
        </w:rPr>
        <w:t xml:space="preserve">deux </w:t>
      </w:r>
      <w:r w:rsidRPr="00CE1144">
        <w:rPr>
          <w:rFonts w:ascii="Times New Roman" w:hAnsi="Times New Roman"/>
          <w:sz w:val="24"/>
          <w:szCs w:val="24"/>
        </w:rPr>
        <w:t>Facilités Rapides de Crédit successives se chiffr</w:t>
      </w:r>
      <w:r w:rsidR="0082430A">
        <w:rPr>
          <w:rFonts w:ascii="Times New Roman" w:hAnsi="Times New Roman"/>
          <w:sz w:val="24"/>
          <w:szCs w:val="24"/>
        </w:rPr>
        <w:t>a</w:t>
      </w:r>
      <w:r w:rsidRPr="00CE1144">
        <w:rPr>
          <w:rFonts w:ascii="Times New Roman" w:hAnsi="Times New Roman"/>
          <w:sz w:val="24"/>
          <w:szCs w:val="24"/>
        </w:rPr>
        <w:t>nt à 133,19 millions de Droits de Tirage Spéciaux ($183,5959 millions), soit respectivement 84,12 millions de Droits de Tirage Spéciaux ($115,1millions) au 14 avril et 49,07 millions de Droits de Tirage Spéciaux ($68,49 millions) au 22 juillet 2020. Cette assistance du Fonds Monétaire International a servi de catalyseur pour l’obtention de financements supplémentaires de la part des bailleurs de fonds. Cet exemple d’appui qui a favorisé le financement de la dette (ODD17, Cible 17.4) est très encourageant et doit être poursuivi pour permettre de libérer des marges de manœuvre pour financer et développer les autres secteurs de l’économie en vue de la rendre moins vulnérable aux chocs externes tout en veillant à maintenir l’augmentation des dépenses sociales même dans le cadre de la phase de relance.</w:t>
      </w:r>
    </w:p>
    <w:p w14:paraId="594543B8" w14:textId="5A94BB61" w:rsidR="00CD37DE" w:rsidRPr="00CD37DE" w:rsidRDefault="00CD37DE" w:rsidP="00CE1144">
      <w:pPr>
        <w:tabs>
          <w:tab w:val="left" w:pos="567"/>
        </w:tabs>
        <w:spacing w:after="0"/>
        <w:jc w:val="both"/>
        <w:rPr>
          <w:rFonts w:ascii="Times New Roman" w:hAnsi="Times New Roman"/>
          <w:sz w:val="24"/>
          <w:szCs w:val="24"/>
        </w:rPr>
      </w:pPr>
      <w:r w:rsidRPr="00CD37DE">
        <w:rPr>
          <w:rFonts w:ascii="Times New Roman" w:hAnsi="Times New Roman"/>
          <w:sz w:val="24"/>
          <w:szCs w:val="24"/>
        </w:rPr>
        <w:t xml:space="preserve"> </w:t>
      </w:r>
    </w:p>
    <w:p w14:paraId="5143E10E" w14:textId="77777777" w:rsidR="00CD37DE" w:rsidRPr="001126F7" w:rsidRDefault="00CD37DE" w:rsidP="00BC1AE3">
      <w:pPr>
        <w:pStyle w:val="Titre2"/>
        <w:numPr>
          <w:ilvl w:val="1"/>
          <w:numId w:val="24"/>
        </w:numPr>
        <w:rPr>
          <w:b/>
          <w:bCs w:val="0"/>
          <w:sz w:val="28"/>
          <w:szCs w:val="28"/>
        </w:rPr>
      </w:pPr>
      <w:bookmarkStart w:id="17" w:name="_Toc51745192"/>
      <w:bookmarkStart w:id="18" w:name="_Toc55372893"/>
      <w:bookmarkStart w:id="19" w:name="_Toc55539097"/>
      <w:bookmarkStart w:id="20" w:name="_Toc61523566"/>
      <w:bookmarkStart w:id="21" w:name="_Toc90910781"/>
      <w:r w:rsidRPr="001126F7">
        <w:rPr>
          <w:b/>
          <w:bCs w:val="0"/>
          <w:sz w:val="28"/>
          <w:szCs w:val="28"/>
        </w:rPr>
        <w:t>Paix et Sécurité</w:t>
      </w:r>
      <w:bookmarkEnd w:id="17"/>
      <w:bookmarkEnd w:id="18"/>
      <w:bookmarkEnd w:id="19"/>
      <w:bookmarkEnd w:id="20"/>
      <w:bookmarkEnd w:id="21"/>
    </w:p>
    <w:p w14:paraId="38ED4DBA" w14:textId="20C99BD5" w:rsidR="00CE1144" w:rsidRPr="00CE1144" w:rsidRDefault="24A20309" w:rsidP="581E4654">
      <w:pPr>
        <w:spacing w:after="0" w:line="257" w:lineRule="auto"/>
        <w:jc w:val="both"/>
        <w:rPr>
          <w:rFonts w:cs="Calibri"/>
        </w:rPr>
      </w:pPr>
      <w:r w:rsidRPr="581E4654">
        <w:rPr>
          <w:rFonts w:ascii="Times New Roman" w:hAnsi="Times New Roman"/>
          <w:sz w:val="24"/>
          <w:szCs w:val="24"/>
        </w:rPr>
        <w:t xml:space="preserve">La région du Sahel est confrontée à une série de défis persistants, notamment les conflits et l'insécurité causés par des groupes armés qui menacent la stabilité et la souveraineté des populations et des États. Pour faire face à ces défis, cinq pays sahéliens (Burkina Faso, Mali, Mauritanie, Niger et Tchad) ont créé le G5 Sahel, un cadre institutionnel pour la coordination de la coopération régionale en matière de politiques de développement et de sécurité. Les Nations Unies ont lancé en 2018 conformément à la résolution 2391 du Conseil de Sécurité, le Plan de Soutien à l’effet d’opérationnaliser (UNSP) la Stratégie Intégrée des Nations Unies pour la Région du Sahel (SINUS). </w:t>
      </w:r>
      <w:r w:rsidR="37D50CDF" w:rsidRPr="581E4654">
        <w:rPr>
          <w:rFonts w:cs="Calibri"/>
        </w:rPr>
        <w:t xml:space="preserve">Les Nations Unies s’emploient à </w:t>
      </w:r>
      <w:r w:rsidR="7B695B86" w:rsidRPr="581E4654">
        <w:rPr>
          <w:rFonts w:cs="Calibri"/>
        </w:rPr>
        <w:t xml:space="preserve">articuler les axes </w:t>
      </w:r>
      <w:r w:rsidR="37D50CDF" w:rsidRPr="581E4654">
        <w:rPr>
          <w:rFonts w:cs="Calibri"/>
        </w:rPr>
        <w:t>de l'UNIS</w:t>
      </w:r>
      <w:r w:rsidR="37D50CDF" w:rsidRPr="00A8375B">
        <w:t xml:space="preserve"> dans la </w:t>
      </w:r>
      <w:r w:rsidR="37D50CDF" w:rsidRPr="581E4654">
        <w:rPr>
          <w:rFonts w:cs="Calibri"/>
        </w:rPr>
        <w:t>planification nationale et les cadres de programmation des Nations Unies</w:t>
      </w:r>
      <w:r w:rsidR="37D50CDF" w:rsidRPr="00A8375B">
        <w:t xml:space="preserve"> dans </w:t>
      </w:r>
      <w:r w:rsidR="19DDB515" w:rsidRPr="00A8375B">
        <w:t xml:space="preserve">une </w:t>
      </w:r>
      <w:r w:rsidR="37D50CDF" w:rsidRPr="581E4654">
        <w:rPr>
          <w:rFonts w:cs="Calibri"/>
        </w:rPr>
        <w:t>approche nexus</w:t>
      </w:r>
      <w:r w:rsidR="7381FF20" w:rsidRPr="581E4654">
        <w:rPr>
          <w:rFonts w:cs="Calibri"/>
        </w:rPr>
        <w:t xml:space="preserve"> paix, développement et humanitaire</w:t>
      </w:r>
      <w:r w:rsidR="37D50CDF" w:rsidRPr="581E4654">
        <w:rPr>
          <w:rFonts w:cs="Calibri"/>
        </w:rPr>
        <w:t xml:space="preserve">. En novembre 2020, l'Unité d'appui à la mise en œuvre de l'UNIS du Bureau du Coordonnateur spécial pour le développement au Sahel (OSCSD) et le bureau régional de DCO ont convenu d'une stratégie visant à intégrer systématiquement les piliers de l'UNIS dans les documents programmatiques de l'équipe de pays des Nations Unies (Common Country </w:t>
      </w:r>
      <w:proofErr w:type="spellStart"/>
      <w:r w:rsidR="37D50CDF" w:rsidRPr="581E4654">
        <w:rPr>
          <w:rFonts w:cs="Calibri"/>
        </w:rPr>
        <w:t>A</w:t>
      </w:r>
      <w:r w:rsidR="50838ED9" w:rsidRPr="581E4654">
        <w:rPr>
          <w:rFonts w:cs="Calibri"/>
        </w:rPr>
        <w:t>ssessment</w:t>
      </w:r>
      <w:proofErr w:type="spellEnd"/>
      <w:r w:rsidR="37D50CDF" w:rsidRPr="581E4654">
        <w:rPr>
          <w:rFonts w:cs="Calibri"/>
        </w:rPr>
        <w:t xml:space="preserve"> (CCA), les cadres de coopération (UNSDCF) et les documents de programme de pays (CPD)) pour suivre les réalisations et les défis. À cet égard, en 2020 et 2021, DCO et OSCDS ont examiné le CCA mis à jour et nouveau du Tchad pour évaluer le niveau d'intégration des priorités de l'UNISS dans ce document analytique. Le résultat de cette évaluation montre que les piliers stratégiques de l'UNISS (Gouvernance, Résilience, Sécurité) sont bien intégrés dans les CCA du Tchad ainsi que dans le Plan National de Développement. </w:t>
      </w:r>
      <w:r w:rsidR="0F973CB5" w:rsidRPr="581E4654">
        <w:rPr>
          <w:rFonts w:cs="Calibri"/>
        </w:rPr>
        <w:t xml:space="preserve">Le présent CCA 2021 s’inscrit en droite ligne de cette démarche. </w:t>
      </w:r>
      <w:r w:rsidR="37D50CDF" w:rsidRPr="581E4654">
        <w:rPr>
          <w:rFonts w:cs="Calibri"/>
        </w:rPr>
        <w:t xml:space="preserve">Le nouveau cadre de coopération, qui sera </w:t>
      </w:r>
      <w:r w:rsidR="1B716EB1" w:rsidRPr="581E4654">
        <w:rPr>
          <w:rFonts w:cs="Calibri"/>
        </w:rPr>
        <w:t xml:space="preserve">mis en </w:t>
      </w:r>
      <w:proofErr w:type="spellStart"/>
      <w:r w:rsidR="1B716EB1" w:rsidRPr="581E4654">
        <w:rPr>
          <w:rFonts w:cs="Calibri"/>
        </w:rPr>
        <w:t>oeuvre</w:t>
      </w:r>
      <w:proofErr w:type="spellEnd"/>
      <w:r w:rsidR="37D50CDF" w:rsidRPr="581E4654">
        <w:rPr>
          <w:rFonts w:cs="Calibri"/>
        </w:rPr>
        <w:t xml:space="preserve"> représente une opportunité de prendre en compte les priorités et les piliers de l'UNISS et de l'UNSP respectivement.</w:t>
      </w:r>
    </w:p>
    <w:p w14:paraId="37557787" w14:textId="28C00B07" w:rsidR="00CE1144" w:rsidRPr="00CE1144" w:rsidRDefault="2F9287D2" w:rsidP="00CE1144">
      <w:pPr>
        <w:tabs>
          <w:tab w:val="left" w:pos="567"/>
        </w:tabs>
        <w:spacing w:after="0"/>
        <w:jc w:val="both"/>
        <w:rPr>
          <w:rFonts w:ascii="Times New Roman" w:hAnsi="Times New Roman"/>
          <w:sz w:val="24"/>
          <w:szCs w:val="24"/>
        </w:rPr>
      </w:pPr>
      <w:r w:rsidRPr="581E4654">
        <w:rPr>
          <w:rFonts w:ascii="Times New Roman" w:hAnsi="Times New Roman"/>
          <w:sz w:val="24"/>
          <w:szCs w:val="24"/>
        </w:rPr>
        <w:t xml:space="preserve"> </w:t>
      </w:r>
      <w:r w:rsidR="24A20309" w:rsidRPr="581E4654">
        <w:rPr>
          <w:rFonts w:ascii="Times New Roman" w:hAnsi="Times New Roman"/>
          <w:sz w:val="24"/>
          <w:szCs w:val="24"/>
        </w:rPr>
        <w:t xml:space="preserve"> </w:t>
      </w:r>
    </w:p>
    <w:p w14:paraId="64D746BD" w14:textId="77777777" w:rsidR="00CE1144" w:rsidRPr="00CE1144" w:rsidRDefault="00CE1144" w:rsidP="00CE1144">
      <w:pPr>
        <w:tabs>
          <w:tab w:val="left" w:pos="567"/>
        </w:tabs>
        <w:spacing w:after="0"/>
        <w:jc w:val="both"/>
        <w:rPr>
          <w:rFonts w:ascii="Times New Roman" w:hAnsi="Times New Roman"/>
          <w:sz w:val="24"/>
          <w:szCs w:val="24"/>
        </w:rPr>
      </w:pPr>
    </w:p>
    <w:p w14:paraId="31C1B28D" w14:textId="181621B9"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Le Tchad fait partie des 10 pays dans le monde qui consacre la part la plus importante de leur budget aux dépenses militaires, ce qui limite considérablement ses investissements dans les services sociaux de base (l'éducation, la santé et l'assainissement</w:t>
      </w:r>
      <w:r w:rsidR="00F776E9">
        <w:rPr>
          <w:rFonts w:ascii="Times New Roman" w:hAnsi="Times New Roman"/>
          <w:sz w:val="24"/>
          <w:szCs w:val="24"/>
        </w:rPr>
        <w:t>, etc.</w:t>
      </w:r>
      <w:r w:rsidRPr="00CE1144">
        <w:rPr>
          <w:rFonts w:ascii="Times New Roman" w:hAnsi="Times New Roman"/>
          <w:sz w:val="24"/>
          <w:szCs w:val="24"/>
        </w:rPr>
        <w:t>) et les infrastructures essentielles (l’électricité et les routes</w:t>
      </w:r>
      <w:r w:rsidR="00F776E9">
        <w:rPr>
          <w:rFonts w:ascii="Times New Roman" w:hAnsi="Times New Roman"/>
          <w:sz w:val="24"/>
          <w:szCs w:val="24"/>
        </w:rPr>
        <w:t>, etc.</w:t>
      </w:r>
      <w:r w:rsidRPr="00CE1144">
        <w:rPr>
          <w:rFonts w:ascii="Times New Roman" w:hAnsi="Times New Roman"/>
          <w:sz w:val="24"/>
          <w:szCs w:val="24"/>
        </w:rPr>
        <w:t>)</w:t>
      </w:r>
      <w:r w:rsidR="00886BFD">
        <w:rPr>
          <w:rStyle w:val="Appelnotedebasdep"/>
        </w:rPr>
        <w:footnoteReference w:id="16"/>
      </w:r>
      <w:r w:rsidR="00886BFD">
        <w:rPr>
          <w:rFonts w:ascii="Times New Roman" w:hAnsi="Times New Roman"/>
          <w:sz w:val="24"/>
          <w:szCs w:val="24"/>
        </w:rPr>
        <w:t>.</w:t>
      </w:r>
      <w:r w:rsidRPr="00CE1144">
        <w:rPr>
          <w:rFonts w:ascii="Times New Roman" w:hAnsi="Times New Roman"/>
          <w:sz w:val="24"/>
          <w:szCs w:val="24"/>
        </w:rPr>
        <w:t xml:space="preserve">  </w:t>
      </w:r>
      <w:r w:rsidR="00377092">
        <w:rPr>
          <w:rFonts w:ascii="Times New Roman" w:hAnsi="Times New Roman"/>
          <w:sz w:val="24"/>
          <w:szCs w:val="24"/>
        </w:rPr>
        <w:t>Pour le Tchad, la pérenn</w:t>
      </w:r>
      <w:r w:rsidR="00A54F34">
        <w:rPr>
          <w:rFonts w:ascii="Times New Roman" w:hAnsi="Times New Roman"/>
          <w:sz w:val="24"/>
          <w:szCs w:val="24"/>
        </w:rPr>
        <w:t>isation de la paix relève d’une importance stratégique</w:t>
      </w:r>
      <w:r w:rsidRPr="00CE1144">
        <w:rPr>
          <w:rFonts w:ascii="Times New Roman" w:hAnsi="Times New Roman"/>
          <w:sz w:val="24"/>
          <w:szCs w:val="24"/>
        </w:rPr>
        <w:t xml:space="preserve">. </w:t>
      </w:r>
      <w:r w:rsidR="00A54F34">
        <w:rPr>
          <w:rFonts w:ascii="Times New Roman" w:hAnsi="Times New Roman"/>
          <w:sz w:val="24"/>
          <w:szCs w:val="24"/>
        </w:rPr>
        <w:t>En effet,</w:t>
      </w:r>
      <w:r w:rsidRPr="00CE1144">
        <w:rPr>
          <w:rFonts w:ascii="Times New Roman" w:hAnsi="Times New Roman"/>
          <w:sz w:val="24"/>
          <w:szCs w:val="24"/>
        </w:rPr>
        <w:t xml:space="preserve"> </w:t>
      </w:r>
      <w:r w:rsidR="00A54F34">
        <w:rPr>
          <w:rFonts w:ascii="Times New Roman" w:hAnsi="Times New Roman"/>
          <w:sz w:val="24"/>
          <w:szCs w:val="24"/>
        </w:rPr>
        <w:t>l</w:t>
      </w:r>
      <w:r w:rsidRPr="00CE1144">
        <w:rPr>
          <w:rFonts w:ascii="Times New Roman" w:hAnsi="Times New Roman"/>
          <w:sz w:val="24"/>
          <w:szCs w:val="24"/>
        </w:rPr>
        <w:t xml:space="preserve">a déstabilisation du pays aurait de graves conséquences pour le peuple tchadien et pour le reste de la région. </w:t>
      </w:r>
      <w:r w:rsidR="00A329CE">
        <w:rPr>
          <w:rFonts w:ascii="Times New Roman" w:hAnsi="Times New Roman"/>
          <w:sz w:val="24"/>
          <w:szCs w:val="24"/>
        </w:rPr>
        <w:t>Au</w:t>
      </w:r>
      <w:r w:rsidR="001E6361">
        <w:rPr>
          <w:rFonts w:ascii="Times New Roman" w:hAnsi="Times New Roman"/>
          <w:sz w:val="24"/>
          <w:szCs w:val="24"/>
        </w:rPr>
        <w:t>-delà de la résolution des</w:t>
      </w:r>
      <w:r w:rsidRPr="00CE1144">
        <w:rPr>
          <w:rFonts w:ascii="Times New Roman" w:hAnsi="Times New Roman"/>
          <w:sz w:val="24"/>
          <w:szCs w:val="24"/>
        </w:rPr>
        <w:t xml:space="preserve"> conflits et </w:t>
      </w:r>
      <w:r w:rsidR="001E6361">
        <w:rPr>
          <w:rFonts w:ascii="Times New Roman" w:hAnsi="Times New Roman"/>
          <w:sz w:val="24"/>
          <w:szCs w:val="24"/>
        </w:rPr>
        <w:t>de ses</w:t>
      </w:r>
      <w:r w:rsidRPr="00CE1144">
        <w:rPr>
          <w:rFonts w:ascii="Times New Roman" w:hAnsi="Times New Roman"/>
          <w:sz w:val="24"/>
          <w:szCs w:val="24"/>
        </w:rPr>
        <w:t xml:space="preserve"> effets visibles, </w:t>
      </w:r>
      <w:r w:rsidR="00E316C9">
        <w:rPr>
          <w:rFonts w:ascii="Times New Roman" w:hAnsi="Times New Roman"/>
          <w:sz w:val="24"/>
          <w:szCs w:val="24"/>
        </w:rPr>
        <w:t xml:space="preserve">le </w:t>
      </w:r>
      <w:r w:rsidR="002741E3">
        <w:rPr>
          <w:rFonts w:ascii="Times New Roman" w:hAnsi="Times New Roman"/>
          <w:sz w:val="24"/>
          <w:szCs w:val="24"/>
        </w:rPr>
        <w:t>Tchad</w:t>
      </w:r>
      <w:r w:rsidR="00E316C9">
        <w:rPr>
          <w:rFonts w:ascii="Times New Roman" w:hAnsi="Times New Roman"/>
          <w:sz w:val="24"/>
          <w:szCs w:val="24"/>
        </w:rPr>
        <w:t xml:space="preserve"> gagnerait à prévenir </w:t>
      </w:r>
      <w:r w:rsidR="00A70757">
        <w:rPr>
          <w:rFonts w:ascii="Times New Roman" w:hAnsi="Times New Roman"/>
          <w:sz w:val="24"/>
          <w:szCs w:val="24"/>
        </w:rPr>
        <w:t xml:space="preserve">les confrontations armées et </w:t>
      </w:r>
      <w:r w:rsidR="002741E3">
        <w:rPr>
          <w:rFonts w:ascii="Times New Roman" w:hAnsi="Times New Roman"/>
          <w:sz w:val="24"/>
          <w:szCs w:val="24"/>
        </w:rPr>
        <w:t>garantir</w:t>
      </w:r>
      <w:r w:rsidR="00A70757">
        <w:rPr>
          <w:rFonts w:ascii="Times New Roman" w:hAnsi="Times New Roman"/>
          <w:sz w:val="24"/>
          <w:szCs w:val="24"/>
        </w:rPr>
        <w:t xml:space="preserve"> un climat de paix</w:t>
      </w:r>
      <w:r w:rsidR="002741E3">
        <w:rPr>
          <w:rFonts w:ascii="Times New Roman" w:hAnsi="Times New Roman"/>
          <w:sz w:val="24"/>
          <w:szCs w:val="24"/>
        </w:rPr>
        <w:t xml:space="preserve"> et de sécurité durable</w:t>
      </w:r>
      <w:r w:rsidR="00106A7E">
        <w:rPr>
          <w:rFonts w:ascii="Times New Roman" w:hAnsi="Times New Roman"/>
          <w:sz w:val="24"/>
          <w:szCs w:val="24"/>
        </w:rPr>
        <w:t xml:space="preserve"> par la mise en œuvre de programmes de développement inclusifs et </w:t>
      </w:r>
      <w:r w:rsidR="003E7F0C">
        <w:rPr>
          <w:rFonts w:ascii="Times New Roman" w:hAnsi="Times New Roman"/>
          <w:sz w:val="24"/>
          <w:szCs w:val="24"/>
        </w:rPr>
        <w:t xml:space="preserve">le renforcement du respect de la </w:t>
      </w:r>
      <w:r w:rsidRPr="00CE1144">
        <w:rPr>
          <w:rFonts w:ascii="Times New Roman" w:hAnsi="Times New Roman"/>
          <w:sz w:val="24"/>
          <w:szCs w:val="24"/>
        </w:rPr>
        <w:t>jouissance des droits</w:t>
      </w:r>
      <w:r w:rsidR="00C82EDC">
        <w:rPr>
          <w:rFonts w:ascii="Times New Roman" w:hAnsi="Times New Roman"/>
          <w:sz w:val="24"/>
          <w:szCs w:val="24"/>
        </w:rPr>
        <w:t>.</w:t>
      </w:r>
    </w:p>
    <w:p w14:paraId="6EEBA8A8" w14:textId="77777777" w:rsidR="00CE1144" w:rsidRPr="00CE1144" w:rsidRDefault="00CE1144" w:rsidP="00CE1144">
      <w:pPr>
        <w:tabs>
          <w:tab w:val="left" w:pos="567"/>
        </w:tabs>
        <w:spacing w:after="0"/>
        <w:jc w:val="both"/>
        <w:rPr>
          <w:rFonts w:ascii="Times New Roman" w:hAnsi="Times New Roman"/>
          <w:sz w:val="24"/>
          <w:szCs w:val="24"/>
        </w:rPr>
      </w:pPr>
    </w:p>
    <w:p w14:paraId="0950513E" w14:textId="2BDB7173" w:rsidR="004575B7"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Le Tchad est confronté à de nombreux défis en matière de paix et </w:t>
      </w:r>
      <w:r w:rsidR="008B31C7">
        <w:rPr>
          <w:rFonts w:ascii="Times New Roman" w:hAnsi="Times New Roman"/>
          <w:sz w:val="24"/>
          <w:szCs w:val="24"/>
        </w:rPr>
        <w:t xml:space="preserve">de </w:t>
      </w:r>
      <w:r w:rsidRPr="00CE1144">
        <w:rPr>
          <w:rFonts w:ascii="Times New Roman" w:hAnsi="Times New Roman"/>
          <w:sz w:val="24"/>
          <w:szCs w:val="24"/>
        </w:rPr>
        <w:t xml:space="preserve">sécurité. Dans le Nord et l'Est du pays, les groupes armés utilisent les espaces largement non gouvernés du sud de la Libye et du Darfour pour lancer périodiquement des attaques contre le pays.  Les conflits au sujet des ressources aurifères dans le </w:t>
      </w:r>
      <w:r w:rsidR="00480373">
        <w:rPr>
          <w:rFonts w:ascii="Times New Roman" w:hAnsi="Times New Roman"/>
          <w:sz w:val="24"/>
          <w:szCs w:val="24"/>
        </w:rPr>
        <w:t>Tibesti</w:t>
      </w:r>
      <w:r w:rsidR="00480373" w:rsidRPr="00CE1144">
        <w:rPr>
          <w:rFonts w:ascii="Times New Roman" w:hAnsi="Times New Roman"/>
          <w:sz w:val="24"/>
          <w:szCs w:val="24"/>
        </w:rPr>
        <w:t xml:space="preserve"> </w:t>
      </w:r>
      <w:r w:rsidRPr="00CE1144">
        <w:rPr>
          <w:rFonts w:ascii="Times New Roman" w:hAnsi="Times New Roman"/>
          <w:sz w:val="24"/>
          <w:szCs w:val="24"/>
        </w:rPr>
        <w:t xml:space="preserve">opposent différentes communautés et alimentent des réseaux de trafic illicite et d’exploitation de </w:t>
      </w:r>
      <w:r w:rsidR="00DA7411">
        <w:rPr>
          <w:rFonts w:ascii="Times New Roman" w:hAnsi="Times New Roman"/>
          <w:sz w:val="24"/>
          <w:szCs w:val="24"/>
        </w:rPr>
        <w:t xml:space="preserve">personnes, y compris les tchadiens et les migrants ressortissants d’autres pays. </w:t>
      </w:r>
      <w:r w:rsidRPr="00CE1144">
        <w:rPr>
          <w:rFonts w:ascii="Times New Roman" w:hAnsi="Times New Roman"/>
          <w:sz w:val="24"/>
          <w:szCs w:val="24"/>
        </w:rPr>
        <w:t>Sur l’ensemble du territoire, le changement climatique, la croissance démographique et le trafic d'armes dans certaines parties du pays se conjuguent pour perturber les mouvements de transhumance, bouleversant les mécanismes traditionnels de résolution des conflits et entraînant des tensions et affrontements parfois meurtriers entre agriculteurs et éleveurs</w:t>
      </w:r>
      <w:r>
        <w:rPr>
          <w:rStyle w:val="Appelnotedebasdep"/>
        </w:rPr>
        <w:footnoteReference w:id="17"/>
      </w:r>
      <w:r w:rsidRPr="00CE1144">
        <w:rPr>
          <w:rFonts w:ascii="Times New Roman" w:hAnsi="Times New Roman"/>
          <w:sz w:val="24"/>
          <w:szCs w:val="24"/>
        </w:rPr>
        <w:t xml:space="preserve"> . </w:t>
      </w:r>
    </w:p>
    <w:p w14:paraId="4ACFC5F8" w14:textId="77777777" w:rsidR="002B6BC6" w:rsidRDefault="002B6BC6" w:rsidP="00CE1144">
      <w:pPr>
        <w:tabs>
          <w:tab w:val="left" w:pos="567"/>
        </w:tabs>
        <w:spacing w:after="0"/>
        <w:jc w:val="both"/>
        <w:rPr>
          <w:rFonts w:ascii="Times New Roman" w:hAnsi="Times New Roman"/>
          <w:sz w:val="24"/>
          <w:szCs w:val="24"/>
        </w:rPr>
      </w:pPr>
    </w:p>
    <w:p w14:paraId="61B22246" w14:textId="25BE5B7D" w:rsidR="00CE1144" w:rsidRPr="00CE1144" w:rsidRDefault="24A20309" w:rsidP="00CE1144">
      <w:pPr>
        <w:tabs>
          <w:tab w:val="left" w:pos="567"/>
        </w:tabs>
        <w:spacing w:after="0"/>
        <w:jc w:val="both"/>
        <w:rPr>
          <w:rFonts w:ascii="Times New Roman" w:hAnsi="Times New Roman"/>
          <w:sz w:val="24"/>
          <w:szCs w:val="24"/>
        </w:rPr>
      </w:pPr>
      <w:r w:rsidRPr="581E4654">
        <w:rPr>
          <w:rFonts w:ascii="Times New Roman" w:hAnsi="Times New Roman"/>
          <w:sz w:val="24"/>
          <w:szCs w:val="24"/>
        </w:rPr>
        <w:t xml:space="preserve">À l'ouest, autour du lac Tchad, où les groupes armés </w:t>
      </w:r>
      <w:r w:rsidR="38F3DCE0" w:rsidRPr="581E4654">
        <w:rPr>
          <w:rFonts w:ascii="Times New Roman" w:hAnsi="Times New Roman"/>
          <w:sz w:val="24"/>
          <w:szCs w:val="24"/>
        </w:rPr>
        <w:t>non étatiques (GANE</w:t>
      </w:r>
      <w:r w:rsidR="05249A74" w:rsidRPr="581E4654">
        <w:rPr>
          <w:rFonts w:ascii="Times New Roman" w:hAnsi="Times New Roman"/>
          <w:sz w:val="24"/>
          <w:szCs w:val="24"/>
        </w:rPr>
        <w:t>),</w:t>
      </w:r>
      <w:r w:rsidR="1CEA54C9" w:rsidRPr="581E4654">
        <w:rPr>
          <w:rFonts w:ascii="Times New Roman" w:hAnsi="Times New Roman"/>
          <w:sz w:val="24"/>
          <w:szCs w:val="24"/>
        </w:rPr>
        <w:t xml:space="preserve"> </w:t>
      </w:r>
      <w:r w:rsidRPr="581E4654">
        <w:rPr>
          <w:rFonts w:ascii="Times New Roman" w:hAnsi="Times New Roman"/>
          <w:sz w:val="24"/>
          <w:szCs w:val="24"/>
        </w:rPr>
        <w:t>y compris Boko Haram</w:t>
      </w:r>
      <w:r w:rsidR="16A89779" w:rsidRPr="581E4654">
        <w:rPr>
          <w:rFonts w:ascii="Times New Roman" w:hAnsi="Times New Roman"/>
          <w:sz w:val="24"/>
          <w:szCs w:val="24"/>
        </w:rPr>
        <w:t>,</w:t>
      </w:r>
      <w:r w:rsidRPr="581E4654">
        <w:rPr>
          <w:rFonts w:ascii="Times New Roman" w:hAnsi="Times New Roman"/>
          <w:sz w:val="24"/>
          <w:szCs w:val="24"/>
        </w:rPr>
        <w:t xml:space="preserve"> poursuivent leur campagne de terreur</w:t>
      </w:r>
      <w:r w:rsidR="05249A74" w:rsidRPr="581E4654">
        <w:rPr>
          <w:rFonts w:ascii="Times New Roman" w:hAnsi="Times New Roman"/>
          <w:sz w:val="24"/>
          <w:szCs w:val="24"/>
        </w:rPr>
        <w:t>.</w:t>
      </w:r>
      <w:r w:rsidRPr="581E4654">
        <w:rPr>
          <w:rFonts w:ascii="Times New Roman" w:hAnsi="Times New Roman"/>
          <w:sz w:val="24"/>
          <w:szCs w:val="24"/>
        </w:rPr>
        <w:t xml:space="preserve"> </w:t>
      </w:r>
      <w:r w:rsidR="05249A74" w:rsidRPr="581E4654">
        <w:rPr>
          <w:rFonts w:ascii="Times New Roman" w:hAnsi="Times New Roman"/>
          <w:sz w:val="24"/>
          <w:szCs w:val="24"/>
        </w:rPr>
        <w:t>L</w:t>
      </w:r>
      <w:r w:rsidRPr="581E4654">
        <w:rPr>
          <w:rFonts w:ascii="Times New Roman" w:hAnsi="Times New Roman"/>
          <w:sz w:val="24"/>
          <w:szCs w:val="24"/>
        </w:rPr>
        <w:t xml:space="preserve">es habitants sont pris dans un piège de conflit exacerbés par le changement climatique. Les déplacements récurrents de plusieurs groupes de population réduisent la capacité des communautés à faire face aux chocs saisonniers et les empêchent de développer des dynamiques de résilience face aux crises régulières qui affectent ces zones. A l’est, les conflits intercommunautaires et au sud, les conflits entre les agriculteurs et les éleveurs se sont intensifies ces dernières années et ont occasionné de nombreux morts et des dégâts matériels.  </w:t>
      </w:r>
    </w:p>
    <w:p w14:paraId="09D9D157" w14:textId="77777777" w:rsidR="00CE1144" w:rsidRPr="00CE1144" w:rsidRDefault="00CE1144" w:rsidP="00CE1144">
      <w:pPr>
        <w:tabs>
          <w:tab w:val="left" w:pos="567"/>
        </w:tabs>
        <w:spacing w:after="0"/>
        <w:jc w:val="both"/>
        <w:rPr>
          <w:rFonts w:ascii="Times New Roman" w:hAnsi="Times New Roman"/>
          <w:sz w:val="24"/>
          <w:szCs w:val="24"/>
        </w:rPr>
      </w:pPr>
    </w:p>
    <w:p w14:paraId="0440BE64" w14:textId="4040C2E4" w:rsidR="00CE1144" w:rsidRPr="00CE1144" w:rsidRDefault="24A20309"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Le Tchad accueille </w:t>
      </w:r>
      <w:r w:rsidR="10143E79" w:rsidRPr="007025A5">
        <w:rPr>
          <w:rFonts w:ascii="Times New Roman" w:hAnsi="Times New Roman"/>
          <w:sz w:val="24"/>
          <w:szCs w:val="24"/>
        </w:rPr>
        <w:t>523,439</w:t>
      </w:r>
      <w:r w:rsidR="00E572C8">
        <w:rPr>
          <w:rStyle w:val="Appelnotedebasdep"/>
        </w:rPr>
        <w:footnoteReference w:id="18"/>
      </w:r>
      <w:r w:rsidR="5A2E013A" w:rsidRPr="581E4654">
        <w:rPr>
          <w:rStyle w:val="Appelnotedebasdep"/>
        </w:rPr>
        <w:t xml:space="preserve"> </w:t>
      </w:r>
      <w:r>
        <w:rPr>
          <w:rFonts w:ascii="Times New Roman" w:hAnsi="Times New Roman"/>
          <w:sz w:val="24"/>
          <w:szCs w:val="24"/>
        </w:rPr>
        <w:t>réfugiés du Soudan, de la République Centrafricaine du Nigéria</w:t>
      </w:r>
      <w:r w:rsidR="6FE128CF" w:rsidRPr="00CE1144">
        <w:rPr>
          <w:rFonts w:ascii="Times New Roman" w:hAnsi="Times New Roman"/>
          <w:sz w:val="24"/>
          <w:szCs w:val="24"/>
        </w:rPr>
        <w:t xml:space="preserve"> et du Cameroun</w:t>
      </w:r>
      <w:r>
        <w:rPr>
          <w:rFonts w:ascii="Times New Roman" w:hAnsi="Times New Roman"/>
          <w:sz w:val="24"/>
          <w:szCs w:val="24"/>
        </w:rPr>
        <w:t xml:space="preserve"> qui rentrent en compétition pour des ressources naturelles limitées dans les zones d’accueil</w:t>
      </w:r>
      <w:r w:rsidR="6BEAD867" w:rsidRPr="00CE1144">
        <w:rPr>
          <w:rFonts w:ascii="Times New Roman" w:hAnsi="Times New Roman"/>
          <w:sz w:val="24"/>
          <w:szCs w:val="24"/>
        </w:rPr>
        <w:t> ;</w:t>
      </w:r>
      <w:r w:rsidRPr="37570B67">
        <w:rPr>
          <w:rFonts w:ascii="Times New Roman" w:hAnsi="Times New Roman"/>
          <w:sz w:val="24"/>
          <w:szCs w:val="24"/>
        </w:rPr>
        <w:t xml:space="preserve"> ce qui accroît aussi les tensions et le risque de conflit. Outre les réfugiés, le nombre de personnes déplacées a considérablement augmenté et est actuellement estimé </w:t>
      </w:r>
      <w:r w:rsidR="46B05F94" w:rsidRPr="00CE1144">
        <w:rPr>
          <w:rFonts w:ascii="Times New Roman" w:hAnsi="Times New Roman"/>
          <w:sz w:val="24"/>
          <w:szCs w:val="24"/>
        </w:rPr>
        <w:t>dans la province du Lac</w:t>
      </w:r>
      <w:r w:rsidR="5FFE102A" w:rsidRPr="37570B67">
        <w:rPr>
          <w:rFonts w:ascii="Times New Roman" w:hAnsi="Times New Roman"/>
          <w:sz w:val="24"/>
          <w:szCs w:val="24"/>
        </w:rPr>
        <w:t xml:space="preserve"> à </w:t>
      </w:r>
      <w:r w:rsidR="7719FC4F" w:rsidRPr="00CE1144">
        <w:rPr>
          <w:rFonts w:ascii="Times New Roman" w:hAnsi="Times New Roman"/>
          <w:sz w:val="24"/>
          <w:szCs w:val="24"/>
        </w:rPr>
        <w:t>457 948</w:t>
      </w:r>
      <w:r>
        <w:rPr>
          <w:rFonts w:ascii="Times New Roman" w:hAnsi="Times New Roman"/>
          <w:sz w:val="24"/>
          <w:szCs w:val="24"/>
        </w:rPr>
        <w:t xml:space="preserve"> à </w:t>
      </w:r>
      <w:r w:rsidR="25592458">
        <w:rPr>
          <w:rFonts w:ascii="Times New Roman" w:hAnsi="Times New Roman"/>
          <w:sz w:val="24"/>
          <w:szCs w:val="24"/>
        </w:rPr>
        <w:lastRenderedPageBreak/>
        <w:t>510</w:t>
      </w:r>
      <w:r w:rsidR="1835D0B1" w:rsidRPr="00CE1144">
        <w:rPr>
          <w:rFonts w:ascii="Times New Roman" w:hAnsi="Times New Roman"/>
          <w:sz w:val="24"/>
          <w:szCs w:val="24"/>
        </w:rPr>
        <w:t xml:space="preserve"> 709</w:t>
      </w:r>
      <w:r w:rsidR="00CE1144">
        <w:rPr>
          <w:rStyle w:val="Appelnotedebasdep"/>
        </w:rPr>
        <w:footnoteReference w:id="19"/>
      </w:r>
      <w:r w:rsidRPr="581E4654">
        <w:t>￼</w:t>
      </w:r>
      <w:r w:rsidR="06D5A77A" w:rsidRPr="00CE1144">
        <w:rPr>
          <w:rFonts w:ascii="Times New Roman" w:hAnsi="Times New Roman"/>
          <w:sz w:val="24"/>
          <w:szCs w:val="24"/>
        </w:rPr>
        <w:t xml:space="preserve"> </w:t>
      </w:r>
      <w:r w:rsidRPr="37570B67">
        <w:rPr>
          <w:rFonts w:ascii="Times New Roman" w:hAnsi="Times New Roman"/>
          <w:sz w:val="24"/>
          <w:szCs w:val="24"/>
        </w:rPr>
        <w:t xml:space="preserve">(y compris </w:t>
      </w:r>
      <w:r w:rsidR="1BF3A845" w:rsidRPr="00CE1144">
        <w:rPr>
          <w:rFonts w:ascii="Times New Roman" w:hAnsi="Times New Roman"/>
          <w:sz w:val="24"/>
          <w:szCs w:val="24"/>
        </w:rPr>
        <w:t xml:space="preserve">406 573 </w:t>
      </w:r>
      <w:r w:rsidRPr="37570B67">
        <w:rPr>
          <w:rFonts w:ascii="Times New Roman" w:hAnsi="Times New Roman"/>
          <w:sz w:val="24"/>
          <w:szCs w:val="24"/>
        </w:rPr>
        <w:t xml:space="preserve">personnes déplacées internes, </w:t>
      </w:r>
      <w:r w:rsidR="69F4841D" w:rsidRPr="00CE1144">
        <w:rPr>
          <w:rFonts w:ascii="Times New Roman" w:hAnsi="Times New Roman"/>
          <w:sz w:val="24"/>
          <w:szCs w:val="24"/>
        </w:rPr>
        <w:t>29 263</w:t>
      </w:r>
      <w:r w:rsidRPr="37570B67">
        <w:rPr>
          <w:rFonts w:ascii="Times New Roman" w:hAnsi="Times New Roman"/>
          <w:sz w:val="24"/>
          <w:szCs w:val="24"/>
        </w:rPr>
        <w:t xml:space="preserve"> retournés et </w:t>
      </w:r>
      <w:r w:rsidR="2227C96E" w:rsidRPr="00CE1144">
        <w:rPr>
          <w:rFonts w:ascii="Times New Roman" w:hAnsi="Times New Roman"/>
          <w:sz w:val="24"/>
          <w:szCs w:val="24"/>
        </w:rPr>
        <w:t>22 112</w:t>
      </w:r>
      <w:r w:rsidRPr="00CE1144">
        <w:rPr>
          <w:rFonts w:ascii="Times New Roman" w:hAnsi="Times New Roman"/>
          <w:sz w:val="24"/>
          <w:szCs w:val="24"/>
        </w:rPr>
        <w:t xml:space="preserve"> personnes retournées anciennement personnes déplacées internes</w:t>
      </w:r>
      <w:r w:rsidR="5FFE102A">
        <w:rPr>
          <w:rFonts w:ascii="Times New Roman" w:hAnsi="Times New Roman"/>
          <w:sz w:val="24"/>
          <w:szCs w:val="24"/>
        </w:rPr>
        <w:t>)</w:t>
      </w:r>
      <w:r w:rsidR="4CE8134B" w:rsidRPr="6BC40FD5">
        <w:rPr>
          <w:rFonts w:ascii="Times New Roman" w:hAnsi="Times New Roman"/>
          <w:sz w:val="24"/>
          <w:szCs w:val="24"/>
        </w:rPr>
        <w:t xml:space="preserve">. </w:t>
      </w:r>
      <w:r w:rsidR="00CE1144" w:rsidRPr="6BC40FD5">
        <w:rPr>
          <w:rFonts w:ascii="Times New Roman" w:hAnsi="Times New Roman"/>
          <w:sz w:val="24"/>
          <w:szCs w:val="24"/>
        </w:rPr>
        <w:footnoteReference w:id="20"/>
      </w:r>
      <w:r w:rsidR="4FCDECF7" w:rsidRPr="581E4654">
        <w:t>￼</w:t>
      </w:r>
      <w:r>
        <w:rPr>
          <w:rFonts w:ascii="Times New Roman" w:hAnsi="Times New Roman"/>
          <w:sz w:val="24"/>
          <w:szCs w:val="24"/>
        </w:rPr>
        <w:t>.  Aussi, faudrait-il renforcer les capacités de l’Etat afin d’assurer un accès équitable aux ressources et services sociaux de base</w:t>
      </w:r>
      <w:r w:rsidR="67D199D4">
        <w:rPr>
          <w:rFonts w:ascii="Times New Roman" w:hAnsi="Times New Roman"/>
          <w:sz w:val="24"/>
          <w:szCs w:val="24"/>
        </w:rPr>
        <w:t xml:space="preserve"> </w:t>
      </w:r>
      <w:r w:rsidR="1A568EB5">
        <w:rPr>
          <w:rFonts w:ascii="Times New Roman" w:hAnsi="Times New Roman"/>
          <w:sz w:val="24"/>
          <w:szCs w:val="24"/>
        </w:rPr>
        <w:t xml:space="preserve">par le renforcement du Nexus Humanitaire, Développement et </w:t>
      </w:r>
      <w:r w:rsidR="09C6BAD9">
        <w:rPr>
          <w:rFonts w:ascii="Times New Roman" w:hAnsi="Times New Roman"/>
          <w:sz w:val="24"/>
          <w:szCs w:val="24"/>
        </w:rPr>
        <w:t>P</w:t>
      </w:r>
      <w:r w:rsidR="1A568EB5">
        <w:rPr>
          <w:rFonts w:ascii="Times New Roman" w:hAnsi="Times New Roman"/>
          <w:sz w:val="24"/>
          <w:szCs w:val="24"/>
        </w:rPr>
        <w:t xml:space="preserve">aix dont le Tchad est </w:t>
      </w:r>
      <w:r w:rsidR="16A65987">
        <w:rPr>
          <w:rFonts w:ascii="Times New Roman" w:hAnsi="Times New Roman"/>
          <w:sz w:val="24"/>
          <w:szCs w:val="24"/>
        </w:rPr>
        <w:t>le pays pilote au Sahel, depuis 2017</w:t>
      </w:r>
      <w:r w:rsidR="09C6BAD9" w:rsidRPr="581E4654">
        <w:rPr>
          <w:rFonts w:ascii="Times New Roman" w:hAnsi="Times New Roman"/>
          <w:sz w:val="24"/>
          <w:szCs w:val="24"/>
        </w:rPr>
        <w:t>.</w:t>
      </w:r>
    </w:p>
    <w:p w14:paraId="42D4B641" w14:textId="77777777" w:rsidR="00CE1144" w:rsidRPr="00CE1144" w:rsidRDefault="00CE1144" w:rsidP="00CE1144">
      <w:pPr>
        <w:tabs>
          <w:tab w:val="left" w:pos="567"/>
        </w:tabs>
        <w:spacing w:after="0"/>
        <w:jc w:val="both"/>
        <w:rPr>
          <w:rFonts w:ascii="Times New Roman" w:hAnsi="Times New Roman"/>
          <w:sz w:val="24"/>
          <w:szCs w:val="24"/>
        </w:rPr>
      </w:pPr>
    </w:p>
    <w:p w14:paraId="7560B0BB" w14:textId="5ED9C75A"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L’adoption de la loi d’orientation agro-</w:t>
      </w:r>
      <w:proofErr w:type="spellStart"/>
      <w:r w:rsidRPr="00CE1144">
        <w:rPr>
          <w:rFonts w:ascii="Times New Roman" w:hAnsi="Times New Roman"/>
          <w:sz w:val="24"/>
          <w:szCs w:val="24"/>
        </w:rPr>
        <w:t>sylvo</w:t>
      </w:r>
      <w:proofErr w:type="spellEnd"/>
      <w:r w:rsidRPr="00CE1144">
        <w:rPr>
          <w:rFonts w:ascii="Times New Roman" w:hAnsi="Times New Roman"/>
          <w:sz w:val="24"/>
          <w:szCs w:val="24"/>
        </w:rPr>
        <w:t>-pastorale et halieutique en novembre 2018 dont les textes d’application sont en cours d’élaboration constitue une avancée dans la recherche de solutions</w:t>
      </w:r>
      <w:r w:rsidR="00B575AC">
        <w:rPr>
          <w:rFonts w:ascii="Times New Roman" w:hAnsi="Times New Roman"/>
          <w:sz w:val="24"/>
          <w:szCs w:val="24"/>
        </w:rPr>
        <w:t xml:space="preserve"> durables</w:t>
      </w:r>
      <w:r w:rsidR="00E07A00">
        <w:rPr>
          <w:rFonts w:ascii="Times New Roman" w:hAnsi="Times New Roman"/>
          <w:sz w:val="24"/>
          <w:szCs w:val="24"/>
        </w:rPr>
        <w:t xml:space="preserve"> n</w:t>
      </w:r>
      <w:r w:rsidR="00315699">
        <w:rPr>
          <w:rFonts w:ascii="Times New Roman" w:hAnsi="Times New Roman"/>
          <w:sz w:val="24"/>
          <w:szCs w:val="24"/>
        </w:rPr>
        <w:t>otamment aux crises du pastoralisme que traverse le pays</w:t>
      </w:r>
      <w:r w:rsidRPr="00CE1144">
        <w:rPr>
          <w:rFonts w:ascii="Times New Roman" w:hAnsi="Times New Roman"/>
          <w:sz w:val="24"/>
          <w:szCs w:val="24"/>
        </w:rPr>
        <w:t xml:space="preserve">. </w:t>
      </w:r>
      <w:r w:rsidR="00C82EDC">
        <w:rPr>
          <w:rFonts w:ascii="Times New Roman" w:hAnsi="Times New Roman"/>
          <w:sz w:val="24"/>
          <w:szCs w:val="24"/>
        </w:rPr>
        <w:t xml:space="preserve"> </w:t>
      </w:r>
      <w:r w:rsidRPr="00CE1144">
        <w:rPr>
          <w:rFonts w:ascii="Times New Roman" w:hAnsi="Times New Roman"/>
          <w:sz w:val="24"/>
          <w:szCs w:val="24"/>
        </w:rPr>
        <w:t xml:space="preserve"> Sur le plan de la législation foncière, le Tchad est actuellement engagé dans le processus de mise à jour de cette loi foncière dans le but d'améliorer la gouvernance foncière et de résoudre les problèmes relatifs aux ressources naturelles conduisant à des conflits et à la discrimination entre les sexes. </w:t>
      </w:r>
      <w:r w:rsidR="00C82EDC">
        <w:rPr>
          <w:rFonts w:ascii="Times New Roman" w:hAnsi="Times New Roman"/>
          <w:sz w:val="24"/>
          <w:szCs w:val="24"/>
        </w:rPr>
        <w:t xml:space="preserve"> </w:t>
      </w:r>
    </w:p>
    <w:p w14:paraId="041B951D" w14:textId="77777777" w:rsidR="002B6BC6" w:rsidRDefault="002B6BC6" w:rsidP="00CE1144">
      <w:pPr>
        <w:tabs>
          <w:tab w:val="left" w:pos="567"/>
        </w:tabs>
        <w:spacing w:after="0"/>
        <w:jc w:val="both"/>
        <w:rPr>
          <w:rFonts w:ascii="Times New Roman" w:hAnsi="Times New Roman"/>
          <w:sz w:val="24"/>
          <w:szCs w:val="24"/>
        </w:rPr>
      </w:pPr>
    </w:p>
    <w:p w14:paraId="1968DCF6" w14:textId="1FEA8C78" w:rsidR="00CE1144" w:rsidRPr="00CE1144"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En dépit des divers programmes de stabilisation régionale et de l’effort conjoint de différents partenaires visant la réponse humanitaire, la consolidation de la paix et le développement durable, la situation dans les pays du Sahel et dans le Tchad en particulier demeure fragile.   </w:t>
      </w:r>
      <w:r w:rsidR="00E61A1D">
        <w:rPr>
          <w:rFonts w:ascii="Times New Roman" w:hAnsi="Times New Roman"/>
          <w:sz w:val="24"/>
          <w:szCs w:val="24"/>
        </w:rPr>
        <w:t xml:space="preserve"> </w:t>
      </w:r>
    </w:p>
    <w:p w14:paraId="581D428F" w14:textId="74437658" w:rsidR="00CD37DE" w:rsidRDefault="00CE1144" w:rsidP="00CE1144">
      <w:pPr>
        <w:tabs>
          <w:tab w:val="left" w:pos="567"/>
        </w:tabs>
        <w:spacing w:after="0"/>
        <w:jc w:val="both"/>
        <w:rPr>
          <w:rFonts w:ascii="Times New Roman" w:hAnsi="Times New Roman"/>
          <w:sz w:val="24"/>
          <w:szCs w:val="24"/>
        </w:rPr>
      </w:pPr>
      <w:r w:rsidRPr="00CE1144">
        <w:rPr>
          <w:rFonts w:ascii="Times New Roman" w:hAnsi="Times New Roman"/>
          <w:sz w:val="24"/>
          <w:szCs w:val="24"/>
        </w:rPr>
        <w:t xml:space="preserve">L’existence de plusieurs sources de conflit accroît les risques de violations des droits de l’Homme, en particulier par les forces de sécurité de l’Etat, et d’abus du droit international humanitaire par toutes les parties. La pandémie a accru la pression sur une situation sociale et sécuritaire déjà fragile et volatile. </w:t>
      </w:r>
      <w:r w:rsidR="00E61A1D">
        <w:rPr>
          <w:rFonts w:ascii="Times New Roman" w:hAnsi="Times New Roman"/>
          <w:sz w:val="24"/>
          <w:szCs w:val="24"/>
        </w:rPr>
        <w:t xml:space="preserve"> </w:t>
      </w:r>
      <w:r w:rsidRPr="00CE1144">
        <w:rPr>
          <w:rFonts w:ascii="Times New Roman" w:hAnsi="Times New Roman"/>
          <w:sz w:val="24"/>
          <w:szCs w:val="24"/>
        </w:rPr>
        <w:t xml:space="preserve">  </w:t>
      </w:r>
    </w:p>
    <w:p w14:paraId="081EFA7F" w14:textId="77777777" w:rsidR="00CE1144" w:rsidRPr="00CD37DE" w:rsidRDefault="00CE1144" w:rsidP="00CE1144">
      <w:pPr>
        <w:tabs>
          <w:tab w:val="left" w:pos="567"/>
        </w:tabs>
        <w:spacing w:after="0"/>
        <w:jc w:val="both"/>
        <w:rPr>
          <w:rFonts w:ascii="Times New Roman" w:hAnsi="Times New Roman"/>
          <w:sz w:val="24"/>
          <w:szCs w:val="24"/>
        </w:rPr>
      </w:pPr>
    </w:p>
    <w:p w14:paraId="758F4741" w14:textId="71C4C700" w:rsidR="00CD37DE" w:rsidRPr="001126F7" w:rsidRDefault="00CD37DE" w:rsidP="00BC1AE3">
      <w:pPr>
        <w:pStyle w:val="Titre2"/>
        <w:numPr>
          <w:ilvl w:val="1"/>
          <w:numId w:val="24"/>
        </w:numPr>
        <w:rPr>
          <w:b/>
          <w:bCs w:val="0"/>
          <w:sz w:val="28"/>
          <w:szCs w:val="28"/>
        </w:rPr>
      </w:pPr>
      <w:bookmarkStart w:id="22" w:name="_Toc51745193"/>
      <w:bookmarkStart w:id="23" w:name="_Toc55372894"/>
      <w:bookmarkStart w:id="24" w:name="_Toc55539098"/>
      <w:bookmarkStart w:id="25" w:name="_Toc61523567"/>
      <w:bookmarkStart w:id="26" w:name="_Toc90910782"/>
      <w:r w:rsidRPr="001126F7">
        <w:rPr>
          <w:b/>
          <w:bCs w:val="0"/>
          <w:sz w:val="28"/>
          <w:szCs w:val="28"/>
        </w:rPr>
        <w:t>Education, Santé et Protection Sociale</w:t>
      </w:r>
      <w:bookmarkEnd w:id="22"/>
      <w:bookmarkEnd w:id="23"/>
      <w:bookmarkEnd w:id="24"/>
      <w:bookmarkEnd w:id="25"/>
      <w:bookmarkEnd w:id="26"/>
      <w:r w:rsidRPr="001126F7">
        <w:rPr>
          <w:b/>
          <w:bCs w:val="0"/>
          <w:sz w:val="28"/>
          <w:szCs w:val="28"/>
        </w:rPr>
        <w:t xml:space="preserve"> </w:t>
      </w:r>
    </w:p>
    <w:p w14:paraId="75310405" w14:textId="7C099AF7" w:rsidR="00014BBF" w:rsidRDefault="00014BBF" w:rsidP="00A8375B">
      <w:pPr>
        <w:tabs>
          <w:tab w:val="left" w:pos="567"/>
        </w:tabs>
        <w:spacing w:after="0"/>
        <w:jc w:val="both"/>
        <w:rPr>
          <w:rFonts w:ascii="Times New Roman" w:hAnsi="Times New Roman"/>
          <w:sz w:val="24"/>
          <w:szCs w:val="24"/>
        </w:rPr>
      </w:pPr>
      <w:r>
        <w:rPr>
          <w:rFonts w:ascii="Times New Roman" w:hAnsi="Times New Roman"/>
          <w:b/>
          <w:bCs/>
          <w:sz w:val="24"/>
          <w:szCs w:val="24"/>
        </w:rPr>
        <w:t xml:space="preserve"> </w:t>
      </w:r>
      <w:r w:rsidRPr="00014BBF">
        <w:rPr>
          <w:rFonts w:ascii="Times New Roman" w:hAnsi="Times New Roman"/>
          <w:sz w:val="24"/>
          <w:szCs w:val="24"/>
        </w:rPr>
        <w:t xml:space="preserve">Renforcer le capital humain est nécessaire à la transformation structurelle du pays. Une détérioration de l’accès et de la qualité de l’éducation est enregistrée. Selon les annuaires statistiques de l’éducation, les effectifs des élèves du primaire oscillent passant de 2,4 millions en 2013 à environ 2,2 millions en 2016 puis à 2, 4 millions d’élèves en 2019. La détérioration de l’accès est aggravée par les mouvements de population, l’insécurité alimentaire et les urgences sanitaires. Seulement 4,4% des enfants âgés de 7 à 14 ans démontrent des compétences de base en lecture selon l’enquête par grappes à indicateurs multiples 2019 (MICS6-TCHAD, 2019). D’après les résultats de l’évaluation PASEC (2019), respectivement en « lecture » et « mathématiques », 77,8% et 50,8% des écoliers tchadiens ne manifestent pas les compétences suffisantes en fin de cycle primaire. </w:t>
      </w:r>
      <w:r w:rsidR="00F32298" w:rsidRPr="00F32298">
        <w:rPr>
          <w:rFonts w:ascii="Times New Roman" w:hAnsi="Times New Roman"/>
          <w:sz w:val="24"/>
          <w:szCs w:val="24"/>
        </w:rPr>
        <w:t>Selon ECOSIT4 en 2018/2019, le taux d’alphabétisation des 15 ans et plus est de seulement 41,5</w:t>
      </w:r>
      <w:r w:rsidR="00964500">
        <w:rPr>
          <w:rFonts w:ascii="Times New Roman" w:hAnsi="Times New Roman"/>
          <w:sz w:val="24"/>
          <w:szCs w:val="24"/>
        </w:rPr>
        <w:t>%</w:t>
      </w:r>
      <w:r w:rsidR="00F32298" w:rsidRPr="00F32298">
        <w:rPr>
          <w:rFonts w:ascii="Times New Roman" w:hAnsi="Times New Roman"/>
          <w:sz w:val="24"/>
          <w:szCs w:val="24"/>
        </w:rPr>
        <w:t>, incompatible avec les objectifs de développement humain. Le droit à l’éducation de tous est faiblement appliqué. Pour les personnes vivant avec des handicaps, les personnes vivant en milieu carcéral, etc., il n’existe pas pratiquement des offres éducatives appropriées.</w:t>
      </w:r>
    </w:p>
    <w:p w14:paraId="1A0CD010" w14:textId="77777777" w:rsidR="00F32298" w:rsidRPr="00014BBF" w:rsidRDefault="00F32298" w:rsidP="00F32298">
      <w:pPr>
        <w:tabs>
          <w:tab w:val="left" w:pos="567"/>
        </w:tabs>
        <w:spacing w:after="0"/>
        <w:jc w:val="both"/>
        <w:rPr>
          <w:rFonts w:ascii="Times New Roman" w:hAnsi="Times New Roman"/>
          <w:sz w:val="24"/>
          <w:szCs w:val="24"/>
        </w:rPr>
      </w:pPr>
    </w:p>
    <w:p w14:paraId="74742003" w14:textId="2880C442" w:rsidR="00014BBF" w:rsidRPr="00014BBF" w:rsidRDefault="00F32298" w:rsidP="00014BBF">
      <w:pPr>
        <w:spacing w:after="0" w:line="240" w:lineRule="auto"/>
        <w:contextualSpacing/>
        <w:jc w:val="both"/>
        <w:rPr>
          <w:rFonts w:ascii="Times New Roman" w:hAnsi="Times New Roman"/>
          <w:sz w:val="24"/>
          <w:szCs w:val="24"/>
        </w:rPr>
      </w:pPr>
      <w:r w:rsidRPr="00F32298">
        <w:rPr>
          <w:rFonts w:ascii="Times New Roman" w:hAnsi="Times New Roman"/>
          <w:sz w:val="24"/>
          <w:szCs w:val="24"/>
        </w:rPr>
        <w:t xml:space="preserve">Le taux d’alphabétisation est plus élevé chez les hommes que chez les femmes (57,6% contre </w:t>
      </w:r>
      <w:r w:rsidR="00292E89">
        <w:rPr>
          <w:rFonts w:ascii="Times New Roman" w:hAnsi="Times New Roman"/>
          <w:sz w:val="24"/>
          <w:szCs w:val="24"/>
        </w:rPr>
        <w:t>28</w:t>
      </w:r>
      <w:r w:rsidRPr="00F32298">
        <w:rPr>
          <w:rFonts w:ascii="Times New Roman" w:hAnsi="Times New Roman"/>
          <w:sz w:val="24"/>
          <w:szCs w:val="24"/>
        </w:rPr>
        <w:t>28,1%), plus en milieu urbain qu’en milieu rural (66,0% contre 32,5</w:t>
      </w:r>
      <w:r w:rsidR="00C70123">
        <w:rPr>
          <w:rFonts w:ascii="Times New Roman" w:hAnsi="Times New Roman"/>
          <w:sz w:val="24"/>
          <w:szCs w:val="24"/>
        </w:rPr>
        <w:t>%</w:t>
      </w:r>
      <w:proofErr w:type="gramStart"/>
      <w:r w:rsidR="00014BBF" w:rsidRPr="00014BBF">
        <w:rPr>
          <w:rFonts w:ascii="Times New Roman" w:hAnsi="Times New Roman"/>
          <w:sz w:val="24"/>
          <w:szCs w:val="24"/>
        </w:rPr>
        <w:t>)</w:t>
      </w:r>
      <w:r w:rsidR="00874518">
        <w:rPr>
          <w:rFonts w:ascii="Times New Roman" w:hAnsi="Times New Roman"/>
          <w:sz w:val="24"/>
          <w:szCs w:val="24"/>
        </w:rPr>
        <w:t>.</w:t>
      </w:r>
      <w:r w:rsidRPr="00F32298">
        <w:rPr>
          <w:rFonts w:ascii="Times New Roman" w:hAnsi="Times New Roman"/>
          <w:sz w:val="24"/>
          <w:szCs w:val="24"/>
        </w:rPr>
        <w:t>%</w:t>
      </w:r>
      <w:proofErr w:type="gramEnd"/>
      <w:r w:rsidRPr="00F32298">
        <w:rPr>
          <w:rFonts w:ascii="Times New Roman" w:hAnsi="Times New Roman"/>
          <w:sz w:val="24"/>
          <w:szCs w:val="24"/>
        </w:rPr>
        <w:t>)</w:t>
      </w:r>
      <w:r>
        <w:rPr>
          <w:rFonts w:ascii="Times New Roman" w:hAnsi="Times New Roman"/>
          <w:sz w:val="24"/>
          <w:szCs w:val="24"/>
        </w:rPr>
        <w:t xml:space="preserve"> </w:t>
      </w:r>
      <w:r w:rsidR="00014BBF" w:rsidRPr="00014BBF">
        <w:rPr>
          <w:rFonts w:ascii="Times New Roman" w:hAnsi="Times New Roman"/>
          <w:sz w:val="24"/>
          <w:szCs w:val="24"/>
        </w:rPr>
        <w:t xml:space="preserve">et </w:t>
      </w:r>
      <w:r w:rsidR="00874518">
        <w:rPr>
          <w:rFonts w:ascii="Times New Roman" w:hAnsi="Times New Roman"/>
          <w:sz w:val="24"/>
          <w:szCs w:val="24"/>
        </w:rPr>
        <w:t>avec des disparités au niveau des régions.</w:t>
      </w:r>
      <w:r w:rsidR="00014BBF" w:rsidRPr="00014BBF">
        <w:rPr>
          <w:rFonts w:ascii="Times New Roman" w:hAnsi="Times New Roman"/>
          <w:sz w:val="24"/>
          <w:szCs w:val="24"/>
        </w:rPr>
        <w:t xml:space="preserve"> De nombreux enfants en âge d’aller à l’école ne bénéficient d’aucune alternative éducative et </w:t>
      </w:r>
      <w:r w:rsidR="00014BBF" w:rsidRPr="00014BBF">
        <w:rPr>
          <w:rFonts w:ascii="Times New Roman" w:hAnsi="Times New Roman"/>
          <w:sz w:val="24"/>
          <w:szCs w:val="24"/>
        </w:rPr>
        <w:lastRenderedPageBreak/>
        <w:t xml:space="preserve">constituent des proies faciles pour l’enrôlement par les groupes armés. Les enseignants qualifiés intervenant dans les écoles sont en nombre très insuffisant. La plupart des maîtres intervenant dans les classes sont des enseignants communautaires dont certains n’ont pas reçu la formation pédagogique minimum pour tenir une classe. D’après les statistiques du Ministère de l’Education Nationale en 2019, cette catégorie d’enseignants appelés « maîtres communautaires de niveau 0 » a été estimée à 8852 enseignants sur un total de 28267 maîtres communautaires. L’Enseignement Technique et la formation Professionnelle est en inadéquation avec le marché de travail national et régional et ne promeut pas l’apprentissage des nouveaux métiers liés aux Technologies de l’Information et de la Communication (TIC). </w:t>
      </w:r>
      <w:r w:rsidRPr="00F32298">
        <w:rPr>
          <w:rFonts w:ascii="Times New Roman" w:hAnsi="Times New Roman"/>
          <w:sz w:val="24"/>
          <w:szCs w:val="24"/>
        </w:rPr>
        <w:t>Le chômage des jeunes de 15 à 29 ans en milieu rural est estimé à 24,8</w:t>
      </w:r>
      <w:r w:rsidR="002C4B23">
        <w:rPr>
          <w:rFonts w:ascii="Times New Roman" w:hAnsi="Times New Roman"/>
          <w:sz w:val="24"/>
          <w:szCs w:val="24"/>
        </w:rPr>
        <w:t>%</w:t>
      </w:r>
      <w:r w:rsidRPr="00F32298">
        <w:rPr>
          <w:rFonts w:ascii="Times New Roman" w:hAnsi="Times New Roman"/>
          <w:sz w:val="24"/>
          <w:szCs w:val="24"/>
        </w:rPr>
        <w:t xml:space="preserve"> </w:t>
      </w:r>
      <w:r w:rsidR="00014BBF" w:rsidRPr="00014BBF">
        <w:rPr>
          <w:rFonts w:ascii="Times New Roman" w:hAnsi="Times New Roman"/>
          <w:sz w:val="24"/>
          <w:szCs w:val="24"/>
        </w:rPr>
        <w:t>et les offres d’alternatives éducatives et de formation à l’employabilité des jeunes ruraux analphabètes est quasi- inexistante pour favoriser la professionnalisation de la main d’œuvre rurale dans les métiers et activités de la filière de transformation agro-</w:t>
      </w:r>
      <w:proofErr w:type="spellStart"/>
      <w:r w:rsidR="00014BBF" w:rsidRPr="00014BBF">
        <w:rPr>
          <w:rFonts w:ascii="Times New Roman" w:hAnsi="Times New Roman"/>
          <w:sz w:val="24"/>
          <w:szCs w:val="24"/>
        </w:rPr>
        <w:t>sylv</w:t>
      </w:r>
      <w:r w:rsidR="00874518">
        <w:rPr>
          <w:rFonts w:ascii="Times New Roman" w:hAnsi="Times New Roman"/>
          <w:sz w:val="24"/>
          <w:szCs w:val="24"/>
        </w:rPr>
        <w:t>o</w:t>
      </w:r>
      <w:proofErr w:type="spellEnd"/>
      <w:r w:rsidR="00014BBF" w:rsidRPr="00014BBF">
        <w:rPr>
          <w:rFonts w:ascii="Times New Roman" w:hAnsi="Times New Roman"/>
          <w:sz w:val="24"/>
          <w:szCs w:val="24"/>
        </w:rPr>
        <w:t xml:space="preserve"> pastorale et halieutique.  </w:t>
      </w:r>
    </w:p>
    <w:p w14:paraId="25FCF805" w14:textId="77777777" w:rsidR="00014BBF" w:rsidRPr="00014BBF" w:rsidRDefault="00014BBF" w:rsidP="00014BBF">
      <w:pPr>
        <w:spacing w:after="0" w:line="240" w:lineRule="auto"/>
        <w:contextualSpacing/>
        <w:jc w:val="both"/>
        <w:rPr>
          <w:rFonts w:ascii="Times New Roman" w:hAnsi="Times New Roman"/>
          <w:sz w:val="24"/>
          <w:szCs w:val="24"/>
        </w:rPr>
      </w:pPr>
    </w:p>
    <w:p w14:paraId="74C3A511" w14:textId="6C89EDC0" w:rsidR="00014BBF" w:rsidRPr="00014BBF" w:rsidRDefault="00F32298" w:rsidP="00014BBF">
      <w:pPr>
        <w:spacing w:after="0" w:line="240" w:lineRule="auto"/>
        <w:contextualSpacing/>
        <w:jc w:val="both"/>
        <w:rPr>
          <w:rFonts w:ascii="Times New Roman" w:hAnsi="Times New Roman"/>
          <w:sz w:val="24"/>
          <w:szCs w:val="24"/>
        </w:rPr>
      </w:pPr>
      <w:r w:rsidRPr="00F32298">
        <w:rPr>
          <w:rFonts w:ascii="Times New Roman" w:hAnsi="Times New Roman"/>
          <w:sz w:val="24"/>
          <w:szCs w:val="24"/>
        </w:rPr>
        <w:t>Les taux de mortalité maternelle et néonatale qui sont parmi les plus élevés au monde (respectivement estimé à 860 décès pour 100 000 naissances vivantes pour les sept années précédant l’enquête EDS-MICS 2014-2015 et 33 décès pour 1 000 naissances vivantes  selon MICS6, 2019 ) s’expliquent entre autres, par une insuffisance de la disponibilité et de l’utilisation des Soins Obstétricaux et Néonataux d’Urgence, un faible taux d’accouchements dans les établissements de santé  (27,2%), un faible taux de prévalence moderne de contraception (5%), et le faible pouvoir de décision de la femme et le mariage précoce d’enfant (3 filles sur 5 sont mariées avant l’âge de 18 ans).</w:t>
      </w:r>
      <w:r>
        <w:rPr>
          <w:rFonts w:ascii="Times New Roman" w:hAnsi="Times New Roman"/>
          <w:sz w:val="24"/>
          <w:szCs w:val="24"/>
        </w:rPr>
        <w:t xml:space="preserve"> </w:t>
      </w:r>
      <w:r w:rsidR="005B0DE2" w:rsidRPr="005B0DE2">
        <w:rPr>
          <w:rFonts w:ascii="Times New Roman" w:hAnsi="Times New Roman"/>
          <w:sz w:val="24"/>
          <w:szCs w:val="24"/>
        </w:rPr>
        <w:t>La prévalence du VIH est à 1,2% avec un nombre estimé de personnes vivant avec le VIH à 110 000 (Spectrum 2020) ; 70 % des personnes vivant</w:t>
      </w:r>
      <w:r w:rsidR="005B0DE2">
        <w:rPr>
          <w:rFonts w:ascii="Times New Roman" w:hAnsi="Times New Roman"/>
          <w:sz w:val="24"/>
          <w:szCs w:val="24"/>
        </w:rPr>
        <w:t xml:space="preserve"> avec le VIH</w:t>
      </w:r>
      <w:r w:rsidR="00014BBF" w:rsidRPr="00014BBF">
        <w:rPr>
          <w:rFonts w:ascii="Times New Roman" w:hAnsi="Times New Roman"/>
          <w:sz w:val="24"/>
          <w:szCs w:val="24"/>
        </w:rPr>
        <w:t xml:space="preserve"> sont actuellement sous traitement antirétroviral. Les différentiels de pouvoir structurels et sexistes entre les hommes et les femmes exposent beaucoup plus les femmes et les filles à de multiples formes de violence basées sur le genre dont les formes les plus récurrentes et particulièrement préjudiciables sont : la violence domestique physique (29%) et sexuelle (12%), physique ou sexuelle (32,6%), le mariage d’enfants (69%) et la mutilation génitale féminine (38,4%) dont la lutte pour leur élimination est rendue difficile en raison de l’attachement des communautés à leurs coutumes et traditions culturelles, sociales et religieuses.</w:t>
      </w:r>
    </w:p>
    <w:p w14:paraId="2CD57644" w14:textId="77777777" w:rsidR="00A92C56" w:rsidRDefault="00A92C56" w:rsidP="00014BBF">
      <w:pPr>
        <w:spacing w:after="0" w:line="240" w:lineRule="auto"/>
        <w:contextualSpacing/>
        <w:jc w:val="both"/>
        <w:rPr>
          <w:rFonts w:ascii="Times New Roman" w:hAnsi="Times New Roman"/>
          <w:sz w:val="24"/>
          <w:szCs w:val="24"/>
        </w:rPr>
      </w:pPr>
    </w:p>
    <w:p w14:paraId="4E01D5DF" w14:textId="20A69F6E" w:rsidR="00FB462D" w:rsidRDefault="00306F84" w:rsidP="00406B41">
      <w:pPr>
        <w:spacing w:after="0" w:line="240" w:lineRule="auto"/>
        <w:contextualSpacing/>
        <w:jc w:val="both"/>
        <w:rPr>
          <w:rFonts w:ascii="Times New Roman" w:hAnsi="Times New Roman"/>
          <w:sz w:val="24"/>
          <w:szCs w:val="24"/>
        </w:rPr>
      </w:pPr>
      <w:r w:rsidRPr="00306F84">
        <w:rPr>
          <w:rFonts w:ascii="Times New Roman" w:hAnsi="Times New Roman"/>
          <w:sz w:val="24"/>
          <w:szCs w:val="24"/>
        </w:rPr>
        <w:t xml:space="preserve">En </w:t>
      </w:r>
      <w:r w:rsidR="00653495">
        <w:rPr>
          <w:rFonts w:ascii="Times New Roman" w:hAnsi="Times New Roman"/>
          <w:sz w:val="24"/>
          <w:szCs w:val="24"/>
        </w:rPr>
        <w:t xml:space="preserve">ce qui concerne la santé mère-enfant, </w:t>
      </w:r>
      <w:r w:rsidRPr="00306F84">
        <w:rPr>
          <w:rFonts w:ascii="Times New Roman" w:hAnsi="Times New Roman"/>
          <w:sz w:val="24"/>
          <w:szCs w:val="24"/>
        </w:rPr>
        <w:t xml:space="preserve">le pays connait un </w:t>
      </w:r>
      <w:r w:rsidR="00653495">
        <w:rPr>
          <w:rFonts w:ascii="Times New Roman" w:hAnsi="Times New Roman"/>
          <w:sz w:val="24"/>
          <w:szCs w:val="24"/>
        </w:rPr>
        <w:t xml:space="preserve">des </w:t>
      </w:r>
      <w:r w:rsidRPr="00306F84">
        <w:rPr>
          <w:rFonts w:ascii="Times New Roman" w:hAnsi="Times New Roman"/>
          <w:sz w:val="24"/>
          <w:szCs w:val="24"/>
        </w:rPr>
        <w:t>taux de mortalité maternelle, néonatale et infantile les plus élevés au monde</w:t>
      </w:r>
      <w:r w:rsidR="00653495">
        <w:rPr>
          <w:rFonts w:ascii="Times New Roman" w:hAnsi="Times New Roman"/>
          <w:sz w:val="24"/>
          <w:szCs w:val="24"/>
        </w:rPr>
        <w:t>. D’</w:t>
      </w:r>
      <w:r w:rsidR="007C7A38">
        <w:rPr>
          <w:rFonts w:ascii="Times New Roman" w:hAnsi="Times New Roman"/>
          <w:sz w:val="24"/>
          <w:szCs w:val="24"/>
        </w:rPr>
        <w:t>après</w:t>
      </w:r>
      <w:r w:rsidR="00653495">
        <w:rPr>
          <w:rFonts w:ascii="Times New Roman" w:hAnsi="Times New Roman"/>
          <w:sz w:val="24"/>
          <w:szCs w:val="24"/>
        </w:rPr>
        <w:t xml:space="preserve"> </w:t>
      </w:r>
      <w:r w:rsidRPr="00306F84">
        <w:rPr>
          <w:rFonts w:ascii="Times New Roman" w:hAnsi="Times New Roman"/>
          <w:sz w:val="24"/>
          <w:szCs w:val="24"/>
        </w:rPr>
        <w:t xml:space="preserve">le dernier rapport EDST de </w:t>
      </w:r>
      <w:r w:rsidR="007C7D27">
        <w:rPr>
          <w:rFonts w:ascii="Times New Roman" w:hAnsi="Times New Roman"/>
          <w:sz w:val="24"/>
          <w:szCs w:val="24"/>
        </w:rPr>
        <w:t>2014 -</w:t>
      </w:r>
      <w:r w:rsidRPr="00306F84">
        <w:rPr>
          <w:rFonts w:ascii="Times New Roman" w:hAnsi="Times New Roman"/>
          <w:sz w:val="24"/>
          <w:szCs w:val="24"/>
        </w:rPr>
        <w:t>2015, le taux de mortalité maternelle est de 860/ 100 000 naissances vivantes</w:t>
      </w:r>
      <w:r w:rsidR="007C7A38">
        <w:rPr>
          <w:rFonts w:ascii="Times New Roman" w:hAnsi="Times New Roman"/>
          <w:sz w:val="24"/>
          <w:szCs w:val="24"/>
        </w:rPr>
        <w:t xml:space="preserve">, </w:t>
      </w:r>
      <w:r w:rsidRPr="00306F84">
        <w:rPr>
          <w:rFonts w:ascii="Times New Roman" w:hAnsi="Times New Roman"/>
          <w:sz w:val="24"/>
          <w:szCs w:val="24"/>
        </w:rPr>
        <w:t>les taux de mortalité néonatale et infanto juvénile sont respectivement à 33/1000 naissances vivantes, et 122/1000 naissances vivantes (MICS de 2019-20).</w:t>
      </w:r>
      <w:r w:rsidR="00FB462D">
        <w:rPr>
          <w:rFonts w:ascii="Times New Roman" w:hAnsi="Times New Roman"/>
          <w:sz w:val="24"/>
          <w:szCs w:val="24"/>
        </w:rPr>
        <w:t xml:space="preserve"> </w:t>
      </w:r>
      <w:r w:rsidR="00406B41" w:rsidRPr="00406B41">
        <w:rPr>
          <w:rFonts w:ascii="Times New Roman" w:hAnsi="Times New Roman"/>
          <w:sz w:val="24"/>
          <w:szCs w:val="24"/>
        </w:rPr>
        <w:t>En dépit des efforts faits par le pays au cours de ces dernières, le niveau des indicateurs des services de la santé mère-enfant, demeure bas. D’après le dernier MICS de 2019, le taux de CPN1 est à 67%, alors que le CP</w:t>
      </w:r>
      <w:r w:rsidR="001B23A8">
        <w:rPr>
          <w:rFonts w:ascii="Times New Roman" w:hAnsi="Times New Roman"/>
          <w:sz w:val="24"/>
          <w:szCs w:val="24"/>
        </w:rPr>
        <w:t>N</w:t>
      </w:r>
      <w:r w:rsidR="00406B41" w:rsidRPr="00406B41">
        <w:rPr>
          <w:rFonts w:ascii="Times New Roman" w:hAnsi="Times New Roman"/>
          <w:sz w:val="24"/>
          <w:szCs w:val="24"/>
        </w:rPr>
        <w:t xml:space="preserve">4 à 34% ; le taux d’accouchement n’a pas beaucoup évolué depuis 10 ans et est à 34%.    </w:t>
      </w:r>
    </w:p>
    <w:p w14:paraId="7ABA24E7" w14:textId="3776A4E1" w:rsidR="00406B41" w:rsidRPr="00406B41" w:rsidRDefault="00406B41" w:rsidP="00406B41">
      <w:pPr>
        <w:spacing w:after="0" w:line="240" w:lineRule="auto"/>
        <w:contextualSpacing/>
        <w:jc w:val="both"/>
        <w:rPr>
          <w:rFonts w:ascii="Times New Roman" w:hAnsi="Times New Roman"/>
          <w:sz w:val="24"/>
          <w:szCs w:val="24"/>
        </w:rPr>
      </w:pPr>
      <w:r w:rsidRPr="00406B41">
        <w:rPr>
          <w:rFonts w:ascii="Times New Roman" w:hAnsi="Times New Roman"/>
          <w:sz w:val="24"/>
          <w:szCs w:val="24"/>
        </w:rPr>
        <w:t xml:space="preserve">Dans le domaine de la nutrition, les résultats de l’Enquête par grappes à indicateurs multiples (MICS) 2019, montrent une légère réduction du taux de malnutrition chronique et une légère augmentation du taux d’allaitement exclusif par rapport à celle de 2014. La malnutrition chronique est passée de 40% en 2014 à 37,8% en 2019.  De même que le taux d’allaitement exclusif est passé de 0,3% en 2014 à 16,2% en 2019.  </w:t>
      </w:r>
      <w:proofErr w:type="gramStart"/>
      <w:r w:rsidRPr="00406B41">
        <w:rPr>
          <w:rFonts w:ascii="Times New Roman" w:hAnsi="Times New Roman"/>
          <w:sz w:val="24"/>
          <w:szCs w:val="24"/>
        </w:rPr>
        <w:t>Par contre</w:t>
      </w:r>
      <w:proofErr w:type="gramEnd"/>
      <w:r w:rsidRPr="00406B41">
        <w:rPr>
          <w:rFonts w:ascii="Times New Roman" w:hAnsi="Times New Roman"/>
          <w:sz w:val="24"/>
          <w:szCs w:val="24"/>
        </w:rPr>
        <w:t xml:space="preserve">, le taux de malnutrition aigüe ne fait que s’empirer : il est passé de 13% en 2014 à 13,9% en 2019. </w:t>
      </w:r>
    </w:p>
    <w:p w14:paraId="52269D70" w14:textId="77777777" w:rsidR="00406B41" w:rsidRPr="00406B41" w:rsidRDefault="00406B41" w:rsidP="00406B41">
      <w:pPr>
        <w:spacing w:after="0" w:line="240" w:lineRule="auto"/>
        <w:contextualSpacing/>
        <w:jc w:val="both"/>
        <w:rPr>
          <w:rFonts w:ascii="Times New Roman" w:hAnsi="Times New Roman"/>
          <w:sz w:val="24"/>
          <w:szCs w:val="24"/>
        </w:rPr>
      </w:pPr>
    </w:p>
    <w:p w14:paraId="2E72C4B4" w14:textId="77777777" w:rsidR="00406B41" w:rsidRPr="00406B41" w:rsidRDefault="00406B41" w:rsidP="00406B41">
      <w:pPr>
        <w:spacing w:after="0" w:line="240" w:lineRule="auto"/>
        <w:contextualSpacing/>
        <w:jc w:val="both"/>
        <w:rPr>
          <w:rFonts w:ascii="Times New Roman" w:hAnsi="Times New Roman"/>
          <w:sz w:val="24"/>
          <w:szCs w:val="24"/>
        </w:rPr>
      </w:pPr>
      <w:r w:rsidRPr="00406B41">
        <w:rPr>
          <w:rFonts w:ascii="Times New Roman" w:hAnsi="Times New Roman"/>
          <w:sz w:val="24"/>
          <w:szCs w:val="24"/>
        </w:rPr>
        <w:lastRenderedPageBreak/>
        <w:t xml:space="preserve">Concernant la vaccination, de manière générale, les performances du programme n’ont pas été satisfaisantes car les objectifs fixés dans le plan pluriannuel complet ou </w:t>
      </w:r>
      <w:proofErr w:type="spellStart"/>
      <w:r w:rsidRPr="00406B41">
        <w:rPr>
          <w:rFonts w:ascii="Times New Roman" w:hAnsi="Times New Roman"/>
          <w:sz w:val="24"/>
          <w:szCs w:val="24"/>
        </w:rPr>
        <w:t>PPAc</w:t>
      </w:r>
      <w:proofErr w:type="spellEnd"/>
      <w:r w:rsidRPr="00406B41">
        <w:rPr>
          <w:rFonts w:ascii="Times New Roman" w:hAnsi="Times New Roman"/>
          <w:sz w:val="24"/>
          <w:szCs w:val="24"/>
        </w:rPr>
        <w:t xml:space="preserve"> 2018-2022 n’ont pas été atteints. Le programme a accusé un certain nombre de faiblesses dont les plus importantes sont  entre autres liées à l’insuffisance de la mise en œuvre de l’approche Atteindre Chaque District (ACD), à l’approvisionnement irrégulier en vaccins et autres intrants au niveau opérationnel dû à une mauvaise gestion, à l’insuffisance des supervisions formatives de qualité au niveau intermédiaire et opérationnel, à la non atteinte des enfants dans les zones de responsabilité d’accès difficile, à l’instabilité et démotivation du personnel, à une logistique insuffisante pour la mise en œuvre des activités du PEV. Les données administratives de couverture vaccinale au 18 octobre 2021 de quelques antigènes traceurs du programme sont de 79% pour la 3ème dose du vaccin pentavalent, 81% pour le vaccin BCG et de 71% pour le vaccin contre la rougeole. Cette insuffisance de performance du programme explique la récurrence de flambées épidémiques auxquelles est confronté le pays depuis de nombreuses années</w:t>
      </w:r>
    </w:p>
    <w:p w14:paraId="0013B677" w14:textId="77777777" w:rsidR="006C2024" w:rsidRDefault="006C2024" w:rsidP="00406B41">
      <w:pPr>
        <w:spacing w:after="0" w:line="240" w:lineRule="auto"/>
        <w:contextualSpacing/>
        <w:jc w:val="both"/>
        <w:rPr>
          <w:rFonts w:ascii="Times New Roman" w:hAnsi="Times New Roman"/>
          <w:sz w:val="24"/>
          <w:szCs w:val="24"/>
        </w:rPr>
      </w:pPr>
    </w:p>
    <w:p w14:paraId="451D6413" w14:textId="77777777" w:rsidR="008E5E94" w:rsidRDefault="00406B41" w:rsidP="00406B41">
      <w:pPr>
        <w:spacing w:after="0" w:line="240" w:lineRule="auto"/>
        <w:contextualSpacing/>
        <w:jc w:val="both"/>
        <w:rPr>
          <w:rFonts w:ascii="Times New Roman" w:hAnsi="Times New Roman"/>
          <w:sz w:val="24"/>
          <w:szCs w:val="24"/>
        </w:rPr>
      </w:pPr>
      <w:r w:rsidRPr="00406B41">
        <w:rPr>
          <w:rFonts w:ascii="Times New Roman" w:hAnsi="Times New Roman"/>
          <w:sz w:val="24"/>
          <w:szCs w:val="24"/>
        </w:rPr>
        <w:t>Selon la Carte Sanitaire 2019-2025, le ratio médecin par habitants sur le plan national est de 26 712 alors que la norme OMS est de 1 médecin pour 10 000 habitants. Pour les Sages-femmes diplômée d’Etat (SFDE), la moyenne nationale est de 1 SFDE pour 5 707 femmes en âge de procréer. Ce ratio dépasse nettement la norme de l’OMS qui est de 1 SFDE pour 3 000 FEAP mais ce nécessite la gestion rationnelle. S’agissant des infirmiers qualifiés, on enregistre un ratio d’un (1) infirmier qualifié pour 5983 habitants ; ce qui est proche de la norme OMS qui est de 1 infirmier qualifié pour 5000 habitants.</w:t>
      </w:r>
    </w:p>
    <w:p w14:paraId="03F10044" w14:textId="5ABB8F03" w:rsidR="00406B41" w:rsidRPr="00406B41" w:rsidRDefault="00406B41" w:rsidP="00406B41">
      <w:pPr>
        <w:spacing w:after="0" w:line="240" w:lineRule="auto"/>
        <w:contextualSpacing/>
        <w:jc w:val="both"/>
        <w:rPr>
          <w:rFonts w:ascii="Times New Roman" w:hAnsi="Times New Roman"/>
          <w:sz w:val="24"/>
          <w:szCs w:val="24"/>
        </w:rPr>
      </w:pPr>
      <w:r w:rsidRPr="00406B41">
        <w:rPr>
          <w:rFonts w:ascii="Times New Roman" w:hAnsi="Times New Roman"/>
          <w:sz w:val="24"/>
          <w:szCs w:val="24"/>
        </w:rPr>
        <w:t xml:space="preserve"> La densité moyenne du personnel soignant (médecine, infirmier, sage-femme, laborantine…) pour 10 000 habitants est de 2,52 sur le plan national alors que la norme OMS stipule qu’elle soit de 4,45 pour 10 000 habitants. Cette situation déclinée sur le plan national masque toutefois des disparités interprovinciales dont les moyens peuvent aller au-delà le double de la moyenne nationale. </w:t>
      </w:r>
    </w:p>
    <w:p w14:paraId="4DB5E6DF" w14:textId="7DF92DDC" w:rsidR="00BB76BD" w:rsidRDefault="00BB76BD" w:rsidP="00014BBF">
      <w:pPr>
        <w:spacing w:after="0" w:line="240" w:lineRule="auto"/>
        <w:contextualSpacing/>
        <w:jc w:val="both"/>
        <w:rPr>
          <w:rFonts w:ascii="Times New Roman" w:hAnsi="Times New Roman"/>
          <w:sz w:val="24"/>
          <w:szCs w:val="24"/>
        </w:rPr>
      </w:pPr>
    </w:p>
    <w:p w14:paraId="22D75635" w14:textId="2BEF83A6" w:rsidR="004A2D54" w:rsidRDefault="008E5E94" w:rsidP="008E5E94">
      <w:pPr>
        <w:spacing w:after="0" w:line="240" w:lineRule="auto"/>
        <w:contextualSpacing/>
        <w:jc w:val="both"/>
        <w:rPr>
          <w:rFonts w:ascii="Times New Roman" w:hAnsi="Times New Roman"/>
          <w:sz w:val="24"/>
          <w:szCs w:val="24"/>
        </w:rPr>
      </w:pPr>
      <w:r>
        <w:rPr>
          <w:rFonts w:ascii="Times New Roman" w:hAnsi="Times New Roman"/>
          <w:sz w:val="24"/>
          <w:szCs w:val="24"/>
        </w:rPr>
        <w:t xml:space="preserve">En ce qui concerne la pandémie de </w:t>
      </w:r>
      <w:proofErr w:type="spellStart"/>
      <w:r>
        <w:rPr>
          <w:rFonts w:ascii="Times New Roman" w:hAnsi="Times New Roman"/>
          <w:sz w:val="24"/>
          <w:szCs w:val="24"/>
        </w:rPr>
        <w:t>Covid</w:t>
      </w:r>
      <w:proofErr w:type="spellEnd"/>
      <w:r>
        <w:rPr>
          <w:rFonts w:ascii="Times New Roman" w:hAnsi="Times New Roman"/>
          <w:sz w:val="24"/>
          <w:szCs w:val="24"/>
        </w:rPr>
        <w:t xml:space="preserve"> 19, elle a été toujours très modérée au Tchad si on la compare avec plusieurs autres pays africains surtout à l’est, au sud, au nord et même à l’ouest d continent. </w:t>
      </w:r>
    </w:p>
    <w:p w14:paraId="2606F8DE" w14:textId="07CF0AAB" w:rsidR="008E5E94" w:rsidRDefault="008E5E94" w:rsidP="008E5E94">
      <w:pPr>
        <w:spacing w:after="0" w:line="240" w:lineRule="auto"/>
        <w:contextualSpacing/>
        <w:jc w:val="both"/>
        <w:rPr>
          <w:rFonts w:ascii="Times New Roman" w:hAnsi="Times New Roman"/>
          <w:sz w:val="24"/>
          <w:szCs w:val="24"/>
        </w:rPr>
      </w:pPr>
      <w:r>
        <w:rPr>
          <w:rFonts w:ascii="Times New Roman" w:hAnsi="Times New Roman"/>
          <w:sz w:val="24"/>
          <w:szCs w:val="24"/>
        </w:rPr>
        <w:t xml:space="preserve">En effet, depuis le premier cas index </w:t>
      </w:r>
      <w:r w:rsidR="00A61648">
        <w:rPr>
          <w:rFonts w:ascii="Times New Roman" w:hAnsi="Times New Roman"/>
          <w:sz w:val="24"/>
          <w:szCs w:val="24"/>
        </w:rPr>
        <w:t xml:space="preserve">notifié </w:t>
      </w:r>
      <w:r>
        <w:rPr>
          <w:rFonts w:ascii="Times New Roman" w:hAnsi="Times New Roman"/>
          <w:sz w:val="24"/>
          <w:szCs w:val="24"/>
        </w:rPr>
        <w:t xml:space="preserve">le 19 mars 2020, </w:t>
      </w:r>
      <w:r w:rsidRPr="008E5E94">
        <w:rPr>
          <w:rFonts w:ascii="Times New Roman" w:hAnsi="Times New Roman"/>
          <w:sz w:val="24"/>
          <w:szCs w:val="24"/>
        </w:rPr>
        <w:t xml:space="preserve">5105 cas </w:t>
      </w:r>
      <w:r w:rsidR="00A61648">
        <w:rPr>
          <w:rFonts w:ascii="Times New Roman" w:hAnsi="Times New Roman"/>
          <w:sz w:val="24"/>
          <w:szCs w:val="24"/>
        </w:rPr>
        <w:t xml:space="preserve">ont été </w:t>
      </w:r>
      <w:r w:rsidRPr="008E5E94">
        <w:rPr>
          <w:rFonts w:ascii="Times New Roman" w:hAnsi="Times New Roman"/>
          <w:sz w:val="24"/>
          <w:szCs w:val="24"/>
        </w:rPr>
        <w:t xml:space="preserve">confirmés dans 20 </w:t>
      </w:r>
      <w:r w:rsidRPr="006A1087">
        <w:rPr>
          <w:rFonts w:ascii="Times New Roman" w:hAnsi="Times New Roman"/>
          <w:sz w:val="24"/>
          <w:szCs w:val="24"/>
        </w:rPr>
        <w:t xml:space="preserve">Provinces </w:t>
      </w:r>
      <w:r w:rsidR="006A1087" w:rsidRPr="00231235">
        <w:rPr>
          <w:rFonts w:ascii="Times New Roman" w:hAnsi="Times New Roman"/>
          <w:sz w:val="24"/>
          <w:szCs w:val="24"/>
        </w:rPr>
        <w:t>sur 23</w:t>
      </w:r>
      <w:r w:rsidR="006A1087">
        <w:rPr>
          <w:rFonts w:ascii="Times New Roman" w:hAnsi="Times New Roman"/>
          <w:sz w:val="24"/>
          <w:szCs w:val="24"/>
        </w:rPr>
        <w:t xml:space="preserve"> </w:t>
      </w:r>
      <w:r w:rsidR="00A61648" w:rsidRPr="00A61648">
        <w:rPr>
          <w:rFonts w:ascii="Times New Roman" w:hAnsi="Times New Roman"/>
          <w:sz w:val="24"/>
          <w:szCs w:val="24"/>
        </w:rPr>
        <w:t>dont 203 (4,0%) personnels de santé.</w:t>
      </w:r>
      <w:r>
        <w:rPr>
          <w:rFonts w:ascii="Times New Roman" w:hAnsi="Times New Roman"/>
          <w:sz w:val="24"/>
          <w:szCs w:val="24"/>
        </w:rPr>
        <w:t xml:space="preserve"> </w:t>
      </w:r>
      <w:r w:rsidR="00A61648">
        <w:rPr>
          <w:rFonts w:ascii="Times New Roman" w:hAnsi="Times New Roman"/>
          <w:sz w:val="24"/>
          <w:szCs w:val="24"/>
        </w:rPr>
        <w:t xml:space="preserve"> </w:t>
      </w:r>
      <w:r>
        <w:rPr>
          <w:rFonts w:ascii="Times New Roman" w:hAnsi="Times New Roman"/>
          <w:sz w:val="24"/>
          <w:szCs w:val="24"/>
        </w:rPr>
        <w:t xml:space="preserve">Le pays a enregistré </w:t>
      </w:r>
      <w:r w:rsidRPr="008E5E94">
        <w:rPr>
          <w:rFonts w:ascii="Times New Roman" w:hAnsi="Times New Roman"/>
          <w:sz w:val="24"/>
          <w:szCs w:val="24"/>
        </w:rPr>
        <w:t xml:space="preserve">176 décès soit une létalité de 3,4 </w:t>
      </w:r>
      <w:r w:rsidR="00A61648" w:rsidRPr="008E5E94">
        <w:rPr>
          <w:rFonts w:ascii="Times New Roman" w:hAnsi="Times New Roman"/>
          <w:sz w:val="24"/>
          <w:szCs w:val="24"/>
        </w:rPr>
        <w:t>%</w:t>
      </w:r>
      <w:r w:rsidR="00A61648">
        <w:rPr>
          <w:rFonts w:ascii="Times New Roman" w:hAnsi="Times New Roman"/>
          <w:sz w:val="24"/>
          <w:szCs w:val="24"/>
        </w:rPr>
        <w:t>) et 4912</w:t>
      </w:r>
      <w:r w:rsidRPr="008E5E94">
        <w:rPr>
          <w:rFonts w:ascii="Times New Roman" w:hAnsi="Times New Roman"/>
          <w:sz w:val="24"/>
          <w:szCs w:val="24"/>
        </w:rPr>
        <w:t xml:space="preserve"> (96,2 %) cas confirmés guéris.</w:t>
      </w:r>
      <w:r w:rsidR="004A2D54">
        <w:rPr>
          <w:rFonts w:ascii="Times New Roman" w:hAnsi="Times New Roman"/>
          <w:sz w:val="24"/>
          <w:szCs w:val="24"/>
        </w:rPr>
        <w:t xml:space="preserve"> </w:t>
      </w:r>
    </w:p>
    <w:p w14:paraId="60AD2267" w14:textId="78DAB392" w:rsidR="006A1087" w:rsidRDefault="00E61A1D" w:rsidP="00A61648">
      <w:pPr>
        <w:spacing w:after="0" w:line="240" w:lineRule="auto"/>
        <w:contextualSpacing/>
        <w:jc w:val="both"/>
        <w:rPr>
          <w:rFonts w:ascii="Times New Roman" w:hAnsi="Times New Roman"/>
          <w:sz w:val="24"/>
          <w:szCs w:val="24"/>
        </w:rPr>
      </w:pPr>
      <w:r>
        <w:rPr>
          <w:rFonts w:ascii="Times New Roman" w:hAnsi="Times New Roman"/>
          <w:sz w:val="24"/>
          <w:szCs w:val="24"/>
        </w:rPr>
        <w:t xml:space="preserve">Il faut noter </w:t>
      </w:r>
      <w:r w:rsidR="00A61648" w:rsidRPr="00A61648">
        <w:rPr>
          <w:rFonts w:ascii="Times New Roman" w:hAnsi="Times New Roman"/>
          <w:sz w:val="24"/>
          <w:szCs w:val="24"/>
        </w:rPr>
        <w:t>que le taux d’utilisation des services de santé a chuté de 35% en 2019 à 23,5% en 2020</w:t>
      </w:r>
      <w:r w:rsidR="004A2D54">
        <w:rPr>
          <w:rFonts w:ascii="Times New Roman" w:hAnsi="Times New Roman"/>
          <w:sz w:val="24"/>
          <w:szCs w:val="24"/>
        </w:rPr>
        <w:t xml:space="preserve"> à cause certainement de la pandémie</w:t>
      </w:r>
      <w:r>
        <w:rPr>
          <w:rFonts w:ascii="Times New Roman" w:hAnsi="Times New Roman"/>
          <w:sz w:val="24"/>
          <w:szCs w:val="24"/>
        </w:rPr>
        <w:t xml:space="preserve"> de </w:t>
      </w:r>
      <w:proofErr w:type="spellStart"/>
      <w:r>
        <w:rPr>
          <w:rFonts w:ascii="Times New Roman" w:hAnsi="Times New Roman"/>
          <w:sz w:val="24"/>
          <w:szCs w:val="24"/>
        </w:rPr>
        <w:t>Covid</w:t>
      </w:r>
      <w:proofErr w:type="spellEnd"/>
      <w:r>
        <w:rPr>
          <w:rFonts w:ascii="Times New Roman" w:hAnsi="Times New Roman"/>
          <w:sz w:val="24"/>
          <w:szCs w:val="24"/>
        </w:rPr>
        <w:t xml:space="preserve"> 19</w:t>
      </w:r>
      <w:r w:rsidR="004A2D54">
        <w:rPr>
          <w:rFonts w:ascii="Times New Roman" w:hAnsi="Times New Roman"/>
          <w:sz w:val="24"/>
          <w:szCs w:val="24"/>
        </w:rPr>
        <w:t xml:space="preserve">. </w:t>
      </w:r>
      <w:r w:rsidR="00A61648">
        <w:rPr>
          <w:rFonts w:ascii="Times New Roman" w:hAnsi="Times New Roman"/>
          <w:sz w:val="24"/>
          <w:szCs w:val="24"/>
        </w:rPr>
        <w:t xml:space="preserve"> </w:t>
      </w:r>
    </w:p>
    <w:p w14:paraId="3F344D09" w14:textId="77777777" w:rsidR="006A1087" w:rsidRDefault="006A1087" w:rsidP="00A61648">
      <w:pPr>
        <w:spacing w:after="0" w:line="240" w:lineRule="auto"/>
        <w:contextualSpacing/>
        <w:jc w:val="both"/>
        <w:rPr>
          <w:rFonts w:ascii="Times New Roman" w:hAnsi="Times New Roman"/>
          <w:sz w:val="24"/>
          <w:szCs w:val="24"/>
        </w:rPr>
      </w:pPr>
    </w:p>
    <w:p w14:paraId="330DED2A" w14:textId="25C49976" w:rsidR="00A61648" w:rsidRDefault="00A61648" w:rsidP="00A61648">
      <w:pPr>
        <w:spacing w:after="0" w:line="240" w:lineRule="auto"/>
        <w:contextualSpacing/>
        <w:jc w:val="both"/>
        <w:rPr>
          <w:rFonts w:ascii="Times New Roman" w:hAnsi="Times New Roman"/>
          <w:sz w:val="24"/>
          <w:szCs w:val="24"/>
        </w:rPr>
      </w:pPr>
      <w:r>
        <w:rPr>
          <w:rFonts w:ascii="Times New Roman" w:hAnsi="Times New Roman"/>
          <w:sz w:val="24"/>
          <w:szCs w:val="24"/>
        </w:rPr>
        <w:t xml:space="preserve">Le lancement de la campagne de vaccination contre la </w:t>
      </w:r>
      <w:proofErr w:type="spellStart"/>
      <w:r>
        <w:rPr>
          <w:rFonts w:ascii="Times New Roman" w:hAnsi="Times New Roman"/>
          <w:sz w:val="24"/>
          <w:szCs w:val="24"/>
        </w:rPr>
        <w:t>Covid</w:t>
      </w:r>
      <w:proofErr w:type="spellEnd"/>
      <w:r>
        <w:rPr>
          <w:rFonts w:ascii="Times New Roman" w:hAnsi="Times New Roman"/>
          <w:sz w:val="24"/>
          <w:szCs w:val="24"/>
        </w:rPr>
        <w:t xml:space="preserve"> 19 a eu </w:t>
      </w:r>
      <w:r w:rsidR="006A1087">
        <w:rPr>
          <w:rFonts w:ascii="Times New Roman" w:hAnsi="Times New Roman"/>
          <w:sz w:val="24"/>
          <w:szCs w:val="24"/>
        </w:rPr>
        <w:t>lieu</w:t>
      </w:r>
      <w:r>
        <w:rPr>
          <w:rFonts w:ascii="Times New Roman" w:hAnsi="Times New Roman"/>
          <w:sz w:val="24"/>
          <w:szCs w:val="24"/>
        </w:rPr>
        <w:t xml:space="preserve"> en juin</w:t>
      </w:r>
      <w:r w:rsidR="006A1087">
        <w:rPr>
          <w:rFonts w:ascii="Times New Roman" w:hAnsi="Times New Roman"/>
          <w:sz w:val="24"/>
          <w:szCs w:val="24"/>
        </w:rPr>
        <w:t xml:space="preserve"> 2021</w:t>
      </w:r>
      <w:r>
        <w:rPr>
          <w:rFonts w:ascii="Times New Roman" w:hAnsi="Times New Roman"/>
          <w:sz w:val="24"/>
          <w:szCs w:val="24"/>
        </w:rPr>
        <w:t>. Il f</w:t>
      </w:r>
      <w:r w:rsidR="006A1087">
        <w:rPr>
          <w:rFonts w:ascii="Times New Roman" w:hAnsi="Times New Roman"/>
          <w:sz w:val="24"/>
          <w:szCs w:val="24"/>
        </w:rPr>
        <w:t xml:space="preserve">aut </w:t>
      </w:r>
      <w:r>
        <w:rPr>
          <w:rFonts w:ascii="Times New Roman" w:hAnsi="Times New Roman"/>
          <w:sz w:val="24"/>
          <w:szCs w:val="24"/>
        </w:rPr>
        <w:t>noter que l’objectif est d’</w:t>
      </w:r>
      <w:r w:rsidRPr="00A61648">
        <w:rPr>
          <w:rFonts w:ascii="Times New Roman" w:hAnsi="Times New Roman"/>
          <w:sz w:val="24"/>
          <w:szCs w:val="24"/>
        </w:rPr>
        <w:t xml:space="preserve">immuniser au moins 30% de la population cible en 2021 </w:t>
      </w:r>
      <w:r w:rsidR="006A1087" w:rsidRPr="00A61648">
        <w:rPr>
          <w:rFonts w:ascii="Times New Roman" w:hAnsi="Times New Roman"/>
          <w:sz w:val="24"/>
          <w:szCs w:val="24"/>
        </w:rPr>
        <w:t>pour</w:t>
      </w:r>
      <w:r w:rsidR="006A1087">
        <w:rPr>
          <w:rFonts w:ascii="Times New Roman" w:hAnsi="Times New Roman"/>
          <w:sz w:val="24"/>
          <w:szCs w:val="24"/>
        </w:rPr>
        <w:t xml:space="preserve"> </w:t>
      </w:r>
      <w:r w:rsidR="006A1087" w:rsidRPr="00A61648">
        <w:rPr>
          <w:rFonts w:ascii="Times New Roman" w:hAnsi="Times New Roman"/>
          <w:sz w:val="24"/>
          <w:szCs w:val="24"/>
        </w:rPr>
        <w:t>arriver</w:t>
      </w:r>
      <w:r w:rsidRPr="00A61648">
        <w:rPr>
          <w:rFonts w:ascii="Times New Roman" w:hAnsi="Times New Roman"/>
          <w:sz w:val="24"/>
          <w:szCs w:val="24"/>
        </w:rPr>
        <w:t xml:space="preserve"> à 60% en fin 2022</w:t>
      </w:r>
      <w:r>
        <w:rPr>
          <w:rFonts w:ascii="Times New Roman" w:hAnsi="Times New Roman"/>
          <w:sz w:val="24"/>
          <w:szCs w:val="24"/>
        </w:rPr>
        <w:t>. Néanmoins ces cibles sont loin d’</w:t>
      </w:r>
      <w:r w:rsidR="006A1087">
        <w:rPr>
          <w:rFonts w:ascii="Times New Roman" w:hAnsi="Times New Roman"/>
          <w:sz w:val="24"/>
          <w:szCs w:val="24"/>
        </w:rPr>
        <w:t>être</w:t>
      </w:r>
      <w:r>
        <w:rPr>
          <w:rFonts w:ascii="Times New Roman" w:hAnsi="Times New Roman"/>
          <w:sz w:val="24"/>
          <w:szCs w:val="24"/>
        </w:rPr>
        <w:t xml:space="preserve"> </w:t>
      </w:r>
      <w:r w:rsidR="006A1087">
        <w:rPr>
          <w:rFonts w:ascii="Times New Roman" w:hAnsi="Times New Roman"/>
          <w:sz w:val="24"/>
          <w:szCs w:val="24"/>
        </w:rPr>
        <w:t>atteintes</w:t>
      </w:r>
      <w:r>
        <w:rPr>
          <w:rFonts w:ascii="Times New Roman" w:hAnsi="Times New Roman"/>
          <w:sz w:val="24"/>
          <w:szCs w:val="24"/>
        </w:rPr>
        <w:t xml:space="preserve"> car </w:t>
      </w:r>
      <w:r w:rsidR="006A1087">
        <w:rPr>
          <w:rFonts w:ascii="Times New Roman" w:hAnsi="Times New Roman"/>
          <w:sz w:val="24"/>
          <w:szCs w:val="24"/>
        </w:rPr>
        <w:t xml:space="preserve">pour le moment le taux de vaccination contre la </w:t>
      </w:r>
      <w:proofErr w:type="spellStart"/>
      <w:r w:rsidR="006A1087">
        <w:rPr>
          <w:rFonts w:ascii="Times New Roman" w:hAnsi="Times New Roman"/>
          <w:sz w:val="24"/>
          <w:szCs w:val="24"/>
        </w:rPr>
        <w:t>Covid</w:t>
      </w:r>
      <w:proofErr w:type="spellEnd"/>
      <w:r w:rsidR="006A1087">
        <w:rPr>
          <w:rFonts w:ascii="Times New Roman" w:hAnsi="Times New Roman"/>
          <w:sz w:val="24"/>
          <w:szCs w:val="24"/>
        </w:rPr>
        <w:t xml:space="preserve"> 19 n’est que de 0,3% </w:t>
      </w:r>
      <w:r w:rsidR="006A1087">
        <w:rPr>
          <w:rFonts w:ascii="Times New Roman" w:hAnsi="Times New Roman"/>
          <w:sz w:val="24"/>
          <w:szCs w:val="24"/>
        </w:rPr>
        <w:tab/>
      </w:r>
      <w:r w:rsidR="004A2D54">
        <w:rPr>
          <w:rFonts w:ascii="Times New Roman" w:hAnsi="Times New Roman"/>
          <w:sz w:val="24"/>
          <w:szCs w:val="24"/>
        </w:rPr>
        <w:t>, toute population cible confondue.</w:t>
      </w:r>
    </w:p>
    <w:p w14:paraId="3F719B17" w14:textId="77777777" w:rsidR="008E5E94" w:rsidRPr="00014BBF" w:rsidRDefault="008E5E94" w:rsidP="00014BBF">
      <w:pPr>
        <w:spacing w:after="0" w:line="240" w:lineRule="auto"/>
        <w:contextualSpacing/>
        <w:jc w:val="both"/>
        <w:rPr>
          <w:rFonts w:ascii="Times New Roman" w:hAnsi="Times New Roman"/>
          <w:sz w:val="24"/>
          <w:szCs w:val="24"/>
        </w:rPr>
      </w:pPr>
    </w:p>
    <w:p w14:paraId="10A0616F" w14:textId="77777777" w:rsidR="00014BBF" w:rsidRPr="00014BBF" w:rsidRDefault="00014BBF" w:rsidP="00014BBF">
      <w:pPr>
        <w:spacing w:after="0" w:line="240" w:lineRule="auto"/>
        <w:contextualSpacing/>
        <w:jc w:val="both"/>
        <w:rPr>
          <w:rFonts w:ascii="Times New Roman" w:hAnsi="Times New Roman"/>
          <w:sz w:val="24"/>
          <w:szCs w:val="24"/>
        </w:rPr>
      </w:pPr>
      <w:r w:rsidRPr="00014BBF">
        <w:rPr>
          <w:rFonts w:ascii="Times New Roman" w:hAnsi="Times New Roman"/>
          <w:sz w:val="24"/>
          <w:szCs w:val="24"/>
        </w:rPr>
        <w:t xml:space="preserve">En matière de protection sociale, suivant le rapport 2017-2019 du Bureau International du Travail, le Tchad a ratifié les conventions internationales sur les garanties de protection sociale pour la pension retraite, les accidents de travail, les subventions aux familles, l’invalidité et les survivants.  Suivant le même rapport, néanmoins seulement 1,6% de la population âgée du Tchad est couverte par le socle de protection sociale et le pays dépense 0,1% du Produit Intérieur Brut sur la protection sociale (sans prendre en compte les dépenses de santé et d’éducation). </w:t>
      </w:r>
    </w:p>
    <w:p w14:paraId="64C35035" w14:textId="77777777" w:rsidR="002F718D" w:rsidRDefault="002F718D" w:rsidP="00014BBF">
      <w:pPr>
        <w:spacing w:after="0" w:line="240" w:lineRule="auto"/>
        <w:contextualSpacing/>
        <w:jc w:val="both"/>
        <w:rPr>
          <w:rFonts w:ascii="Times New Roman" w:hAnsi="Times New Roman"/>
          <w:sz w:val="24"/>
          <w:szCs w:val="24"/>
        </w:rPr>
      </w:pPr>
    </w:p>
    <w:p w14:paraId="73C6944C" w14:textId="73537BDA" w:rsidR="00014BBF" w:rsidRPr="00014BBF" w:rsidRDefault="00014BBF" w:rsidP="00014BBF">
      <w:pPr>
        <w:spacing w:after="0" w:line="240" w:lineRule="auto"/>
        <w:contextualSpacing/>
        <w:jc w:val="both"/>
        <w:rPr>
          <w:rFonts w:ascii="Times New Roman" w:hAnsi="Times New Roman"/>
          <w:sz w:val="24"/>
          <w:szCs w:val="24"/>
        </w:rPr>
      </w:pPr>
      <w:r w:rsidRPr="00014BBF">
        <w:rPr>
          <w:rFonts w:ascii="Times New Roman" w:hAnsi="Times New Roman"/>
          <w:sz w:val="24"/>
          <w:szCs w:val="24"/>
        </w:rPr>
        <w:lastRenderedPageBreak/>
        <w:t>Le Tchad a élaboré et mis en œuvre une Stratégie Nationale de Protection Sociale sur la période 2016-2020. Cette stratégie en cours de révision vise à mettre en place un système de protection sociale couvrant les risques, réduisant la vulnérabilité et améliorant l'accès de tous aux services sociaux de base. Au terme de sa mise en œuvre, force est de constater que même si des avancées notables ont été enregistrées dans certains domaines, beaucoup d’efforts sont encore nécessaires pour atteindre les objectifs fixés. Les périodes de déficit alimentaire saisonniers, les sécheresses ou les inondations exposent les populations déjà vulnérables aux aléas climatiques et réduisent leur capacité de faire face aux crises aigues, en accentuant ainsi leur vulnérabilité future. Le manque de filets sociaux et de programmes à large échelle de résilience comporte un risque d’accroissement irréversible de la population vulnérable surtout dans les zones rurales menacées par le changement climatique.</w:t>
      </w:r>
    </w:p>
    <w:p w14:paraId="2434118F" w14:textId="77777777" w:rsidR="00014BBF" w:rsidRPr="00014BBF" w:rsidRDefault="00014BBF" w:rsidP="00014BBF">
      <w:pPr>
        <w:spacing w:after="0" w:line="240" w:lineRule="auto"/>
        <w:contextualSpacing/>
        <w:jc w:val="both"/>
        <w:rPr>
          <w:rFonts w:ascii="Times New Roman" w:hAnsi="Times New Roman"/>
          <w:sz w:val="24"/>
          <w:szCs w:val="24"/>
        </w:rPr>
      </w:pPr>
      <w:r w:rsidRPr="00014BBF">
        <w:rPr>
          <w:rFonts w:ascii="Times New Roman" w:hAnsi="Times New Roman"/>
          <w:sz w:val="24"/>
          <w:szCs w:val="24"/>
        </w:rPr>
        <w:t xml:space="preserve">Cependant, il y a eu des avancées importantes en matière de protection sociale au Tchad qui portent sur les filets sociaux et la couverture sanitaire universelle. En matière de filets sociaux, deux évolutions majeures sont à noter. Primo, la mise en place progressive de programmes de filets sociaux réguliers et adaptatifs aux chocs, au travers notamment du Projet Pilote de Filets Sociaux, du Projet d’Appui aux Réfugiés et Communautés d’Accueil ; et du Programme de Développement Inclusif des Zones d’Accueil, avec des transferts monétaires réguliers et des mesures d’accompagnement pour la lutte contre la pauvreté et le développement du capital humain. Secundo, le processus d’élaboration du Registre Social Unifié qui à terme, regroupera l’ensemble des personnes vulnérables au Tchad dans une base de données en ligne, facilitant ainsi le ciblage rapide des personnes vulnérables pour les différents programmes. </w:t>
      </w:r>
    </w:p>
    <w:p w14:paraId="7C926ECA" w14:textId="77777777" w:rsidR="00014BBF" w:rsidRPr="00014BBF" w:rsidRDefault="00014BBF" w:rsidP="00014BBF">
      <w:pPr>
        <w:spacing w:after="0" w:line="240" w:lineRule="auto"/>
        <w:contextualSpacing/>
        <w:jc w:val="both"/>
        <w:rPr>
          <w:rFonts w:ascii="Times New Roman" w:hAnsi="Times New Roman"/>
          <w:sz w:val="24"/>
          <w:szCs w:val="24"/>
        </w:rPr>
      </w:pPr>
      <w:r w:rsidRPr="00014BBF">
        <w:rPr>
          <w:rFonts w:ascii="Times New Roman" w:hAnsi="Times New Roman"/>
          <w:sz w:val="24"/>
          <w:szCs w:val="24"/>
        </w:rPr>
        <w:t>Bien que l’assurance santé universelle ne soit pas encore effective, elle a cependant connu des avancées significatives au cours de ces dernières années. Une stratégie nationale de la couverture sanitaire universelle (SN-CSU) a été adoptée en novembre 2016. Une loi votée le 03 juin 2019 par le Parlement et Promulguée le 05 aout 2019 par le Président de la République, institue la couverture sanitaire universelle au Tchad. Elle comprend trois régimes :</w:t>
      </w:r>
    </w:p>
    <w:p w14:paraId="18B14567" w14:textId="0A1BE6E6" w:rsidR="00014BBF" w:rsidRPr="00F22761" w:rsidRDefault="00014BBF" w:rsidP="00F52473">
      <w:pPr>
        <w:spacing w:after="0" w:line="240" w:lineRule="auto"/>
        <w:contextualSpacing/>
        <w:jc w:val="both"/>
        <w:rPr>
          <w:rFonts w:ascii="Times New Roman" w:hAnsi="Times New Roman"/>
          <w:sz w:val="24"/>
          <w:szCs w:val="24"/>
        </w:rPr>
      </w:pPr>
      <w:r w:rsidRPr="00F22761">
        <w:rPr>
          <w:rFonts w:ascii="Times New Roman" w:hAnsi="Times New Roman"/>
          <w:sz w:val="24"/>
          <w:szCs w:val="24"/>
        </w:rPr>
        <w:t>Un régime contributif dit Assurance Santé des Salariés (ASS) qui couvre les travailleurs salariés des secteurs public, parapublic et privé ;</w:t>
      </w:r>
    </w:p>
    <w:p w14:paraId="63C04A5F" w14:textId="1D6B755A" w:rsidR="00014BBF" w:rsidRPr="00F22761" w:rsidRDefault="00014BBF" w:rsidP="00F52473">
      <w:pPr>
        <w:spacing w:after="0" w:line="240" w:lineRule="auto"/>
        <w:contextualSpacing/>
        <w:jc w:val="both"/>
        <w:rPr>
          <w:rFonts w:ascii="Times New Roman" w:hAnsi="Times New Roman"/>
          <w:sz w:val="24"/>
          <w:szCs w:val="24"/>
        </w:rPr>
      </w:pPr>
      <w:r w:rsidRPr="00F22761">
        <w:rPr>
          <w:rFonts w:ascii="Times New Roman" w:hAnsi="Times New Roman"/>
          <w:sz w:val="24"/>
          <w:szCs w:val="24"/>
        </w:rPr>
        <w:t>Un régime contributif dit Assurance Santé des Indépendants (ASI) qui vise l’ensemble des travailleurs indépendants des professions commerciales, libérales, artisanales et celles relevant de l’agriculture ;</w:t>
      </w:r>
    </w:p>
    <w:p w14:paraId="62F20310" w14:textId="0938C3E1" w:rsidR="00014BBF" w:rsidRPr="00F22761" w:rsidRDefault="00014BBF" w:rsidP="00F52473">
      <w:pPr>
        <w:spacing w:after="0" w:line="240" w:lineRule="auto"/>
        <w:contextualSpacing/>
        <w:jc w:val="both"/>
        <w:rPr>
          <w:rFonts w:ascii="Times New Roman" w:hAnsi="Times New Roman"/>
          <w:sz w:val="24"/>
          <w:szCs w:val="24"/>
        </w:rPr>
      </w:pPr>
      <w:r w:rsidRPr="00F22761">
        <w:rPr>
          <w:rFonts w:ascii="Times New Roman" w:hAnsi="Times New Roman"/>
          <w:sz w:val="24"/>
          <w:szCs w:val="24"/>
        </w:rPr>
        <w:t>Un régime dit Assistance Médicale ou AMED qui vise les personnes économiquement faibles.</w:t>
      </w:r>
    </w:p>
    <w:p w14:paraId="796C73DF" w14:textId="77777777" w:rsidR="00014BBF" w:rsidRPr="00014BBF" w:rsidRDefault="00014BBF" w:rsidP="00014BBF">
      <w:pPr>
        <w:spacing w:after="0" w:line="240" w:lineRule="auto"/>
        <w:contextualSpacing/>
        <w:jc w:val="both"/>
        <w:rPr>
          <w:rFonts w:ascii="Times New Roman" w:hAnsi="Times New Roman"/>
          <w:sz w:val="24"/>
          <w:szCs w:val="24"/>
        </w:rPr>
      </w:pPr>
      <w:r w:rsidRPr="00014BBF">
        <w:rPr>
          <w:rFonts w:ascii="Times New Roman" w:hAnsi="Times New Roman"/>
          <w:sz w:val="24"/>
          <w:szCs w:val="24"/>
        </w:rPr>
        <w:t xml:space="preserve">Des documents importants ont été élaborés pour la mise en œuvre opérationnelle de la Couverture Santé Universelle notamment le document sur la stratégie de communication, le document sur le Dispositif d’Assurance Santé, d’autres documents sont en cours d’élaboration. Il s’agit de : document sur les modèles de prestation de soins et celui sur les compétences en RHS pour la mise en œuvre de la CSU. Le Gouvernement compte démarrer avec le Régime 3 dédié aux plus démunis dans des districts prioritaires. L’identification des districts sanitaires concernés se basera sur les critères de pauvreté et d’accès aux soins des plus vulnérables.    </w:t>
      </w:r>
    </w:p>
    <w:p w14:paraId="50A623E7" w14:textId="77777777" w:rsidR="00014BBF" w:rsidRPr="00014BBF" w:rsidRDefault="00014BBF" w:rsidP="00014BBF">
      <w:pPr>
        <w:spacing w:after="0" w:line="240" w:lineRule="auto"/>
        <w:contextualSpacing/>
        <w:jc w:val="both"/>
        <w:rPr>
          <w:rFonts w:ascii="Times New Roman" w:hAnsi="Times New Roman"/>
          <w:sz w:val="24"/>
          <w:szCs w:val="24"/>
        </w:rPr>
      </w:pPr>
    </w:p>
    <w:p w14:paraId="10BC325B" w14:textId="77777777" w:rsidR="00014BBF" w:rsidRPr="00014BBF" w:rsidRDefault="00014BBF" w:rsidP="00014BBF">
      <w:pPr>
        <w:spacing w:after="0" w:line="240" w:lineRule="auto"/>
        <w:contextualSpacing/>
        <w:jc w:val="both"/>
        <w:rPr>
          <w:rFonts w:ascii="Times New Roman" w:hAnsi="Times New Roman"/>
          <w:sz w:val="24"/>
          <w:szCs w:val="24"/>
        </w:rPr>
      </w:pPr>
      <w:r w:rsidRPr="00014BBF">
        <w:rPr>
          <w:rFonts w:ascii="Times New Roman" w:hAnsi="Times New Roman"/>
          <w:sz w:val="24"/>
          <w:szCs w:val="24"/>
        </w:rPr>
        <w:t>Dans le cadre de la réponse à la COVID-19, le Gouvernement a adopté plusieurs mesures de protection parmi lesquelles :</w:t>
      </w:r>
    </w:p>
    <w:p w14:paraId="1EE493F1" w14:textId="4EE6A991" w:rsidR="00014BBF" w:rsidRPr="00F22761" w:rsidRDefault="00014BBF" w:rsidP="00F52473">
      <w:pPr>
        <w:spacing w:after="0" w:line="240" w:lineRule="auto"/>
        <w:contextualSpacing/>
        <w:jc w:val="both"/>
        <w:rPr>
          <w:rFonts w:ascii="Times New Roman" w:hAnsi="Times New Roman"/>
          <w:sz w:val="24"/>
          <w:szCs w:val="24"/>
        </w:rPr>
      </w:pPr>
      <w:r w:rsidRPr="00F22761">
        <w:rPr>
          <w:rFonts w:ascii="Times New Roman" w:hAnsi="Times New Roman"/>
          <w:sz w:val="24"/>
          <w:szCs w:val="24"/>
        </w:rPr>
        <w:t xml:space="preserve">La mise en place d’un Fonds national de solidarité et de soutien aux populations vulnérables de 100 milliards de FCFA ($189 millions) permettant d’élargir et de renforcer les filets sociaux sur l’ensemble du territoire de manière à couvrir d’autres provinces non prises en compte par les projets et programmes </w:t>
      </w:r>
      <w:r w:rsidRPr="00F22761">
        <w:rPr>
          <w:rFonts w:ascii="Times New Roman" w:hAnsi="Times New Roman"/>
          <w:sz w:val="24"/>
          <w:szCs w:val="24"/>
        </w:rPr>
        <w:lastRenderedPageBreak/>
        <w:t>actuels en cours. Dans le but d’assurer un accès aux secours alimentaires d’urgence aux plus démunis, une structure ad hoc sera rendue opérationnelle en associant les organisations humanitaires nationales ;</w:t>
      </w:r>
    </w:p>
    <w:p w14:paraId="420C57F2" w14:textId="6F1F746D" w:rsidR="00014BBF" w:rsidRPr="00F22761" w:rsidRDefault="00014BBF" w:rsidP="00F52473">
      <w:pPr>
        <w:spacing w:after="0" w:line="240" w:lineRule="auto"/>
        <w:contextualSpacing/>
        <w:jc w:val="both"/>
        <w:rPr>
          <w:rFonts w:ascii="Times New Roman" w:hAnsi="Times New Roman"/>
          <w:sz w:val="24"/>
          <w:szCs w:val="24"/>
        </w:rPr>
      </w:pPr>
      <w:r w:rsidRPr="00F22761">
        <w:rPr>
          <w:rFonts w:ascii="Times New Roman" w:hAnsi="Times New Roman"/>
          <w:sz w:val="24"/>
          <w:szCs w:val="24"/>
        </w:rPr>
        <w:t xml:space="preserve">La prise en charge de la tranche sociale des factures d'eau pour six mois et d'électricité pour trois mois en faveur de la population, à compter du 1er avril 2020 ; </w:t>
      </w:r>
    </w:p>
    <w:p w14:paraId="6E96BF1F" w14:textId="1F4B56DA" w:rsidR="00014BBF" w:rsidRPr="00F22761" w:rsidRDefault="00014BBF" w:rsidP="00F52473">
      <w:pPr>
        <w:spacing w:after="0" w:line="240" w:lineRule="auto"/>
        <w:contextualSpacing/>
        <w:jc w:val="both"/>
        <w:rPr>
          <w:rFonts w:ascii="Times New Roman" w:hAnsi="Times New Roman"/>
          <w:sz w:val="24"/>
          <w:szCs w:val="24"/>
        </w:rPr>
      </w:pPr>
      <w:r w:rsidRPr="00F22761">
        <w:rPr>
          <w:rFonts w:ascii="Times New Roman" w:hAnsi="Times New Roman"/>
          <w:sz w:val="24"/>
          <w:szCs w:val="24"/>
        </w:rPr>
        <w:t>Le parachèvement de la mise en place du fonds pour l’entrepreneuriat des jeunes, en accord avec les banques tchadiennes, pour un montant de 30 milliards de FCFA ($54 millions) ; exonérations de TVA et de droits de douane sur les produits alimentaires et médicaux sont reconduites et étendues à d’autres produits suivant des modalités à fixer par le gouvernement ;</w:t>
      </w:r>
    </w:p>
    <w:p w14:paraId="282EEACB" w14:textId="5E205656" w:rsidR="00014BBF" w:rsidRPr="00F22761" w:rsidRDefault="00014BBF" w:rsidP="00F52473">
      <w:pPr>
        <w:spacing w:after="0" w:line="240" w:lineRule="auto"/>
        <w:contextualSpacing/>
        <w:jc w:val="both"/>
        <w:rPr>
          <w:rFonts w:ascii="Times New Roman" w:hAnsi="Times New Roman"/>
          <w:sz w:val="24"/>
          <w:szCs w:val="24"/>
        </w:rPr>
      </w:pPr>
      <w:r w:rsidRPr="00F22761">
        <w:rPr>
          <w:rFonts w:ascii="Times New Roman" w:hAnsi="Times New Roman"/>
          <w:sz w:val="24"/>
          <w:szCs w:val="24"/>
        </w:rPr>
        <w:t>La mise en paiement immédiat de tous les capital-décès dus aux agents civils et militaires décédés, des indemnités et accessoires de salaires dus aux retraités et prise en charge des frais médicaux des agents civils et des forces de défense et de sécurité pour un montant total de 5 milliards de FCFA ($9 millions).</w:t>
      </w:r>
    </w:p>
    <w:p w14:paraId="2AF24231" w14:textId="77777777" w:rsidR="00014BBF" w:rsidRPr="00014BBF" w:rsidRDefault="00014BBF" w:rsidP="00014BBF">
      <w:pPr>
        <w:spacing w:after="0" w:line="240" w:lineRule="auto"/>
        <w:contextualSpacing/>
        <w:jc w:val="both"/>
        <w:rPr>
          <w:rFonts w:ascii="Times New Roman" w:hAnsi="Times New Roman"/>
          <w:sz w:val="24"/>
          <w:szCs w:val="24"/>
        </w:rPr>
      </w:pPr>
    </w:p>
    <w:p w14:paraId="2AE2207A" w14:textId="77777777" w:rsidR="00014BBF" w:rsidRPr="00014BBF" w:rsidRDefault="00014BBF" w:rsidP="00014BBF">
      <w:pPr>
        <w:spacing w:after="0" w:line="240" w:lineRule="auto"/>
        <w:contextualSpacing/>
        <w:jc w:val="both"/>
        <w:rPr>
          <w:rFonts w:ascii="Times New Roman" w:hAnsi="Times New Roman"/>
          <w:sz w:val="24"/>
          <w:szCs w:val="24"/>
        </w:rPr>
      </w:pPr>
      <w:r w:rsidRPr="00014BBF">
        <w:rPr>
          <w:rFonts w:ascii="Times New Roman" w:hAnsi="Times New Roman"/>
          <w:sz w:val="24"/>
          <w:szCs w:val="24"/>
        </w:rPr>
        <w:t xml:space="preserve">En ce qui concerne l’enregistrement des naissances des enfants, les résultats de l’Enquête MICS6 2019 indiquent que le Tchad présente un taux d’enregistrement des naissances parmi les plus faibles au monde et particulièrement dans la zone de l’Afrique Subsaharienne, avec seulement 25,7% des enfants de moins de 5 ans enregistrés à la naissance.  En fonction du sexe, on note que la proportion des filles dont les naissances ont été enregistrées est identique à celle des garçons. Globalement, on note encore des écarts selon les provinces du fait de l’accès limité aux services d’état civil dans certaines régions ainsi que selon le niveau de bien-être du ménage. Cette situation est combinée à l’absence de connaissances adéquates concernant les droits des enfants au sein de certaines communautés. L'enregistrement des naissances est primordial pour assurer l'accès d'un enfant à ses droits, ainsi que pour l'ensemble de l'État et de la société, car il contribue à orienter les politiques de planification et l’offre de services sociaux de base. Les résultats de l’évaluation globale du système d’état civil menée par le Gouvernement du Tchad ont service de base à la réforme du système d’état civil formalisée à travers l’Ordonnance du Président de la République du 14 février 2020 qui a été ratifiée par l’Assemblée Nationale ainsi que la mise en place et l’opérationnalisation de l’Agence Nationale des Titres Sécurisés. </w:t>
      </w:r>
    </w:p>
    <w:p w14:paraId="4004B785" w14:textId="77777777" w:rsidR="00014BBF" w:rsidRPr="00014BBF" w:rsidRDefault="00014BBF" w:rsidP="00014BBF">
      <w:pPr>
        <w:spacing w:after="0" w:line="240" w:lineRule="auto"/>
        <w:contextualSpacing/>
        <w:jc w:val="both"/>
        <w:rPr>
          <w:rFonts w:ascii="Times New Roman" w:hAnsi="Times New Roman"/>
          <w:sz w:val="24"/>
          <w:szCs w:val="24"/>
        </w:rPr>
      </w:pPr>
    </w:p>
    <w:p w14:paraId="3ECC92A9" w14:textId="77777777" w:rsidR="00CD37DE" w:rsidRPr="001126F7" w:rsidRDefault="00CD37DE" w:rsidP="00BC1AE3">
      <w:pPr>
        <w:pStyle w:val="Titre2"/>
        <w:numPr>
          <w:ilvl w:val="1"/>
          <w:numId w:val="24"/>
        </w:numPr>
        <w:rPr>
          <w:b/>
          <w:bCs w:val="0"/>
          <w:sz w:val="28"/>
          <w:szCs w:val="28"/>
        </w:rPr>
      </w:pPr>
      <w:bookmarkStart w:id="27" w:name="_Toc55372895"/>
      <w:bookmarkStart w:id="28" w:name="_Toc55539099"/>
      <w:bookmarkStart w:id="29" w:name="_Toc61523568"/>
      <w:bookmarkStart w:id="30" w:name="_Toc90910783"/>
      <w:r w:rsidRPr="001126F7">
        <w:rPr>
          <w:b/>
          <w:bCs w:val="0"/>
          <w:sz w:val="28"/>
          <w:szCs w:val="28"/>
        </w:rPr>
        <w:t>Sécurité alimentaire et nutritionnelle</w:t>
      </w:r>
      <w:bookmarkEnd w:id="27"/>
      <w:bookmarkEnd w:id="28"/>
      <w:bookmarkEnd w:id="29"/>
      <w:bookmarkEnd w:id="30"/>
    </w:p>
    <w:p w14:paraId="1D716E84" w14:textId="2CCCCEC9" w:rsidR="00014BBF" w:rsidRPr="00014BBF" w:rsidRDefault="00014BBF" w:rsidP="00014BBF">
      <w:pPr>
        <w:tabs>
          <w:tab w:val="left" w:pos="567"/>
        </w:tabs>
        <w:spacing w:after="0"/>
        <w:jc w:val="both"/>
        <w:rPr>
          <w:rFonts w:ascii="Times New Roman" w:hAnsi="Times New Roman"/>
          <w:sz w:val="24"/>
          <w:szCs w:val="24"/>
        </w:rPr>
      </w:pPr>
      <w:bookmarkStart w:id="31" w:name="_Hlk53320739"/>
      <w:r w:rsidRPr="00014BBF">
        <w:rPr>
          <w:rFonts w:ascii="Times New Roman" w:hAnsi="Times New Roman"/>
          <w:sz w:val="24"/>
          <w:szCs w:val="24"/>
        </w:rPr>
        <w:t>Selon le rapport du Système d'Information sur la Sécurité Alimentaire et d'Alerte Précoce du Tchad de Mars 2021, la campagne agricole 2020/2021 est légèrement en baisse de 1,5% avec une situation pastorale caractérisée par le tarissement des eaux de surfaces dans la partie sahélienne et une faible disponibilité dans la partie soudanienne. Cette situation a plongé</w:t>
      </w:r>
      <w:r w:rsidR="00D630E8">
        <w:rPr>
          <w:rFonts w:ascii="Times New Roman" w:hAnsi="Times New Roman"/>
          <w:sz w:val="24"/>
          <w:szCs w:val="24"/>
        </w:rPr>
        <w:t xml:space="preserve"> presque 1.3 millions de</w:t>
      </w:r>
      <w:r w:rsidRPr="00014BBF">
        <w:rPr>
          <w:rFonts w:ascii="Times New Roman" w:hAnsi="Times New Roman"/>
          <w:sz w:val="24"/>
          <w:szCs w:val="24"/>
        </w:rPr>
        <w:t xml:space="preserve"> personnes en situation d’insécurité alimentaire</w:t>
      </w:r>
      <w:r w:rsidR="00D630E8">
        <w:rPr>
          <w:rFonts w:ascii="Times New Roman" w:hAnsi="Times New Roman"/>
          <w:sz w:val="24"/>
          <w:szCs w:val="24"/>
        </w:rPr>
        <w:t xml:space="preserve"> sévère</w:t>
      </w:r>
      <w:r w:rsidRPr="00014BBF">
        <w:rPr>
          <w:rFonts w:ascii="Times New Roman" w:hAnsi="Times New Roman"/>
          <w:sz w:val="24"/>
          <w:szCs w:val="24"/>
        </w:rPr>
        <w:t xml:space="preserve"> </w:t>
      </w:r>
      <w:r w:rsidR="00D630E8">
        <w:rPr>
          <w:rFonts w:ascii="Times New Roman" w:hAnsi="Times New Roman"/>
          <w:sz w:val="24"/>
          <w:szCs w:val="24"/>
        </w:rPr>
        <w:t>(</w:t>
      </w:r>
      <w:r w:rsidR="00D630E8" w:rsidRPr="00014BBF">
        <w:rPr>
          <w:rFonts w:ascii="Times New Roman" w:hAnsi="Times New Roman"/>
          <w:sz w:val="24"/>
          <w:szCs w:val="24"/>
        </w:rPr>
        <w:t xml:space="preserve">1 180 175 </w:t>
      </w:r>
      <w:r w:rsidRPr="00014BBF">
        <w:rPr>
          <w:rFonts w:ascii="Times New Roman" w:hAnsi="Times New Roman"/>
          <w:sz w:val="24"/>
          <w:szCs w:val="24"/>
        </w:rPr>
        <w:t>phase crise et 96 016 en phase d’urgence</w:t>
      </w:r>
      <w:r w:rsidR="00D630E8">
        <w:rPr>
          <w:rFonts w:ascii="Times New Roman" w:hAnsi="Times New Roman"/>
          <w:sz w:val="24"/>
          <w:szCs w:val="24"/>
        </w:rPr>
        <w:t>)</w:t>
      </w:r>
      <w:r w:rsidRPr="00014BBF">
        <w:rPr>
          <w:rFonts w:ascii="Times New Roman" w:hAnsi="Times New Roman"/>
          <w:sz w:val="24"/>
          <w:szCs w:val="24"/>
        </w:rPr>
        <w:t>. L’analyse de l’évolution des moyens d’existence montre que 6,4% et 13,6% des ménages ont respectivement développé des stratégies d’urgence et de crise dans l’ensemble du pays. Face à un ralentissement des activités économiques et la hausse consécutive des prix des denrées de base, le contexte sanitaire difficile impose aux ménages un recours important aux stratégies qui affectent leurs moyens d’existence. La situation nutritionnelle demeure préoccupante dans la plupart des provinces des zones sahélienne et saharienne. Les résultats de la dernière enquête SMART de novembre-décembre 2020 révèlent</w:t>
      </w:r>
      <w:r w:rsidR="0036005A">
        <w:rPr>
          <w:rFonts w:ascii="Times New Roman" w:hAnsi="Times New Roman"/>
          <w:sz w:val="24"/>
          <w:szCs w:val="24"/>
        </w:rPr>
        <w:t>, </w:t>
      </w:r>
      <w:r w:rsidR="005B6B0D" w:rsidRPr="00014BBF">
        <w:rPr>
          <w:rFonts w:ascii="Times New Roman" w:hAnsi="Times New Roman"/>
          <w:sz w:val="24"/>
          <w:szCs w:val="24"/>
        </w:rPr>
        <w:t>sur le</w:t>
      </w:r>
      <w:r w:rsidRPr="00014BBF">
        <w:rPr>
          <w:rFonts w:ascii="Times New Roman" w:hAnsi="Times New Roman"/>
          <w:sz w:val="24"/>
          <w:szCs w:val="24"/>
        </w:rPr>
        <w:t xml:space="preserve"> plan national</w:t>
      </w:r>
      <w:r w:rsidR="0036005A">
        <w:rPr>
          <w:rFonts w:ascii="Times New Roman" w:hAnsi="Times New Roman"/>
          <w:sz w:val="24"/>
          <w:szCs w:val="24"/>
        </w:rPr>
        <w:t>,</w:t>
      </w:r>
      <w:r w:rsidRPr="00014BBF">
        <w:rPr>
          <w:rFonts w:ascii="Times New Roman" w:hAnsi="Times New Roman"/>
          <w:sz w:val="24"/>
          <w:szCs w:val="24"/>
        </w:rPr>
        <w:t xml:space="preserve"> une prévalence de la Malnutrition Aiguë Globale (MAG) de 10%, qui est à la limite du seuil d’alerte de 10% fixé par l’OMS</w:t>
      </w:r>
      <w:r w:rsidR="00F52473">
        <w:rPr>
          <w:rFonts w:ascii="Times New Roman" w:hAnsi="Times New Roman"/>
          <w:sz w:val="24"/>
          <w:szCs w:val="24"/>
        </w:rPr>
        <w:t xml:space="preserve">. </w:t>
      </w:r>
      <w:r w:rsidR="00F52473" w:rsidRPr="00F52473">
        <w:rPr>
          <w:rFonts w:ascii="Times New Roman" w:hAnsi="Times New Roman"/>
          <w:sz w:val="24"/>
          <w:szCs w:val="24"/>
        </w:rPr>
        <w:t xml:space="preserve">Selon les résultats de l’enquête SMART 2020, plus de 400,000 enfants de moins de 5 ans souffrent de malnutrition aigüe sévère (MAS). </w:t>
      </w:r>
      <w:r w:rsidRPr="00014BBF">
        <w:rPr>
          <w:rFonts w:ascii="Times New Roman" w:hAnsi="Times New Roman"/>
          <w:sz w:val="24"/>
          <w:szCs w:val="24"/>
        </w:rPr>
        <w:t xml:space="preserve"> Malgré des prix relativement </w:t>
      </w:r>
      <w:r w:rsidRPr="00014BBF">
        <w:rPr>
          <w:rFonts w:ascii="Times New Roman" w:hAnsi="Times New Roman"/>
          <w:sz w:val="24"/>
          <w:szCs w:val="24"/>
        </w:rPr>
        <w:lastRenderedPageBreak/>
        <w:t xml:space="preserve">bas, le faible pouvoir d’achat limite l’accès des ménages pauvres aux produits alimentaires de base, limitant ainsi la possibilité d’avoir une alimentation diversifiée. </w:t>
      </w:r>
    </w:p>
    <w:p w14:paraId="23A9874F" w14:textId="77777777" w:rsidR="00014BBF" w:rsidRPr="00014BBF" w:rsidRDefault="00014BBF" w:rsidP="00014BBF">
      <w:pPr>
        <w:tabs>
          <w:tab w:val="left" w:pos="567"/>
        </w:tabs>
        <w:spacing w:after="0"/>
        <w:jc w:val="both"/>
        <w:rPr>
          <w:rFonts w:ascii="Times New Roman" w:hAnsi="Times New Roman"/>
          <w:sz w:val="24"/>
          <w:szCs w:val="24"/>
        </w:rPr>
      </w:pPr>
    </w:p>
    <w:p w14:paraId="39B8B4DF" w14:textId="77777777" w:rsidR="00014BBF" w:rsidRPr="00014BBF" w:rsidRDefault="00014BBF" w:rsidP="00014BBF">
      <w:pPr>
        <w:tabs>
          <w:tab w:val="left" w:pos="567"/>
        </w:tabs>
        <w:spacing w:after="0"/>
        <w:jc w:val="both"/>
        <w:rPr>
          <w:rFonts w:ascii="Times New Roman" w:hAnsi="Times New Roman"/>
          <w:iCs/>
          <w:sz w:val="24"/>
          <w:szCs w:val="24"/>
        </w:rPr>
      </w:pPr>
      <w:r w:rsidRPr="00014BBF">
        <w:rPr>
          <w:rFonts w:ascii="Times New Roman" w:hAnsi="Times New Roman"/>
          <w:b/>
          <w:bCs/>
          <w:iCs/>
          <w:sz w:val="24"/>
        </w:rPr>
        <w:t>La détérioration de l’insécurité alimentaire et nutritionnelle est due à trois facteurs essentiels</w:t>
      </w:r>
      <w:r w:rsidRPr="00014BBF">
        <w:rPr>
          <w:rFonts w:ascii="Times New Roman" w:hAnsi="Times New Roman"/>
          <w:iCs/>
          <w:sz w:val="24"/>
        </w:rPr>
        <w:t xml:space="preserve"> : (1) l’accès aux services sociaux de base par les populations particulièrement les plus vulnérables est très limité ; (2) les aléas résultant des changements climatiques qui affectent la production agricole </w:t>
      </w:r>
      <w:r w:rsidRPr="00014BBF">
        <w:rPr>
          <w:rFonts w:ascii="Times New Roman" w:hAnsi="Times New Roman"/>
          <w:iCs/>
          <w:sz w:val="24"/>
          <w:szCs w:val="24"/>
        </w:rPr>
        <w:t xml:space="preserve">(inondation, sècheresse etc.) </w:t>
      </w:r>
      <w:r w:rsidRPr="00014BBF">
        <w:rPr>
          <w:rFonts w:ascii="Times New Roman" w:hAnsi="Times New Roman"/>
          <w:iCs/>
          <w:sz w:val="24"/>
        </w:rPr>
        <w:t>; et (3) l’insécurité qui prévaut dans le bassin du Lac née des  attaques de la secte Boko Haram et des répercussions des conflits en cours dans certains pays voisins (Soudan, Libye, République Centrafricaine) et leurs corollaire de mouvement des populations et de restriction à la libre circulation des biens et des personnes ainsi que de disfonctionnement des marchés et de perturbation des activités agro-pastorales et de pêche</w:t>
      </w:r>
      <w:r w:rsidRPr="00014BBF">
        <w:rPr>
          <w:rFonts w:ascii="Times New Roman" w:hAnsi="Times New Roman"/>
          <w:iCs/>
          <w:sz w:val="24"/>
          <w:szCs w:val="24"/>
        </w:rPr>
        <w:t xml:space="preserve">. D’autres facteurs contribuent aussi à l’insécurité alimentaire et nutritionnelle, tels que l’apport alimentaire et nutritionnel inapproprié, des faibles systèmes de santé, mauvaise éducation, mauvaises conditions environnementales, une croissance démographique rapide et l’inégalité des genres. </w:t>
      </w:r>
      <w:r w:rsidRPr="00014BBF">
        <w:rPr>
          <w:rFonts w:ascii="Times New Roman" w:hAnsi="Times New Roman"/>
          <w:sz w:val="24"/>
          <w:szCs w:val="24"/>
        </w:rPr>
        <w:t>Les zones les plus touchées sont essentiellement situées dans la bande sahélienne, où se trouve la grande majorité des personnes frappées par l’insécurité alimentaire sévère au Tchad. Dans ces zones, frappées par des crises alimentaires et nutritionnelles saisonnières, les populations les plus vulnérables y compris la majorité des réfugiés et déplacés internes se trouvent régulièrement en besoin de recevoir de l’assistance humanitaire et voient leurs possibilités de renforcer leur résilience réduites chaque année par un manque de solutions durables mises en place dans leurs communautés.</w:t>
      </w:r>
    </w:p>
    <w:p w14:paraId="7DFF9A50" w14:textId="77777777" w:rsidR="00014BBF" w:rsidRPr="00014BBF" w:rsidRDefault="00014BBF" w:rsidP="00014BBF">
      <w:pPr>
        <w:tabs>
          <w:tab w:val="left" w:pos="567"/>
        </w:tabs>
        <w:spacing w:after="0"/>
        <w:jc w:val="both"/>
        <w:rPr>
          <w:rFonts w:ascii="Times New Roman" w:hAnsi="Times New Roman"/>
          <w:iCs/>
          <w:sz w:val="24"/>
          <w:szCs w:val="24"/>
        </w:rPr>
      </w:pPr>
    </w:p>
    <w:p w14:paraId="51CFDDF5" w14:textId="77777777" w:rsidR="00014BBF" w:rsidRPr="00014BBF" w:rsidRDefault="00014BBF" w:rsidP="00014BBF">
      <w:pPr>
        <w:tabs>
          <w:tab w:val="left" w:pos="567"/>
        </w:tabs>
        <w:spacing w:after="0"/>
        <w:jc w:val="both"/>
        <w:rPr>
          <w:rFonts w:ascii="Times New Roman" w:hAnsi="Times New Roman"/>
          <w:iCs/>
          <w:sz w:val="24"/>
          <w:szCs w:val="24"/>
        </w:rPr>
      </w:pPr>
      <w:r w:rsidRPr="00014BBF">
        <w:rPr>
          <w:rFonts w:ascii="Times New Roman" w:hAnsi="Times New Roman"/>
          <w:b/>
          <w:bCs/>
          <w:iCs/>
          <w:sz w:val="24"/>
          <w:szCs w:val="24"/>
        </w:rPr>
        <w:t>Les baisses récentes de la production agricole sont imputables aux sécheresses observées au cours de ces périodes</w:t>
      </w:r>
      <w:r w:rsidRPr="00014BBF">
        <w:rPr>
          <w:rFonts w:ascii="Times New Roman" w:hAnsi="Times New Roman"/>
          <w:iCs/>
          <w:sz w:val="24"/>
          <w:szCs w:val="24"/>
        </w:rPr>
        <w:t>. En effet, selon le rapport du Ministère de l’Agriculture sur les campagnes agricoles, indique que l’irrégularité dans la répartition des pluies ainsi que les déficits pluviométriques, des vents violents et la recrudescence de divers phénomènes météorologiques extrêmes causent ainsi des situations d’insécurité alimentaire récurrentes. De même que la hausse des températures associée à une variabilité accrue des précipitations entraine des dysfonctionnements des saisons agricoles, des perturbations des cycles biologiques des cultures et une détérioration des productions agricoles.</w:t>
      </w:r>
    </w:p>
    <w:p w14:paraId="2E82D340" w14:textId="77777777" w:rsidR="00014BBF" w:rsidRPr="00014BBF" w:rsidRDefault="00014BBF" w:rsidP="00014BBF">
      <w:pPr>
        <w:tabs>
          <w:tab w:val="left" w:pos="567"/>
        </w:tabs>
        <w:spacing w:after="0"/>
        <w:jc w:val="both"/>
        <w:rPr>
          <w:rFonts w:ascii="Times New Roman" w:hAnsi="Times New Roman"/>
          <w:sz w:val="24"/>
          <w:szCs w:val="24"/>
        </w:rPr>
      </w:pPr>
    </w:p>
    <w:p w14:paraId="6BEF1085" w14:textId="02561E68" w:rsidR="00014BBF" w:rsidRPr="00014BBF" w:rsidRDefault="00014BBF" w:rsidP="00014BBF">
      <w:pPr>
        <w:tabs>
          <w:tab w:val="left" w:pos="567"/>
        </w:tabs>
        <w:spacing w:after="0"/>
        <w:jc w:val="both"/>
        <w:rPr>
          <w:rFonts w:ascii="Times New Roman" w:hAnsi="Times New Roman"/>
          <w:sz w:val="24"/>
          <w:szCs w:val="24"/>
        </w:rPr>
      </w:pPr>
      <w:r w:rsidRPr="00014BBF">
        <w:rPr>
          <w:rFonts w:ascii="Times New Roman" w:hAnsi="Times New Roman"/>
          <w:sz w:val="24"/>
          <w:szCs w:val="24"/>
        </w:rPr>
        <w:t>En outre, les mesures de prévention mises en place dans le cadre de la lutte contre la propagation de la COVID-19 au Tchad ont conduit au ralentissement des activités socioéconomiques dans tous les secteurs. Ceci a affecté grandement les moyens d’existence des ménages</w:t>
      </w:r>
      <w:r w:rsidRPr="00014BBF">
        <w:rPr>
          <w:sz w:val="24"/>
          <w:szCs w:val="24"/>
        </w:rPr>
        <w:t xml:space="preserve"> </w:t>
      </w:r>
      <w:r w:rsidRPr="00014BBF">
        <w:rPr>
          <w:rFonts w:ascii="Times New Roman" w:hAnsi="Times New Roman"/>
          <w:sz w:val="24"/>
          <w:szCs w:val="24"/>
        </w:rPr>
        <w:t xml:space="preserve">pauvres et très pauvres qui sont confrontés à des difficultés pour satisfaire leurs besoins alimentaires depuis le mois de mai 2020, </w:t>
      </w:r>
      <w:r w:rsidR="0039112A" w:rsidRPr="00014BBF">
        <w:rPr>
          <w:rFonts w:ascii="Times New Roman" w:hAnsi="Times New Roman"/>
          <w:sz w:val="24"/>
          <w:szCs w:val="24"/>
        </w:rPr>
        <w:t>à la suite de</w:t>
      </w:r>
      <w:r w:rsidRPr="00014BBF">
        <w:rPr>
          <w:rFonts w:ascii="Times New Roman" w:hAnsi="Times New Roman"/>
          <w:sz w:val="24"/>
          <w:szCs w:val="24"/>
        </w:rPr>
        <w:t xml:space="preserve"> la baisse de leurs stocks et de leur pouvoir d’achat. Dans le détail, on peut noter que :</w:t>
      </w:r>
    </w:p>
    <w:p w14:paraId="4D59A917" w14:textId="77777777" w:rsidR="00014BBF" w:rsidRPr="00014BBF" w:rsidRDefault="00014BBF" w:rsidP="00014BBF">
      <w:pPr>
        <w:tabs>
          <w:tab w:val="left" w:pos="567"/>
        </w:tabs>
        <w:spacing w:after="0"/>
        <w:jc w:val="both"/>
        <w:rPr>
          <w:rFonts w:ascii="Times New Roman" w:hAnsi="Times New Roman"/>
          <w:sz w:val="24"/>
          <w:szCs w:val="24"/>
        </w:rPr>
      </w:pPr>
    </w:p>
    <w:p w14:paraId="03B8AB0E" w14:textId="77777777" w:rsidR="00014BBF" w:rsidRPr="00014BBF" w:rsidRDefault="00014BBF" w:rsidP="00BC1AE3">
      <w:pPr>
        <w:numPr>
          <w:ilvl w:val="0"/>
          <w:numId w:val="17"/>
        </w:numPr>
        <w:spacing w:afterLines="160" w:after="384" w:line="240" w:lineRule="auto"/>
        <w:contextualSpacing/>
        <w:jc w:val="both"/>
        <w:rPr>
          <w:rFonts w:ascii="Times New Roman" w:hAnsi="Times New Roman"/>
          <w:sz w:val="24"/>
          <w:szCs w:val="24"/>
        </w:rPr>
      </w:pPr>
      <w:r w:rsidRPr="00014BBF">
        <w:rPr>
          <w:rFonts w:ascii="Times New Roman" w:hAnsi="Times New Roman"/>
          <w:sz w:val="24"/>
          <w:szCs w:val="24"/>
        </w:rPr>
        <w:t xml:space="preserve">La </w:t>
      </w:r>
      <w:r w:rsidRPr="00014BBF">
        <w:rPr>
          <w:rFonts w:ascii="Times New Roman" w:hAnsi="Times New Roman"/>
          <w:sz w:val="24"/>
        </w:rPr>
        <w:t>fermeture des frontières terrestres</w:t>
      </w:r>
      <w:r w:rsidRPr="00014BBF">
        <w:rPr>
          <w:rFonts w:ascii="Times New Roman" w:hAnsi="Times New Roman"/>
          <w:sz w:val="24"/>
          <w:szCs w:val="24"/>
        </w:rPr>
        <w:t xml:space="preserve"> a rendu difficile : (i) le commerce du bétail sur les marchés des pays voisins ; (ii) la réalisation de la transhumance interne et transfrontalière dans un contexte de crise pastorale liée au déficit fourrager ; (iii) l’approvisionnement en intrants agricoles, zootechniques et vétérinaires ainsi que certains fruits, légumes et tubercules en provenance du Nigeria et du Cameroun qui constituent les principales sources.</w:t>
      </w:r>
    </w:p>
    <w:p w14:paraId="5E86E770" w14:textId="77777777" w:rsidR="00014BBF" w:rsidRPr="00014BBF" w:rsidRDefault="00014BBF" w:rsidP="00014BBF">
      <w:pPr>
        <w:spacing w:afterLines="160" w:after="384" w:line="240" w:lineRule="auto"/>
        <w:ind w:left="360"/>
        <w:contextualSpacing/>
        <w:jc w:val="both"/>
        <w:rPr>
          <w:rFonts w:ascii="Times New Roman" w:hAnsi="Times New Roman"/>
          <w:sz w:val="24"/>
          <w:szCs w:val="24"/>
        </w:rPr>
      </w:pPr>
    </w:p>
    <w:p w14:paraId="7869AC18" w14:textId="77777777" w:rsidR="00014BBF" w:rsidRPr="00014BBF" w:rsidRDefault="00014BBF" w:rsidP="00BC1AE3">
      <w:pPr>
        <w:numPr>
          <w:ilvl w:val="0"/>
          <w:numId w:val="17"/>
        </w:numPr>
        <w:spacing w:afterLines="160" w:after="384" w:line="240" w:lineRule="auto"/>
        <w:contextualSpacing/>
        <w:jc w:val="both"/>
        <w:rPr>
          <w:rFonts w:ascii="Times New Roman" w:hAnsi="Times New Roman"/>
          <w:sz w:val="24"/>
          <w:szCs w:val="24"/>
        </w:rPr>
      </w:pPr>
      <w:r w:rsidRPr="00014BBF">
        <w:rPr>
          <w:rFonts w:ascii="Times New Roman" w:hAnsi="Times New Roman"/>
          <w:sz w:val="24"/>
        </w:rPr>
        <w:t>L’application des mesures de distanciation et d’interdiction de regroupement</w:t>
      </w:r>
      <w:r w:rsidRPr="00014BBF">
        <w:rPr>
          <w:rFonts w:ascii="Times New Roman" w:hAnsi="Times New Roman"/>
          <w:sz w:val="24"/>
          <w:szCs w:val="24"/>
        </w:rPr>
        <w:t xml:space="preserve"> ont conduit à : (i) la fermeture de plusieurs abattoirs et sites d’abattages des animaux ; (ii) le ralentissement et la </w:t>
      </w:r>
      <w:r w:rsidRPr="00014BBF">
        <w:rPr>
          <w:rFonts w:ascii="Times New Roman" w:hAnsi="Times New Roman"/>
          <w:sz w:val="24"/>
          <w:szCs w:val="24"/>
        </w:rPr>
        <w:lastRenderedPageBreak/>
        <w:t>suspension des activités du secteur informel conduisant à une diminution des revenus des travailleurs du secteur. Le secteur a été surtout durement affecté par la fermeture des restaurants, des points de grillade, des bars, des ateliers et l’instauration du couvre-feu ; (iii) l’impossibilité d’organiser la pêche collective sur les bras du fleuve et dans les mares.</w:t>
      </w:r>
    </w:p>
    <w:p w14:paraId="08FC10F4" w14:textId="77777777" w:rsidR="00014BBF" w:rsidRPr="00014BBF" w:rsidRDefault="00014BBF" w:rsidP="00014BBF">
      <w:pPr>
        <w:spacing w:afterLines="160" w:after="384" w:line="240" w:lineRule="auto"/>
        <w:ind w:left="360"/>
        <w:contextualSpacing/>
        <w:jc w:val="both"/>
        <w:rPr>
          <w:rFonts w:ascii="Times New Roman" w:hAnsi="Times New Roman"/>
          <w:sz w:val="24"/>
          <w:szCs w:val="24"/>
        </w:rPr>
      </w:pPr>
    </w:p>
    <w:p w14:paraId="49231A69" w14:textId="77777777" w:rsidR="00014BBF" w:rsidRPr="00014BBF" w:rsidRDefault="00014BBF" w:rsidP="00BC1AE3">
      <w:pPr>
        <w:numPr>
          <w:ilvl w:val="0"/>
          <w:numId w:val="17"/>
        </w:numPr>
        <w:spacing w:afterLines="160" w:after="384" w:line="240" w:lineRule="auto"/>
        <w:contextualSpacing/>
        <w:jc w:val="both"/>
        <w:rPr>
          <w:rFonts w:ascii="Times New Roman" w:hAnsi="Times New Roman"/>
          <w:sz w:val="24"/>
          <w:szCs w:val="24"/>
        </w:rPr>
      </w:pPr>
      <w:r w:rsidRPr="00014BBF">
        <w:rPr>
          <w:rFonts w:ascii="Times New Roman" w:hAnsi="Times New Roman"/>
          <w:sz w:val="24"/>
        </w:rPr>
        <w:t>Les perturbations du transport</w:t>
      </w:r>
      <w:r w:rsidRPr="00014BBF">
        <w:rPr>
          <w:rFonts w:ascii="Times New Roman" w:hAnsi="Times New Roman"/>
          <w:b/>
          <w:bCs/>
          <w:sz w:val="24"/>
          <w:szCs w:val="24"/>
        </w:rPr>
        <w:t xml:space="preserve"> </w:t>
      </w:r>
      <w:r w:rsidRPr="00014BBF">
        <w:rPr>
          <w:rFonts w:ascii="Times New Roman" w:hAnsi="Times New Roman"/>
          <w:sz w:val="24"/>
          <w:szCs w:val="24"/>
        </w:rPr>
        <w:t>ont au début rendu difficile le retour dans leurs terroirs respectifs pour s’investir dans la campagne hivernale de plusieurs milliers de ruraux partis en exode dans les centres urbains ou les pays voisins. À un moment donné, elles ont également affecté l’écoulement de certains produits alimentaires, notamment les produits maraîchers et le poisson, entraînant une chute des prix au producteur et une augmentation de prix aux consommateurs du fait des pénuries. Elles ont en plus occasionné des pertes importantes de ces produits du fait de la faiblesse des capacités de transformation et de stockage. Enfin, elles ont provoqué la suspension des exportations de poisson du lac vers le Nigeria et de N'Djamena vers le Cameroun. Il en est résulté une perturbation des marchés et un dysfonctionnement des chaînes d’approvisionnement des denrées alimentaires.</w:t>
      </w:r>
    </w:p>
    <w:p w14:paraId="62B909B5" w14:textId="77777777" w:rsidR="00014BBF" w:rsidRPr="00014BBF" w:rsidRDefault="00014BBF" w:rsidP="00014BBF">
      <w:pPr>
        <w:spacing w:afterLines="160" w:after="384" w:line="240" w:lineRule="auto"/>
        <w:contextualSpacing/>
        <w:jc w:val="both"/>
        <w:rPr>
          <w:rFonts w:ascii="Times New Roman" w:hAnsi="Times New Roman"/>
          <w:sz w:val="24"/>
          <w:szCs w:val="24"/>
        </w:rPr>
      </w:pPr>
    </w:p>
    <w:p w14:paraId="6FB63D3E" w14:textId="62E40119"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En somme</w:t>
      </w:r>
      <w:r w:rsidR="00D71471">
        <w:rPr>
          <w:rFonts w:ascii="Times New Roman" w:hAnsi="Times New Roman"/>
          <w:sz w:val="24"/>
          <w:szCs w:val="24"/>
        </w:rPr>
        <w:t>,</w:t>
      </w:r>
      <w:r w:rsidRPr="00014BBF">
        <w:rPr>
          <w:rFonts w:ascii="Times New Roman" w:hAnsi="Times New Roman"/>
          <w:sz w:val="24"/>
          <w:szCs w:val="24"/>
        </w:rPr>
        <w:t xml:space="preserve"> la pandémie de la COVID -19 a mis en évidence la grande fragilité des systèmes agro-alimentaires, en frappant de manière encore plus significative les groupes les plus vulnérables. Les mesures de restrictions de circulation, de fermeture des marchés hebdomadaires ruraux, des marchés de bétail ouverts et du secteur de la restauration sur tout le territoire, les mesures de confinement et la fermeture des frontières impactent négativement le fonctionnement des filières agropastorales et agricoles et entrainent une dégradation des conditions d’existence des acteurs du secteur agricole. Au Tchad, plus de 80% de la population et en particulier les femmes vivent d’une agriculture familiale et traditionnelle. Les producteurs sont ainsi privés de leurs débouchés commerciaux pour écouler leurs stocks que ce soit pour la consommation nationale ou l’exportation. Il est annoncé à titre d’exemple une mévente record de plus de 40 000 tonnes de produits destinés à l’exportation (particulièrement le sésame) et un manque à gagner de près de 50 milliards pour les producteurs et exportateurs tchadiens. La fermeture des frontières a eu pour conséquence une absence totale d’exportation du bétail sur pied vers le Nigeria ce qui représente une perte de revenus en devise importante pour le pays. Les restrictions imposées dans les transports ont également perturbé les chaines logistiques d’approvisionnement des intrants nécessaires à la production (en l’occurrence les semences). </w:t>
      </w:r>
    </w:p>
    <w:p w14:paraId="3D586138" w14:textId="1E9A2EE7"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 xml:space="preserve">Dans le cas de l'élevage, les restrictions de déplacements qui limitent les zones de pâturages et les points d'eau risquent d’augmenter les mortalités du bétail en raison de la limitation des déplacements et de la transhumance. Cela risque d’impacter le noyau reproducteur et d’entraîner une détérioration progressive des prix. De plus, les éleveurs, ne pouvant vendre leur bétail, ne disposent pas des liquidités nécessaires pour s’approvisionner en produits agricoles. </w:t>
      </w:r>
      <w:r w:rsidRPr="00014BBF">
        <w:t xml:space="preserve"> L</w:t>
      </w:r>
      <w:r w:rsidRPr="00014BBF">
        <w:rPr>
          <w:rFonts w:ascii="Times New Roman" w:hAnsi="Times New Roman"/>
          <w:sz w:val="24"/>
          <w:szCs w:val="24"/>
        </w:rPr>
        <w:t>es prix des céréales augmentent et ceux des petits ruminants baissent avec un TDE de plus en plus en défaveur des éleveurs avec un impact important sur les ménages pauvres et très pauvres</w:t>
      </w:r>
    </w:p>
    <w:p w14:paraId="52B97218" w14:textId="3CD9218C" w:rsidR="00E157CA"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 xml:space="preserve">Les conflits agriculteurs/ éleveurs sont très récurrents au Tchad et plusieurs facteurs exacerbent ces conflits à savoir le non-respect des règles de gestion de l’espace ; l’Occupation non reconnue des espaces (villages, champs, industrie, etc.) ; la Privatisation des terres ; </w:t>
      </w:r>
      <w:r w:rsidR="006860DC">
        <w:rPr>
          <w:rFonts w:ascii="Times New Roman" w:hAnsi="Times New Roman"/>
          <w:sz w:val="24"/>
          <w:szCs w:val="24"/>
        </w:rPr>
        <w:t>l</w:t>
      </w:r>
      <w:r w:rsidRPr="00014BBF">
        <w:rPr>
          <w:rFonts w:ascii="Times New Roman" w:hAnsi="Times New Roman"/>
          <w:sz w:val="24"/>
          <w:szCs w:val="24"/>
        </w:rPr>
        <w:t xml:space="preserve">’expansion démographique humaine et du nombre d’animaux ; l’Extension des surfaces agricoles ; le Contrôle et gestion des puits pastoraux et </w:t>
      </w:r>
      <w:r w:rsidRPr="00014BBF">
        <w:rPr>
          <w:rFonts w:ascii="Times New Roman" w:hAnsi="Times New Roman"/>
          <w:sz w:val="24"/>
          <w:szCs w:val="24"/>
        </w:rPr>
        <w:lastRenderedPageBreak/>
        <w:t xml:space="preserve">mares ; la Diversification des systèmes de production ; la Fixation des éleveurs (agropastoralisme) ; l’Importance socio-économique, alimentaire et nutritionnelle de l’élevage ; la Fuite vers des zones sécurisées ; la Présence d’armes ; la Concomitance des corridors de transhumance et de groupes armés ; les Vols massifs d’animaux ; les Conflits d’interprétation entre droit traditionnel et code civil ; le Déficits de Gouvernance ; la Sous-représentation des </w:t>
      </w:r>
      <w:proofErr w:type="spellStart"/>
      <w:r w:rsidRPr="00014BBF">
        <w:rPr>
          <w:rFonts w:ascii="Times New Roman" w:hAnsi="Times New Roman"/>
          <w:sz w:val="24"/>
          <w:szCs w:val="24"/>
        </w:rPr>
        <w:t>pastoralistes</w:t>
      </w:r>
      <w:proofErr w:type="spellEnd"/>
      <w:r w:rsidRPr="00014BBF">
        <w:rPr>
          <w:rFonts w:ascii="Times New Roman" w:hAnsi="Times New Roman"/>
          <w:sz w:val="24"/>
          <w:szCs w:val="24"/>
        </w:rPr>
        <w:t xml:space="preserve"> dans les structures étatiques ; la Dimension régionale du problème ; l’Erosion des accords ancestraux. </w:t>
      </w:r>
    </w:p>
    <w:p w14:paraId="02967831" w14:textId="77777777"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Pour faire face à ce problème, des mécanismes de prévention n et de résolution des conflits existent mais elles demeurent très insuffisantes. Des stratégies de résolution de ces conflits à long terme peuvent être développé. On peut citer entre autres ; le Besoin d’un code foncier (en cours) et d’une politique foncière adossée à la Loi d'orientation agro-</w:t>
      </w:r>
      <w:proofErr w:type="spellStart"/>
      <w:r w:rsidRPr="00014BBF">
        <w:rPr>
          <w:rFonts w:ascii="Times New Roman" w:hAnsi="Times New Roman"/>
          <w:sz w:val="24"/>
          <w:szCs w:val="24"/>
        </w:rPr>
        <w:t>sylvo</w:t>
      </w:r>
      <w:proofErr w:type="spellEnd"/>
      <w:r w:rsidRPr="00014BBF">
        <w:rPr>
          <w:rFonts w:ascii="Times New Roman" w:hAnsi="Times New Roman"/>
          <w:sz w:val="24"/>
          <w:szCs w:val="24"/>
        </w:rPr>
        <w:t>-pastorale et halieutiques (LOAH) ; le Renforcement des capacités des acteurs (autorités locales, les usages) afin de respecter les textes en vigueur ou qui seront élaborés ; l’Organisation des campagnes d’information et de sensibilisation des acteurs ; la mise  en œuvre des projets de résolution de conflits et de consolidation de la paix et la cohésion sociale ; l’Approche inclusive comprenant aussi les femmes et les jeunes ; la Création et renforcement des infrastructures et des corridors de transhumance ; le Développement d’activités socio-économiques conjointes « Eleveur/Fermier » ; l’Evolution des modes de production et valorisation de la filière « Elevage » ; l’Amélioration de la connaissance des flux migratoires et des problèmes sous-jacents et la Coordination transfrontalière et renforcement des capacités aux frontières</w:t>
      </w:r>
    </w:p>
    <w:p w14:paraId="618D90EB" w14:textId="77777777"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 xml:space="preserve">Les exploitations familiales agricoles et agropastorales en milieu rural constituent sans doute l’une des catégories les plus vulnérables de la population et notamment les femmes qui en grande majorité travaillent dans le secteur agricole. Ainsi, l’impact sur le secteur agricole fait craindre une crise alimentaire sévère, voire un retour de la famine au sein de ses communautés d’autant plus que dans plus de 80% des cas au Tchad, les ménages ruraux épuisent leurs stocks vivriers six mois après récolte et sont particulièrement vulnérables pendant les périodes de soudure.  A moyen et long terme, les effets de Covid-19 risquent d’entrainer une perte importante du cheptel, un appauvrissement et un fort endettement des éleveurs et producteurs et de mettre ainsi des familles, et en particulier les familles agropastorales, dans une situation d’extrême pauvreté. La détérioration des conditions de vie des ménages et donc de l’alimentation de ces derniers risques d’entraîner la malnutrition et la sous-alimentation en particulier chez les populations vulnérables (enfants et femmes allaitantes). </w:t>
      </w:r>
    </w:p>
    <w:p w14:paraId="0EFD6C28" w14:textId="70E8C051"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Face aux menaces acridiennes qui se pointe</w:t>
      </w:r>
      <w:r w:rsidR="00E157CA">
        <w:rPr>
          <w:rFonts w:ascii="Times New Roman" w:hAnsi="Times New Roman"/>
          <w:sz w:val="24"/>
          <w:szCs w:val="24"/>
        </w:rPr>
        <w:t>nt</w:t>
      </w:r>
      <w:r w:rsidRPr="00014BBF">
        <w:rPr>
          <w:rFonts w:ascii="Times New Roman" w:hAnsi="Times New Roman"/>
          <w:sz w:val="24"/>
          <w:szCs w:val="24"/>
        </w:rPr>
        <w:t xml:space="preserve"> à l’horizon chaque année et dont les impacts sur la sécurité alimentaire, la nutrition et les moyens d’existence des personnes citées n’en seront pas de moindre importance, le Gouvernement et les partenaires techniques et financiers ont mis en place un Cadre National de Gestion du Risque Acridien composé de deux plans dont le Plan de Prévention du Risque Acridien et le Plan National d’Urgence Antiacridien. Dans l’accord portant création en 2002 de la Commission de lutte contre le Criquet pèlerin dans la Région occidentale, chacun de ses Etats membres (Algérie, Burkina Faso, Libye, Mali, Maroc, Mauritanie, Niger, Sénégal, Tchad et Tunisie) s’est engagé à mettre en œuvre la stratégie de lutte préventive, à travers la création d’unités nationales de lutte antiacridienne, et à faire face aux invasions des Criquets pèlerins sur leurs territoires en prenant toutes les mesures nécessaires. Au Tchad l’Agence de lutte Antiacridienne a été créée pour faire face à ce fléau. Cependant, l’assouplissement progressif de certaines mesures ont permis un meilleur approvisionnement </w:t>
      </w:r>
      <w:r w:rsidRPr="00014BBF">
        <w:rPr>
          <w:rFonts w:ascii="Times New Roman" w:hAnsi="Times New Roman"/>
          <w:sz w:val="24"/>
          <w:szCs w:val="24"/>
        </w:rPr>
        <w:lastRenderedPageBreak/>
        <w:t>des marchés, la disponibilité et l’accessibilité aux aliments préparés pour la vente dans les centres urbains et le long des voies de circulation ainsi que la disponibilité et l’accessibilité aux intrants agricoles.</w:t>
      </w:r>
    </w:p>
    <w:p w14:paraId="2B2AEA69" w14:textId="77777777"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 xml:space="preserve">Pour améliorer la situation de la sécurité alimentaire et nutritionnelle des populations tchadiennes en général et de groupes vulnérables en particulier, les priorités d’action suivantes doivent être promues par l’Etat avec l’appui de ses partenaires : </w:t>
      </w:r>
    </w:p>
    <w:p w14:paraId="286F9A9C" w14:textId="77777777" w:rsidR="00014BBF" w:rsidRPr="00014BBF" w:rsidRDefault="00014BBF" w:rsidP="00BC1AE3">
      <w:pPr>
        <w:numPr>
          <w:ilvl w:val="0"/>
          <w:numId w:val="28"/>
        </w:numPr>
        <w:spacing w:afterLines="160" w:after="384" w:line="240" w:lineRule="auto"/>
        <w:contextualSpacing/>
        <w:jc w:val="both"/>
        <w:rPr>
          <w:rFonts w:ascii="Times New Roman" w:hAnsi="Times New Roman"/>
          <w:sz w:val="24"/>
          <w:szCs w:val="24"/>
        </w:rPr>
      </w:pPr>
      <w:r w:rsidRPr="00014BBF">
        <w:rPr>
          <w:rFonts w:ascii="Times New Roman" w:hAnsi="Times New Roman"/>
          <w:sz w:val="24"/>
          <w:szCs w:val="24"/>
        </w:rPr>
        <w:t>Renforcer les instruments de prévention et de gestion des crises alimentaires et des catastrophes ; Renforcer le capital productif et les chaines de valeur agro-</w:t>
      </w:r>
      <w:proofErr w:type="spellStart"/>
      <w:r w:rsidRPr="00014BBF">
        <w:rPr>
          <w:rFonts w:ascii="Times New Roman" w:hAnsi="Times New Roman"/>
          <w:sz w:val="24"/>
          <w:szCs w:val="24"/>
        </w:rPr>
        <w:t>sylvo</w:t>
      </w:r>
      <w:proofErr w:type="spellEnd"/>
      <w:r w:rsidRPr="00014BBF">
        <w:rPr>
          <w:rFonts w:ascii="Times New Roman" w:hAnsi="Times New Roman"/>
          <w:sz w:val="24"/>
          <w:szCs w:val="24"/>
        </w:rPr>
        <w:t>-pastorales et halieutiques ;</w:t>
      </w:r>
    </w:p>
    <w:p w14:paraId="5C8B0BB1" w14:textId="77777777" w:rsidR="00014BBF" w:rsidRPr="00014BBF" w:rsidRDefault="00014BBF" w:rsidP="00BC1AE3">
      <w:pPr>
        <w:numPr>
          <w:ilvl w:val="0"/>
          <w:numId w:val="28"/>
        </w:numPr>
        <w:spacing w:afterLines="160" w:after="384" w:line="240" w:lineRule="auto"/>
        <w:contextualSpacing/>
        <w:jc w:val="both"/>
        <w:rPr>
          <w:rFonts w:ascii="Times New Roman" w:hAnsi="Times New Roman"/>
          <w:sz w:val="24"/>
          <w:szCs w:val="24"/>
        </w:rPr>
      </w:pPr>
      <w:r w:rsidRPr="00014BBF">
        <w:rPr>
          <w:rFonts w:ascii="Times New Roman" w:hAnsi="Times New Roman"/>
          <w:sz w:val="24"/>
          <w:szCs w:val="24"/>
        </w:rPr>
        <w:t xml:space="preserve">Renforcer la gouvernance des systèmes agricoles et alimentaires et impliquer davantage le secteur privé qui doit jouer son rôle dans le développement économique du Pays ; </w:t>
      </w:r>
    </w:p>
    <w:p w14:paraId="5D4C67E8" w14:textId="77777777" w:rsidR="00014BBF" w:rsidRPr="00014BBF" w:rsidRDefault="00014BBF" w:rsidP="00BC1AE3">
      <w:pPr>
        <w:numPr>
          <w:ilvl w:val="0"/>
          <w:numId w:val="28"/>
        </w:numPr>
        <w:spacing w:afterLines="160" w:after="384" w:line="240" w:lineRule="auto"/>
        <w:contextualSpacing/>
        <w:jc w:val="both"/>
        <w:rPr>
          <w:rFonts w:ascii="Times New Roman" w:hAnsi="Times New Roman"/>
          <w:sz w:val="24"/>
          <w:szCs w:val="24"/>
        </w:rPr>
      </w:pPr>
      <w:r w:rsidRPr="00014BBF">
        <w:rPr>
          <w:rFonts w:ascii="Times New Roman" w:hAnsi="Times New Roman"/>
          <w:sz w:val="24"/>
          <w:szCs w:val="24"/>
        </w:rPr>
        <w:t>Promouvoir le nexus Humanitaire-Développement-Paix pour réduire la vulnérabilité globale et le nombre de besoins non satisfaits des personnes les plus vulnérables ;</w:t>
      </w:r>
    </w:p>
    <w:p w14:paraId="573B0A9E" w14:textId="77777777" w:rsidR="00014BBF" w:rsidRPr="00014BBF" w:rsidRDefault="00014BBF" w:rsidP="00BC1AE3">
      <w:pPr>
        <w:numPr>
          <w:ilvl w:val="0"/>
          <w:numId w:val="28"/>
        </w:numPr>
        <w:spacing w:afterLines="160" w:after="384" w:line="240" w:lineRule="auto"/>
        <w:contextualSpacing/>
        <w:jc w:val="both"/>
        <w:rPr>
          <w:rFonts w:ascii="Times New Roman" w:hAnsi="Times New Roman"/>
          <w:sz w:val="24"/>
          <w:szCs w:val="24"/>
        </w:rPr>
      </w:pPr>
      <w:r w:rsidRPr="00014BBF">
        <w:rPr>
          <w:rFonts w:ascii="Times New Roman" w:hAnsi="Times New Roman"/>
          <w:sz w:val="24"/>
          <w:szCs w:val="24"/>
        </w:rPr>
        <w:t>Renforcer la résilience des groupes vulnérables à travers des activités de création d’actifs au niveau des ménages ou des communautés.</w:t>
      </w:r>
    </w:p>
    <w:p w14:paraId="0F13395A" w14:textId="77777777" w:rsidR="00014BBF" w:rsidRPr="00014BBF" w:rsidRDefault="00014BBF" w:rsidP="00014BBF">
      <w:pPr>
        <w:spacing w:afterLines="160" w:after="384" w:line="240" w:lineRule="auto"/>
        <w:ind w:left="720"/>
        <w:contextualSpacing/>
        <w:jc w:val="both"/>
        <w:rPr>
          <w:rFonts w:ascii="Times New Roman" w:hAnsi="Times New Roman"/>
          <w:sz w:val="24"/>
          <w:szCs w:val="24"/>
        </w:rPr>
      </w:pPr>
    </w:p>
    <w:p w14:paraId="6F8BDF06" w14:textId="2C26C6B5"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 xml:space="preserve">Sur invitation du Secrétaire Général des Nations Unies, le Gouvernement du Tchad à l’instar </w:t>
      </w:r>
      <w:r w:rsidR="002C4278" w:rsidRPr="00014BBF">
        <w:rPr>
          <w:rFonts w:ascii="Times New Roman" w:hAnsi="Times New Roman"/>
          <w:sz w:val="24"/>
          <w:szCs w:val="24"/>
        </w:rPr>
        <w:t>des</w:t>
      </w:r>
      <w:r w:rsidRPr="00014BBF">
        <w:rPr>
          <w:rFonts w:ascii="Times New Roman" w:hAnsi="Times New Roman"/>
          <w:sz w:val="24"/>
          <w:szCs w:val="24"/>
        </w:rPr>
        <w:t xml:space="preserve"> autres pays du Monde a participé au Sommet des Nations Unies sur les systèmes alimentaires prévu le 23 septembre 2021. Dans cette optique, le Tchad a réalisé une évaluation des systèmes alimentaires et organisé des concertations avec la participation de tous les acteurs et parties prenantes de la sécurité alimentaire et nutritionnelle qui lui ont permis d’élaborer la feuille de route nationale qui détermine la voie à suivre vers des systèmes alimentaires plus durables pour soutenir l’Agenda 2030 et accélérer les progrès dans la lutte contre la faim, la malnutrition et la pauvreté. Cette feuille de route  s’articule autour de cinq (5) pistes d’actions retenues, à savoir : (i) renforcer la résilience des ménages et des communautés les plus vulnérables face aux crises et aux catastrophes ; (ii) promouvoir des régimes alimentaires nutritifs et sains pour tous ; (iii) améliorer la productivité, la valorisation et la durabilité des systèmes agricoles et alimentaires ; (iv) promouvoir l’autonomisation des jeunes et des femmes dans les systèmes alimentaires ; (v) assurer le renforcement des capacités des acteurs et une gouvernance des systèmes alimentaires inclusive.</w:t>
      </w:r>
    </w:p>
    <w:p w14:paraId="63F7E542" w14:textId="1C062538" w:rsidR="00014BBF" w:rsidRP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 xml:space="preserve">La mise en </w:t>
      </w:r>
      <w:r w:rsidR="004374BB" w:rsidRPr="00014BBF">
        <w:rPr>
          <w:rFonts w:ascii="Times New Roman" w:hAnsi="Times New Roman"/>
          <w:sz w:val="24"/>
          <w:szCs w:val="24"/>
        </w:rPr>
        <w:t>œuvre</w:t>
      </w:r>
      <w:r w:rsidRPr="00014BBF">
        <w:rPr>
          <w:rFonts w:ascii="Times New Roman" w:hAnsi="Times New Roman"/>
          <w:sz w:val="24"/>
          <w:szCs w:val="24"/>
        </w:rPr>
        <w:t xml:space="preserve"> de cette Feuille de route nationale s’appuiera entre autres sur les accélérateurs de changements et principes d’interventions suivants : (i) l’éducation, l’alphabétisation et la formation professionnelle des populations ; (ii) la prise en compte systématique du genre ; (iii) l’approche basée sur les droits de la personne ; (iv) le financement basé prioritairement sur les fonds privés et publics ainsi que les revenus tirés des filières agricoles et alimentaires porteuses ; (v) la valorisation des résultats de la recherche (y compris le numérique), des acquis et des bonnes pratiques issues des projets et programmes de développement ; (vi) le changement de mentalité ; (vii) l’approche filière (vii) le nexus humanitaire-développement paix.</w:t>
      </w:r>
    </w:p>
    <w:p w14:paraId="38230D63" w14:textId="3934C689" w:rsidR="00014BBF" w:rsidRDefault="00014BBF" w:rsidP="00014BBF">
      <w:pPr>
        <w:spacing w:afterLines="160" w:after="384" w:line="240" w:lineRule="auto"/>
        <w:jc w:val="both"/>
        <w:rPr>
          <w:rFonts w:ascii="Times New Roman" w:hAnsi="Times New Roman"/>
          <w:sz w:val="24"/>
          <w:szCs w:val="24"/>
        </w:rPr>
      </w:pPr>
      <w:r w:rsidRPr="00014BBF">
        <w:rPr>
          <w:rFonts w:ascii="Times New Roman" w:hAnsi="Times New Roman"/>
          <w:sz w:val="24"/>
          <w:szCs w:val="24"/>
        </w:rPr>
        <w:t>Le Tchad pourrait également s’appuyer sur des initiatives comme « Initiative Main dans la Main »</w:t>
      </w:r>
      <w:r w:rsidR="00CE1CBB">
        <w:rPr>
          <w:rFonts w:ascii="Times New Roman" w:hAnsi="Times New Roman"/>
          <w:sz w:val="24"/>
          <w:szCs w:val="24"/>
        </w:rPr>
        <w:t>,</w:t>
      </w:r>
      <w:r w:rsidRPr="00014BBF">
        <w:rPr>
          <w:rFonts w:ascii="Times New Roman" w:hAnsi="Times New Roman"/>
          <w:sz w:val="24"/>
          <w:szCs w:val="24"/>
        </w:rPr>
        <w:t xml:space="preserve"> promue par les Nations Unies et fondée sur des données factuelles</w:t>
      </w:r>
      <w:r w:rsidR="00CE1CBB">
        <w:rPr>
          <w:rFonts w:ascii="Times New Roman" w:hAnsi="Times New Roman"/>
          <w:sz w:val="24"/>
          <w:szCs w:val="24"/>
        </w:rPr>
        <w:t>,</w:t>
      </w:r>
      <w:r w:rsidRPr="00014BBF">
        <w:rPr>
          <w:rFonts w:ascii="Times New Roman" w:hAnsi="Times New Roman"/>
          <w:sz w:val="24"/>
          <w:szCs w:val="24"/>
        </w:rPr>
        <w:t xml:space="preserve"> visant à accélérer la transformation agricole et le développement rural durable pour éliminer la pauvreté (ODD1) et mettre fin à la faim et à </w:t>
      </w:r>
      <w:r w:rsidRPr="00014BBF">
        <w:rPr>
          <w:rFonts w:ascii="Times New Roman" w:hAnsi="Times New Roman"/>
          <w:sz w:val="24"/>
          <w:szCs w:val="24"/>
        </w:rPr>
        <w:lastRenderedPageBreak/>
        <w:t>toutes les formes de malnutrition (ODD2) alors que nous entrons dans la dernière décennie de réalisation des objectifs de développement durable.</w:t>
      </w:r>
    </w:p>
    <w:p w14:paraId="11256738" w14:textId="654EB21D" w:rsidR="00CD37DE" w:rsidRDefault="00CD37DE" w:rsidP="00BC1AE3">
      <w:pPr>
        <w:pStyle w:val="Titre2"/>
        <w:numPr>
          <w:ilvl w:val="1"/>
          <w:numId w:val="24"/>
        </w:numPr>
        <w:rPr>
          <w:b/>
          <w:bCs w:val="0"/>
          <w:sz w:val="28"/>
          <w:szCs w:val="28"/>
        </w:rPr>
      </w:pPr>
      <w:bookmarkStart w:id="32" w:name="_Toc51745194"/>
      <w:bookmarkStart w:id="33" w:name="_Toc55372897"/>
      <w:bookmarkStart w:id="34" w:name="_Toc55539101"/>
      <w:bookmarkStart w:id="35" w:name="_Toc61523570"/>
      <w:bookmarkStart w:id="36" w:name="_Toc90910784"/>
      <w:r w:rsidRPr="001126F7">
        <w:rPr>
          <w:b/>
          <w:bCs w:val="0"/>
          <w:sz w:val="28"/>
          <w:szCs w:val="28"/>
        </w:rPr>
        <w:t>Emploi</w:t>
      </w:r>
      <w:bookmarkEnd w:id="32"/>
      <w:r w:rsidRPr="001126F7">
        <w:rPr>
          <w:b/>
          <w:bCs w:val="0"/>
          <w:sz w:val="28"/>
          <w:szCs w:val="28"/>
        </w:rPr>
        <w:t xml:space="preserve"> et travail</w:t>
      </w:r>
      <w:bookmarkEnd w:id="33"/>
      <w:bookmarkEnd w:id="34"/>
      <w:bookmarkEnd w:id="35"/>
      <w:bookmarkEnd w:id="36"/>
    </w:p>
    <w:p w14:paraId="5EBE5AE1" w14:textId="5ACD3966" w:rsidR="008E2790" w:rsidRPr="008E2790" w:rsidRDefault="008E2790" w:rsidP="008E2790">
      <w:pPr>
        <w:tabs>
          <w:tab w:val="left" w:pos="567"/>
        </w:tabs>
        <w:spacing w:after="0"/>
        <w:jc w:val="both"/>
        <w:rPr>
          <w:rFonts w:ascii="Times New Roman" w:hAnsi="Times New Roman"/>
          <w:sz w:val="24"/>
          <w:szCs w:val="24"/>
        </w:rPr>
      </w:pPr>
      <w:r w:rsidRPr="008E2790">
        <w:rPr>
          <w:rFonts w:ascii="Times New Roman" w:hAnsi="Times New Roman"/>
          <w:sz w:val="24"/>
          <w:szCs w:val="24"/>
        </w:rPr>
        <w:t xml:space="preserve">Renforcer la formation professionnelle des jeunes et femmes adaptée au marché de travail. En effet, selon le rapport ECOSIT 4, </w:t>
      </w:r>
      <w:r w:rsidR="00AB380A">
        <w:rPr>
          <w:rFonts w:ascii="Times New Roman" w:hAnsi="Times New Roman"/>
          <w:sz w:val="24"/>
          <w:szCs w:val="24"/>
        </w:rPr>
        <w:t>2018/</w:t>
      </w:r>
      <w:r w:rsidRPr="008E2790">
        <w:rPr>
          <w:rFonts w:ascii="Times New Roman" w:hAnsi="Times New Roman"/>
          <w:sz w:val="24"/>
          <w:szCs w:val="24"/>
        </w:rPr>
        <w:t xml:space="preserve">2019, </w:t>
      </w:r>
      <w:r w:rsidR="001B23A8" w:rsidRPr="001B23A8">
        <w:rPr>
          <w:rFonts w:ascii="Times New Roman" w:hAnsi="Times New Roman"/>
          <w:sz w:val="24"/>
          <w:szCs w:val="24"/>
        </w:rPr>
        <w:t>dans l’ensemble du pays, le taux d’activité des personnes âgées de 15 ans et plus est estimé à 60,0% contre 61,</w:t>
      </w:r>
      <w:r w:rsidR="00AB380A">
        <w:rPr>
          <w:rFonts w:ascii="Times New Roman" w:hAnsi="Times New Roman"/>
          <w:sz w:val="24"/>
          <w:szCs w:val="24"/>
        </w:rPr>
        <w:t>8</w:t>
      </w:r>
      <w:r w:rsidR="001B23A8" w:rsidRPr="001B23A8">
        <w:rPr>
          <w:rFonts w:ascii="Times New Roman" w:hAnsi="Times New Roman"/>
          <w:sz w:val="24"/>
          <w:szCs w:val="24"/>
        </w:rPr>
        <w:t>8% en 2011</w:t>
      </w:r>
      <w:r w:rsidRPr="008E2790">
        <w:rPr>
          <w:rFonts w:ascii="Times New Roman" w:hAnsi="Times New Roman"/>
          <w:sz w:val="24"/>
          <w:szCs w:val="24"/>
        </w:rPr>
        <w:t xml:space="preserve">. Selon le milieu de résidence, deux personnes sur trois sont actives en milieu rural (63,7%) contre une personne sur deux en milieu urbain (50,2%). Le taux d’activité est plus élevé chez les hommes que chez les femmes au niveau national et quel que soit le milieu de résidence. En effet, il est de 72,9% pour les hommes et 49,3% pour les femmes au niveau national. En </w:t>
      </w:r>
      <w:r w:rsidR="00BE6EC0">
        <w:rPr>
          <w:rFonts w:ascii="Times New Roman" w:hAnsi="Times New Roman"/>
          <w:sz w:val="24"/>
          <w:szCs w:val="24"/>
        </w:rPr>
        <w:t>2018/</w:t>
      </w:r>
      <w:r w:rsidRPr="008E2790">
        <w:rPr>
          <w:rFonts w:ascii="Times New Roman" w:hAnsi="Times New Roman"/>
          <w:sz w:val="24"/>
          <w:szCs w:val="24"/>
        </w:rPr>
        <w:t xml:space="preserve">2019, le taux d’activité des 15 ans et plus est plus élevé en milieu rural du fait de l’agriculture, il est de 42,7% contre 33,1% en milieu urbain. Les personnes actives occupées de 15 ans et plus exercent essentiellement dans le secteur de l’agriculture (72,1%), le commerce (8,1%), les autres industries (5,7%) et l’élevage/sylviculture/pêche (4,3%). Les femmes sont majoritaires parmi les personnes qui travaillent dans le secteur d’activités autres industries (77,2%), restaurant/hôtel (67,1%), agriculture (54,2%) et commerce (52,5%). </w:t>
      </w:r>
    </w:p>
    <w:p w14:paraId="47B14214" w14:textId="77777777" w:rsidR="008E2790" w:rsidRPr="008E2790" w:rsidRDefault="008E2790" w:rsidP="008E2790">
      <w:pPr>
        <w:tabs>
          <w:tab w:val="left" w:pos="567"/>
        </w:tabs>
        <w:spacing w:after="0"/>
        <w:jc w:val="both"/>
        <w:rPr>
          <w:rFonts w:ascii="Times New Roman" w:hAnsi="Times New Roman"/>
          <w:sz w:val="24"/>
          <w:szCs w:val="24"/>
        </w:rPr>
      </w:pPr>
    </w:p>
    <w:p w14:paraId="7640D905" w14:textId="77777777" w:rsidR="008E2790" w:rsidRPr="008E2790" w:rsidRDefault="008E2790" w:rsidP="008E2790">
      <w:pPr>
        <w:tabs>
          <w:tab w:val="left" w:pos="567"/>
        </w:tabs>
        <w:spacing w:after="0"/>
        <w:jc w:val="both"/>
        <w:rPr>
          <w:rFonts w:ascii="Times New Roman" w:hAnsi="Times New Roman"/>
          <w:sz w:val="24"/>
          <w:szCs w:val="24"/>
        </w:rPr>
      </w:pPr>
      <w:r w:rsidRPr="008E2790">
        <w:rPr>
          <w:rFonts w:ascii="Times New Roman" w:hAnsi="Times New Roman"/>
          <w:sz w:val="24"/>
          <w:szCs w:val="24"/>
        </w:rPr>
        <w:t>Au Tchad, la problématique d’emploi et de sous-emploi des jeunes se pose avec acuité.  L’intégration à la fonction publique est gelée depuis 2016 par le gouvernement ce qui a considérablement réduit les possibilités d’emploi compte tenu du poids de l’Etat dans l’économie. En août 2019, le Chef de l'Etat tchadien a annoncé que 20 000 jeunes seraient recrutés dans la fonction publique en 2020. Une promesse assez ambitieuse au regard de la conjoncture économique que traverse le pays en effet, au 31 Décembre 2020, seuls 6.596   recrutements étaient effectifs.  Avec la crise de la pandémie de la COVID-19 il y au total 6596 recrutements dans la fonction publique en 2020 (d’après le Chef de l’Etat dans son discours à la nation du 31 décembre 2020). Le rapport sur la situation de la jeunesse au Tchad de 2016 relève que la majorité (54%) de personnes identifiées comme chômeurs sont des jeunes dont l’âge se situe entre 15 et 30 ans. Selon ce rapport, la crise économique que connait le pays a non seulement rendu l’accès à l’emploi difficile, voire impossible, mais a aussi rendu plus précaire les emplois existants. En termes de droits de l’homme, la distribution des revenues s’avère cruciale.</w:t>
      </w:r>
    </w:p>
    <w:p w14:paraId="30D29A44" w14:textId="77777777" w:rsidR="008E2790" w:rsidRPr="008E2790" w:rsidRDefault="008E2790" w:rsidP="008E2790">
      <w:pPr>
        <w:tabs>
          <w:tab w:val="left" w:pos="567"/>
        </w:tabs>
        <w:spacing w:after="0"/>
        <w:jc w:val="both"/>
        <w:rPr>
          <w:rFonts w:ascii="Times New Roman" w:hAnsi="Times New Roman"/>
          <w:sz w:val="24"/>
          <w:szCs w:val="24"/>
        </w:rPr>
      </w:pPr>
    </w:p>
    <w:p w14:paraId="1A74E983" w14:textId="77777777" w:rsidR="008E2790" w:rsidRPr="008E2790" w:rsidRDefault="008E2790" w:rsidP="008E2790">
      <w:pPr>
        <w:tabs>
          <w:tab w:val="left" w:pos="567"/>
        </w:tabs>
        <w:spacing w:after="0"/>
        <w:jc w:val="both"/>
        <w:rPr>
          <w:rFonts w:ascii="Times New Roman" w:hAnsi="Times New Roman"/>
          <w:sz w:val="24"/>
          <w:szCs w:val="24"/>
        </w:rPr>
      </w:pPr>
      <w:r w:rsidRPr="008E2790">
        <w:rPr>
          <w:rFonts w:ascii="Times New Roman" w:hAnsi="Times New Roman"/>
          <w:sz w:val="24"/>
          <w:szCs w:val="24"/>
        </w:rPr>
        <w:t xml:space="preserve">Les causes et facteurs sous-jacent du sous-emploi sont nombreux : le faible accès au financement pour les entreprises ; le manque de formation et de qualification, et la productivité toujours modeste sont autant des obstacles à la création d’emplois. Environ 70 à 80% des jeunes sont actuellement exclus de dispositifs de formation professionnelle liée à l’emploi. Beaucoup de ces jeunes sont au chômage ou tout simplement sous employés. On note une absence de liaison et de curricula adaptés au marché du travail ; une absence de dispositif d’informations sur les métiers et d’orientations professionnelles, ainsi qu’une absence de stratégie et de coordination efficace. Les analyses montrent aussi que le chômage et le sous-emploi des jeunes ainsi que l’absence de ressources et d’autonomisation des femmes constituent des soubassements profonds de la pauvreté, de la précarité et de la fragilité. Les jeunes et les femmes, bien que constituant les couches les plus vulnérables en milieu rural du fait de toutes les privations ou </w:t>
      </w:r>
      <w:r w:rsidRPr="008E2790">
        <w:rPr>
          <w:rFonts w:ascii="Times New Roman" w:hAnsi="Times New Roman"/>
          <w:sz w:val="24"/>
          <w:szCs w:val="24"/>
        </w:rPr>
        <w:lastRenderedPageBreak/>
        <w:t>difficultés d’accéder aux différents types de ressources et à la connaissance, constituent un maillon essentiel au développement d’une agriculture durable et solidaire au Tchad. Leur forte implication conséquente entrainerait une réduction de la fragilité du pays. Pour qu’ils agissent, il faut qu’ils soient organisés, dotés des connaissances juridiques et techniques requises ainsi que des capacités managériales pour entreprendre.</w:t>
      </w:r>
    </w:p>
    <w:p w14:paraId="122F1305" w14:textId="77777777" w:rsidR="008E2790" w:rsidRPr="008E2790" w:rsidRDefault="008E2790" w:rsidP="008E2790">
      <w:pPr>
        <w:tabs>
          <w:tab w:val="left" w:pos="567"/>
        </w:tabs>
        <w:spacing w:after="0"/>
        <w:jc w:val="both"/>
        <w:rPr>
          <w:rFonts w:ascii="Times New Roman" w:hAnsi="Times New Roman"/>
          <w:sz w:val="24"/>
          <w:szCs w:val="24"/>
        </w:rPr>
      </w:pPr>
    </w:p>
    <w:p w14:paraId="1713FC5F" w14:textId="796A0DF3" w:rsidR="008B55B0" w:rsidRDefault="008E2790" w:rsidP="008E2790">
      <w:pPr>
        <w:tabs>
          <w:tab w:val="left" w:pos="567"/>
        </w:tabs>
        <w:spacing w:after="0"/>
        <w:jc w:val="both"/>
        <w:rPr>
          <w:rFonts w:ascii="Times New Roman" w:hAnsi="Times New Roman"/>
          <w:sz w:val="24"/>
          <w:szCs w:val="24"/>
        </w:rPr>
      </w:pPr>
      <w:r w:rsidRPr="008E2790">
        <w:rPr>
          <w:rFonts w:ascii="Times New Roman" w:hAnsi="Times New Roman"/>
          <w:sz w:val="24"/>
          <w:szCs w:val="24"/>
        </w:rPr>
        <w:t xml:space="preserve">En 2019, le Tchad a validé la Politique Nationale de la Jeunesse et la Politique Nationale de l’Emploi. Une fois entérinées par les instances supérieures, elles permettront aussi de fédérer et de canaliser les actions du gouvernement et de ses partenaires au développement en faveur du mieux-être de la jeunesse mais aussi des groupes vulnérables comme les femmes les jeunes, mais aussi, les personnes vivant avec un handicap ayant des difficultés d’accès au marché du travail. Plus spécifiquement, la Politique Nationale de l’Emploi et son plan d’action opérationnel, constituent un levier pour une mise en œuvre harmonieuse des principaux piliers stratégiques en termes d’application de mesures actives incitatives à la création d’emplois. Elle permettra la mise en place de programmes actifs de l’emploi et d’un système opérationnel de gestion prévisionnelle des emplois et des compétences, la décentralisation du service public de l’emploi et le développement du système d’informations sur le marché du travail. Malgré une restructuration de l’économie à la faveur de l’exploitation du pétrole (développement d’autres services, notamment d’hôtellerie, du transport, etc.), l’agriculture reste le principal secteur pourvoyeur d’emploi (77% en 2016, </w:t>
      </w:r>
      <w:proofErr w:type="spellStart"/>
      <w:r w:rsidRPr="008E2790">
        <w:rPr>
          <w:rFonts w:ascii="Times New Roman" w:hAnsi="Times New Roman"/>
          <w:sz w:val="24"/>
          <w:szCs w:val="24"/>
        </w:rPr>
        <w:t>Ilostat</w:t>
      </w:r>
      <w:proofErr w:type="spellEnd"/>
      <w:r w:rsidRPr="008E2790">
        <w:rPr>
          <w:rFonts w:ascii="Times New Roman" w:hAnsi="Times New Roman"/>
          <w:sz w:val="24"/>
          <w:szCs w:val="24"/>
        </w:rPr>
        <w:t xml:space="preserve"> 2019), mais est perturbée par les effets du changement climatique (inondations, variation de la durée de la saison de pluie), l’insécurité dans certaines provinces telles que le Lac où la présence de groupes armés affecte les possibilités de pêche et de récoltes, et l’exode rural. Les opportunités liées avec une plus grande implication de la diaspora dans la formation et la création d’emploi devraient être mieux explorer par les pouvoirs publics.</w:t>
      </w:r>
    </w:p>
    <w:p w14:paraId="1BAAE764" w14:textId="5678A555" w:rsidR="008B55B0" w:rsidRPr="008B55B0" w:rsidRDefault="008B55B0" w:rsidP="00BC1AE3">
      <w:pPr>
        <w:pStyle w:val="Titre2"/>
        <w:numPr>
          <w:ilvl w:val="1"/>
          <w:numId w:val="24"/>
        </w:numPr>
        <w:rPr>
          <w:b/>
          <w:bCs w:val="0"/>
          <w:sz w:val="28"/>
          <w:szCs w:val="28"/>
        </w:rPr>
      </w:pPr>
      <w:bookmarkStart w:id="37" w:name="_Toc90910785"/>
      <w:r w:rsidRPr="008E2790">
        <w:rPr>
          <w:b/>
          <w:bCs w:val="0"/>
          <w:sz w:val="28"/>
          <w:szCs w:val="28"/>
        </w:rPr>
        <w:t>Energie, Eau et Assainissement</w:t>
      </w:r>
      <w:bookmarkEnd w:id="37"/>
    </w:p>
    <w:p w14:paraId="5BC68CF3" w14:textId="45E20716" w:rsidR="00AC0077" w:rsidRPr="00AC0077" w:rsidRDefault="00AC0077" w:rsidP="00AC0077">
      <w:pPr>
        <w:tabs>
          <w:tab w:val="left" w:pos="567"/>
        </w:tabs>
        <w:spacing w:after="0"/>
        <w:jc w:val="both"/>
        <w:rPr>
          <w:rFonts w:ascii="Times New Roman" w:hAnsi="Times New Roman"/>
          <w:sz w:val="24"/>
          <w:szCs w:val="24"/>
        </w:rPr>
      </w:pPr>
      <w:r>
        <w:rPr>
          <w:rFonts w:ascii="Times New Roman" w:hAnsi="Times New Roman"/>
          <w:b/>
          <w:sz w:val="24"/>
          <w:szCs w:val="24"/>
        </w:rPr>
        <w:t xml:space="preserve"> </w:t>
      </w:r>
      <w:bookmarkEnd w:id="31"/>
      <w:r w:rsidRPr="00AC0077">
        <w:rPr>
          <w:rFonts w:ascii="Times New Roman" w:hAnsi="Times New Roman"/>
          <w:sz w:val="24"/>
          <w:szCs w:val="24"/>
        </w:rPr>
        <w:t xml:space="preserve">En ce qui concerne l’accès à l’électricité, la proportion des ménages qui utilisent cette source d’énergie en </w:t>
      </w:r>
      <w:r w:rsidR="000C6812">
        <w:rPr>
          <w:rFonts w:ascii="Times New Roman" w:hAnsi="Times New Roman"/>
          <w:sz w:val="24"/>
          <w:szCs w:val="24"/>
        </w:rPr>
        <w:t>2018/</w:t>
      </w:r>
      <w:r w:rsidRPr="00AC0077">
        <w:rPr>
          <w:rFonts w:ascii="Times New Roman" w:hAnsi="Times New Roman"/>
          <w:sz w:val="24"/>
          <w:szCs w:val="24"/>
        </w:rPr>
        <w:t xml:space="preserve">2019 selon le ECOSIT 4 est de 8,0% au niveau national dont 30,4% en milieu urbain contre 1,1% en milieu rural ; 11,4% dans les ménages non pauvres contre 1,5% dans les ménages pauvres. </w:t>
      </w:r>
      <w:r w:rsidRPr="00AC0077">
        <w:rPr>
          <w:rFonts w:ascii="Times New Roman" w:hAnsi="Times New Roman"/>
          <w:sz w:val="24"/>
        </w:rPr>
        <w:t xml:space="preserve">L’accès à l’énergie n’a pas beaucoup évolué, son niveau </w:t>
      </w:r>
      <w:r w:rsidRPr="00AC0077">
        <w:rPr>
          <w:rFonts w:ascii="Times New Roman" w:hAnsi="Times New Roman"/>
          <w:sz w:val="24"/>
          <w:szCs w:val="24"/>
        </w:rPr>
        <w:t>était</w:t>
      </w:r>
      <w:r w:rsidRPr="00AC0077">
        <w:rPr>
          <w:rFonts w:ascii="Times New Roman" w:hAnsi="Times New Roman"/>
          <w:sz w:val="24"/>
        </w:rPr>
        <w:t xml:space="preserve"> estimé </w:t>
      </w:r>
      <w:proofErr w:type="gramStart"/>
      <w:r w:rsidRPr="00AC0077">
        <w:rPr>
          <w:rFonts w:ascii="Times New Roman" w:hAnsi="Times New Roman"/>
          <w:sz w:val="24"/>
        </w:rPr>
        <w:t>au</w:t>
      </w:r>
      <w:proofErr w:type="gramEnd"/>
      <w:r w:rsidRPr="00AC0077">
        <w:rPr>
          <w:rFonts w:ascii="Times New Roman" w:hAnsi="Times New Roman"/>
          <w:sz w:val="24"/>
        </w:rPr>
        <w:t xml:space="preserve"> </w:t>
      </w:r>
      <w:r w:rsidR="003A3190">
        <w:rPr>
          <w:rFonts w:ascii="Times New Roman" w:hAnsi="Times New Roman"/>
          <w:sz w:val="24"/>
        </w:rPr>
        <w:t>plan</w:t>
      </w:r>
      <w:r w:rsidRPr="00AC0077">
        <w:rPr>
          <w:rFonts w:ascii="Times New Roman" w:hAnsi="Times New Roman"/>
          <w:sz w:val="24"/>
        </w:rPr>
        <w:t xml:space="preserve"> national à 3,3% en 2011 (ECOSIT3) en dépit de la construction des nouvelles centrales</w:t>
      </w:r>
      <w:r w:rsidRPr="00AC0077">
        <w:rPr>
          <w:rFonts w:ascii="Times New Roman" w:hAnsi="Times New Roman"/>
          <w:sz w:val="24"/>
          <w:szCs w:val="24"/>
        </w:rPr>
        <w:t xml:space="preserve">. En effet, </w:t>
      </w:r>
      <w:r w:rsidRPr="00AC0077">
        <w:rPr>
          <w:rFonts w:ascii="Times New Roman" w:hAnsi="Times New Roman"/>
          <w:iCs/>
          <w:sz w:val="24"/>
        </w:rPr>
        <w:t>la proportion des ménages utilisant cette source d’énergie est en constante baisse à cause de la croissance démographique et des problèmes de distribution</w:t>
      </w:r>
      <w:r w:rsidRPr="00AC0077">
        <w:rPr>
          <w:rFonts w:ascii="Times New Roman" w:hAnsi="Times New Roman"/>
          <w:iCs/>
          <w:sz w:val="24"/>
          <w:szCs w:val="24"/>
        </w:rPr>
        <w:t xml:space="preserve"> et surtout de l’absence d’investissement dans le domaine</w:t>
      </w:r>
      <w:r w:rsidR="00E5083F">
        <w:rPr>
          <w:rFonts w:ascii="Times New Roman" w:hAnsi="Times New Roman"/>
          <w:iCs/>
          <w:sz w:val="24"/>
          <w:szCs w:val="24"/>
        </w:rPr>
        <w:t xml:space="preserve">. </w:t>
      </w:r>
      <w:r w:rsidR="00E5083F" w:rsidRPr="000C3A30">
        <w:rPr>
          <w:rFonts w:asciiTheme="minorHAnsi" w:hAnsiTheme="minorHAnsi" w:cstheme="minorHAnsi"/>
        </w:rPr>
        <w:t xml:space="preserve">L'électricité </w:t>
      </w:r>
      <w:r w:rsidR="00E5083F">
        <w:rPr>
          <w:rFonts w:asciiTheme="minorHAnsi" w:hAnsiTheme="minorHAnsi" w:cstheme="minorHAnsi"/>
        </w:rPr>
        <w:t>distribuée par le</w:t>
      </w:r>
      <w:r w:rsidR="00E5083F" w:rsidRPr="000C3A30">
        <w:rPr>
          <w:rFonts w:asciiTheme="minorHAnsi" w:hAnsiTheme="minorHAnsi" w:cstheme="minorHAnsi"/>
        </w:rPr>
        <w:t xml:space="preserve"> réseau </w:t>
      </w:r>
      <w:r w:rsidR="00E5083F">
        <w:rPr>
          <w:rFonts w:asciiTheme="minorHAnsi" w:hAnsiTheme="minorHAnsi" w:cstheme="minorHAnsi"/>
        </w:rPr>
        <w:t xml:space="preserve">national </w:t>
      </w:r>
      <w:r w:rsidR="00E5083F" w:rsidRPr="000C3A30">
        <w:rPr>
          <w:rFonts w:asciiTheme="minorHAnsi" w:hAnsiTheme="minorHAnsi" w:cstheme="minorHAnsi"/>
        </w:rPr>
        <w:t xml:space="preserve">est presque exclusivement produite par des centrales thermiques qui génèrent moins de 60% de leur capacité prévue, en raison du vieillissement des infrastructures et du manque de maintenance. 90 % de la capacité de production est destinée à la capitale, N'Djamena. Ce faible niveau de service est aggravé par un réseau national dispersé et </w:t>
      </w:r>
      <w:r w:rsidR="00E5083F">
        <w:rPr>
          <w:rFonts w:asciiTheme="minorHAnsi" w:hAnsiTheme="minorHAnsi" w:cstheme="minorHAnsi"/>
        </w:rPr>
        <w:t>d’une faible efficacité</w:t>
      </w:r>
      <w:r w:rsidR="00E5083F" w:rsidRPr="000C3A30">
        <w:rPr>
          <w:rFonts w:asciiTheme="minorHAnsi" w:hAnsiTheme="minorHAnsi" w:cstheme="minorHAnsi"/>
        </w:rPr>
        <w:t xml:space="preserve">, caractérisé par des pertes techniques et commerciales élevées. Le tarif des services publics nationaux ne reflète pas les coûts, et le niveau élevé des subventions entraîne de fréquents délestages, en particulier dans les zones rurales, où la population dépend principalement de générateurs diesel individuels pour une alimentation électrique fiable. </w:t>
      </w:r>
    </w:p>
    <w:p w14:paraId="6B1A2AD4" w14:textId="77777777" w:rsidR="00AC0077" w:rsidRPr="00AC0077" w:rsidRDefault="00AC0077" w:rsidP="00AC0077">
      <w:pPr>
        <w:tabs>
          <w:tab w:val="left" w:pos="567"/>
        </w:tabs>
        <w:spacing w:after="0"/>
        <w:jc w:val="both"/>
        <w:rPr>
          <w:rFonts w:ascii="Times New Roman" w:hAnsi="Times New Roman"/>
          <w:bCs/>
          <w:sz w:val="24"/>
          <w:szCs w:val="24"/>
        </w:rPr>
      </w:pPr>
    </w:p>
    <w:p w14:paraId="22FEA7E7" w14:textId="77777777" w:rsidR="00E5083F" w:rsidRPr="00153E1E" w:rsidRDefault="00E5083F" w:rsidP="00E5083F">
      <w:pPr>
        <w:snapToGrid w:val="0"/>
        <w:spacing w:before="120" w:after="120" w:line="276" w:lineRule="auto"/>
        <w:jc w:val="both"/>
        <w:rPr>
          <w:rFonts w:asciiTheme="minorHAnsi" w:hAnsiTheme="minorHAnsi" w:cstheme="minorHAnsi"/>
        </w:rPr>
      </w:pPr>
      <w:r w:rsidRPr="000C3A30">
        <w:rPr>
          <w:rFonts w:asciiTheme="minorHAnsi" w:hAnsiTheme="minorHAnsi" w:cstheme="minorHAnsi"/>
        </w:rPr>
        <w:lastRenderedPageBreak/>
        <w:t xml:space="preserve">Le Tchad dispose d'un important potentiel inexploité d'énergies renouvelables, avec un rayonnement solaire de 4 500 à 6 500 Wh/m2/jour et un important potentiel éolien dans le Nord. </w:t>
      </w:r>
      <w:r>
        <w:rPr>
          <w:rFonts w:asciiTheme="minorHAnsi" w:hAnsiTheme="minorHAnsi" w:cstheme="minorHAnsi"/>
        </w:rPr>
        <w:t xml:space="preserve"> </w:t>
      </w:r>
      <w:r w:rsidR="00AC0077" w:rsidRPr="00AC0077">
        <w:rPr>
          <w:rFonts w:ascii="Times New Roman" w:hAnsi="Times New Roman"/>
          <w:b/>
          <w:sz w:val="24"/>
          <w:szCs w:val="24"/>
        </w:rPr>
        <w:t>Investir massivement dans la production de l’énergie renouvelable, énergie hydro-électrique afin d’améliorer l’accès à l’énergie pour l’ensemble de la population est donc une priorité</w:t>
      </w:r>
      <w:r w:rsidR="00AC0077" w:rsidRPr="00AC0077">
        <w:rPr>
          <w:rFonts w:ascii="Times New Roman" w:hAnsi="Times New Roman"/>
          <w:bCs/>
          <w:sz w:val="24"/>
          <w:szCs w:val="24"/>
        </w:rPr>
        <w:t>. En effet, le Tchad continue de dépasser les normes de l'Afrique subsaharienne et de l'Afrique centrale en ce qui concerne l'intensité énergétique et les émissions du dioxyde de carbone (CO</w:t>
      </w:r>
      <w:r w:rsidR="00AC0077" w:rsidRPr="00AC0077">
        <w:rPr>
          <w:rFonts w:ascii="Times New Roman" w:hAnsi="Times New Roman"/>
          <w:bCs/>
          <w:sz w:val="24"/>
          <w:szCs w:val="24"/>
          <w:vertAlign w:val="subscript"/>
        </w:rPr>
        <w:t>2</w:t>
      </w:r>
      <w:r w:rsidR="00AC0077" w:rsidRPr="00AC0077">
        <w:rPr>
          <w:rFonts w:ascii="Times New Roman" w:hAnsi="Times New Roman"/>
          <w:bCs/>
          <w:sz w:val="24"/>
          <w:szCs w:val="24"/>
        </w:rPr>
        <w:t xml:space="preserve">), ce qui indique que le pays dispose d'un grand potentiel pour une industrialisation propre. </w:t>
      </w:r>
      <w:r w:rsidR="00AC0077" w:rsidRPr="00AC0077">
        <w:rPr>
          <w:rFonts w:ascii="Times New Roman" w:hAnsi="Times New Roman"/>
          <w:sz w:val="24"/>
          <w:szCs w:val="24"/>
        </w:rPr>
        <w:t xml:space="preserve">En effet, selon la </w:t>
      </w:r>
      <w:r w:rsidR="00794B2C">
        <w:rPr>
          <w:rFonts w:ascii="Times New Roman" w:hAnsi="Times New Roman"/>
          <w:sz w:val="24"/>
          <w:szCs w:val="24"/>
        </w:rPr>
        <w:t>B</w:t>
      </w:r>
      <w:r w:rsidR="00AC0077" w:rsidRPr="00AC0077">
        <w:rPr>
          <w:rFonts w:ascii="Times New Roman" w:hAnsi="Times New Roman"/>
          <w:sz w:val="24"/>
          <w:szCs w:val="24"/>
        </w:rPr>
        <w:t xml:space="preserve">anque mondiale (2018), les marges entre l’intensité énergétique, un indicateur de l’efficacité énergétique, du Tchad et de ses pairs régionaux se sont considérablement élargies entre 1990 et 2015, l’intensité énergétique du Tchad étant tombée d’environ 7 Mégajoule / Produit Intérieur Brut au début des années 1990 à moins de 3 depuis 2013. </w:t>
      </w:r>
      <w:r w:rsidRPr="008C4B7A">
        <w:rPr>
          <w:rFonts w:asciiTheme="minorHAnsi" w:hAnsiTheme="minorHAnsi" w:cstheme="minorHAnsi"/>
        </w:rPr>
        <w:t xml:space="preserve">Le gouvernement a adopté une nouvelle loi sur l'électricité en 2018 qui a introduit d'importantes réformes sectorielles telles que l'établissement d'un nouveau cadre institutionnel et réglementaire et la libéralisation du secteur, ouvrant la production d'électricité à la concurrence. Cependant, le nouveau cadre réglementaire n'est pas encore pleinement opérationnel et la capacité des institutions à planifier et à mettre en œuvre efficacement leur stratégie d'électrification reste limitée. En septembre 2020, le président du Tchad a annoncé un </w:t>
      </w:r>
      <w:r>
        <w:rPr>
          <w:rFonts w:asciiTheme="minorHAnsi" w:hAnsiTheme="minorHAnsi" w:cstheme="minorHAnsi"/>
        </w:rPr>
        <w:t>« </w:t>
      </w:r>
      <w:r w:rsidRPr="008C4B7A">
        <w:rPr>
          <w:rFonts w:asciiTheme="minorHAnsi" w:hAnsiTheme="minorHAnsi" w:cstheme="minorHAnsi"/>
        </w:rPr>
        <w:t>plan d'urgence pour l'accès à l'électricité</w:t>
      </w:r>
      <w:r>
        <w:rPr>
          <w:rFonts w:asciiTheme="minorHAnsi" w:hAnsiTheme="minorHAnsi" w:cstheme="minorHAnsi"/>
        </w:rPr>
        <w:t> »</w:t>
      </w:r>
      <w:r w:rsidRPr="008C4B7A">
        <w:rPr>
          <w:rFonts w:asciiTheme="minorHAnsi" w:hAnsiTheme="minorHAnsi" w:cstheme="minorHAnsi"/>
        </w:rPr>
        <w:t xml:space="preserve"> en 2021-2023 avec l'objectif de puiser dans toutes les sources de fonds privés et publics disponibles pour remédier au manque critique d'accès à l'électricité dans le pays, notamment en promouvant les énergies renouvelables.</w:t>
      </w:r>
      <w:r>
        <w:rPr>
          <w:rFonts w:asciiTheme="minorHAnsi" w:hAnsiTheme="minorHAnsi" w:cstheme="minorHAnsi"/>
        </w:rPr>
        <w:t xml:space="preserve"> </w:t>
      </w:r>
    </w:p>
    <w:p w14:paraId="5CC510DE" w14:textId="77777777" w:rsidR="00AC0077" w:rsidRPr="00AC0077" w:rsidRDefault="00AC0077" w:rsidP="00AC0077">
      <w:pPr>
        <w:tabs>
          <w:tab w:val="left" w:pos="567"/>
        </w:tabs>
        <w:spacing w:after="0"/>
        <w:jc w:val="both"/>
        <w:rPr>
          <w:rFonts w:ascii="Times New Roman" w:hAnsi="Times New Roman"/>
          <w:sz w:val="24"/>
          <w:szCs w:val="24"/>
        </w:rPr>
      </w:pPr>
    </w:p>
    <w:p w14:paraId="0F24F90E" w14:textId="77777777" w:rsidR="00AC0077" w:rsidRPr="00AC0077" w:rsidRDefault="00AC0077" w:rsidP="00AC0077">
      <w:pPr>
        <w:tabs>
          <w:tab w:val="left" w:pos="567"/>
        </w:tabs>
        <w:spacing w:after="0"/>
        <w:jc w:val="both"/>
        <w:rPr>
          <w:rFonts w:ascii="Times New Roman" w:hAnsi="Times New Roman"/>
          <w:sz w:val="24"/>
          <w:szCs w:val="24"/>
        </w:rPr>
      </w:pPr>
      <w:r w:rsidRPr="00AC0077">
        <w:rPr>
          <w:rFonts w:ascii="Times New Roman" w:hAnsi="Times New Roman"/>
          <w:sz w:val="24"/>
          <w:szCs w:val="24"/>
        </w:rPr>
        <w:t xml:space="preserve">En ce qui concerne l’accès à l’eau potable des ménages, il y a eu une amélioration de l’ordre de 21% entre 2011 et 2018. En effet, selon les données de ECOSIT 3, en 2011 on observe que 43,7% des ménages avaient accès à l’eau potable. Selon le rapport ECOSIT 4, en </w:t>
      </w:r>
      <w:r w:rsidR="000C6812">
        <w:rPr>
          <w:rFonts w:ascii="Times New Roman" w:hAnsi="Times New Roman"/>
          <w:sz w:val="24"/>
          <w:szCs w:val="24"/>
        </w:rPr>
        <w:t>2018/</w:t>
      </w:r>
      <w:r w:rsidRPr="00AC0077">
        <w:rPr>
          <w:rFonts w:ascii="Times New Roman" w:hAnsi="Times New Roman"/>
          <w:sz w:val="24"/>
          <w:szCs w:val="24"/>
        </w:rPr>
        <w:t xml:space="preserve">2019, le pourcentage de ménages ayant accès à l'eau potable au niveau national est de 62,73%. </w:t>
      </w:r>
    </w:p>
    <w:p w14:paraId="187350DA" w14:textId="77777777" w:rsidR="00AC0077" w:rsidRPr="00AC0077" w:rsidRDefault="00AC0077" w:rsidP="00AC0077">
      <w:pPr>
        <w:tabs>
          <w:tab w:val="left" w:pos="567"/>
        </w:tabs>
        <w:spacing w:after="0"/>
        <w:jc w:val="both"/>
        <w:rPr>
          <w:rFonts w:ascii="Times New Roman" w:hAnsi="Times New Roman"/>
          <w:sz w:val="24"/>
          <w:szCs w:val="24"/>
        </w:rPr>
      </w:pPr>
      <w:r w:rsidRPr="00AC0077">
        <w:rPr>
          <w:rFonts w:ascii="Times New Roman" w:hAnsi="Times New Roman"/>
          <w:sz w:val="24"/>
          <w:szCs w:val="24"/>
        </w:rPr>
        <w:t xml:space="preserve">   </w:t>
      </w:r>
    </w:p>
    <w:p w14:paraId="1AF1689B" w14:textId="77777777" w:rsidR="00AC0077" w:rsidRPr="00AC0077" w:rsidRDefault="00AC0077" w:rsidP="00AC0077">
      <w:pPr>
        <w:tabs>
          <w:tab w:val="left" w:pos="567"/>
        </w:tabs>
        <w:spacing w:after="0"/>
        <w:jc w:val="both"/>
        <w:rPr>
          <w:rFonts w:ascii="Times New Roman" w:hAnsi="Times New Roman"/>
          <w:sz w:val="24"/>
          <w:szCs w:val="24"/>
        </w:rPr>
      </w:pPr>
      <w:r w:rsidRPr="00AC0077">
        <w:rPr>
          <w:rFonts w:ascii="Times New Roman" w:hAnsi="Times New Roman"/>
          <w:b/>
          <w:bCs/>
          <w:sz w:val="24"/>
          <w:szCs w:val="24"/>
        </w:rPr>
        <w:t xml:space="preserve">Investir dans les programmes d’assainissement, traitement des eaux usées, des déchets ménagers et industrielles devrait améliorer l’assainissement. </w:t>
      </w:r>
      <w:r w:rsidRPr="00AC0077">
        <w:rPr>
          <w:rFonts w:ascii="Times New Roman" w:hAnsi="Times New Roman"/>
          <w:sz w:val="24"/>
          <w:szCs w:val="24"/>
        </w:rPr>
        <w:t>Sur la base des indicateurs du programme commun des Nations Unies de suivi de l’approvisionnement en eau, de l’assainissement et de l’hygiène, l’accès basique à l’assainissement a régressé au Tchad, passant de 10% en 2017 à 8% en 2019. Cette situation cache également des disparités énormes entre le milieu rural et urbain. La pratique de la défécation à l’air libre a connu une réduction d’un point sur la même période avec un taux actuel de 67%, en matière d’hygiène seulement 6% de la population se lavent les mains au savon et seulement 2% en milieu rural. Dans les institutions (Ecole et Formation sanitaire), la situation n’est guère reluisante, selon la même source de données, en 2019, on observe que 73% des formations sanitaires disposent de services d’assainissement amélioré et seulement 41 % disposent de source d’eau améliorée.</w:t>
      </w:r>
    </w:p>
    <w:p w14:paraId="019C46F9" w14:textId="3A46B8A2" w:rsidR="00CD37DE" w:rsidRPr="00CD37DE" w:rsidRDefault="00CD37DE" w:rsidP="00AC0077">
      <w:pPr>
        <w:tabs>
          <w:tab w:val="left" w:pos="567"/>
        </w:tabs>
        <w:spacing w:after="0"/>
        <w:jc w:val="both"/>
        <w:rPr>
          <w:rFonts w:ascii="Times New Roman" w:hAnsi="Times New Roman"/>
          <w:sz w:val="24"/>
          <w:szCs w:val="24"/>
        </w:rPr>
      </w:pPr>
    </w:p>
    <w:p w14:paraId="635B7048" w14:textId="77777777" w:rsidR="00CD37DE" w:rsidRPr="001126F7" w:rsidRDefault="00CD37DE" w:rsidP="00BC1AE3">
      <w:pPr>
        <w:pStyle w:val="Titre2"/>
        <w:numPr>
          <w:ilvl w:val="1"/>
          <w:numId w:val="24"/>
        </w:numPr>
        <w:rPr>
          <w:b/>
          <w:bCs w:val="0"/>
          <w:sz w:val="28"/>
          <w:szCs w:val="28"/>
        </w:rPr>
      </w:pPr>
      <w:bookmarkStart w:id="38" w:name="_Toc51745195"/>
      <w:bookmarkStart w:id="39" w:name="_Toc55372898"/>
      <w:bookmarkStart w:id="40" w:name="_Toc55539102"/>
      <w:bookmarkStart w:id="41" w:name="_Toc61523571"/>
      <w:bookmarkStart w:id="42" w:name="_Toc90910786"/>
      <w:r w:rsidRPr="001126F7">
        <w:rPr>
          <w:b/>
          <w:bCs w:val="0"/>
          <w:sz w:val="28"/>
          <w:szCs w:val="28"/>
        </w:rPr>
        <w:t>Environnement</w:t>
      </w:r>
      <w:bookmarkEnd w:id="38"/>
      <w:bookmarkEnd w:id="39"/>
      <w:bookmarkEnd w:id="40"/>
      <w:bookmarkEnd w:id="41"/>
      <w:bookmarkEnd w:id="42"/>
    </w:p>
    <w:p w14:paraId="0E001097" w14:textId="5F717161" w:rsidR="00A8375B" w:rsidRPr="00A8375B" w:rsidRDefault="00A8375B" w:rsidP="00A8375B">
      <w:pPr>
        <w:tabs>
          <w:tab w:val="left" w:pos="567"/>
        </w:tabs>
        <w:spacing w:after="0"/>
        <w:jc w:val="both"/>
        <w:rPr>
          <w:rFonts w:ascii="Times New Roman" w:hAnsi="Times New Roman"/>
          <w:sz w:val="24"/>
          <w:szCs w:val="24"/>
        </w:rPr>
      </w:pPr>
      <w:r w:rsidRPr="00A8375B">
        <w:rPr>
          <w:rFonts w:ascii="Times New Roman" w:hAnsi="Times New Roman"/>
          <w:sz w:val="24"/>
          <w:szCs w:val="24"/>
        </w:rPr>
        <w:t xml:space="preserve">Le Tchad possède trois zones climatiques distinctes : (1) Une zone subtropicale située dans la ceinture pluviale équatoriale au sud qui couvre environ 10 % du territoire national et qui a une saison humide de mai à novembre (jusqu'à 1 400 mm de pluie) et une saison sèche de décembre à avril ; (2) une zone </w:t>
      </w:r>
      <w:r w:rsidRPr="00A8375B">
        <w:rPr>
          <w:rFonts w:ascii="Times New Roman" w:hAnsi="Times New Roman"/>
          <w:sz w:val="24"/>
          <w:szCs w:val="24"/>
        </w:rPr>
        <w:lastRenderedPageBreak/>
        <w:t xml:space="preserve">sahélienne dans la région centrale qui couvre environ 30 % du pays et qui a une saison sèche plus longue et une brève saison des pluies entre juin et septembre (entre 200 et 650 mm de pluie) ; et (3) une zone saharienne dans la région nord qui couvre environ 60 % du pays et qui a un climat désertique avec des conditions chaudes et arides et presque pas de précipitations (moins de 200 mm par an). </w:t>
      </w:r>
    </w:p>
    <w:p w14:paraId="480D468E" w14:textId="77777777" w:rsidR="00A8375B" w:rsidRDefault="00A8375B" w:rsidP="00A8375B">
      <w:pPr>
        <w:tabs>
          <w:tab w:val="left" w:pos="567"/>
        </w:tabs>
        <w:spacing w:after="0"/>
        <w:jc w:val="both"/>
        <w:rPr>
          <w:rFonts w:ascii="Times New Roman" w:hAnsi="Times New Roman"/>
          <w:sz w:val="24"/>
          <w:szCs w:val="24"/>
        </w:rPr>
      </w:pPr>
    </w:p>
    <w:p w14:paraId="2EC5283E" w14:textId="46EBDD16" w:rsidR="00A8375B" w:rsidRPr="00A8375B" w:rsidRDefault="00A8375B" w:rsidP="00A8375B">
      <w:pPr>
        <w:tabs>
          <w:tab w:val="left" w:pos="567"/>
        </w:tabs>
        <w:spacing w:after="0"/>
        <w:jc w:val="both"/>
        <w:rPr>
          <w:rFonts w:ascii="Times New Roman" w:hAnsi="Times New Roman"/>
          <w:sz w:val="24"/>
          <w:szCs w:val="24"/>
        </w:rPr>
      </w:pPr>
      <w:r w:rsidRPr="00A8375B">
        <w:rPr>
          <w:rFonts w:ascii="Times New Roman" w:hAnsi="Times New Roman"/>
          <w:sz w:val="24"/>
          <w:szCs w:val="24"/>
        </w:rPr>
        <w:t>Depuis le milieu du XXème siècle, le Tchad connaît des hausses de températures et des précipitations en baisse. La température moyenne au Tchad et au Sahel en général a augmenté de 1 degré Celsius, soit deux fois le changement de la moyenne mondiale. Le changement climatique a non seulement affecté les régimes pluviométriques dans la région, mais a également augmenté la fréquence et l'ampleur des chocs et a accéléré la dégradation de l'environnement et des terres, entraînant une baisse de la productivité des terres. Selon le rapport de la Commission du Bassin du Lac Tchad de février 2020, le déficit de la pluviométrie, et de l’utilisation accrue des eaux du lac et des rivières qui alimentent le lac, ont réduit fortement la superficie du lac Tchad ces quatre dernières décennies. Elle se situe aujourd’hui autour de 2 000 Km2, contre 25 000 Km2 en 1973 ; soit 10% de la surface que le lac occupait dans les années 1960.  Le Tchad est confronté à une sécheresse tous les trois ans, et une sécheresse majeure tous les cinq à dix ans, comme c'est le cas pour le reste du Sahel.</w:t>
      </w:r>
    </w:p>
    <w:p w14:paraId="4EFB5B66" w14:textId="77777777" w:rsidR="00A8375B" w:rsidRDefault="00A8375B" w:rsidP="00A8375B">
      <w:pPr>
        <w:tabs>
          <w:tab w:val="left" w:pos="567"/>
        </w:tabs>
        <w:spacing w:after="0"/>
        <w:jc w:val="both"/>
        <w:rPr>
          <w:rFonts w:ascii="Times New Roman" w:hAnsi="Times New Roman"/>
          <w:sz w:val="24"/>
          <w:szCs w:val="24"/>
        </w:rPr>
      </w:pPr>
    </w:p>
    <w:p w14:paraId="592E9056" w14:textId="15C21D3F" w:rsidR="00A8375B" w:rsidRPr="00A8375B" w:rsidRDefault="00A8375B" w:rsidP="00A8375B">
      <w:pPr>
        <w:tabs>
          <w:tab w:val="left" w:pos="567"/>
        </w:tabs>
        <w:spacing w:after="0"/>
        <w:jc w:val="both"/>
        <w:rPr>
          <w:rFonts w:ascii="Times New Roman" w:hAnsi="Times New Roman"/>
          <w:sz w:val="24"/>
          <w:szCs w:val="24"/>
        </w:rPr>
      </w:pPr>
      <w:r w:rsidRPr="00A8375B">
        <w:rPr>
          <w:rFonts w:ascii="Times New Roman" w:hAnsi="Times New Roman"/>
          <w:sz w:val="24"/>
          <w:szCs w:val="24"/>
        </w:rPr>
        <w:t>Comme c'est également le cas dans d’autres pays la région du lac Tchad,</w:t>
      </w:r>
      <w:r w:rsidRPr="00A8375B">
        <w:footnoteReference w:id="21"/>
      </w:r>
      <w:r w:rsidRPr="00A8375B">
        <w:rPr>
          <w:rFonts w:ascii="Times New Roman" w:hAnsi="Times New Roman"/>
          <w:sz w:val="24"/>
          <w:szCs w:val="24"/>
        </w:rPr>
        <w:t xml:space="preserve"> le changement climatique est un facteur clé de conflits intercommunautaires liés à la transhumance au Tchad, non pas de manière indirecte ou alambiquée, mais de manière très physique et directe. En particulier, comme le montrent l'expansion vers le sud du désert du Sahara, la hausse des températures, la variabilité croissante des régimes de précipitations et la fréquence accrue des phénomènes météorologiques extrêmes, tels que les sécheresses et les inondations, le changement climatique bouleverse les rythmes séculaires de la transhumance. </w:t>
      </w:r>
    </w:p>
    <w:p w14:paraId="3E6F09F1" w14:textId="77777777" w:rsidR="00A8375B" w:rsidRDefault="00A8375B" w:rsidP="00A8375B">
      <w:pPr>
        <w:jc w:val="both"/>
        <w:rPr>
          <w:rFonts w:ascii="Times New Roman" w:hAnsi="Times New Roman"/>
          <w:sz w:val="24"/>
          <w:szCs w:val="24"/>
        </w:rPr>
      </w:pPr>
    </w:p>
    <w:p w14:paraId="6A6426DB" w14:textId="31E878CC" w:rsidR="00A8375B" w:rsidRPr="00A8375B" w:rsidRDefault="00A8375B" w:rsidP="00A8375B">
      <w:pPr>
        <w:jc w:val="both"/>
        <w:rPr>
          <w:rFonts w:ascii="Times New Roman" w:hAnsi="Times New Roman"/>
          <w:sz w:val="24"/>
          <w:szCs w:val="24"/>
        </w:rPr>
      </w:pPr>
      <w:r w:rsidRPr="00A8375B">
        <w:rPr>
          <w:rFonts w:ascii="Times New Roman" w:hAnsi="Times New Roman"/>
          <w:sz w:val="24"/>
          <w:szCs w:val="24"/>
        </w:rPr>
        <w:t>L'exemple le plus récent et le plus concret de ce changement est que, au cours des dernières décennies, la limite des mouvements de transhumance au Tchad s'est déplacée d'environ 200 Km vers le Sud</w:t>
      </w:r>
      <w:r w:rsidRPr="00A8375B">
        <w:footnoteReference w:id="22"/>
      </w:r>
      <w:r w:rsidRPr="00A8375B">
        <w:rPr>
          <w:rFonts w:ascii="Times New Roman" w:hAnsi="Times New Roman"/>
          <w:sz w:val="24"/>
          <w:szCs w:val="24"/>
        </w:rPr>
        <w:t>. Aujourd'hui, ces déplacements s'effectuent sur de plus longues distances et sur des périodes plus courtes, les pasteurs arrivant au sud plus tôt que d'habitude pendant la saison sèche - souvent avant que les agriculteurs n'aient récolté leurs cultures - et repartant au nord plus tard que d'habitude pendant la saison des pluies. En conséquence, ils passent globalement plus de temps dans la région subtropicale du sud où les agriculteurs sédentaires prédominent</w:t>
      </w:r>
      <w:r w:rsidRPr="00A8375B">
        <w:footnoteReference w:id="23"/>
      </w:r>
      <w:r w:rsidRPr="00A8375B">
        <w:rPr>
          <w:rFonts w:ascii="Times New Roman" w:hAnsi="Times New Roman"/>
          <w:sz w:val="24"/>
          <w:szCs w:val="24"/>
        </w:rPr>
        <w:t xml:space="preserve">.  </w:t>
      </w:r>
    </w:p>
    <w:p w14:paraId="1F3383D1" w14:textId="77777777" w:rsidR="00A8375B" w:rsidRPr="00A8375B" w:rsidRDefault="00A8375B" w:rsidP="00A8375B">
      <w:pPr>
        <w:jc w:val="both"/>
        <w:rPr>
          <w:rFonts w:ascii="Times New Roman" w:hAnsi="Times New Roman"/>
          <w:sz w:val="24"/>
          <w:szCs w:val="24"/>
        </w:rPr>
      </w:pPr>
      <w:r w:rsidRPr="00A8375B">
        <w:rPr>
          <w:rFonts w:ascii="Times New Roman" w:hAnsi="Times New Roman"/>
          <w:sz w:val="24"/>
          <w:szCs w:val="24"/>
        </w:rPr>
        <w:lastRenderedPageBreak/>
        <w:t xml:space="preserve">En raison de ces trois facteurs - inciter les éleveurs à se déplacer plus tôt vers le sud (avant la période des récoltes dans le sud), les pousser plus au sud dans les zones subtropicales qui sont plus densément peuplées par des agriculteurs sédentaires et les maintenir plus longtemps dans le sud - le changement climatique, de manière très physique et concrète, augmente la probabilité que les éleveurs et les agriculteurs empiètent les uns sur les autres, avec des conséquences potentiellement violentes.  </w:t>
      </w:r>
    </w:p>
    <w:p w14:paraId="3E084025" w14:textId="18D3FD26" w:rsidR="00B20491" w:rsidRPr="00B20491" w:rsidRDefault="00B20491" w:rsidP="00B20491">
      <w:pPr>
        <w:tabs>
          <w:tab w:val="left" w:pos="567"/>
        </w:tabs>
        <w:spacing w:after="0"/>
        <w:jc w:val="both"/>
        <w:rPr>
          <w:rFonts w:ascii="Times New Roman" w:hAnsi="Times New Roman"/>
          <w:b/>
          <w:bCs/>
          <w:sz w:val="24"/>
        </w:rPr>
      </w:pPr>
      <w:r w:rsidRPr="00B20491">
        <w:rPr>
          <w:rFonts w:ascii="Times New Roman" w:hAnsi="Times New Roman"/>
          <w:b/>
          <w:bCs/>
          <w:sz w:val="24"/>
        </w:rPr>
        <w:t xml:space="preserve">Les priorités du Tchad dans le domaine de l’environnement sont entre autres : </w:t>
      </w:r>
      <w:r w:rsidRPr="00B20491">
        <w:rPr>
          <w:rFonts w:ascii="Times New Roman" w:hAnsi="Times New Roman"/>
          <w:sz w:val="24"/>
        </w:rPr>
        <w:t xml:space="preserve">Prévention des risques et la gestion des phénomènes climatiques extrêmes ; Protection, Réhabilitation et mise en valeur des aquifères et ressources halieutiques; Promotion des actions </w:t>
      </w:r>
      <w:r w:rsidR="00FF4A55">
        <w:rPr>
          <w:rFonts w:ascii="Times New Roman" w:hAnsi="Times New Roman"/>
          <w:sz w:val="24"/>
        </w:rPr>
        <w:t xml:space="preserve">d’adaptation et </w:t>
      </w:r>
      <w:r w:rsidRPr="00B20491">
        <w:rPr>
          <w:rFonts w:ascii="Times New Roman" w:hAnsi="Times New Roman"/>
          <w:sz w:val="24"/>
        </w:rPr>
        <w:t xml:space="preserve">d’atténuation des changements climatiques </w:t>
      </w:r>
      <w:r w:rsidR="00FF4A55">
        <w:rPr>
          <w:rFonts w:ascii="Times New Roman" w:hAnsi="Times New Roman"/>
          <w:sz w:val="24"/>
        </w:rPr>
        <w:t xml:space="preserve">incluant une ambition </w:t>
      </w:r>
      <w:proofErr w:type="spellStart"/>
      <w:r w:rsidR="00FF4A55">
        <w:rPr>
          <w:rFonts w:ascii="Times New Roman" w:hAnsi="Times New Roman"/>
          <w:sz w:val="24"/>
        </w:rPr>
        <w:t>de</w:t>
      </w:r>
      <w:r w:rsidRPr="00B20491">
        <w:rPr>
          <w:rFonts w:ascii="Times New Roman" w:hAnsi="Times New Roman"/>
          <w:sz w:val="24"/>
        </w:rPr>
        <w:t>Réduction</w:t>
      </w:r>
      <w:proofErr w:type="spellEnd"/>
      <w:r w:rsidRPr="00B20491">
        <w:rPr>
          <w:rFonts w:ascii="Times New Roman" w:hAnsi="Times New Roman"/>
          <w:sz w:val="24"/>
        </w:rPr>
        <w:t xml:space="preserve"> des émissions de Gaz à Effet de Serre provenant de l’agriculture, de l’élevage, de la foresterie et de l’affectation des terres et des activités industrielles </w:t>
      </w:r>
      <w:r w:rsidR="00FF4A55">
        <w:rPr>
          <w:rFonts w:ascii="Times New Roman" w:hAnsi="Times New Roman"/>
          <w:sz w:val="24"/>
        </w:rPr>
        <w:t>dans le cadre de la Contribution Déterminée Nationale et le Plan National d’Adaptation aux changements climatiques</w:t>
      </w:r>
      <w:r w:rsidRPr="00B20491">
        <w:rPr>
          <w:rFonts w:ascii="Times New Roman" w:hAnsi="Times New Roman"/>
          <w:sz w:val="24"/>
        </w:rPr>
        <w:t xml:space="preserve">; Renforcement de capacités dans le domaine d’atténuation d’adaptation et </w:t>
      </w:r>
      <w:r w:rsidR="00FF4A55">
        <w:rPr>
          <w:rFonts w:ascii="Times New Roman" w:hAnsi="Times New Roman"/>
          <w:sz w:val="24"/>
        </w:rPr>
        <w:t>les mécanismes de financement durable (fonds verticaux)</w:t>
      </w:r>
      <w:r w:rsidRPr="00B20491">
        <w:rPr>
          <w:rFonts w:ascii="Times New Roman" w:hAnsi="Times New Roman"/>
          <w:sz w:val="24"/>
        </w:rPr>
        <w:t>.</w:t>
      </w:r>
      <w:r w:rsidRPr="00B20491">
        <w:rPr>
          <w:rFonts w:ascii="Times New Roman" w:hAnsi="Times New Roman"/>
          <w:b/>
          <w:bCs/>
          <w:sz w:val="24"/>
        </w:rPr>
        <w:t xml:space="preserve"> </w:t>
      </w:r>
    </w:p>
    <w:p w14:paraId="5D919997" w14:textId="77777777" w:rsidR="00B20491" w:rsidRPr="00B20491" w:rsidRDefault="00B20491" w:rsidP="00B20491">
      <w:pPr>
        <w:tabs>
          <w:tab w:val="left" w:pos="567"/>
        </w:tabs>
        <w:spacing w:after="0"/>
        <w:jc w:val="both"/>
        <w:rPr>
          <w:rFonts w:ascii="Times New Roman" w:hAnsi="Times New Roman"/>
          <w:b/>
          <w:bCs/>
          <w:sz w:val="24"/>
        </w:rPr>
      </w:pPr>
    </w:p>
    <w:p w14:paraId="35BE2101" w14:textId="55F2ED95" w:rsidR="00B20491" w:rsidRPr="00B20491" w:rsidRDefault="00B20491" w:rsidP="00B20491">
      <w:pPr>
        <w:tabs>
          <w:tab w:val="left" w:pos="567"/>
        </w:tabs>
        <w:spacing w:after="0"/>
        <w:jc w:val="both"/>
        <w:rPr>
          <w:rFonts w:ascii="Times New Roman" w:hAnsi="Times New Roman"/>
          <w:sz w:val="24"/>
        </w:rPr>
      </w:pPr>
      <w:r w:rsidRPr="00B20491">
        <w:rPr>
          <w:rFonts w:ascii="Times New Roman" w:hAnsi="Times New Roman"/>
          <w:b/>
          <w:bCs/>
          <w:sz w:val="24"/>
        </w:rPr>
        <w:t xml:space="preserve">L'indice de vulnérabilité au changement climatique classe le Tchad </w:t>
      </w:r>
      <w:r w:rsidR="00B8404B">
        <w:rPr>
          <w:rFonts w:ascii="Times New Roman" w:hAnsi="Times New Roman"/>
          <w:b/>
          <w:bCs/>
          <w:sz w:val="24"/>
        </w:rPr>
        <w:t>parmi</w:t>
      </w:r>
      <w:r w:rsidR="00B8404B" w:rsidRPr="00B20491">
        <w:rPr>
          <w:rFonts w:ascii="Times New Roman" w:hAnsi="Times New Roman"/>
          <w:b/>
          <w:bCs/>
          <w:sz w:val="24"/>
        </w:rPr>
        <w:t xml:space="preserve"> </w:t>
      </w:r>
      <w:r w:rsidRPr="00B20491">
        <w:rPr>
          <w:rFonts w:ascii="Times New Roman" w:hAnsi="Times New Roman"/>
          <w:b/>
          <w:bCs/>
          <w:sz w:val="24"/>
        </w:rPr>
        <w:t>les pays les plus vulnérables aux dangers du changement climatique.</w:t>
      </w:r>
      <w:r w:rsidRPr="00B20491">
        <w:rPr>
          <w:rFonts w:ascii="Times New Roman" w:hAnsi="Times New Roman"/>
          <w:sz w:val="24"/>
        </w:rPr>
        <w:t xml:space="preserve"> En effet, selon les observations et les projections climatiques, le Tchad est considéré par la communauté scientifique internationale comme l’un des « hotspot » du changement climatique dans le monde. Selon l’Index de vulnérabilité aux changement climatiques de 2016, la combinaison entre une grande pauvreté, des conflits récurrents et le risque de sécheresse et d’inondation place le Tchad tout en bas de la liste juste derrière le Bangladesh. La géographie du Tchad le rend particulièrement fragile face au changement climatique.  </w:t>
      </w:r>
      <w:r w:rsidRPr="00B20491">
        <w:rPr>
          <w:rFonts w:ascii="Times New Roman" w:hAnsi="Times New Roman"/>
          <w:iCs/>
          <w:sz w:val="24"/>
        </w:rPr>
        <w:t>Les principaux risques climatiques au Tchad sont : (i) la baisse et la variabilité accrue de la pluviométrie et des ressources en eau ; (ii) l’accroissement continu des températures observées depuis les années 90 ; (iii) la recrudescence des phénomènes météorologiques extrêmes (sécheresses, inondations, canicules) qui deviendront de plus en plus fréquents</w:t>
      </w:r>
      <w:r w:rsidR="00FF4A55">
        <w:rPr>
          <w:rFonts w:ascii="Times New Roman" w:hAnsi="Times New Roman"/>
          <w:iCs/>
          <w:sz w:val="24"/>
        </w:rPr>
        <w:t xml:space="preserve"> (iii) ainsi que l’avancée du désert</w:t>
      </w:r>
    </w:p>
    <w:p w14:paraId="5A04F376" w14:textId="77777777" w:rsidR="00B20491" w:rsidRPr="00B20491" w:rsidRDefault="00B20491" w:rsidP="00B20491">
      <w:pPr>
        <w:tabs>
          <w:tab w:val="left" w:pos="567"/>
        </w:tabs>
        <w:spacing w:after="0"/>
        <w:jc w:val="both"/>
        <w:rPr>
          <w:rFonts w:ascii="Times New Roman" w:hAnsi="Times New Roman"/>
          <w:sz w:val="24"/>
        </w:rPr>
      </w:pPr>
    </w:p>
    <w:p w14:paraId="4626B881" w14:textId="77777777" w:rsidR="00B20491" w:rsidRPr="00A8375B" w:rsidRDefault="00B20491" w:rsidP="00B20491">
      <w:pPr>
        <w:spacing w:after="0" w:line="240" w:lineRule="auto"/>
        <w:rPr>
          <w:rFonts w:ascii="Times New Roman" w:hAnsi="Times New Roman"/>
          <w:sz w:val="24"/>
          <w:szCs w:val="24"/>
        </w:rPr>
      </w:pPr>
      <w:r w:rsidRPr="00A8375B">
        <w:rPr>
          <w:rFonts w:ascii="Times New Roman" w:hAnsi="Times New Roman"/>
          <w:sz w:val="24"/>
          <w:szCs w:val="24"/>
        </w:rPr>
        <w:t xml:space="preserve">Dans le domaine environnemental, le Tchad a signé et/ou ratifié un certain nombre des conventions dont : </w:t>
      </w:r>
    </w:p>
    <w:p w14:paraId="5680FB2A" w14:textId="5116B537" w:rsidR="00B20491" w:rsidRPr="00A8375B" w:rsidRDefault="00B20491" w:rsidP="00BC1AE3">
      <w:pPr>
        <w:numPr>
          <w:ilvl w:val="0"/>
          <w:numId w:val="16"/>
        </w:numPr>
        <w:tabs>
          <w:tab w:val="left" w:pos="567"/>
        </w:tabs>
        <w:spacing w:after="0" w:line="240" w:lineRule="auto"/>
        <w:contextualSpacing/>
        <w:jc w:val="both"/>
        <w:rPr>
          <w:rFonts w:ascii="Times New Roman" w:hAnsi="Times New Roman"/>
          <w:sz w:val="24"/>
          <w:szCs w:val="24"/>
        </w:rPr>
      </w:pPr>
      <w:proofErr w:type="gramStart"/>
      <w:r w:rsidRPr="00A8375B">
        <w:rPr>
          <w:rFonts w:ascii="Times New Roman" w:hAnsi="Times New Roman"/>
          <w:sz w:val="24"/>
          <w:szCs w:val="24"/>
        </w:rPr>
        <w:t>la</w:t>
      </w:r>
      <w:proofErr w:type="gramEnd"/>
      <w:r w:rsidRPr="00A8375B">
        <w:rPr>
          <w:rFonts w:ascii="Times New Roman" w:hAnsi="Times New Roman"/>
          <w:sz w:val="24"/>
          <w:szCs w:val="24"/>
        </w:rPr>
        <w:t xml:space="preserve"> Convention des Nations unies sur la lutte contre la désertification</w:t>
      </w:r>
      <w:r w:rsidR="007C30E0" w:rsidRPr="00A8375B">
        <w:rPr>
          <w:rFonts w:ascii="Times New Roman" w:hAnsi="Times New Roman"/>
          <w:sz w:val="24"/>
          <w:szCs w:val="24"/>
        </w:rPr>
        <w:t xml:space="preserve"> : </w:t>
      </w:r>
      <w:r w:rsidRPr="00A8375B">
        <w:rPr>
          <w:rFonts w:ascii="Times New Roman" w:hAnsi="Times New Roman"/>
          <w:sz w:val="24"/>
          <w:szCs w:val="24"/>
        </w:rPr>
        <w:t>le Tchad a élaboré le Rapport National sur l’état d’avancement de la mise en œuvre de la Convention des Nations unies sur la lutte contre la désertification</w:t>
      </w:r>
      <w:r w:rsidR="007C30E0" w:rsidRPr="00A8375B">
        <w:rPr>
          <w:rFonts w:ascii="Times New Roman" w:hAnsi="Times New Roman"/>
          <w:sz w:val="24"/>
          <w:szCs w:val="24"/>
        </w:rPr>
        <w:t>(date ?)</w:t>
      </w:r>
      <w:r w:rsidRPr="00A8375B">
        <w:rPr>
          <w:rFonts w:ascii="Times New Roman" w:hAnsi="Times New Roman"/>
          <w:sz w:val="24"/>
          <w:szCs w:val="24"/>
        </w:rPr>
        <w:t>. Le pays a aussi élaboré des Plans d’Action Locaux des Départements (</w:t>
      </w:r>
      <w:proofErr w:type="spellStart"/>
      <w:r w:rsidRPr="00A8375B">
        <w:rPr>
          <w:rFonts w:ascii="Times New Roman" w:hAnsi="Times New Roman"/>
          <w:sz w:val="24"/>
          <w:szCs w:val="24"/>
        </w:rPr>
        <w:t>Batha</w:t>
      </w:r>
      <w:proofErr w:type="spellEnd"/>
      <w:r w:rsidRPr="00A8375B">
        <w:rPr>
          <w:rFonts w:ascii="Times New Roman" w:hAnsi="Times New Roman"/>
          <w:sz w:val="24"/>
          <w:szCs w:val="24"/>
        </w:rPr>
        <w:t>, Ouaddaï, Lac, Wadi-</w:t>
      </w:r>
      <w:proofErr w:type="spellStart"/>
      <w:r w:rsidRPr="00A8375B">
        <w:rPr>
          <w:rFonts w:ascii="Times New Roman" w:hAnsi="Times New Roman"/>
          <w:sz w:val="24"/>
          <w:szCs w:val="24"/>
        </w:rPr>
        <w:t>Fira</w:t>
      </w:r>
      <w:proofErr w:type="spellEnd"/>
      <w:r w:rsidRPr="00A8375B">
        <w:rPr>
          <w:rFonts w:ascii="Times New Roman" w:hAnsi="Times New Roman"/>
          <w:sz w:val="24"/>
          <w:szCs w:val="24"/>
        </w:rPr>
        <w:t xml:space="preserve">, </w:t>
      </w:r>
      <w:proofErr w:type="spellStart"/>
      <w:r w:rsidRPr="00A8375B">
        <w:rPr>
          <w:rFonts w:ascii="Times New Roman" w:hAnsi="Times New Roman"/>
          <w:sz w:val="24"/>
          <w:szCs w:val="24"/>
        </w:rPr>
        <w:t>Faya</w:t>
      </w:r>
      <w:proofErr w:type="spellEnd"/>
      <w:r w:rsidRPr="00A8375B">
        <w:rPr>
          <w:rFonts w:ascii="Times New Roman" w:hAnsi="Times New Roman"/>
          <w:sz w:val="24"/>
          <w:szCs w:val="24"/>
        </w:rPr>
        <w:t xml:space="preserve"> </w:t>
      </w:r>
      <w:proofErr w:type="spellStart"/>
      <w:r w:rsidRPr="00A8375B">
        <w:rPr>
          <w:rFonts w:ascii="Times New Roman" w:hAnsi="Times New Roman"/>
          <w:sz w:val="24"/>
          <w:szCs w:val="24"/>
        </w:rPr>
        <w:t>Largeau</w:t>
      </w:r>
      <w:proofErr w:type="spellEnd"/>
      <w:r w:rsidRPr="00A8375B">
        <w:rPr>
          <w:rFonts w:ascii="Times New Roman" w:hAnsi="Times New Roman"/>
          <w:sz w:val="24"/>
          <w:szCs w:val="24"/>
        </w:rPr>
        <w:t xml:space="preserve"> et Moyen Chari) ainsi qu’un rapport national sur la neutralité en matière de la dégradation des terres ;</w:t>
      </w:r>
    </w:p>
    <w:p w14:paraId="24A4CF57" w14:textId="2D492531" w:rsidR="007C30E0" w:rsidRPr="00A8375B" w:rsidRDefault="007C30E0" w:rsidP="00BC1AE3">
      <w:pPr>
        <w:numPr>
          <w:ilvl w:val="0"/>
          <w:numId w:val="16"/>
        </w:numPr>
        <w:tabs>
          <w:tab w:val="left" w:pos="567"/>
        </w:tabs>
        <w:spacing w:after="0" w:line="240" w:lineRule="auto"/>
        <w:contextualSpacing/>
        <w:jc w:val="both"/>
        <w:rPr>
          <w:rFonts w:ascii="Times New Roman" w:hAnsi="Times New Roman"/>
          <w:sz w:val="24"/>
          <w:szCs w:val="24"/>
        </w:rPr>
      </w:pPr>
      <w:proofErr w:type="gramStart"/>
      <w:r w:rsidRPr="00A8375B">
        <w:rPr>
          <w:rFonts w:ascii="Times New Roman" w:hAnsi="Times New Roman"/>
          <w:sz w:val="24"/>
          <w:szCs w:val="24"/>
        </w:rPr>
        <w:t>la</w:t>
      </w:r>
      <w:proofErr w:type="gramEnd"/>
      <w:r w:rsidRPr="00A8375B">
        <w:rPr>
          <w:rFonts w:ascii="Times New Roman" w:hAnsi="Times New Roman"/>
          <w:sz w:val="24"/>
          <w:szCs w:val="24"/>
        </w:rPr>
        <w:t xml:space="preserve"> Convention sur la diversité biologique</w:t>
      </w:r>
      <w:r w:rsidR="00D4548C" w:rsidRPr="00A8375B">
        <w:rPr>
          <w:rFonts w:ascii="Times New Roman" w:hAnsi="Times New Roman"/>
          <w:sz w:val="24"/>
          <w:szCs w:val="24"/>
        </w:rPr>
        <w:t xml:space="preserve"> : </w:t>
      </w:r>
      <w:r w:rsidRPr="00A8375B">
        <w:rPr>
          <w:rFonts w:ascii="Times New Roman" w:hAnsi="Times New Roman"/>
          <w:sz w:val="24"/>
          <w:szCs w:val="24"/>
        </w:rPr>
        <w:t>le Tchad a élaboré une stratégie nationale et un plan d’action sur la biodiversité. Tous les quatre ans la stratégie est évaluée à travers un rapport. Le Tchad a déjà produit 6 rapports ;</w:t>
      </w:r>
    </w:p>
    <w:p w14:paraId="2051C5B2" w14:textId="0095A9B9" w:rsidR="00D4548C" w:rsidRPr="00A8375B" w:rsidRDefault="00D4548C" w:rsidP="00BC1AE3">
      <w:pPr>
        <w:pStyle w:val="Paragraphedeliste"/>
        <w:numPr>
          <w:ilvl w:val="0"/>
          <w:numId w:val="16"/>
        </w:numPr>
        <w:jc w:val="both"/>
        <w:rPr>
          <w:rFonts w:ascii="Times New Roman" w:hAnsi="Times New Roman"/>
          <w:sz w:val="24"/>
          <w:szCs w:val="24"/>
        </w:rPr>
      </w:pPr>
      <w:proofErr w:type="gramStart"/>
      <w:r w:rsidRPr="00A8375B">
        <w:rPr>
          <w:rFonts w:ascii="Times New Roman" w:hAnsi="Times New Roman"/>
          <w:sz w:val="24"/>
          <w:szCs w:val="24"/>
        </w:rPr>
        <w:t>la</w:t>
      </w:r>
      <w:proofErr w:type="gramEnd"/>
      <w:r w:rsidRPr="00A8375B">
        <w:rPr>
          <w:rFonts w:ascii="Times New Roman" w:hAnsi="Times New Roman"/>
          <w:sz w:val="24"/>
          <w:szCs w:val="24"/>
        </w:rPr>
        <w:t xml:space="preserve"> Convention-cadre des Nations unies sur les changements climatiques : le Tchad a produit ses deux premières communications nationales (dates ?). Une stratégie nationale de lutte contre le changement climatique a été élaboré. En matière de lutte contre les changements climatiques, Conformément aux articles 4.1, 4.2 et 4.3 de l’Accord de Paris, aux paragraphes 23 et 24 de la décision 1/CP.21 et aux autres dispositions pertinentes de l’Accord, le Tchad vient de mettre à jour sa Contribution </w:t>
      </w:r>
      <w:r w:rsidRPr="00A8375B">
        <w:rPr>
          <w:rFonts w:ascii="Times New Roman" w:hAnsi="Times New Roman"/>
          <w:sz w:val="24"/>
          <w:szCs w:val="24"/>
        </w:rPr>
        <w:lastRenderedPageBreak/>
        <w:t>Déterminée au niveau National (CDN). Elle se décline en deux grands axes en vue de confirmer sa participation à l’ambition collective qui vise à maintenir l’augmentation de la température moyenne mondiale à moins de 2°C, idéalement à 1,5°C au-dessus des niveaux préindustriels, ainsi qu’à l’objectif global de renforcer les capacités d’adaptation, la résilience et réduire les vulnérabilités aux changements climatiques des populations.</w:t>
      </w:r>
    </w:p>
    <w:p w14:paraId="01E5B3CA" w14:textId="3FFBC802" w:rsidR="007C30E0" w:rsidRPr="00A8375B" w:rsidRDefault="00D4548C" w:rsidP="00BC1AE3">
      <w:pPr>
        <w:pStyle w:val="Paragraphedeliste"/>
        <w:numPr>
          <w:ilvl w:val="0"/>
          <w:numId w:val="16"/>
        </w:numPr>
        <w:jc w:val="both"/>
        <w:rPr>
          <w:rFonts w:ascii="Times New Roman" w:hAnsi="Times New Roman"/>
          <w:sz w:val="24"/>
          <w:szCs w:val="24"/>
        </w:rPr>
      </w:pPr>
      <w:r w:rsidRPr="00A8375B">
        <w:rPr>
          <w:rFonts w:ascii="Times New Roman" w:hAnsi="Times New Roman"/>
          <w:sz w:val="24"/>
          <w:szCs w:val="24"/>
        </w:rPr>
        <w:t>Le document de la CDN prévoit la réduction cumulée des émissions des GES d’ici à 2030 à 88 350 kt CO2eq (mesures inconditionnelles et conditionnelles) avec un objectif d’atténuation global de 19,3 % par rapport au scénario de référence. Un Plan National d’Adaptation a été élaboré et plusieurs projets sont mis en œuvre et en cours dans ce cadre afin de renforcer la résilience des communautés face aux effets des changements climatiques.</w:t>
      </w:r>
    </w:p>
    <w:p w14:paraId="2D304CFB" w14:textId="77777777" w:rsidR="00B20491" w:rsidRPr="00A8375B" w:rsidRDefault="00B20491" w:rsidP="00BC1AE3">
      <w:pPr>
        <w:numPr>
          <w:ilvl w:val="0"/>
          <w:numId w:val="16"/>
        </w:numPr>
        <w:tabs>
          <w:tab w:val="left" w:pos="567"/>
        </w:tabs>
        <w:spacing w:after="0" w:line="240" w:lineRule="auto"/>
        <w:contextualSpacing/>
        <w:jc w:val="both"/>
        <w:rPr>
          <w:rFonts w:ascii="Times New Roman" w:hAnsi="Times New Roman"/>
          <w:sz w:val="24"/>
          <w:szCs w:val="24"/>
        </w:rPr>
      </w:pPr>
      <w:proofErr w:type="gramStart"/>
      <w:r w:rsidRPr="00A8375B">
        <w:rPr>
          <w:rFonts w:ascii="Times New Roman" w:hAnsi="Times New Roman"/>
          <w:sz w:val="24"/>
          <w:szCs w:val="24"/>
        </w:rPr>
        <w:t>le</w:t>
      </w:r>
      <w:proofErr w:type="gramEnd"/>
      <w:r w:rsidRPr="00A8375B">
        <w:rPr>
          <w:rFonts w:ascii="Times New Roman" w:hAnsi="Times New Roman"/>
          <w:sz w:val="24"/>
          <w:szCs w:val="24"/>
        </w:rPr>
        <w:t xml:space="preserve"> Cadre SENDAI pour la réduction des risques de catastrophe 2015-2030 adopté par résolution de l’Assemblée générale des Nations Unies le 3 juin 2015. Pour lequel le premier rapport de mise en œuvre du Tchad reste attendu.</w:t>
      </w:r>
    </w:p>
    <w:p w14:paraId="419A3B62" w14:textId="4A4FD396" w:rsidR="005D5D6F" w:rsidRPr="00A8375B" w:rsidRDefault="005D5D6F" w:rsidP="00BC1AE3">
      <w:pPr>
        <w:numPr>
          <w:ilvl w:val="0"/>
          <w:numId w:val="16"/>
        </w:numPr>
        <w:tabs>
          <w:tab w:val="left" w:pos="567"/>
        </w:tabs>
        <w:spacing w:after="0" w:line="240" w:lineRule="auto"/>
        <w:contextualSpacing/>
        <w:jc w:val="both"/>
        <w:rPr>
          <w:rFonts w:ascii="Times New Roman" w:hAnsi="Times New Roman"/>
          <w:sz w:val="24"/>
          <w:szCs w:val="24"/>
        </w:rPr>
      </w:pPr>
      <w:r w:rsidRPr="00A8375B">
        <w:rPr>
          <w:rFonts w:ascii="Times New Roman" w:hAnsi="Times New Roman"/>
          <w:sz w:val="24"/>
          <w:szCs w:val="24"/>
        </w:rPr>
        <w:t>La convention de RAMSAR sur les Zones humides</w:t>
      </w:r>
    </w:p>
    <w:p w14:paraId="3D1BA4D3" w14:textId="3E5A1FD5" w:rsidR="00B20491" w:rsidRPr="00A8375B" w:rsidRDefault="00B20491" w:rsidP="00BC1AE3">
      <w:pPr>
        <w:numPr>
          <w:ilvl w:val="0"/>
          <w:numId w:val="16"/>
        </w:numPr>
        <w:tabs>
          <w:tab w:val="left" w:pos="567"/>
        </w:tabs>
        <w:spacing w:after="0" w:line="240" w:lineRule="auto"/>
        <w:contextualSpacing/>
        <w:jc w:val="both"/>
        <w:rPr>
          <w:rFonts w:ascii="Times New Roman" w:hAnsi="Times New Roman"/>
          <w:sz w:val="24"/>
          <w:szCs w:val="24"/>
        </w:rPr>
      </w:pPr>
      <w:proofErr w:type="gramStart"/>
      <w:r w:rsidRPr="00A8375B">
        <w:rPr>
          <w:rFonts w:ascii="Times New Roman" w:hAnsi="Times New Roman"/>
          <w:sz w:val="24"/>
          <w:szCs w:val="24"/>
        </w:rPr>
        <w:t>la</w:t>
      </w:r>
      <w:proofErr w:type="gramEnd"/>
      <w:r w:rsidRPr="00A8375B">
        <w:rPr>
          <w:rFonts w:ascii="Times New Roman" w:hAnsi="Times New Roman"/>
          <w:sz w:val="24"/>
          <w:szCs w:val="24"/>
        </w:rPr>
        <w:t xml:space="preserve"> Convention de Stockholm de 10 mars 2014,</w:t>
      </w:r>
      <w:r w:rsidR="005D5D6F" w:rsidRPr="00A8375B">
        <w:rPr>
          <w:rFonts w:ascii="Times New Roman" w:hAnsi="Times New Roman"/>
          <w:sz w:val="24"/>
          <w:szCs w:val="24"/>
        </w:rPr>
        <w:t> :</w:t>
      </w:r>
      <w:r w:rsidRPr="00A8375B">
        <w:rPr>
          <w:rFonts w:ascii="Times New Roman" w:hAnsi="Times New Roman"/>
          <w:sz w:val="24"/>
          <w:szCs w:val="24"/>
        </w:rPr>
        <w:t>le Tchad a élaboré un plan d’action national de mise en œuvre de la convention de Stockholm sur les polluants organiques persistants. Cette convention vise à restreindre, puis éliminer progressivement la production, l’utilisation, l’écoulement et le stockage des polluants organiques persistants.</w:t>
      </w:r>
    </w:p>
    <w:p w14:paraId="688F1A0D" w14:textId="77777777" w:rsidR="00B20491" w:rsidRPr="00B20491" w:rsidRDefault="00B20491" w:rsidP="00B20491">
      <w:pPr>
        <w:tabs>
          <w:tab w:val="left" w:pos="567"/>
        </w:tabs>
        <w:spacing w:after="0" w:line="240" w:lineRule="auto"/>
        <w:contextualSpacing/>
        <w:jc w:val="both"/>
        <w:rPr>
          <w:rFonts w:ascii="Times New Roman" w:hAnsi="Times New Roman"/>
          <w:sz w:val="24"/>
          <w:szCs w:val="24"/>
        </w:rPr>
      </w:pPr>
    </w:p>
    <w:p w14:paraId="54E75809" w14:textId="6907E36A" w:rsidR="00B20491" w:rsidRPr="00B20491" w:rsidRDefault="00B20491" w:rsidP="00B20491">
      <w:pPr>
        <w:tabs>
          <w:tab w:val="left" w:pos="567"/>
        </w:tabs>
        <w:spacing w:after="0" w:line="240" w:lineRule="auto"/>
        <w:contextualSpacing/>
        <w:jc w:val="both"/>
        <w:rPr>
          <w:rFonts w:ascii="Times New Roman" w:hAnsi="Times New Roman"/>
          <w:sz w:val="24"/>
          <w:szCs w:val="24"/>
        </w:rPr>
      </w:pPr>
      <w:r w:rsidRPr="00B20491">
        <w:rPr>
          <w:rFonts w:ascii="Times New Roman" w:hAnsi="Times New Roman"/>
          <w:sz w:val="24"/>
          <w:szCs w:val="24"/>
        </w:rPr>
        <w:t xml:space="preserve">Outre ces conventions et plans, le Tchad dispose de beaucoup d’autres instruments dans le domaine de l’environnement : (i) la stratégie nationale pour la gestion durable des Produits forestiers non ligneux (PFNL) au Tchad ; (ii) le cadre stratégique opérationnel de gestion durable, promotion et valorisation des 10 PFNL au Tchad (Phoenix </w:t>
      </w:r>
      <w:proofErr w:type="spellStart"/>
      <w:r w:rsidRPr="00B20491">
        <w:rPr>
          <w:rFonts w:ascii="Times New Roman" w:hAnsi="Times New Roman"/>
          <w:sz w:val="24"/>
          <w:szCs w:val="24"/>
        </w:rPr>
        <w:t>dactylifera</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Adansonia</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digitata</w:t>
      </w:r>
      <w:proofErr w:type="spellEnd"/>
      <w:r w:rsidRPr="00B20491">
        <w:rPr>
          <w:rFonts w:ascii="Times New Roman" w:hAnsi="Times New Roman"/>
          <w:sz w:val="24"/>
          <w:szCs w:val="24"/>
        </w:rPr>
        <w:t xml:space="preserve">, Ziziphus </w:t>
      </w:r>
      <w:proofErr w:type="spellStart"/>
      <w:r w:rsidRPr="00B20491">
        <w:rPr>
          <w:rFonts w:ascii="Times New Roman" w:hAnsi="Times New Roman"/>
          <w:sz w:val="24"/>
          <w:szCs w:val="24"/>
        </w:rPr>
        <w:t>sp</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Boscia</w:t>
      </w:r>
      <w:proofErr w:type="spellEnd"/>
      <w:r w:rsidRPr="00B20491">
        <w:rPr>
          <w:rFonts w:ascii="Times New Roman" w:hAnsi="Times New Roman"/>
          <w:sz w:val="24"/>
          <w:szCs w:val="24"/>
        </w:rPr>
        <w:t xml:space="preserve"> senegalensis, </w:t>
      </w:r>
      <w:proofErr w:type="spellStart"/>
      <w:r w:rsidRPr="00B20491">
        <w:rPr>
          <w:rFonts w:ascii="Times New Roman" w:hAnsi="Times New Roman"/>
          <w:sz w:val="24"/>
          <w:szCs w:val="24"/>
        </w:rPr>
        <w:t>Tamarindus</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indica</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Arthrospira</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platensis</w:t>
      </w:r>
      <w:proofErr w:type="spellEnd"/>
      <w:r w:rsidRPr="00B20491">
        <w:rPr>
          <w:rFonts w:ascii="Times New Roman" w:hAnsi="Times New Roman"/>
          <w:sz w:val="24"/>
          <w:szCs w:val="24"/>
        </w:rPr>
        <w:t xml:space="preserve">, Acacia </w:t>
      </w:r>
      <w:proofErr w:type="spellStart"/>
      <w:r w:rsidRPr="00B20491">
        <w:rPr>
          <w:rFonts w:ascii="Times New Roman" w:hAnsi="Times New Roman"/>
          <w:sz w:val="24"/>
          <w:szCs w:val="24"/>
        </w:rPr>
        <w:t>senegal</w:t>
      </w:r>
      <w:proofErr w:type="spellEnd"/>
      <w:r w:rsidRPr="00B20491">
        <w:rPr>
          <w:rFonts w:ascii="Times New Roman" w:hAnsi="Times New Roman"/>
          <w:sz w:val="24"/>
          <w:szCs w:val="24"/>
        </w:rPr>
        <w:t xml:space="preserve">, Acacia seyal, </w:t>
      </w:r>
      <w:proofErr w:type="spellStart"/>
      <w:r w:rsidRPr="00B20491">
        <w:rPr>
          <w:rFonts w:ascii="Times New Roman" w:hAnsi="Times New Roman"/>
          <w:sz w:val="24"/>
          <w:szCs w:val="24"/>
        </w:rPr>
        <w:t>Vitellaria</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paradoxa</w:t>
      </w:r>
      <w:proofErr w:type="spellEnd"/>
      <w:r w:rsidRPr="00B20491">
        <w:rPr>
          <w:rFonts w:ascii="Times New Roman" w:hAnsi="Times New Roman"/>
          <w:sz w:val="24"/>
          <w:szCs w:val="24"/>
        </w:rPr>
        <w:t xml:space="preserve">, Balanites aegyptiaca, et </w:t>
      </w:r>
      <w:proofErr w:type="spellStart"/>
      <w:r w:rsidRPr="00B20491">
        <w:rPr>
          <w:rFonts w:ascii="Times New Roman" w:hAnsi="Times New Roman"/>
          <w:sz w:val="24"/>
          <w:szCs w:val="24"/>
        </w:rPr>
        <w:t>Parkia</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biglobosa</w:t>
      </w:r>
      <w:proofErr w:type="spellEnd"/>
      <w:r w:rsidRPr="00B20491">
        <w:rPr>
          <w:rFonts w:ascii="Times New Roman" w:hAnsi="Times New Roman"/>
          <w:sz w:val="24"/>
          <w:szCs w:val="24"/>
        </w:rPr>
        <w:t xml:space="preserve">) ; (iii) le Programme pays pour le Fonds Vert climat au Tchad. Ce programme permet de mettre en œuvre des programmes et projets de gestion de restauration des écosystèmes terrestres et de la biodiversité, (les forêts, lutte contre la désertification, etc..) ; (iv) la législation spécifique aux évaluations environnementales. En effet, </w:t>
      </w:r>
      <w:r w:rsidR="00A8375B" w:rsidRPr="00A8375B">
        <w:rPr>
          <w:rFonts w:ascii="Times New Roman" w:hAnsi="Times New Roman"/>
          <w:sz w:val="24"/>
          <w:szCs w:val="24"/>
        </w:rPr>
        <w:t xml:space="preserve">La Loi 14 portant régimes des Forêts, de la Faune et des Ressources Halieutiques de 2008 </w:t>
      </w:r>
      <w:r w:rsidRPr="00B20491">
        <w:rPr>
          <w:rFonts w:ascii="Times New Roman" w:hAnsi="Times New Roman"/>
          <w:sz w:val="24"/>
          <w:szCs w:val="24"/>
        </w:rPr>
        <w:t xml:space="preserve">définissant les principes généraux de la protection de l’environnement constitue le socle de la politique nationale de protection de l‘environnement. </w:t>
      </w:r>
      <w:r w:rsidR="00A8375B">
        <w:rPr>
          <w:rFonts w:ascii="Times New Roman" w:hAnsi="Times New Roman"/>
          <w:sz w:val="24"/>
          <w:szCs w:val="24"/>
        </w:rPr>
        <w:t>S</w:t>
      </w:r>
      <w:r w:rsidR="00A8375B" w:rsidRPr="00A8375B">
        <w:rPr>
          <w:rFonts w:ascii="Times New Roman" w:hAnsi="Times New Roman"/>
          <w:sz w:val="24"/>
          <w:szCs w:val="24"/>
        </w:rPr>
        <w:t>es textes d'application relatifs à l'interdiction de la coupe de bois et commercialisation du charbon de bois</w:t>
      </w:r>
      <w:r w:rsidR="00A8375B">
        <w:rPr>
          <w:rFonts w:ascii="Times New Roman" w:hAnsi="Times New Roman"/>
          <w:sz w:val="24"/>
          <w:szCs w:val="24"/>
        </w:rPr>
        <w:t xml:space="preserve"> </w:t>
      </w:r>
      <w:r w:rsidRPr="00B20491">
        <w:rPr>
          <w:rFonts w:ascii="Times New Roman" w:hAnsi="Times New Roman"/>
          <w:sz w:val="24"/>
          <w:szCs w:val="24"/>
        </w:rPr>
        <w:t>De façon spécifique, le décret n°630/PR/PM/MERH/2010 du 04 août 2010 portant réglementation des études d’impacts sur l’environnement décrit la démarche à suivre pour la réalisation d’une EIE et d’un Notice d’impact sur l’environnement (NIE).</w:t>
      </w:r>
    </w:p>
    <w:p w14:paraId="4A294003" w14:textId="77777777" w:rsidR="00B20491" w:rsidRPr="00B20491" w:rsidRDefault="00B20491" w:rsidP="00B20491">
      <w:pPr>
        <w:tabs>
          <w:tab w:val="left" w:pos="567"/>
        </w:tabs>
        <w:spacing w:after="0"/>
        <w:contextualSpacing/>
        <w:jc w:val="both"/>
        <w:rPr>
          <w:rFonts w:ascii="Times New Roman" w:hAnsi="Times New Roman"/>
          <w:sz w:val="24"/>
          <w:szCs w:val="24"/>
        </w:rPr>
      </w:pPr>
    </w:p>
    <w:p w14:paraId="2B899EC3" w14:textId="3385F3A4" w:rsidR="00B20491" w:rsidRPr="00B20491" w:rsidRDefault="00B20491" w:rsidP="00B20491">
      <w:pPr>
        <w:tabs>
          <w:tab w:val="left" w:pos="567"/>
        </w:tabs>
        <w:spacing w:after="0"/>
        <w:contextualSpacing/>
        <w:jc w:val="both"/>
        <w:rPr>
          <w:rFonts w:ascii="Times New Roman" w:hAnsi="Times New Roman"/>
          <w:sz w:val="24"/>
          <w:szCs w:val="24"/>
        </w:rPr>
      </w:pPr>
      <w:r w:rsidRPr="00B20491">
        <w:rPr>
          <w:rFonts w:ascii="Times New Roman" w:hAnsi="Times New Roman"/>
          <w:sz w:val="24"/>
          <w:szCs w:val="24"/>
        </w:rPr>
        <w:t>En plus des aléas climatiques cités plus haut, le Tchad fait face à de nombreux autres types de phénomènes qui sapent fortement les efforts de développement consentis par le gouvernement et ses partenaires : C’est pourquoi il importe de mieux planifier à la fois la préparation et la réponse à court terme contre les catastrophes, tout comme la réduction des risques à long terme en agissant structurellement sur la vulnérabilité et l’exposition des populations. Il convient de noter que le Tchad est l’un des pays focus de l’initiative « </w:t>
      </w:r>
      <w:proofErr w:type="spellStart"/>
      <w:r w:rsidRPr="00B20491">
        <w:rPr>
          <w:rFonts w:ascii="Times New Roman" w:hAnsi="Times New Roman"/>
          <w:sz w:val="24"/>
          <w:szCs w:val="24"/>
        </w:rPr>
        <w:t>Political</w:t>
      </w:r>
      <w:proofErr w:type="spellEnd"/>
      <w:r w:rsidRPr="00B20491">
        <w:rPr>
          <w:rFonts w:ascii="Times New Roman" w:hAnsi="Times New Roman"/>
          <w:sz w:val="24"/>
          <w:szCs w:val="24"/>
        </w:rPr>
        <w:t xml:space="preserve"> Champion Group for </w:t>
      </w:r>
      <w:proofErr w:type="spellStart"/>
      <w:r w:rsidRPr="00B20491">
        <w:rPr>
          <w:rFonts w:ascii="Times New Roman" w:hAnsi="Times New Roman"/>
          <w:sz w:val="24"/>
          <w:szCs w:val="24"/>
        </w:rPr>
        <w:t>Disaster</w:t>
      </w:r>
      <w:proofErr w:type="spellEnd"/>
      <w:r w:rsidRPr="00B20491">
        <w:rPr>
          <w:rFonts w:ascii="Times New Roman" w:hAnsi="Times New Roman"/>
          <w:sz w:val="24"/>
          <w:szCs w:val="24"/>
        </w:rPr>
        <w:t xml:space="preserve"> </w:t>
      </w:r>
      <w:proofErr w:type="spellStart"/>
      <w:r w:rsidRPr="00B20491">
        <w:rPr>
          <w:rFonts w:ascii="Times New Roman" w:hAnsi="Times New Roman"/>
          <w:sz w:val="24"/>
          <w:szCs w:val="24"/>
        </w:rPr>
        <w:t>R</w:t>
      </w:r>
      <w:r w:rsidR="00643E3A">
        <w:rPr>
          <w:rFonts w:ascii="Times New Roman" w:hAnsi="Times New Roman"/>
          <w:sz w:val="24"/>
          <w:szCs w:val="24"/>
        </w:rPr>
        <w:t>e</w:t>
      </w:r>
      <w:r w:rsidRPr="00B20491">
        <w:rPr>
          <w:rFonts w:ascii="Times New Roman" w:hAnsi="Times New Roman"/>
          <w:sz w:val="24"/>
          <w:szCs w:val="24"/>
        </w:rPr>
        <w:t>silience</w:t>
      </w:r>
      <w:proofErr w:type="spellEnd"/>
      <w:r w:rsidRPr="00B20491">
        <w:rPr>
          <w:rFonts w:ascii="Times New Roman" w:hAnsi="Times New Roman"/>
          <w:sz w:val="24"/>
          <w:szCs w:val="24"/>
        </w:rPr>
        <w:t xml:space="preserve"> » et qu’à ce titre une attention particulière devrait lui être accordée dans ses efforts de renforcement des capacités </w:t>
      </w:r>
      <w:r w:rsidRPr="00B20491">
        <w:rPr>
          <w:rFonts w:ascii="Times New Roman" w:hAnsi="Times New Roman"/>
          <w:sz w:val="24"/>
          <w:szCs w:val="24"/>
        </w:rPr>
        <w:lastRenderedPageBreak/>
        <w:t xml:space="preserve">pour mieux faire face à ces chocs. Il faudrait encourager le pays à élaborer une stratégie nationale de RRC assortie d’un Plan d’Action National opérationnel. </w:t>
      </w:r>
    </w:p>
    <w:p w14:paraId="71209C92" w14:textId="77777777" w:rsidR="00CD37DE" w:rsidRPr="00CD37DE" w:rsidRDefault="00CD37DE" w:rsidP="00CD37DE">
      <w:pPr>
        <w:tabs>
          <w:tab w:val="left" w:pos="567"/>
        </w:tabs>
        <w:spacing w:after="0"/>
        <w:jc w:val="both"/>
        <w:rPr>
          <w:rFonts w:ascii="Times New Roman" w:hAnsi="Times New Roman"/>
          <w:sz w:val="24"/>
          <w:szCs w:val="24"/>
        </w:rPr>
      </w:pPr>
    </w:p>
    <w:p w14:paraId="0B237891" w14:textId="77777777" w:rsidR="00CD37DE" w:rsidRPr="001126F7" w:rsidRDefault="00CD37DE" w:rsidP="00BC1AE3">
      <w:pPr>
        <w:pStyle w:val="Titre2"/>
        <w:numPr>
          <w:ilvl w:val="1"/>
          <w:numId w:val="24"/>
        </w:numPr>
        <w:rPr>
          <w:b/>
          <w:bCs w:val="0"/>
          <w:sz w:val="28"/>
          <w:szCs w:val="28"/>
        </w:rPr>
      </w:pPr>
      <w:bookmarkStart w:id="43" w:name="_Toc51745196"/>
      <w:bookmarkStart w:id="44" w:name="_Toc55372899"/>
      <w:bookmarkStart w:id="45" w:name="_Toc55539103"/>
      <w:bookmarkStart w:id="46" w:name="_Toc61523572"/>
      <w:bookmarkStart w:id="47" w:name="_Toc90910787"/>
      <w:r w:rsidRPr="001126F7">
        <w:rPr>
          <w:b/>
          <w:bCs w:val="0"/>
          <w:sz w:val="28"/>
          <w:szCs w:val="28"/>
        </w:rPr>
        <w:t>Droits de l’homme</w:t>
      </w:r>
      <w:bookmarkEnd w:id="43"/>
      <w:bookmarkEnd w:id="44"/>
      <w:bookmarkEnd w:id="45"/>
      <w:bookmarkEnd w:id="46"/>
      <w:bookmarkEnd w:id="47"/>
    </w:p>
    <w:p w14:paraId="3EFE48F9" w14:textId="77777777" w:rsidR="00B20491" w:rsidRPr="00B20491" w:rsidRDefault="00B20491" w:rsidP="00B20491">
      <w:pPr>
        <w:jc w:val="both"/>
        <w:rPr>
          <w:rFonts w:ascii="Times New Roman" w:eastAsia="Times New Roman" w:hAnsi="Times New Roman"/>
          <w:sz w:val="24"/>
          <w:szCs w:val="24"/>
          <w:lang w:eastAsia="fr-FR"/>
        </w:rPr>
      </w:pPr>
      <w:r w:rsidRPr="00B20491">
        <w:rPr>
          <w:rFonts w:ascii="Times New Roman" w:eastAsia="Times New Roman" w:hAnsi="Times New Roman"/>
          <w:sz w:val="24"/>
          <w:szCs w:val="24"/>
          <w:lang w:eastAsia="fr-FR"/>
        </w:rPr>
        <w:t>Malgré le nombre important de traités ratifiés par le Tchad, des efforts louables en termes d’internalisation des normes internationales, des réformes législatives et institutionnelles, la mise en œuvre de mesures des droits de l’homme est encore faible, particulièrement dans les domaines identifiés au cours de l’Examen Périodique Universel de 2018/2019.</w:t>
      </w:r>
    </w:p>
    <w:p w14:paraId="54FD9192" w14:textId="77777777" w:rsidR="00B20491" w:rsidRPr="00B20491" w:rsidRDefault="00B20491" w:rsidP="00B20491">
      <w:pPr>
        <w:jc w:val="both"/>
        <w:rPr>
          <w:rFonts w:ascii="Times New Roman" w:eastAsia="Times New Roman" w:hAnsi="Times New Roman"/>
          <w:sz w:val="24"/>
          <w:szCs w:val="24"/>
          <w:lang w:eastAsia="fr-FR"/>
        </w:rPr>
      </w:pPr>
      <w:r w:rsidRPr="00B20491">
        <w:rPr>
          <w:rFonts w:ascii="Times New Roman" w:eastAsia="Times New Roman" w:hAnsi="Times New Roman"/>
          <w:sz w:val="24"/>
          <w:szCs w:val="24"/>
          <w:lang w:eastAsia="fr-FR"/>
        </w:rPr>
        <w:t xml:space="preserve">Le Tchad a fait des efforts louables en termes d’internalisation des normes internationales en procédant à l’harmonisation de certains textes internes. Ainsi, les dispositions du Pacte international relatif aux droits civils et politiques ont été reconduites au Titre II de la constitution de 2018. Il en est ainsi de l’interdiction des sévices ou traitements dégradants et humiliants, ainsi que de la torture (article 18 de la Constitution), de l’interdiction de l’esclavage, de la traite des êtres humains, du travail forcé, de la torture physique ou morale, des traitements cruels, des violences physiques, des mutilations génitales féminines, des mariages précoces, ainsi que toutes les autres formes d’avilissement de l’être humain (article 19 de la Constitution). La loi n° 001/PR/2017 du 08 mai 2017 portant Code pénal sanctionne ces infractions dans ses articles 318, 323, 327 à 331, 342, 368.  </w:t>
      </w:r>
    </w:p>
    <w:p w14:paraId="3EF318BC" w14:textId="77777777" w:rsidR="00B20491" w:rsidRPr="00B20491" w:rsidRDefault="00B20491" w:rsidP="00B20491">
      <w:pPr>
        <w:jc w:val="both"/>
        <w:rPr>
          <w:rFonts w:ascii="Times New Roman" w:eastAsia="Times New Roman" w:hAnsi="Times New Roman"/>
          <w:sz w:val="24"/>
          <w:szCs w:val="24"/>
          <w:lang w:eastAsia="fr-FR"/>
        </w:rPr>
      </w:pPr>
      <w:r w:rsidRPr="761E5622">
        <w:rPr>
          <w:rFonts w:ascii="Times New Roman" w:eastAsia="Times New Roman" w:hAnsi="Times New Roman"/>
          <w:sz w:val="24"/>
          <w:szCs w:val="24"/>
          <w:lang w:eastAsia="fr-FR"/>
        </w:rPr>
        <w:t xml:space="preserve">Dans le domaine des reformes législatives, le Tchad a inscrit dans son code pénal l’interdiction de la peine de mort. Puis, la peine de mort même concernant les actes de terrorisme est abolie à travers la loi n° 003/PR/2020 promulguée le 20 mai 2020. Le Tchad a ainsi rejoint le rang des pays abolitionnistes de la peine de mort. Néanmoins, la réforme du code pénal n’a finalement pas adressé plusieurs autres questions qui avaient été soulevées par les Nations Unies comme la criminalisation de l’avortement, l’adultère, la sorcellerie et les droits des personnes LGBTI.  </w:t>
      </w:r>
    </w:p>
    <w:p w14:paraId="77469F2B" w14:textId="4F5DF078" w:rsidR="18185618" w:rsidRPr="00016537" w:rsidRDefault="18185618" w:rsidP="761E5622">
      <w:pPr>
        <w:jc w:val="both"/>
        <w:rPr>
          <w:rFonts w:ascii="Times New Roman" w:eastAsia="Times New Roman" w:hAnsi="Times New Roman"/>
          <w:sz w:val="24"/>
          <w:szCs w:val="24"/>
          <w:lang w:val="fr-CH" w:eastAsia="fr-FR"/>
        </w:rPr>
      </w:pPr>
      <w:r w:rsidRPr="761E5622">
        <w:rPr>
          <w:rFonts w:ascii="Times New Roman" w:eastAsia="Times New Roman" w:hAnsi="Times New Roman"/>
          <w:sz w:val="24"/>
          <w:szCs w:val="24"/>
          <w:lang w:eastAsia="fr-FR"/>
        </w:rPr>
        <w:t xml:space="preserve">Conformément aux recommandations du comité des droits économiques, sociaux et culturels de 2009 et celles de </w:t>
      </w:r>
      <w:r w:rsidR="11D31575" w:rsidRPr="761E5622">
        <w:rPr>
          <w:rFonts w:ascii="Times New Roman" w:eastAsia="Times New Roman" w:hAnsi="Times New Roman"/>
          <w:sz w:val="24"/>
          <w:szCs w:val="24"/>
          <w:lang w:eastAsia="fr-FR"/>
        </w:rPr>
        <w:t>l'Examen périodique universelle</w:t>
      </w:r>
      <w:r w:rsidR="252A8807" w:rsidRPr="761E5622">
        <w:rPr>
          <w:rFonts w:ascii="Times New Roman" w:eastAsia="Times New Roman" w:hAnsi="Times New Roman"/>
          <w:sz w:val="24"/>
          <w:szCs w:val="24"/>
          <w:lang w:eastAsia="fr-FR"/>
        </w:rPr>
        <w:t xml:space="preserve"> de 2018, </w:t>
      </w:r>
      <w:r w:rsidR="7091E544" w:rsidRPr="761E5622">
        <w:rPr>
          <w:rFonts w:ascii="Times New Roman" w:eastAsia="Times New Roman" w:hAnsi="Times New Roman"/>
          <w:sz w:val="24"/>
          <w:szCs w:val="24"/>
          <w:lang w:eastAsia="fr-FR"/>
        </w:rPr>
        <w:t>le Tchad a adopté la</w:t>
      </w:r>
      <w:r w:rsidR="7091E544" w:rsidRPr="00016537">
        <w:rPr>
          <w:rFonts w:ascii="Times New Roman" w:eastAsia="Times New Roman" w:hAnsi="Times New Roman"/>
          <w:sz w:val="24"/>
          <w:szCs w:val="24"/>
          <w:lang w:val="fr-CH" w:eastAsia="fr-FR"/>
        </w:rPr>
        <w:t xml:space="preserve"> Loi N°28/PR/2018 du 22 novembre 2018 portant attributions, organisation et fonctionnement de l</w:t>
      </w:r>
      <w:r w:rsidR="4C3B2774" w:rsidRPr="761E5622">
        <w:rPr>
          <w:rFonts w:ascii="Times New Roman" w:eastAsia="Times New Roman" w:hAnsi="Times New Roman"/>
          <w:sz w:val="24"/>
          <w:szCs w:val="24"/>
          <w:lang w:eastAsia="fr-FR"/>
        </w:rPr>
        <w:t>a Commission national des droits de l’homme qui est ainsi</w:t>
      </w:r>
      <w:r w:rsidR="7091E544" w:rsidRPr="00016537">
        <w:rPr>
          <w:rFonts w:ascii="Times New Roman" w:eastAsia="Times New Roman" w:hAnsi="Times New Roman"/>
          <w:sz w:val="24"/>
          <w:szCs w:val="24"/>
          <w:lang w:val="fr-CH" w:eastAsia="fr-FR"/>
        </w:rPr>
        <w:t xml:space="preserve"> portée au rang des grandes institutions de la République. Elle est indépendante et autonome. Elle est composée de 11 membres, élus pour un mandat de 4 ans renouvelable une fois dont 5 femmes. Même si le président est un homme. Elle formule des avis au Gouvernement sur les questions des Droits de l’Homme. Elle procède à des enquêtes, études et publications relatives aux Droits de l’Homme. Enfin, elle a le pouvoir d’auto-saisine. Elle a déjà publié quatre rapports d’investigation depuis février 2020 qu’elle est devenue opérationnelle. Par exemple, elle publié un rapport sur la traite des êtres humains dans lequel elle a relevé la responsabilité de l’Etat et a fait des recommandations.</w:t>
      </w:r>
    </w:p>
    <w:p w14:paraId="27F5DCAC" w14:textId="7217516D" w:rsidR="761E5622" w:rsidRDefault="761E5622" w:rsidP="761E5622">
      <w:pPr>
        <w:jc w:val="both"/>
        <w:rPr>
          <w:rFonts w:ascii="Times New Roman" w:eastAsia="Times New Roman" w:hAnsi="Times New Roman"/>
          <w:lang w:eastAsia="fr-FR"/>
        </w:rPr>
      </w:pPr>
    </w:p>
    <w:p w14:paraId="0F08BE24" w14:textId="77777777" w:rsidR="00B20491" w:rsidRPr="00B20491" w:rsidRDefault="00B20491" w:rsidP="00B20491">
      <w:pPr>
        <w:jc w:val="both"/>
        <w:rPr>
          <w:rFonts w:ascii="Times New Roman" w:eastAsia="Times New Roman" w:hAnsi="Times New Roman"/>
          <w:sz w:val="24"/>
          <w:szCs w:val="24"/>
          <w:lang w:eastAsia="fr-FR"/>
        </w:rPr>
      </w:pPr>
    </w:p>
    <w:p w14:paraId="67EECB96" w14:textId="7453E696" w:rsidR="00B20491" w:rsidRPr="00B20491" w:rsidRDefault="00B20491" w:rsidP="00B20491">
      <w:pPr>
        <w:jc w:val="both"/>
        <w:rPr>
          <w:rFonts w:ascii="Times New Roman" w:eastAsia="Times New Roman" w:hAnsi="Times New Roman"/>
          <w:sz w:val="24"/>
          <w:szCs w:val="24"/>
          <w:lang w:eastAsia="fr-FR"/>
        </w:rPr>
      </w:pPr>
    </w:p>
    <w:p w14:paraId="4F053652" w14:textId="77777777" w:rsidR="00B20491" w:rsidRPr="00B20491" w:rsidRDefault="00B20491" w:rsidP="00B20491">
      <w:pPr>
        <w:jc w:val="both"/>
        <w:rPr>
          <w:rFonts w:ascii="Times New Roman" w:eastAsia="Times New Roman" w:hAnsi="Times New Roman"/>
          <w:sz w:val="24"/>
          <w:szCs w:val="24"/>
          <w:lang w:eastAsia="fr-FR"/>
        </w:rPr>
      </w:pPr>
      <w:r w:rsidRPr="00B20491">
        <w:rPr>
          <w:rFonts w:ascii="Times New Roman" w:eastAsia="Times New Roman" w:hAnsi="Times New Roman"/>
          <w:sz w:val="24"/>
          <w:szCs w:val="24"/>
          <w:lang w:eastAsia="fr-FR"/>
        </w:rPr>
        <w:lastRenderedPageBreak/>
        <w:t>La COVID-19 a, pour sa part, porté un coup dur au respect des règles et normes internationales. Pour lutter contre la COVID-19, le Gouvernement a pris une série de mesures qui ont affecté la jouissance aussi bien des droits civils et politiques que des droits économiques, sociaux et culturels. Les personnes âgées, les personnes vivant avec un handicap, les personnes marginalisées, les migrants et surtout les femmes sont les plus affectées dans cette situation pandémique qui a accru leur vulnérabilité à l'exploitation et aux abus sexuels ou les a exposées aux risques de violences sexistes et sexuelles. Elles sont également plus affectées par la situation économique.</w:t>
      </w:r>
    </w:p>
    <w:p w14:paraId="5592A847" w14:textId="6DE45E91" w:rsidR="00B20491" w:rsidRPr="00A8375B" w:rsidRDefault="00B20491" w:rsidP="6BC40FD5">
      <w:pPr>
        <w:jc w:val="both"/>
        <w:rPr>
          <w:rFonts w:ascii="Calibri Light" w:hAnsi="Calibri Light"/>
          <w:color w:val="2F5496" w:themeColor="accent1" w:themeShade="BF"/>
          <w:sz w:val="26"/>
        </w:rPr>
      </w:pPr>
      <w:r w:rsidRPr="6BC40FD5">
        <w:rPr>
          <w:rFonts w:ascii="Times New Roman" w:eastAsia="Times New Roman" w:hAnsi="Times New Roman"/>
          <w:sz w:val="24"/>
          <w:szCs w:val="24"/>
          <w:lang w:eastAsia="fr-FR"/>
        </w:rPr>
        <w:t>Avant la pandémie de COVID-19, selon le rapport ECOSIT 4, les ménages dirigés par les femmes présentent une incidence de pauvreté de 42,1% et de 42,4% chez ceux dirigés par les hommes. Ces taux sont proches de la moyenne nationale (42,3%). Néanmoins, la pauvreté est légèrement plus profonde et sévère au sein de la population vivant dans les ménages dirigés par les femmes que ceux ayant à leurs têtes des hommes. En somme, la pauvreté au Tchad affecte de la même façon les individus vivant sous la responsabilité d’une femme que ceux issus des ménages dirigés par les hommes.</w:t>
      </w:r>
    </w:p>
    <w:p w14:paraId="2A6D3DBB" w14:textId="04F955D9" w:rsidR="2C12AD11" w:rsidRPr="00F125E0" w:rsidRDefault="1AD31897" w:rsidP="00BC1AE3">
      <w:pPr>
        <w:pStyle w:val="Titre2"/>
        <w:numPr>
          <w:ilvl w:val="1"/>
          <w:numId w:val="24"/>
        </w:numPr>
        <w:rPr>
          <w:b/>
          <w:bCs w:val="0"/>
          <w:sz w:val="28"/>
          <w:szCs w:val="28"/>
        </w:rPr>
      </w:pPr>
      <w:bookmarkStart w:id="48" w:name="_Toc90910788"/>
      <w:r w:rsidRPr="00F125E0">
        <w:rPr>
          <w:b/>
          <w:bCs w:val="0"/>
          <w:sz w:val="28"/>
          <w:szCs w:val="28"/>
        </w:rPr>
        <w:t>Mobilité</w:t>
      </w:r>
      <w:bookmarkEnd w:id="48"/>
    </w:p>
    <w:p w14:paraId="225CBE0C" w14:textId="63931CF4" w:rsidR="679FFFB4" w:rsidRPr="0007014E" w:rsidRDefault="1AD31897" w:rsidP="5DCDF1FE">
      <w:pPr>
        <w:jc w:val="both"/>
        <w:rPr>
          <w:rFonts w:ascii="Times New Roman" w:eastAsia="Times New Roman" w:hAnsi="Times New Roman"/>
          <w:sz w:val="24"/>
          <w:szCs w:val="24"/>
          <w:lang w:eastAsia="fr-FR"/>
        </w:rPr>
      </w:pPr>
      <w:r w:rsidRPr="5DCDF1FE">
        <w:rPr>
          <w:rFonts w:ascii="Times New Roman" w:eastAsia="Times New Roman" w:hAnsi="Times New Roman"/>
          <w:sz w:val="24"/>
          <w:szCs w:val="24"/>
          <w:lang w:eastAsia="fr-FR"/>
        </w:rPr>
        <w:t>Le Tchad est à la fois un pays d’origine, de transit et de destination de migrants. En effet, le pays accueille un nombre important de ressortissants étrangers y compris les travailleurs migrants</w:t>
      </w:r>
      <w:r w:rsidR="7C27EB8D" w:rsidRPr="5DCDF1FE">
        <w:rPr>
          <w:rFonts w:ascii="Times New Roman" w:eastAsia="Times New Roman" w:hAnsi="Times New Roman"/>
          <w:sz w:val="24"/>
          <w:szCs w:val="24"/>
          <w:lang w:eastAsia="fr-FR"/>
        </w:rPr>
        <w:t>, des</w:t>
      </w:r>
      <w:r w:rsidR="005B765C">
        <w:rPr>
          <w:rFonts w:ascii="Times New Roman" w:eastAsia="Times New Roman" w:hAnsi="Times New Roman"/>
          <w:sz w:val="24"/>
          <w:szCs w:val="24"/>
          <w:lang w:eastAsia="fr-FR"/>
        </w:rPr>
        <w:t xml:space="preserve"> </w:t>
      </w:r>
      <w:r w:rsidR="00A8375B" w:rsidRPr="5DCDF1FE">
        <w:rPr>
          <w:rFonts w:ascii="Times New Roman" w:eastAsia="Times New Roman" w:hAnsi="Times New Roman"/>
          <w:sz w:val="24"/>
          <w:szCs w:val="24"/>
          <w:lang w:eastAsia="fr-FR"/>
        </w:rPr>
        <w:t>réfugiés,</w:t>
      </w:r>
      <w:r w:rsidR="1343C568" w:rsidRPr="5DCDF1FE">
        <w:rPr>
          <w:rFonts w:ascii="Times New Roman" w:eastAsia="Times New Roman" w:hAnsi="Times New Roman"/>
          <w:sz w:val="24"/>
          <w:szCs w:val="24"/>
          <w:lang w:eastAsia="fr-FR"/>
        </w:rPr>
        <w:t xml:space="preserve"> </w:t>
      </w:r>
      <w:proofErr w:type="gramStart"/>
      <w:r w:rsidR="29E5189B" w:rsidRPr="5DCDF1FE">
        <w:rPr>
          <w:rFonts w:ascii="Times New Roman" w:eastAsia="Times New Roman" w:hAnsi="Times New Roman"/>
          <w:sz w:val="24"/>
          <w:szCs w:val="24"/>
          <w:lang w:eastAsia="fr-FR"/>
        </w:rPr>
        <w:t xml:space="preserve">et </w:t>
      </w:r>
      <w:r w:rsidR="1343C568" w:rsidRPr="5DCDF1FE">
        <w:rPr>
          <w:rFonts w:ascii="Times New Roman" w:eastAsia="Times New Roman" w:hAnsi="Times New Roman"/>
          <w:sz w:val="24"/>
          <w:szCs w:val="24"/>
          <w:lang w:eastAsia="fr-FR"/>
        </w:rPr>
        <w:t>,</w:t>
      </w:r>
      <w:proofErr w:type="gramEnd"/>
      <w:r w:rsidR="1343C568" w:rsidRPr="5DCDF1FE">
        <w:rPr>
          <w:rFonts w:ascii="Times New Roman" w:eastAsia="Times New Roman" w:hAnsi="Times New Roman"/>
          <w:sz w:val="24"/>
          <w:szCs w:val="24"/>
          <w:lang w:eastAsia="fr-FR"/>
        </w:rPr>
        <w:t xml:space="preserve"> </w:t>
      </w:r>
      <w:r w:rsidR="29E5189B" w:rsidRPr="5DCDF1FE">
        <w:rPr>
          <w:rFonts w:ascii="Times New Roman" w:eastAsia="Times New Roman" w:hAnsi="Times New Roman"/>
          <w:sz w:val="24"/>
          <w:szCs w:val="24"/>
          <w:lang w:eastAsia="fr-FR"/>
        </w:rPr>
        <w:t xml:space="preserve">et </w:t>
      </w:r>
      <w:r w:rsidR="1343C568" w:rsidRPr="5DCDF1FE">
        <w:rPr>
          <w:rFonts w:ascii="Times New Roman" w:eastAsia="Times New Roman" w:hAnsi="Times New Roman"/>
          <w:sz w:val="24"/>
          <w:szCs w:val="24"/>
          <w:lang w:eastAsia="fr-FR"/>
        </w:rPr>
        <w:t>des</w:t>
      </w:r>
      <w:r w:rsidR="3F8C24AD" w:rsidRPr="5DCDF1FE">
        <w:rPr>
          <w:rFonts w:ascii="Times New Roman" w:eastAsia="Times New Roman" w:hAnsi="Times New Roman"/>
          <w:sz w:val="24"/>
          <w:szCs w:val="24"/>
          <w:lang w:eastAsia="fr-FR"/>
        </w:rPr>
        <w:t xml:space="preserve"> </w:t>
      </w:r>
      <w:r w:rsidR="679FFFB4" w:rsidRPr="5DCDF1FE">
        <w:rPr>
          <w:rFonts w:ascii="Times New Roman" w:eastAsia="Times New Roman" w:hAnsi="Times New Roman"/>
          <w:sz w:val="24"/>
          <w:szCs w:val="24"/>
          <w:lang w:eastAsia="fr-FR"/>
        </w:rPr>
        <w:t>personnes</w:t>
      </w:r>
      <w:r w:rsidRPr="5DCDF1FE">
        <w:rPr>
          <w:rFonts w:ascii="Times New Roman" w:eastAsia="Times New Roman" w:hAnsi="Times New Roman"/>
          <w:sz w:val="24"/>
          <w:szCs w:val="24"/>
          <w:lang w:eastAsia="fr-FR"/>
        </w:rPr>
        <w:t xml:space="preserve"> </w:t>
      </w:r>
      <w:r w:rsidR="2E1D18FB" w:rsidRPr="5DCDF1FE">
        <w:rPr>
          <w:rFonts w:ascii="Times New Roman" w:eastAsia="Times New Roman" w:hAnsi="Times New Roman"/>
          <w:sz w:val="24"/>
          <w:szCs w:val="24"/>
          <w:lang w:eastAsia="fr-FR"/>
        </w:rPr>
        <w:t xml:space="preserve">en </w:t>
      </w:r>
      <w:r w:rsidR="00016537" w:rsidRPr="5DCDF1FE">
        <w:rPr>
          <w:rFonts w:ascii="Times New Roman" w:eastAsia="Times New Roman" w:hAnsi="Times New Roman"/>
          <w:sz w:val="24"/>
          <w:szCs w:val="24"/>
          <w:lang w:eastAsia="fr-FR"/>
        </w:rPr>
        <w:t>déplacement</w:t>
      </w:r>
      <w:r w:rsidR="2E1D18FB" w:rsidRPr="5DCDF1FE">
        <w:rPr>
          <w:rFonts w:ascii="Times New Roman" w:eastAsia="Times New Roman" w:hAnsi="Times New Roman"/>
          <w:sz w:val="24"/>
          <w:szCs w:val="24"/>
          <w:lang w:eastAsia="fr-FR"/>
        </w:rPr>
        <w:t xml:space="preserve"> internes</w:t>
      </w:r>
      <w:r w:rsidR="6955AD52" w:rsidRPr="5DCDF1FE">
        <w:rPr>
          <w:rFonts w:ascii="Times New Roman" w:eastAsia="Times New Roman" w:hAnsi="Times New Roman"/>
          <w:sz w:val="24"/>
          <w:szCs w:val="24"/>
          <w:lang w:eastAsia="fr-FR"/>
        </w:rPr>
        <w:t xml:space="preserve">, </w:t>
      </w:r>
      <w:r w:rsidR="00016537" w:rsidRPr="5DCDF1FE">
        <w:rPr>
          <w:rFonts w:ascii="Times New Roman" w:eastAsia="Times New Roman" w:hAnsi="Times New Roman"/>
          <w:sz w:val="24"/>
          <w:szCs w:val="24"/>
          <w:lang w:eastAsia="fr-FR"/>
        </w:rPr>
        <w:t>notamment</w:t>
      </w:r>
      <w:r w:rsidR="005B765C">
        <w:rPr>
          <w:rFonts w:ascii="Times New Roman" w:eastAsia="Times New Roman" w:hAnsi="Times New Roman"/>
          <w:sz w:val="24"/>
          <w:szCs w:val="24"/>
          <w:lang w:eastAsia="fr-FR"/>
        </w:rPr>
        <w:t xml:space="preserve"> </w:t>
      </w:r>
      <w:r w:rsidRPr="5DCDF1FE">
        <w:rPr>
          <w:rFonts w:ascii="Times New Roman" w:eastAsia="Times New Roman" w:hAnsi="Times New Roman"/>
          <w:sz w:val="24"/>
          <w:szCs w:val="24"/>
          <w:lang w:eastAsia="fr-FR"/>
        </w:rPr>
        <w:t xml:space="preserve">dans la province du Lac, théâtre de l’action de groupes armés non-étatiques. A l’insécurité s’ajoute aussi les effets des aléas climatiques qui forcent un nombre croissant de personnes à se déplacer. </w:t>
      </w:r>
    </w:p>
    <w:p w14:paraId="7B48C2DE" w14:textId="7BFCBE38" w:rsidR="1AD31897" w:rsidRPr="0007014E" w:rsidRDefault="1AD31897" w:rsidP="3DCE8E5C">
      <w:pPr>
        <w:jc w:val="both"/>
        <w:rPr>
          <w:rFonts w:ascii="Times New Roman" w:eastAsia="Times New Roman" w:hAnsi="Times New Roman"/>
          <w:sz w:val="24"/>
          <w:szCs w:val="24"/>
          <w:lang w:eastAsia="fr-FR"/>
        </w:rPr>
      </w:pPr>
      <w:r w:rsidRPr="0007014E">
        <w:rPr>
          <w:rFonts w:ascii="Times New Roman" w:eastAsia="Times New Roman" w:hAnsi="Times New Roman"/>
          <w:sz w:val="24"/>
          <w:szCs w:val="24"/>
          <w:lang w:eastAsia="fr-FR"/>
        </w:rPr>
        <w:t>Le changement climatique a des effets catastrophiques sur le Tchad, y compris des pluies moins prévisibles, ce qui affecte les ménages dans leurs moyens de subsistance. Certains sont poussés à la migration et/ou à changer leurs activités de subsistance. Des agricultures abandonnent leurs champs, les trajectoires des transhumants changent en fonction des pluies.</w:t>
      </w:r>
      <w:r w:rsidRPr="6BC40FD5">
        <w:rPr>
          <w:rFonts w:ascii="Times New Roman" w:eastAsia="Times New Roman" w:hAnsi="Times New Roman"/>
          <w:sz w:val="24"/>
          <w:szCs w:val="24"/>
          <w:lang w:eastAsia="fr-FR"/>
        </w:rPr>
        <w:footnoteReference w:id="24"/>
      </w:r>
    </w:p>
    <w:p w14:paraId="13DB2E83" w14:textId="2FFC4861" w:rsidR="1AD31897" w:rsidRPr="0007014E" w:rsidRDefault="10F27E54" w:rsidP="3DCE8E5C">
      <w:pPr>
        <w:jc w:val="both"/>
        <w:rPr>
          <w:rFonts w:ascii="Times New Roman" w:eastAsia="Times New Roman" w:hAnsi="Times New Roman"/>
          <w:sz w:val="24"/>
          <w:szCs w:val="24"/>
          <w:lang w:eastAsia="fr-FR"/>
        </w:rPr>
      </w:pPr>
      <w:r w:rsidRPr="3DCE8E5C">
        <w:rPr>
          <w:rFonts w:ascii="Times New Roman" w:eastAsia="Times New Roman" w:hAnsi="Times New Roman"/>
          <w:sz w:val="24"/>
          <w:szCs w:val="24"/>
          <w:lang w:eastAsia="fr-FR"/>
        </w:rPr>
        <w:t xml:space="preserve">Face au manque d’opportunités et motivés par les récits de ceux qui ont fait fortune ailleurs, beaucoup de jeunes tchadiens migrent des zones rurales principalement vers la capitale N’Djamena et le Nord du pays à la recherche d’opportunités.  </w:t>
      </w:r>
    </w:p>
    <w:p w14:paraId="279333E2" w14:textId="4EE7FEA9" w:rsidR="1F5AE9C1" w:rsidRPr="0007014E" w:rsidRDefault="1F5AE9C1" w:rsidP="6BC40FD5">
      <w:pPr>
        <w:jc w:val="both"/>
        <w:rPr>
          <w:rFonts w:ascii="Times New Roman" w:eastAsia="Times New Roman" w:hAnsi="Times New Roman"/>
          <w:sz w:val="24"/>
          <w:szCs w:val="24"/>
          <w:lang w:eastAsia="fr-FR"/>
        </w:rPr>
      </w:pPr>
    </w:p>
    <w:p w14:paraId="4667C0F0" w14:textId="5E5A4176" w:rsidR="00335CEF" w:rsidRPr="0007014E" w:rsidRDefault="6360EB5D" w:rsidP="6BC40FD5">
      <w:pPr>
        <w:jc w:val="both"/>
        <w:rPr>
          <w:rFonts w:ascii="Times New Roman" w:eastAsia="Times New Roman" w:hAnsi="Times New Roman"/>
          <w:sz w:val="24"/>
          <w:szCs w:val="24"/>
          <w:lang w:eastAsia="fr-FR"/>
        </w:rPr>
      </w:pPr>
      <w:r w:rsidRPr="5DCDF1FE">
        <w:rPr>
          <w:rFonts w:ascii="Times New Roman" w:eastAsia="Times New Roman" w:hAnsi="Times New Roman"/>
          <w:sz w:val="24"/>
          <w:szCs w:val="24"/>
          <w:lang w:eastAsia="fr-FR"/>
        </w:rPr>
        <w:t xml:space="preserve">De même, de nombreux Tchadiens quittent leur pays pour se rendre dans des pays voisins comme en Libye, au Soudan, au Nigéria, au Cameroun à la recherche d’un mieux-être. Par rapport à la migration dans la région de l’Afrique de l’Ouest et Afrique centrale, les Tchadiens constituent le groupe le plus large des migrants en provenance de l’Afrique centrale.  Par ailleurs, la position géographique du Tchad au centre de l’Afrique fait de lui un carrefour, un point de passage pour de nombreux ressortissants d’Afrique subsaharienne qui cherchent à émigrer vers l’Afrique du Nord et l’Europe.  </w:t>
      </w:r>
    </w:p>
    <w:p w14:paraId="0C66B299" w14:textId="5A9B3FD4" w:rsidR="00335CEF" w:rsidRPr="0007014E" w:rsidRDefault="6360EB5D" w:rsidP="6BC40FD5">
      <w:pPr>
        <w:jc w:val="both"/>
        <w:rPr>
          <w:rFonts w:ascii="Times New Roman" w:eastAsia="Times New Roman" w:hAnsi="Times New Roman"/>
          <w:sz w:val="24"/>
          <w:szCs w:val="24"/>
          <w:lang w:eastAsia="fr-FR"/>
        </w:rPr>
      </w:pPr>
      <w:r w:rsidRPr="0007014E">
        <w:rPr>
          <w:rFonts w:ascii="Times New Roman" w:eastAsia="Times New Roman" w:hAnsi="Times New Roman"/>
          <w:sz w:val="24"/>
          <w:szCs w:val="24"/>
          <w:lang w:eastAsia="fr-FR"/>
        </w:rPr>
        <w:lastRenderedPageBreak/>
        <w:t xml:space="preserve">Face à ces défis, le gouvernement tchadien a identifié la migration comme un champ d’action prioritaire. Le Tchad a été le premier pays dans le monde à nationaliser le Pacte mondial pour les migrations sûres, ordonnées et régulières (PMM) avec une élaboration d’un plan d’action national triennal 2019 – 2021 et le gouvernement a rapporté cet engagement à la Conférence d’Examen continental Africain du PMM du 31 août au 1er septembre 2021. Le Tchad est un État partenaire du Dialogue Euro-Africain sur la Migration et le Développement (processus de Rabat) et, dans ce contexte, fait partie de programmes de coopération pluriannuels tels que le Plan d'Action Conjoint de La Valette et la Déclaration et le Plan d'Action de Marrakech. </w:t>
      </w:r>
    </w:p>
    <w:p w14:paraId="4E8344D4" w14:textId="55EF7181" w:rsidR="00335CEF" w:rsidRPr="0007014E" w:rsidRDefault="6360EB5D" w:rsidP="6BC40FD5">
      <w:pPr>
        <w:jc w:val="both"/>
        <w:rPr>
          <w:rFonts w:ascii="Times New Roman" w:eastAsia="Times New Roman" w:hAnsi="Times New Roman"/>
          <w:sz w:val="24"/>
          <w:szCs w:val="24"/>
          <w:lang w:eastAsia="fr-FR"/>
        </w:rPr>
      </w:pPr>
      <w:r w:rsidRPr="0007014E">
        <w:rPr>
          <w:rFonts w:ascii="Times New Roman" w:eastAsia="Times New Roman" w:hAnsi="Times New Roman"/>
          <w:sz w:val="24"/>
          <w:szCs w:val="24"/>
          <w:lang w:eastAsia="fr-FR"/>
        </w:rPr>
        <w:t xml:space="preserve">Sur le plan législatif, le Tchad a promulgué en décembre 2020 la Loi N°027 portant Asile en République du Tchad, confirmant ainsi son engagement à trouver des solutions durables à la situation des réfugiés dans le pays, et en février 2021, le gouvernement a mis en place le Comité Technique Multisectoriel de Lutte contre le Trafic Illicite des Migrants et la Traite des Personnes. Ce comité, le premier de son genre, a pour objectif de développer et de mettre en œuvre diverses stratégies pour lutter contre la traite des personnes au Tchad.  </w:t>
      </w:r>
    </w:p>
    <w:p w14:paraId="0F9B8CE2" w14:textId="6DCA5277" w:rsidR="00335CEF" w:rsidRPr="0007014E" w:rsidRDefault="6360EB5D" w:rsidP="6BC40FD5">
      <w:pPr>
        <w:jc w:val="both"/>
        <w:rPr>
          <w:rFonts w:ascii="Times New Roman" w:eastAsia="Times New Roman" w:hAnsi="Times New Roman"/>
          <w:sz w:val="24"/>
          <w:szCs w:val="24"/>
          <w:lang w:eastAsia="fr-FR"/>
        </w:rPr>
      </w:pPr>
      <w:r w:rsidRPr="0007014E">
        <w:rPr>
          <w:rFonts w:ascii="Times New Roman" w:eastAsia="Times New Roman" w:hAnsi="Times New Roman"/>
          <w:sz w:val="24"/>
          <w:szCs w:val="24"/>
          <w:lang w:eastAsia="fr-FR"/>
        </w:rPr>
        <w:t xml:space="preserve">Le gouvernement du Tchad travaille sur une mise en œuvre nationale de la Convention de Kampala sur la protection et l’assistance aux personnes déplacées internes. Les discussions sur la domestication de la Convention internationale sur la protection des droits de tous les travailleurs migrants et des membres de leur famille (CRMW) sont en cours et un comité technique interministériel qui travaillera sur ce processus est en train d’être établi. </w:t>
      </w:r>
    </w:p>
    <w:p w14:paraId="1DDF0F03" w14:textId="076B7D92" w:rsidR="00335CEF" w:rsidRPr="0007014E" w:rsidRDefault="6360EB5D" w:rsidP="6BC40FD5">
      <w:pPr>
        <w:jc w:val="both"/>
        <w:rPr>
          <w:rFonts w:ascii="Times New Roman" w:eastAsia="Times New Roman" w:hAnsi="Times New Roman"/>
          <w:sz w:val="24"/>
          <w:szCs w:val="24"/>
          <w:lang w:eastAsia="fr-FR"/>
        </w:rPr>
      </w:pPr>
      <w:r w:rsidRPr="0007014E">
        <w:rPr>
          <w:rFonts w:ascii="Times New Roman" w:eastAsia="Times New Roman" w:hAnsi="Times New Roman"/>
          <w:sz w:val="24"/>
          <w:szCs w:val="24"/>
          <w:lang w:eastAsia="fr-FR"/>
        </w:rPr>
        <w:t xml:space="preserve">Le Tchad n’exploite pas encore suffisamment le potentiel de la migration pour son développement d’une manière systématique. Toutefois, diverses initiatives d’engagement de la diaspora ont été initiées par le Gouvernement pour mieux comprendre l’importance des transferts de fonds sur le développement de la diaspora. Le Gouvernement met aussi en œuvre un projet de développement d’un profil migratoire pour le pays.  </w:t>
      </w:r>
    </w:p>
    <w:p w14:paraId="7EC6289F" w14:textId="77777777" w:rsidR="00335CEF" w:rsidRPr="00CD37DE" w:rsidRDefault="00335CEF" w:rsidP="00CD37DE">
      <w:pPr>
        <w:jc w:val="both"/>
        <w:rPr>
          <w:rFonts w:ascii="Times New Roman" w:hAnsi="Times New Roman"/>
          <w:sz w:val="24"/>
          <w:szCs w:val="24"/>
        </w:rPr>
      </w:pPr>
    </w:p>
    <w:p w14:paraId="700965A2" w14:textId="51C2107C" w:rsidR="00CD37DE" w:rsidRPr="0095279A" w:rsidRDefault="00CD37DE" w:rsidP="00BC1AE3">
      <w:pPr>
        <w:pStyle w:val="Titre1"/>
        <w:numPr>
          <w:ilvl w:val="0"/>
          <w:numId w:val="23"/>
        </w:numPr>
        <w:rPr>
          <w:rFonts w:ascii="Times New Roman" w:hAnsi="Times New Roman"/>
          <w:b/>
          <w:bCs/>
        </w:rPr>
      </w:pPr>
      <w:bookmarkStart w:id="49" w:name="_Toc51745198"/>
      <w:bookmarkStart w:id="50" w:name="_Toc55372900"/>
      <w:bookmarkStart w:id="51" w:name="_Toc55539104"/>
      <w:bookmarkStart w:id="52" w:name="_Toc61523573"/>
      <w:bookmarkStart w:id="53" w:name="_Toc90910789"/>
      <w:r w:rsidRPr="0095279A">
        <w:rPr>
          <w:rFonts w:ascii="Times New Roman" w:hAnsi="Times New Roman"/>
          <w:b/>
          <w:bCs/>
        </w:rPr>
        <w:t>VISION NATIONALE SUR LE</w:t>
      </w:r>
      <w:r w:rsidR="00E5083F">
        <w:rPr>
          <w:rFonts w:ascii="Times New Roman" w:hAnsi="Times New Roman"/>
          <w:b/>
          <w:bCs/>
        </w:rPr>
        <w:t>S OBJECTIFS DE</w:t>
      </w:r>
      <w:r w:rsidRPr="0095279A">
        <w:rPr>
          <w:rFonts w:ascii="Times New Roman" w:hAnsi="Times New Roman"/>
          <w:b/>
          <w:bCs/>
        </w:rPr>
        <w:t xml:space="preserve"> DEVELOPPEMENT DURABLE</w:t>
      </w:r>
      <w:bookmarkEnd w:id="49"/>
      <w:bookmarkEnd w:id="50"/>
      <w:bookmarkEnd w:id="51"/>
      <w:bookmarkEnd w:id="52"/>
      <w:bookmarkEnd w:id="53"/>
      <w:r w:rsidRPr="0095279A">
        <w:rPr>
          <w:rFonts w:ascii="Times New Roman" w:hAnsi="Times New Roman"/>
          <w:b/>
          <w:bCs/>
        </w:rPr>
        <w:t xml:space="preserve"> </w:t>
      </w:r>
    </w:p>
    <w:p w14:paraId="338CD9EF" w14:textId="77777777" w:rsidR="00CD37DE" w:rsidRPr="00CD37DE" w:rsidRDefault="00CD37DE" w:rsidP="00CD37DE">
      <w:pPr>
        <w:spacing w:after="0"/>
        <w:ind w:right="288"/>
        <w:jc w:val="both"/>
      </w:pPr>
    </w:p>
    <w:p w14:paraId="42A1DF85" w14:textId="13AB5F01" w:rsidR="00F00327" w:rsidRDefault="00F00327" w:rsidP="00F00327">
      <w:pPr>
        <w:jc w:val="both"/>
        <w:rPr>
          <w:rFonts w:ascii="Times New Roman" w:hAnsi="Times New Roman"/>
          <w:sz w:val="24"/>
          <w:szCs w:val="24"/>
        </w:rPr>
      </w:pPr>
      <w:bookmarkStart w:id="54" w:name="_Toc51745199"/>
      <w:r w:rsidRPr="00CD37DE">
        <w:rPr>
          <w:rFonts w:ascii="Times New Roman" w:hAnsi="Times New Roman"/>
          <w:b/>
          <w:bCs/>
          <w:sz w:val="24"/>
          <w:szCs w:val="24"/>
        </w:rPr>
        <w:t xml:space="preserve">Les évaluations des politiques publiques antérieures montrent qu’il y a des défis majeurs à relever pour atteindre l’émergence du Tchad et les </w:t>
      </w:r>
      <w:r>
        <w:rPr>
          <w:rFonts w:ascii="Times New Roman" w:hAnsi="Times New Roman"/>
          <w:b/>
          <w:bCs/>
          <w:sz w:val="24"/>
          <w:szCs w:val="24"/>
        </w:rPr>
        <w:t>objectifs de développement durable</w:t>
      </w:r>
      <w:r w:rsidRPr="00CD37DE">
        <w:rPr>
          <w:rFonts w:ascii="Times New Roman" w:hAnsi="Times New Roman"/>
          <w:b/>
          <w:bCs/>
          <w:sz w:val="24"/>
          <w:szCs w:val="24"/>
        </w:rPr>
        <w:t xml:space="preserve"> à l’horizon 2030</w:t>
      </w:r>
      <w:r w:rsidRPr="00CD37DE">
        <w:rPr>
          <w:rFonts w:ascii="Times New Roman" w:hAnsi="Times New Roman"/>
          <w:sz w:val="24"/>
          <w:szCs w:val="24"/>
        </w:rPr>
        <w:t xml:space="preserve">.  En effet, le Tchad a adopté en 2017 les documents encadrant sa toute première planification stratégique du développement du pays à long terme, à l’horizon 2030, date coïncidant avec l’horizon des </w:t>
      </w:r>
      <w:r>
        <w:rPr>
          <w:rFonts w:ascii="Times New Roman" w:hAnsi="Times New Roman"/>
          <w:sz w:val="24"/>
          <w:szCs w:val="24"/>
        </w:rPr>
        <w:t>objectifs de développement durable</w:t>
      </w:r>
      <w:r w:rsidRPr="00CD37DE">
        <w:rPr>
          <w:rFonts w:ascii="Times New Roman" w:hAnsi="Times New Roman"/>
          <w:sz w:val="24"/>
          <w:szCs w:val="24"/>
        </w:rPr>
        <w:t xml:space="preserve">. </w:t>
      </w:r>
      <w:r w:rsidRPr="001B23A8">
        <w:rPr>
          <w:rFonts w:ascii="Times New Roman" w:hAnsi="Times New Roman"/>
          <w:sz w:val="24"/>
          <w:szCs w:val="24"/>
        </w:rPr>
        <w:t>Les défis majeurs restent à relever pour atteindre l’émergence du Tchad et les objectifs de développement durable à l’horizon 2030 sont  notamment:</w:t>
      </w:r>
      <w:r w:rsidRPr="00CD37DE">
        <w:rPr>
          <w:rFonts w:ascii="Times New Roman" w:hAnsi="Times New Roman"/>
          <w:sz w:val="24"/>
          <w:szCs w:val="24"/>
        </w:rPr>
        <w:t xml:space="preserve"> (i) l’</w:t>
      </w:r>
      <w:r w:rsidRPr="00CD37DE">
        <w:rPr>
          <w:rFonts w:ascii="Times New Roman" w:hAnsi="Times New Roman"/>
          <w:sz w:val="24"/>
        </w:rPr>
        <w:t xml:space="preserve">amélioration  de la sécurité, du respect des droits de l’homme et </w:t>
      </w:r>
      <w:r>
        <w:rPr>
          <w:rFonts w:ascii="Times New Roman" w:hAnsi="Times New Roman"/>
          <w:sz w:val="24"/>
        </w:rPr>
        <w:t xml:space="preserve">de </w:t>
      </w:r>
      <w:r w:rsidRPr="00CD37DE">
        <w:rPr>
          <w:rFonts w:ascii="Times New Roman" w:hAnsi="Times New Roman"/>
          <w:sz w:val="24"/>
        </w:rPr>
        <w:t>la cohésion sociale</w:t>
      </w:r>
      <w:r w:rsidRPr="00CD37DE">
        <w:rPr>
          <w:rFonts w:ascii="Times New Roman" w:hAnsi="Times New Roman"/>
          <w:sz w:val="24"/>
          <w:szCs w:val="24"/>
        </w:rPr>
        <w:t xml:space="preserve"> ; (ii) le </w:t>
      </w:r>
      <w:r w:rsidRPr="00CD37DE">
        <w:rPr>
          <w:rFonts w:ascii="Times New Roman" w:hAnsi="Times New Roman"/>
          <w:sz w:val="24"/>
        </w:rPr>
        <w:t>renforcement des systèmes de gouvernance des institutions républicaines</w:t>
      </w:r>
      <w:r w:rsidRPr="00CD37DE">
        <w:rPr>
          <w:rFonts w:ascii="Times New Roman" w:hAnsi="Times New Roman"/>
          <w:sz w:val="24"/>
          <w:szCs w:val="24"/>
        </w:rPr>
        <w:t xml:space="preserve"> ; (iii) la diversification des sources de création de richesses pour pallier à la forte dépendance de l’économie au secteur pétrolier ; (iv) la garantie d’une gestion </w:t>
      </w:r>
      <w:r w:rsidRPr="00CD37DE">
        <w:rPr>
          <w:rFonts w:ascii="Times New Roman" w:hAnsi="Times New Roman"/>
          <w:sz w:val="24"/>
          <w:szCs w:val="24"/>
        </w:rPr>
        <w:lastRenderedPageBreak/>
        <w:t>durable de l’environnement et du cadre de vie ;  (v) le développement du capital humain et le renforcement des systèmes de protection sociale</w:t>
      </w:r>
      <w:r>
        <w:rPr>
          <w:rFonts w:ascii="Times New Roman" w:hAnsi="Times New Roman"/>
          <w:sz w:val="24"/>
          <w:szCs w:val="24"/>
        </w:rPr>
        <w:t xml:space="preserve"> ainsi que l’amélioration de la sécurité alimentaire et nutritionnelle</w:t>
      </w:r>
      <w:r w:rsidR="00937B51">
        <w:rPr>
          <w:rFonts w:ascii="Times New Roman" w:hAnsi="Times New Roman"/>
          <w:sz w:val="24"/>
          <w:szCs w:val="24"/>
        </w:rPr>
        <w:t xml:space="preserve"> et </w:t>
      </w:r>
      <w:r w:rsidR="003E1BFD">
        <w:rPr>
          <w:rFonts w:ascii="Times New Roman" w:hAnsi="Times New Roman"/>
          <w:sz w:val="24"/>
          <w:szCs w:val="24"/>
        </w:rPr>
        <w:t xml:space="preserve">(vi) </w:t>
      </w:r>
      <w:r w:rsidR="00937B51">
        <w:rPr>
          <w:rFonts w:ascii="Times New Roman" w:hAnsi="Times New Roman"/>
          <w:sz w:val="24"/>
          <w:szCs w:val="24"/>
        </w:rPr>
        <w:t>l’</w:t>
      </w:r>
      <w:r w:rsidR="001C3AC3">
        <w:rPr>
          <w:rFonts w:ascii="Times New Roman" w:hAnsi="Times New Roman"/>
          <w:sz w:val="24"/>
          <w:szCs w:val="24"/>
        </w:rPr>
        <w:t>a</w:t>
      </w:r>
      <w:r w:rsidR="00D4666B">
        <w:rPr>
          <w:rFonts w:ascii="Times New Roman" w:hAnsi="Times New Roman"/>
          <w:sz w:val="24"/>
          <w:szCs w:val="24"/>
        </w:rPr>
        <w:t xml:space="preserve">mélioration des conditions et cadre de vie des populations </w:t>
      </w:r>
      <w:r w:rsidR="008A650E">
        <w:rPr>
          <w:rFonts w:ascii="Times New Roman" w:hAnsi="Times New Roman"/>
          <w:sz w:val="24"/>
          <w:szCs w:val="24"/>
        </w:rPr>
        <w:t>vulnérables y compris les réfugiés et les déplacés (infrastructures de base, santé, éducation, autonomisation,</w:t>
      </w:r>
      <w:r w:rsidR="0011131B">
        <w:rPr>
          <w:rFonts w:ascii="Times New Roman" w:hAnsi="Times New Roman"/>
          <w:sz w:val="24"/>
          <w:szCs w:val="24"/>
        </w:rPr>
        <w:t xml:space="preserve"> autonomisation, etc.)</w:t>
      </w:r>
      <w:r w:rsidRPr="00CD37DE">
        <w:rPr>
          <w:rFonts w:ascii="Times New Roman" w:hAnsi="Times New Roman"/>
          <w:sz w:val="24"/>
          <w:szCs w:val="24"/>
        </w:rPr>
        <w:t>.</w:t>
      </w:r>
    </w:p>
    <w:p w14:paraId="5708CB87" w14:textId="53FDD57E" w:rsidR="00F00327" w:rsidRPr="00CD37DE" w:rsidRDefault="00F00327" w:rsidP="00F00327">
      <w:pPr>
        <w:jc w:val="both"/>
        <w:rPr>
          <w:rFonts w:ascii="Times New Roman" w:hAnsi="Times New Roman"/>
          <w:sz w:val="24"/>
          <w:szCs w:val="24"/>
        </w:rPr>
      </w:pPr>
      <w:r w:rsidRPr="00766693">
        <w:rPr>
          <w:rFonts w:ascii="Times New Roman" w:hAnsi="Times New Roman"/>
          <w:sz w:val="24"/>
          <w:szCs w:val="24"/>
        </w:rPr>
        <w:t xml:space="preserve">Les difficultés </w:t>
      </w:r>
      <w:r>
        <w:rPr>
          <w:rFonts w:ascii="Times New Roman" w:hAnsi="Times New Roman"/>
          <w:sz w:val="24"/>
          <w:szCs w:val="24"/>
        </w:rPr>
        <w:t>qui font que</w:t>
      </w:r>
      <w:r w:rsidRPr="00766693">
        <w:rPr>
          <w:rFonts w:ascii="Times New Roman" w:hAnsi="Times New Roman"/>
          <w:sz w:val="24"/>
          <w:szCs w:val="24"/>
        </w:rPr>
        <w:t xml:space="preserve"> le pays a besoin d’appui régional et international sont illustrées en partie par le fait que le Tchad se classe au 187e rang sur 189 pays</w:t>
      </w:r>
      <w:r w:rsidR="00AA2C18">
        <w:rPr>
          <w:rFonts w:ascii="Times New Roman" w:hAnsi="Times New Roman"/>
          <w:sz w:val="24"/>
          <w:szCs w:val="24"/>
        </w:rPr>
        <w:t>,</w:t>
      </w:r>
      <w:r w:rsidRPr="00766693">
        <w:rPr>
          <w:rFonts w:ascii="Times New Roman" w:hAnsi="Times New Roman"/>
          <w:sz w:val="24"/>
          <w:szCs w:val="24"/>
        </w:rPr>
        <w:t xml:space="preserve"> selon l’Indice de développement humain de 2019, et que 4</w:t>
      </w:r>
      <w:r>
        <w:rPr>
          <w:rFonts w:ascii="Times New Roman" w:hAnsi="Times New Roman"/>
          <w:sz w:val="24"/>
          <w:szCs w:val="24"/>
        </w:rPr>
        <w:t>2,3</w:t>
      </w:r>
      <w:r w:rsidRPr="00766693">
        <w:rPr>
          <w:rFonts w:ascii="Times New Roman" w:hAnsi="Times New Roman"/>
          <w:sz w:val="24"/>
          <w:szCs w:val="24"/>
        </w:rPr>
        <w:t xml:space="preserve"> % des Tchadiens vivent dans la pauvreté</w:t>
      </w:r>
      <w:r>
        <w:rPr>
          <w:rFonts w:ascii="Times New Roman" w:hAnsi="Times New Roman"/>
          <w:sz w:val="24"/>
          <w:szCs w:val="24"/>
        </w:rPr>
        <w:t xml:space="preserve"> (ECOSIT4).</w:t>
      </w:r>
      <w:r w:rsidRPr="00766693">
        <w:rPr>
          <w:rFonts w:ascii="Times New Roman" w:hAnsi="Times New Roman"/>
          <w:sz w:val="24"/>
          <w:szCs w:val="24"/>
        </w:rPr>
        <w:t xml:space="preserve"> </w:t>
      </w:r>
      <w:r w:rsidRPr="00CD37DE">
        <w:rPr>
          <w:rFonts w:ascii="Times New Roman" w:hAnsi="Times New Roman"/>
          <w:sz w:val="24"/>
          <w:szCs w:val="24"/>
        </w:rPr>
        <w:t>Les politiques publiques sont peu mises en œuvre non seulement par manque de financement adéquat, mais également parce que le contexte institutionnel et de gouvernance</w:t>
      </w:r>
      <w:r>
        <w:rPr>
          <w:rFonts w:ascii="Times New Roman" w:hAnsi="Times New Roman"/>
          <w:sz w:val="24"/>
          <w:szCs w:val="24"/>
        </w:rPr>
        <w:t xml:space="preserve"> </w:t>
      </w:r>
      <w:r w:rsidRPr="00766693">
        <w:rPr>
          <w:rFonts w:ascii="Times New Roman" w:hAnsi="Times New Roman"/>
          <w:sz w:val="24"/>
          <w:szCs w:val="24"/>
        </w:rPr>
        <w:t>aux niveaux national et local pour une meilleure livraison des services sur le territoire national</w:t>
      </w:r>
      <w:r w:rsidRPr="00CD37DE">
        <w:rPr>
          <w:rFonts w:ascii="Times New Roman" w:hAnsi="Times New Roman"/>
          <w:sz w:val="24"/>
          <w:szCs w:val="24"/>
        </w:rPr>
        <w:t xml:space="preserve">, </w:t>
      </w:r>
      <w:r>
        <w:rPr>
          <w:rFonts w:ascii="Times New Roman" w:hAnsi="Times New Roman"/>
          <w:sz w:val="24"/>
          <w:szCs w:val="24"/>
        </w:rPr>
        <w:t xml:space="preserve">et </w:t>
      </w:r>
      <w:r w:rsidRPr="00CD37DE">
        <w:rPr>
          <w:rFonts w:ascii="Times New Roman" w:hAnsi="Times New Roman"/>
          <w:sz w:val="24"/>
          <w:szCs w:val="24"/>
        </w:rPr>
        <w:t>les modèles de prestation de services ne favorisent pas l'obtention de meilleurs résultats de développement. La différence entre le succès et l’échec de nombre d’interventions dépend de la manière dont ces politiques publiques ont été conçues, structuré</w:t>
      </w:r>
      <w:r>
        <w:rPr>
          <w:rFonts w:ascii="Times New Roman" w:hAnsi="Times New Roman"/>
          <w:sz w:val="24"/>
          <w:szCs w:val="24"/>
        </w:rPr>
        <w:t>e</w:t>
      </w:r>
      <w:r w:rsidRPr="00CD37DE">
        <w:rPr>
          <w:rFonts w:ascii="Times New Roman" w:hAnsi="Times New Roman"/>
          <w:sz w:val="24"/>
          <w:szCs w:val="24"/>
        </w:rPr>
        <w:t>s et organisé</w:t>
      </w:r>
      <w:r>
        <w:rPr>
          <w:rFonts w:ascii="Times New Roman" w:hAnsi="Times New Roman"/>
          <w:sz w:val="24"/>
          <w:szCs w:val="24"/>
        </w:rPr>
        <w:t>e</w:t>
      </w:r>
      <w:r w:rsidRPr="00CD37DE">
        <w:rPr>
          <w:rFonts w:ascii="Times New Roman" w:hAnsi="Times New Roman"/>
          <w:sz w:val="24"/>
          <w:szCs w:val="24"/>
        </w:rPr>
        <w:t>s. Cependant</w:t>
      </w:r>
      <w:r>
        <w:rPr>
          <w:rFonts w:ascii="Times New Roman" w:hAnsi="Times New Roman"/>
          <w:sz w:val="24"/>
          <w:szCs w:val="24"/>
        </w:rPr>
        <w:t>,</w:t>
      </w:r>
      <w:r w:rsidRPr="00CD37DE">
        <w:rPr>
          <w:rFonts w:ascii="Times New Roman" w:hAnsi="Times New Roman"/>
          <w:sz w:val="24"/>
          <w:szCs w:val="24"/>
        </w:rPr>
        <w:t xml:space="preserve"> les institutions tchadiennes responsables de la planification, de la coordination politique et de la gouvernance restent relativement faibles pour réagir efficacement au défi que représente l’atteinte des objectifs de développement durable et les faire perdurer. </w:t>
      </w:r>
    </w:p>
    <w:p w14:paraId="0774EE8F" w14:textId="77777777" w:rsidR="00F00327" w:rsidRPr="00CD37DE" w:rsidRDefault="00F00327" w:rsidP="00F00327">
      <w:pPr>
        <w:jc w:val="both"/>
        <w:rPr>
          <w:rFonts w:ascii="Times New Roman" w:hAnsi="Times New Roman"/>
          <w:sz w:val="24"/>
          <w:szCs w:val="24"/>
        </w:rPr>
      </w:pPr>
      <w:r w:rsidRPr="00CD37DE">
        <w:rPr>
          <w:rFonts w:ascii="Times New Roman" w:hAnsi="Times New Roman"/>
          <w:sz w:val="24"/>
          <w:szCs w:val="24"/>
        </w:rPr>
        <w:t xml:space="preserve">D'énormes potentialités et de réelles opportunités économiques ont </w:t>
      </w:r>
      <w:r>
        <w:rPr>
          <w:rFonts w:ascii="Times New Roman" w:hAnsi="Times New Roman"/>
          <w:sz w:val="24"/>
          <w:szCs w:val="24"/>
        </w:rPr>
        <w:t xml:space="preserve">toutefois </w:t>
      </w:r>
      <w:r w:rsidRPr="00CD37DE">
        <w:rPr>
          <w:rFonts w:ascii="Times New Roman" w:hAnsi="Times New Roman"/>
          <w:sz w:val="24"/>
          <w:szCs w:val="24"/>
        </w:rPr>
        <w:t xml:space="preserve">été identifiées, à savoir : (i) les possibilités de productions agro-pastorales non encore exploitées ; (ii) celles relatives au développement de l'agro-industrie, des industries de services et du pétrole ; (iii) la jeunesse de la main-d'œuvre ; (iv) la libre circulation des biens et des personnes dans l'espace de la Communauté économique et monétaire d’Afrique centrale et la Communauté des Etats Sahélo-Sahariens. </w:t>
      </w:r>
    </w:p>
    <w:p w14:paraId="2BF0A8BC" w14:textId="30685F17" w:rsidR="00F00327" w:rsidRPr="00CD37DE" w:rsidRDefault="00F00327" w:rsidP="00F00327">
      <w:pPr>
        <w:jc w:val="both"/>
        <w:rPr>
          <w:rFonts w:ascii="Times New Roman" w:hAnsi="Times New Roman"/>
          <w:sz w:val="24"/>
          <w:szCs w:val="24"/>
        </w:rPr>
      </w:pPr>
      <w:r w:rsidRPr="00CD37DE">
        <w:rPr>
          <w:rFonts w:ascii="Times New Roman" w:hAnsi="Times New Roman"/>
          <w:sz w:val="24"/>
          <w:szCs w:val="24"/>
        </w:rPr>
        <w:t>Pour valoriser ces potentialités, le Tchad devra : (a) améliorer l’état de droit, la bonne gouvernance et le fonctionnement de ses institutions ; (b) assurer la disponibilité et l'employabilité de ressources humaines adaptées aux besoins de l'économie nationale ; (c) accentuer le développement des bases productives et de la compétitivité des secteurs de production et de transformation des produits nationaux ; (d) accélérer l’intégration du secteur rural au système de marché ; (e) promouvoir un développement industriel durable, générateur d'emplois décents</w:t>
      </w:r>
      <w:r>
        <w:rPr>
          <w:rFonts w:ascii="Times New Roman" w:hAnsi="Times New Roman"/>
          <w:sz w:val="24"/>
          <w:szCs w:val="24"/>
        </w:rPr>
        <w:t xml:space="preserve"> ; </w:t>
      </w:r>
      <w:r w:rsidR="00F52473">
        <w:rPr>
          <w:rFonts w:ascii="Times New Roman" w:hAnsi="Times New Roman"/>
          <w:sz w:val="24"/>
          <w:szCs w:val="24"/>
        </w:rPr>
        <w:t>(f) a</w:t>
      </w:r>
      <w:r w:rsidR="00F52473" w:rsidRPr="00F52473">
        <w:rPr>
          <w:rFonts w:ascii="Times New Roman" w:hAnsi="Times New Roman"/>
          <w:sz w:val="24"/>
          <w:szCs w:val="24"/>
        </w:rPr>
        <w:t>méliorer la qualité du capital humain à travers l’investissement dans l’Education et la sant</w:t>
      </w:r>
      <w:r w:rsidR="00F52473">
        <w:rPr>
          <w:rFonts w:ascii="Times New Roman" w:hAnsi="Times New Roman"/>
          <w:sz w:val="24"/>
          <w:szCs w:val="24"/>
        </w:rPr>
        <w:t>é</w:t>
      </w:r>
      <w:r w:rsidR="00F52473" w:rsidRPr="00F52473">
        <w:rPr>
          <w:rFonts w:ascii="Times New Roman" w:hAnsi="Times New Roman"/>
          <w:sz w:val="24"/>
          <w:szCs w:val="24"/>
        </w:rPr>
        <w:t xml:space="preserve"> </w:t>
      </w:r>
      <w:r>
        <w:rPr>
          <w:rFonts w:ascii="Times New Roman" w:hAnsi="Times New Roman"/>
          <w:sz w:val="24"/>
          <w:szCs w:val="24"/>
        </w:rPr>
        <w:t>et (</w:t>
      </w:r>
      <w:r w:rsidR="00F52473">
        <w:rPr>
          <w:rFonts w:ascii="Times New Roman" w:hAnsi="Times New Roman"/>
          <w:sz w:val="24"/>
          <w:szCs w:val="24"/>
        </w:rPr>
        <w:t>g</w:t>
      </w:r>
      <w:r>
        <w:rPr>
          <w:rFonts w:ascii="Times New Roman" w:hAnsi="Times New Roman"/>
          <w:sz w:val="24"/>
          <w:szCs w:val="24"/>
        </w:rPr>
        <w:t xml:space="preserve">) </w:t>
      </w:r>
      <w:r w:rsidRPr="00693F6B">
        <w:rPr>
          <w:rFonts w:ascii="Times New Roman" w:hAnsi="Times New Roman"/>
          <w:sz w:val="24"/>
          <w:szCs w:val="24"/>
        </w:rPr>
        <w:t>associer la diaspora dans les initiatives de développement</w:t>
      </w:r>
      <w:r>
        <w:rPr>
          <w:rFonts w:ascii="Times New Roman" w:hAnsi="Times New Roman"/>
          <w:sz w:val="24"/>
          <w:szCs w:val="24"/>
        </w:rPr>
        <w:t>.</w:t>
      </w:r>
    </w:p>
    <w:p w14:paraId="4A860465" w14:textId="77777777" w:rsidR="00F00327" w:rsidRPr="00CD37DE" w:rsidRDefault="00F00327" w:rsidP="00F00327">
      <w:pPr>
        <w:jc w:val="both"/>
        <w:rPr>
          <w:rFonts w:ascii="Times New Roman" w:hAnsi="Times New Roman"/>
          <w:sz w:val="24"/>
          <w:szCs w:val="24"/>
        </w:rPr>
      </w:pPr>
      <w:r w:rsidRPr="00CD37DE">
        <w:rPr>
          <w:rFonts w:ascii="Times New Roman" w:hAnsi="Times New Roman"/>
          <w:sz w:val="24"/>
          <w:szCs w:val="24"/>
        </w:rPr>
        <w:t>La « Vision 2030, le Tchad que nous voulons » cherche à faire du Tchad, une nation apaisée, unifiée dans sa diversité culturelle, résiliente par son économie transformée et offrant un cadre de vie agréable pour le bien-être de tous. Cette Vision sera matérialisée par la consolidation de la paix et de la sécurité, la création massive d’emplois décents, la diversification des sources de croissance économique durable, l’accès équitable des populations aux services sociaux de base. Elle est déclinée en trois plans nationaux de développement, dont le premier, couvrant la période 2017-2021, vise à jeter les fondements structurels et institutionnels vers un Tchad émergent.</w:t>
      </w:r>
    </w:p>
    <w:p w14:paraId="12637734" w14:textId="77777777" w:rsidR="00F00327" w:rsidRPr="00CD37DE" w:rsidRDefault="00F00327" w:rsidP="00F00327">
      <w:pPr>
        <w:jc w:val="both"/>
        <w:rPr>
          <w:rFonts w:ascii="Times New Roman" w:hAnsi="Times New Roman"/>
          <w:sz w:val="24"/>
          <w:szCs w:val="24"/>
        </w:rPr>
      </w:pPr>
      <w:r w:rsidRPr="00CD37DE">
        <w:rPr>
          <w:rFonts w:ascii="Times New Roman" w:hAnsi="Times New Roman"/>
          <w:sz w:val="24"/>
          <w:szCs w:val="24"/>
        </w:rPr>
        <w:lastRenderedPageBreak/>
        <w:t>Le P</w:t>
      </w:r>
      <w:r>
        <w:rPr>
          <w:rFonts w:ascii="Times New Roman" w:hAnsi="Times New Roman"/>
          <w:sz w:val="24"/>
          <w:szCs w:val="24"/>
        </w:rPr>
        <w:t xml:space="preserve">lan </w:t>
      </w:r>
      <w:r w:rsidRPr="00CD37DE">
        <w:rPr>
          <w:rFonts w:ascii="Times New Roman" w:hAnsi="Times New Roman"/>
          <w:sz w:val="24"/>
          <w:szCs w:val="24"/>
        </w:rPr>
        <w:t>N</w:t>
      </w:r>
      <w:r>
        <w:rPr>
          <w:rFonts w:ascii="Times New Roman" w:hAnsi="Times New Roman"/>
          <w:sz w:val="24"/>
          <w:szCs w:val="24"/>
        </w:rPr>
        <w:t xml:space="preserve">ational de </w:t>
      </w:r>
      <w:r w:rsidRPr="00CD37DE">
        <w:rPr>
          <w:rFonts w:ascii="Times New Roman" w:hAnsi="Times New Roman"/>
          <w:sz w:val="24"/>
          <w:szCs w:val="24"/>
        </w:rPr>
        <w:t>D</w:t>
      </w:r>
      <w:r>
        <w:rPr>
          <w:rFonts w:ascii="Times New Roman" w:hAnsi="Times New Roman"/>
          <w:sz w:val="24"/>
          <w:szCs w:val="24"/>
        </w:rPr>
        <w:t xml:space="preserve">éveloppement </w:t>
      </w:r>
      <w:r w:rsidRPr="00CD37DE">
        <w:rPr>
          <w:rFonts w:ascii="Times New Roman" w:hAnsi="Times New Roman"/>
          <w:sz w:val="24"/>
          <w:szCs w:val="24"/>
        </w:rPr>
        <w:t>2017-2021</w:t>
      </w:r>
      <w:r w:rsidRPr="00CD37DE">
        <w:rPr>
          <w:rFonts w:ascii="Times New Roman" w:hAnsi="Times New Roman"/>
          <w:vertAlign w:val="superscript"/>
        </w:rPr>
        <w:footnoteReference w:id="25"/>
      </w:r>
      <w:r w:rsidRPr="00CD37DE">
        <w:rPr>
          <w:rFonts w:ascii="Times New Roman" w:hAnsi="Times New Roman"/>
          <w:sz w:val="24"/>
          <w:szCs w:val="24"/>
        </w:rPr>
        <w:t>, dont l’énoncé est : « Ensemble, œuvrons pour un Tchad toujours fort, solidaire et prospère », voudrait : (i) œuvrer pour un Tchad en paix, respecté et impliqué dans son environnement régional et international ; (ii) donner la possibilité à chaque citoyen d’accéder à l’eau et à la santé, au logement, à l’énergie et à la mobilité ; et (iii) bâtir un Tchad dynamique, fort économiquement et respectueux de l’environnement. Il souligne l'engagement du Gouvernement à : renforcer la cohésion sociale et l'unité nationale (axe 1) ; renforcer la Bonne Gouvernance et l’Etat de droit (axe 2) ; développer une économie diversifiée et compétitive (axe 3) ; améliorer la qualité de vie de la population tchadienne (axe 4). Le Plan National de Développement 2017-2021 présente une opportunité critique de souligner le lien avec l'Agenda 2030 et l'Agenda 2063 et de renforcer les liens entre une gouvernance et un développement équitable entre les dimensions (économique, sociale et environnementale), de soutenir la paix et de pérenniser les objectifs de développement.</w:t>
      </w:r>
    </w:p>
    <w:p w14:paraId="0CE0B792" w14:textId="77777777" w:rsidR="00F00327" w:rsidRPr="00CD37DE" w:rsidRDefault="00F00327" w:rsidP="00F00327">
      <w:pPr>
        <w:jc w:val="both"/>
        <w:rPr>
          <w:rFonts w:ascii="Times New Roman" w:hAnsi="Times New Roman"/>
          <w:sz w:val="24"/>
          <w:szCs w:val="24"/>
        </w:rPr>
      </w:pPr>
      <w:r w:rsidRPr="00CD37DE">
        <w:rPr>
          <w:rFonts w:ascii="Times New Roman" w:hAnsi="Times New Roman"/>
          <w:sz w:val="24"/>
          <w:szCs w:val="24"/>
        </w:rPr>
        <w:t>En 2018, le Tchad a identifié pour le quinquennat 2017-2021 en cours 34 cibles objectifs de développement durable sur les 100 cibles possibles, ceci n’inclut pas les 43 cibles relatives à la mise en œuvre des objectifs de développement durable, les 7 cibles de l’ODD 14 qui ne concernent pas les pays enclavés et les 17 cibles de l’ODD 17 sur le partenariat pour la réalisation de l’Agenda 2030.</w:t>
      </w:r>
    </w:p>
    <w:p w14:paraId="2555657E" w14:textId="77777777" w:rsidR="00F00327" w:rsidRPr="00CD37DE" w:rsidRDefault="00F00327" w:rsidP="00F00327">
      <w:pPr>
        <w:jc w:val="both"/>
        <w:rPr>
          <w:rFonts w:ascii="Times New Roman" w:hAnsi="Times New Roman"/>
          <w:sz w:val="24"/>
          <w:szCs w:val="24"/>
        </w:rPr>
      </w:pPr>
      <w:r w:rsidRPr="00CD37DE">
        <w:rPr>
          <w:rFonts w:ascii="Times New Roman" w:hAnsi="Times New Roman"/>
          <w:sz w:val="24"/>
          <w:szCs w:val="24"/>
        </w:rPr>
        <w:t>La répartition de ces 34 cibles priorisées par piliers de développement est la suivante :</w:t>
      </w:r>
    </w:p>
    <w:p w14:paraId="58234653" w14:textId="77777777" w:rsidR="00F00327" w:rsidRPr="00CD37DE" w:rsidRDefault="00F00327" w:rsidP="00BC1AE3">
      <w:pPr>
        <w:numPr>
          <w:ilvl w:val="0"/>
          <w:numId w:val="18"/>
        </w:numPr>
        <w:spacing w:line="256" w:lineRule="auto"/>
        <w:contextualSpacing/>
        <w:jc w:val="both"/>
        <w:rPr>
          <w:rFonts w:ascii="Times New Roman" w:hAnsi="Times New Roman"/>
          <w:sz w:val="24"/>
          <w:szCs w:val="24"/>
        </w:rPr>
      </w:pPr>
      <w:r w:rsidRPr="006117D9">
        <w:rPr>
          <w:rFonts w:ascii="Times New Roman" w:hAnsi="Times New Roman"/>
          <w:b/>
          <w:bCs/>
          <w:sz w:val="24"/>
          <w:szCs w:val="24"/>
        </w:rPr>
        <w:t xml:space="preserve">12 cibles visent à </w:t>
      </w:r>
      <w:r w:rsidRPr="006117D9">
        <w:rPr>
          <w:rFonts w:ascii="Times New Roman" w:hAnsi="Times New Roman"/>
          <w:b/>
          <w:bCs/>
          <w:sz w:val="24"/>
        </w:rPr>
        <w:t>assurer</w:t>
      </w:r>
      <w:r w:rsidRPr="00CD37DE">
        <w:rPr>
          <w:rFonts w:ascii="Times New Roman" w:hAnsi="Times New Roman"/>
          <w:b/>
          <w:sz w:val="24"/>
        </w:rPr>
        <w:t xml:space="preserve"> le</w:t>
      </w:r>
      <w:r w:rsidRPr="00CD37DE">
        <w:rPr>
          <w:rFonts w:ascii="Times New Roman" w:hAnsi="Times New Roman"/>
          <w:sz w:val="24"/>
          <w:szCs w:val="24"/>
        </w:rPr>
        <w:t xml:space="preserve"> </w:t>
      </w:r>
      <w:r w:rsidRPr="00CD37DE">
        <w:rPr>
          <w:rFonts w:ascii="Times New Roman" w:hAnsi="Times New Roman"/>
          <w:b/>
          <w:sz w:val="24"/>
        </w:rPr>
        <w:t>développement du capital humain</w:t>
      </w:r>
      <w:r w:rsidRPr="00CD37DE">
        <w:rPr>
          <w:rFonts w:ascii="Times New Roman" w:hAnsi="Times New Roman"/>
          <w:sz w:val="24"/>
          <w:szCs w:val="24"/>
        </w:rPr>
        <w:t xml:space="preserve"> (pilier sur les personnes), notamment 2 cibles d’élimination de la pauvreté sous toutes ses formes (ODD 1), 2 pour l’élimination de la faim et de la malnutrition (ODD 2), 3 sur la santé et le bien-être (ODD 3), 3 sur l’éducation (ODD 4) et 2 sur l’égalité des sexes (ODD 5) ;</w:t>
      </w:r>
    </w:p>
    <w:p w14:paraId="5C4DB6CB" w14:textId="77777777" w:rsidR="00F00327" w:rsidRPr="00CD37DE" w:rsidRDefault="00F00327" w:rsidP="00BC1AE3">
      <w:pPr>
        <w:numPr>
          <w:ilvl w:val="0"/>
          <w:numId w:val="18"/>
        </w:numPr>
        <w:spacing w:line="256" w:lineRule="auto"/>
        <w:contextualSpacing/>
        <w:jc w:val="both"/>
        <w:rPr>
          <w:rFonts w:ascii="Times New Roman" w:hAnsi="Times New Roman"/>
          <w:sz w:val="24"/>
          <w:szCs w:val="24"/>
        </w:rPr>
      </w:pPr>
      <w:r w:rsidRPr="006117D9">
        <w:rPr>
          <w:rFonts w:ascii="Times New Roman" w:hAnsi="Times New Roman"/>
          <w:b/>
          <w:bCs/>
          <w:sz w:val="24"/>
          <w:szCs w:val="24"/>
        </w:rPr>
        <w:t>11 cibles visent à</w:t>
      </w:r>
      <w:r w:rsidRPr="00CD37DE">
        <w:rPr>
          <w:rFonts w:ascii="Times New Roman" w:hAnsi="Times New Roman"/>
          <w:sz w:val="24"/>
          <w:szCs w:val="24"/>
        </w:rPr>
        <w:t xml:space="preserve"> </w:t>
      </w:r>
      <w:r w:rsidRPr="00CD37DE">
        <w:rPr>
          <w:rFonts w:ascii="Times New Roman" w:hAnsi="Times New Roman"/>
          <w:b/>
          <w:sz w:val="24"/>
        </w:rPr>
        <w:t>promouvoir la croissance forte, inclusive et durable</w:t>
      </w:r>
      <w:r w:rsidRPr="00CD37DE">
        <w:rPr>
          <w:rFonts w:ascii="Times New Roman" w:hAnsi="Times New Roman"/>
          <w:sz w:val="24"/>
          <w:szCs w:val="24"/>
        </w:rPr>
        <w:t xml:space="preserve"> (pilier sur la prospérité), notamment 1 cible pour l’accès à l’énergie (ODD 7), 3 pour une croissance économique soutenue et le plein emploi (ODD 8), 2 sur les infrastructures et l’industrialisation (ODD 9), 3 pour la réduction des inégalités (ODD 10) et 2 pour promouvoir les villes et communautés durables (ODD 11) ;</w:t>
      </w:r>
    </w:p>
    <w:p w14:paraId="2C6A5F04" w14:textId="77777777" w:rsidR="00F00327" w:rsidRPr="00CD37DE" w:rsidRDefault="00F00327" w:rsidP="00BC1AE3">
      <w:pPr>
        <w:numPr>
          <w:ilvl w:val="0"/>
          <w:numId w:val="18"/>
        </w:numPr>
        <w:spacing w:line="256" w:lineRule="auto"/>
        <w:contextualSpacing/>
        <w:jc w:val="both"/>
        <w:rPr>
          <w:rFonts w:ascii="Times New Roman" w:hAnsi="Times New Roman"/>
          <w:sz w:val="24"/>
          <w:szCs w:val="24"/>
        </w:rPr>
      </w:pPr>
      <w:r w:rsidRPr="006117D9">
        <w:rPr>
          <w:rFonts w:ascii="Times New Roman" w:hAnsi="Times New Roman"/>
          <w:b/>
          <w:bCs/>
          <w:sz w:val="24"/>
          <w:szCs w:val="24"/>
        </w:rPr>
        <w:t>7 cibles visent</w:t>
      </w:r>
      <w:r w:rsidRPr="00CD37DE">
        <w:rPr>
          <w:rFonts w:ascii="Times New Roman" w:hAnsi="Times New Roman"/>
          <w:sz w:val="24"/>
          <w:szCs w:val="24"/>
        </w:rPr>
        <w:t xml:space="preserve"> </w:t>
      </w:r>
      <w:r w:rsidRPr="00CD37DE">
        <w:rPr>
          <w:rFonts w:ascii="Times New Roman" w:hAnsi="Times New Roman"/>
          <w:b/>
          <w:sz w:val="24"/>
        </w:rPr>
        <w:t>la protection de l’environnement et le développement durable</w:t>
      </w:r>
      <w:r w:rsidRPr="00CD37DE">
        <w:rPr>
          <w:rFonts w:ascii="Times New Roman" w:hAnsi="Times New Roman"/>
          <w:sz w:val="24"/>
          <w:szCs w:val="24"/>
        </w:rPr>
        <w:t xml:space="preserve"> (pilier sur la planète), notamment 2 pour l’accès à des services durables d’alimentation en eau potable et d’assainissement (ODD 6), une pour la promotion de la consommation et production responsables (ODD 12), une pour lutter contre les changements climatiques et leurs répercussions (ODD 13) et 3 pour préserver les écosystèmes terrestres (ODD 15) ; et</w:t>
      </w:r>
    </w:p>
    <w:p w14:paraId="07CBEB0F" w14:textId="77777777" w:rsidR="00F00327" w:rsidRPr="00CD37DE" w:rsidRDefault="00F00327" w:rsidP="00BC1AE3">
      <w:pPr>
        <w:numPr>
          <w:ilvl w:val="0"/>
          <w:numId w:val="18"/>
        </w:numPr>
        <w:spacing w:line="256" w:lineRule="auto"/>
        <w:contextualSpacing/>
        <w:jc w:val="both"/>
        <w:rPr>
          <w:rFonts w:ascii="Times New Roman" w:hAnsi="Times New Roman"/>
          <w:sz w:val="24"/>
          <w:szCs w:val="24"/>
        </w:rPr>
      </w:pPr>
      <w:r w:rsidRPr="006117D9">
        <w:rPr>
          <w:rFonts w:ascii="Times New Roman" w:hAnsi="Times New Roman"/>
          <w:b/>
          <w:bCs/>
          <w:sz w:val="24"/>
          <w:szCs w:val="24"/>
        </w:rPr>
        <w:t>4 cibles visent à</w:t>
      </w:r>
      <w:r w:rsidRPr="00CD37DE">
        <w:rPr>
          <w:rFonts w:ascii="Times New Roman" w:hAnsi="Times New Roman"/>
          <w:sz w:val="24"/>
          <w:szCs w:val="24"/>
        </w:rPr>
        <w:t xml:space="preserve"> </w:t>
      </w:r>
      <w:r w:rsidRPr="00CD37DE">
        <w:rPr>
          <w:rFonts w:ascii="Times New Roman" w:hAnsi="Times New Roman"/>
          <w:b/>
          <w:sz w:val="24"/>
        </w:rPr>
        <w:t>promouvoir et renforcer la bonne gouvernance sous toutes ses formes</w:t>
      </w:r>
      <w:r w:rsidRPr="00CD37DE">
        <w:rPr>
          <w:rFonts w:ascii="Times New Roman" w:hAnsi="Times New Roman"/>
          <w:sz w:val="24"/>
          <w:szCs w:val="24"/>
        </w:rPr>
        <w:t xml:space="preserve"> (pilier de la paix- ODD 16).</w:t>
      </w:r>
    </w:p>
    <w:p w14:paraId="35054051" w14:textId="77777777" w:rsidR="00F00327" w:rsidRDefault="00F00327" w:rsidP="00F00327">
      <w:pPr>
        <w:spacing w:after="0"/>
        <w:jc w:val="both"/>
        <w:rPr>
          <w:rFonts w:ascii="Times New Roman" w:hAnsi="Times New Roman"/>
          <w:sz w:val="24"/>
          <w:szCs w:val="24"/>
        </w:rPr>
      </w:pPr>
    </w:p>
    <w:p w14:paraId="2581412A" w14:textId="77777777" w:rsidR="00F00327" w:rsidRPr="00CD37DE" w:rsidRDefault="00F00327" w:rsidP="00F00327">
      <w:pPr>
        <w:jc w:val="both"/>
        <w:rPr>
          <w:rFonts w:ascii="Times New Roman" w:hAnsi="Times New Roman"/>
          <w:sz w:val="24"/>
          <w:szCs w:val="24"/>
        </w:rPr>
      </w:pPr>
      <w:r w:rsidRPr="00CD37DE">
        <w:rPr>
          <w:rFonts w:ascii="Times New Roman" w:hAnsi="Times New Roman"/>
          <w:sz w:val="24"/>
          <w:szCs w:val="24"/>
        </w:rPr>
        <w:t xml:space="preserve">En outre, des accélérateurs potentiels ont été identifiés, qui pourraient permettre d’avoir un effet multiplicateur sur les cibles </w:t>
      </w:r>
      <w:r>
        <w:rPr>
          <w:rFonts w:ascii="Times New Roman" w:hAnsi="Times New Roman"/>
          <w:sz w:val="24"/>
          <w:szCs w:val="24"/>
        </w:rPr>
        <w:t>des objectifs de développement durable</w:t>
      </w:r>
      <w:r w:rsidRPr="00CD37DE">
        <w:rPr>
          <w:rFonts w:ascii="Times New Roman" w:hAnsi="Times New Roman"/>
          <w:sz w:val="24"/>
          <w:szCs w:val="24"/>
        </w:rPr>
        <w:t xml:space="preserve"> et les différentes dimensions du développement durable, de faire avancer les progrès sur les priorités nationales du développement et de répondre aux fragilités, risques et goulots d’étranglement du développement dans le contexte national. </w:t>
      </w:r>
      <w:r w:rsidRPr="00CD37DE">
        <w:rPr>
          <w:rFonts w:ascii="Times New Roman" w:hAnsi="Times New Roman"/>
          <w:sz w:val="24"/>
          <w:szCs w:val="24"/>
        </w:rPr>
        <w:lastRenderedPageBreak/>
        <w:t>Les principaux défis et risques pour le développement du pays identifiés sont : (1) la sécurité alimentaire qui peut être renforcée en favorisant la résilience du secteur agricole et en améliorant sa productivité ; (2) le changement climatique qui peut être pris en compte en s'attaquant à la vulnérabilité climatique du Tchad, à la dégradation des écosystèmes et en luttant contre la déforestation</w:t>
      </w:r>
      <w:r>
        <w:rPr>
          <w:rFonts w:ascii="Times New Roman" w:hAnsi="Times New Roman"/>
          <w:sz w:val="24"/>
          <w:szCs w:val="24"/>
        </w:rPr>
        <w:t>,</w:t>
      </w:r>
      <w:r w:rsidRPr="000824A6">
        <w:t xml:space="preserve"> </w:t>
      </w:r>
      <w:r w:rsidRPr="00D34659">
        <w:rPr>
          <w:rFonts w:ascii="Times New Roman" w:hAnsi="Times New Roman"/>
          <w:sz w:val="24"/>
          <w:szCs w:val="24"/>
        </w:rPr>
        <w:t>aux risques de catastrophes (les sécheresses, les inondations, les ennemies de culture, la menace acridienne ou encore aux incendies) ; la dégradation des sols et des terres ; les risques causés par les  polluants organiques et les déchets industriels et ménagers</w:t>
      </w:r>
      <w:r>
        <w:rPr>
          <w:rFonts w:ascii="Times New Roman" w:hAnsi="Times New Roman"/>
          <w:sz w:val="24"/>
          <w:szCs w:val="24"/>
        </w:rPr>
        <w:t>,</w:t>
      </w:r>
      <w:r w:rsidRPr="00D34659">
        <w:t xml:space="preserve"> </w:t>
      </w:r>
      <w:r w:rsidRPr="00D34659">
        <w:rPr>
          <w:rFonts w:ascii="Times New Roman" w:hAnsi="Times New Roman"/>
          <w:sz w:val="24"/>
          <w:szCs w:val="24"/>
        </w:rPr>
        <w:t>la dégradation des sols et des terres</w:t>
      </w:r>
      <w:r>
        <w:rPr>
          <w:rFonts w:ascii="Times New Roman" w:hAnsi="Times New Roman"/>
          <w:sz w:val="24"/>
          <w:szCs w:val="24"/>
        </w:rPr>
        <w:t> ;</w:t>
      </w:r>
      <w:r w:rsidRPr="00CD37DE">
        <w:rPr>
          <w:rFonts w:ascii="Times New Roman" w:hAnsi="Times New Roman"/>
          <w:sz w:val="24"/>
          <w:szCs w:val="24"/>
        </w:rPr>
        <w:t xml:space="preserve"> (3) l'égalité des genres qui peut être promue en luttant notamment contre le mariage des enfants, en promouvant l'éducation et en favorisant les dividendes démographiques ; (4) le développement des énergies renouvelables qui pourrait favoriser, entre autres, la diversification économique ; </w:t>
      </w:r>
      <w:r>
        <w:rPr>
          <w:rFonts w:ascii="Times New Roman" w:hAnsi="Times New Roman"/>
          <w:sz w:val="24"/>
          <w:szCs w:val="24"/>
        </w:rPr>
        <w:t xml:space="preserve">(5) le </w:t>
      </w:r>
      <w:r w:rsidRPr="0027155D">
        <w:rPr>
          <w:rFonts w:ascii="Times New Roman" w:hAnsi="Times New Roman"/>
          <w:sz w:val="24"/>
          <w:szCs w:val="24"/>
        </w:rPr>
        <w:t>renforcement de l’intégration de la contribution de la diaspora dont le potentiel de développement reste largement inexploré</w:t>
      </w:r>
      <w:r>
        <w:rPr>
          <w:rFonts w:ascii="Times New Roman" w:hAnsi="Times New Roman"/>
          <w:sz w:val="24"/>
          <w:szCs w:val="24"/>
        </w:rPr>
        <w:t xml:space="preserve"> ; </w:t>
      </w:r>
      <w:r w:rsidRPr="00CD37DE">
        <w:rPr>
          <w:rFonts w:ascii="Times New Roman" w:hAnsi="Times New Roman"/>
          <w:sz w:val="24"/>
          <w:szCs w:val="24"/>
        </w:rPr>
        <w:t>et enfin (</w:t>
      </w:r>
      <w:r>
        <w:rPr>
          <w:rFonts w:ascii="Times New Roman" w:hAnsi="Times New Roman"/>
          <w:sz w:val="24"/>
          <w:szCs w:val="24"/>
        </w:rPr>
        <w:t>6</w:t>
      </w:r>
      <w:r w:rsidRPr="00CD37DE">
        <w:rPr>
          <w:rFonts w:ascii="Times New Roman" w:hAnsi="Times New Roman"/>
          <w:sz w:val="24"/>
          <w:szCs w:val="24"/>
        </w:rPr>
        <w:t>) la sécurité et la cohésion sociale qui peuvent être renforcée</w:t>
      </w:r>
      <w:r>
        <w:rPr>
          <w:rFonts w:ascii="Times New Roman" w:hAnsi="Times New Roman"/>
          <w:sz w:val="24"/>
          <w:szCs w:val="24"/>
        </w:rPr>
        <w:t>s</w:t>
      </w:r>
      <w:r w:rsidRPr="00CD37DE">
        <w:rPr>
          <w:rFonts w:ascii="Times New Roman" w:hAnsi="Times New Roman"/>
          <w:sz w:val="24"/>
          <w:szCs w:val="24"/>
        </w:rPr>
        <w:t xml:space="preserve"> en mettant l'accent sur l'autonomisation des femmes et des jeunes, ainsi que  sur leur accès à l'emploi décent, la cohésion sociale et à la gouvernance démocratique.</w:t>
      </w:r>
    </w:p>
    <w:p w14:paraId="6AADA4A6" w14:textId="3D34925B" w:rsidR="00F00327" w:rsidRDefault="00F00327" w:rsidP="00F00327">
      <w:pPr>
        <w:jc w:val="both"/>
        <w:rPr>
          <w:rFonts w:ascii="Times New Roman" w:hAnsi="Times New Roman"/>
          <w:sz w:val="24"/>
          <w:szCs w:val="24"/>
        </w:rPr>
      </w:pPr>
      <w:r w:rsidRPr="00CD37DE">
        <w:rPr>
          <w:rFonts w:ascii="Times New Roman" w:hAnsi="Times New Roman"/>
          <w:sz w:val="24"/>
          <w:szCs w:val="24"/>
        </w:rPr>
        <w:t xml:space="preserve">De plus, étant donné les synergies entre les différentes cibles des objectifs de développement durable, davantage de liens intersectoriels devraient être développés afin de favoriser des stratégies multisectorielles pouvant avoir un impact mieux ciblé sur des cibles </w:t>
      </w:r>
      <w:r>
        <w:rPr>
          <w:rFonts w:ascii="Times New Roman" w:hAnsi="Times New Roman"/>
          <w:sz w:val="24"/>
          <w:szCs w:val="24"/>
        </w:rPr>
        <w:t>des objectifs de développement durable</w:t>
      </w:r>
      <w:r w:rsidRPr="00CD37DE">
        <w:rPr>
          <w:rFonts w:ascii="Times New Roman" w:hAnsi="Times New Roman"/>
          <w:sz w:val="24"/>
          <w:szCs w:val="24"/>
        </w:rPr>
        <w:t xml:space="preserve"> multidimensionnelles. </w:t>
      </w:r>
    </w:p>
    <w:p w14:paraId="24DF8C85" w14:textId="77777777" w:rsidR="00D77EA5" w:rsidRPr="00CD37DE" w:rsidRDefault="00D77EA5" w:rsidP="00F00327">
      <w:pPr>
        <w:jc w:val="both"/>
        <w:rPr>
          <w:rFonts w:ascii="Times New Roman" w:hAnsi="Times New Roman"/>
          <w:sz w:val="24"/>
          <w:szCs w:val="24"/>
        </w:rPr>
      </w:pPr>
    </w:p>
    <w:p w14:paraId="1DED8DF7" w14:textId="2F14B1E6" w:rsidR="00F83666" w:rsidRPr="00CD37DE" w:rsidRDefault="00F83666" w:rsidP="00F00327">
      <w:pPr>
        <w:jc w:val="both"/>
        <w:rPr>
          <w:rFonts w:ascii="Times New Roman" w:hAnsi="Times New Roman"/>
          <w:sz w:val="24"/>
          <w:szCs w:val="24"/>
        </w:rPr>
      </w:pPr>
      <w:r w:rsidRPr="00A8375B">
        <w:rPr>
          <w:rFonts w:ascii="Times New Roman" w:hAnsi="Times New Roman"/>
          <w:noProof/>
          <w:sz w:val="24"/>
        </w:rPr>
        <w:drawing>
          <wp:anchor distT="0" distB="0" distL="114300" distR="114300" simplePos="0" relativeHeight="251658241" behindDoc="1" locked="0" layoutInCell="1" allowOverlap="1" wp14:anchorId="7354F71E" wp14:editId="1D9935FB">
            <wp:simplePos x="0" y="0"/>
            <wp:positionH relativeFrom="column">
              <wp:posOffset>308610</wp:posOffset>
            </wp:positionH>
            <wp:positionV relativeFrom="paragraph">
              <wp:posOffset>-80010</wp:posOffset>
            </wp:positionV>
            <wp:extent cx="5149215" cy="2651760"/>
            <wp:effectExtent l="0" t="0" r="0" b="0"/>
            <wp:wrapTight wrapText="bothSides">
              <wp:wrapPolygon edited="0">
                <wp:start x="0" y="0"/>
                <wp:lineTo x="0" y="21414"/>
                <wp:lineTo x="21496" y="21414"/>
                <wp:lineTo x="21496" y="0"/>
                <wp:lineTo x="0" y="0"/>
              </wp:wrapPolygon>
            </wp:wrapTight>
            <wp:docPr id="22" name="Image 2">
              <a:extLst xmlns:a="http://schemas.openxmlformats.org/drawingml/2006/main">
                <a:ext uri="{FF2B5EF4-FFF2-40B4-BE49-F238E27FC236}">
                  <a16:creationId xmlns:a16="http://schemas.microsoft.com/office/drawing/2014/main" id="{ABE8C53A-3BF8-4CF4-BD53-93EDDBDF41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ABE8C53A-3BF8-4CF4-BD53-93EDDBDF41BC}"/>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149215" cy="2651760"/>
                    </a:xfrm>
                    <a:prstGeom prst="rect">
                      <a:avLst/>
                    </a:prstGeom>
                  </pic:spPr>
                </pic:pic>
              </a:graphicData>
            </a:graphic>
            <wp14:sizeRelH relativeFrom="margin">
              <wp14:pctWidth>0</wp14:pctWidth>
            </wp14:sizeRelH>
            <wp14:sizeRelV relativeFrom="margin">
              <wp14:pctHeight>0</wp14:pctHeight>
            </wp14:sizeRelV>
          </wp:anchor>
        </w:drawing>
      </w:r>
      <w:r w:rsidRPr="00CD37DE">
        <w:rPr>
          <w:rFonts w:ascii="Times New Roman" w:hAnsi="Times New Roman"/>
          <w:sz w:val="24"/>
          <w:szCs w:val="24"/>
        </w:rPr>
        <w:br w:type="page"/>
      </w:r>
    </w:p>
    <w:p w14:paraId="73EECBA2" w14:textId="7C46B0E6" w:rsidR="00CD37DE" w:rsidRPr="00CD37DE" w:rsidRDefault="00CD37DE" w:rsidP="00F83666">
      <w:pPr>
        <w:spacing w:after="0" w:line="240" w:lineRule="auto"/>
        <w:rPr>
          <w:rFonts w:ascii="Times New Roman" w:hAnsi="Times New Roman"/>
          <w:sz w:val="24"/>
          <w:szCs w:val="24"/>
        </w:rPr>
      </w:pPr>
    </w:p>
    <w:p w14:paraId="2B070681" w14:textId="77777777" w:rsidR="00CD37DE" w:rsidRPr="0095279A" w:rsidRDefault="00CD37DE" w:rsidP="00BC1AE3">
      <w:pPr>
        <w:pStyle w:val="Titre1"/>
        <w:numPr>
          <w:ilvl w:val="0"/>
          <w:numId w:val="23"/>
        </w:numPr>
        <w:rPr>
          <w:rFonts w:ascii="Times New Roman" w:hAnsi="Times New Roman"/>
          <w:b/>
          <w:bCs/>
        </w:rPr>
      </w:pPr>
      <w:bookmarkStart w:id="55" w:name="_Toc55372901"/>
      <w:bookmarkStart w:id="56" w:name="_Toc55539105"/>
      <w:bookmarkStart w:id="57" w:name="_Toc61523574"/>
      <w:bookmarkStart w:id="58" w:name="_Toc90910790"/>
      <w:r w:rsidRPr="0095279A">
        <w:rPr>
          <w:rFonts w:ascii="Times New Roman" w:hAnsi="Times New Roman"/>
          <w:b/>
          <w:bCs/>
        </w:rPr>
        <w:t>PROGRES ACCOMPLIS DANS LA MISE EN ŒUVRE DE L’AGENDA 2030</w:t>
      </w:r>
      <w:bookmarkEnd w:id="54"/>
      <w:bookmarkEnd w:id="55"/>
      <w:bookmarkEnd w:id="56"/>
      <w:bookmarkEnd w:id="57"/>
      <w:bookmarkEnd w:id="58"/>
    </w:p>
    <w:p w14:paraId="4791580E" w14:textId="77777777" w:rsidR="00CD37DE" w:rsidRPr="00CD37DE" w:rsidRDefault="00CD37DE" w:rsidP="000824A6">
      <w:pPr>
        <w:autoSpaceDE w:val="0"/>
        <w:autoSpaceDN w:val="0"/>
        <w:adjustRightInd w:val="0"/>
        <w:spacing w:after="0" w:line="240" w:lineRule="auto"/>
        <w:ind w:left="720" w:right="288"/>
        <w:contextualSpacing/>
        <w:jc w:val="both"/>
        <w:rPr>
          <w:rFonts w:ascii="Calibri-Light" w:hAnsi="Calibri-Light"/>
          <w:color w:val="000000"/>
        </w:rPr>
      </w:pPr>
    </w:p>
    <w:p w14:paraId="772E9B53" w14:textId="77777777" w:rsidR="001126F7" w:rsidRPr="001126F7" w:rsidRDefault="001126F7" w:rsidP="00BC1AE3">
      <w:pPr>
        <w:pStyle w:val="Paragraphedeliste"/>
        <w:keepNext/>
        <w:keepLines/>
        <w:numPr>
          <w:ilvl w:val="0"/>
          <w:numId w:val="25"/>
        </w:numPr>
        <w:spacing w:before="40" w:after="120" w:line="240" w:lineRule="auto"/>
        <w:contextualSpacing w:val="0"/>
        <w:outlineLvl w:val="1"/>
        <w:rPr>
          <w:rFonts w:ascii="Calibri Light" w:eastAsia="Times New Roman" w:hAnsi="Calibri Light"/>
          <w:b/>
          <w:vanish/>
          <w:color w:val="2F5496"/>
          <w:sz w:val="28"/>
          <w:szCs w:val="28"/>
          <w:lang w:val="fr"/>
        </w:rPr>
      </w:pPr>
      <w:bookmarkStart w:id="59" w:name="_Toc55922205"/>
      <w:bookmarkStart w:id="60" w:name="_Toc56001502"/>
      <w:bookmarkStart w:id="61" w:name="_Toc56003337"/>
      <w:bookmarkStart w:id="62" w:name="_Toc56003538"/>
      <w:bookmarkStart w:id="63" w:name="_Toc56004281"/>
      <w:bookmarkStart w:id="64" w:name="_Toc61523575"/>
      <w:bookmarkStart w:id="65" w:name="_Toc89948873"/>
      <w:bookmarkStart w:id="66" w:name="_Toc89949064"/>
      <w:bookmarkStart w:id="67" w:name="_Toc89949218"/>
      <w:bookmarkStart w:id="68" w:name="_Toc90910791"/>
      <w:bookmarkStart w:id="69" w:name="_Toc55372902"/>
      <w:bookmarkStart w:id="70" w:name="_Toc55539106"/>
      <w:bookmarkEnd w:id="59"/>
      <w:bookmarkEnd w:id="60"/>
      <w:bookmarkEnd w:id="61"/>
      <w:bookmarkEnd w:id="62"/>
      <w:bookmarkEnd w:id="63"/>
      <w:bookmarkEnd w:id="64"/>
      <w:bookmarkEnd w:id="65"/>
      <w:bookmarkEnd w:id="66"/>
      <w:bookmarkEnd w:id="67"/>
      <w:bookmarkEnd w:id="68"/>
    </w:p>
    <w:p w14:paraId="58BA31EE" w14:textId="77777777" w:rsidR="001126F7" w:rsidRPr="001126F7" w:rsidRDefault="001126F7" w:rsidP="00BC1AE3">
      <w:pPr>
        <w:pStyle w:val="Paragraphedeliste"/>
        <w:keepNext/>
        <w:keepLines/>
        <w:numPr>
          <w:ilvl w:val="0"/>
          <w:numId w:val="25"/>
        </w:numPr>
        <w:spacing w:before="40" w:after="120" w:line="240" w:lineRule="auto"/>
        <w:contextualSpacing w:val="0"/>
        <w:outlineLvl w:val="1"/>
        <w:rPr>
          <w:rFonts w:ascii="Calibri Light" w:eastAsia="Times New Roman" w:hAnsi="Calibri Light"/>
          <w:b/>
          <w:vanish/>
          <w:color w:val="2F5496"/>
          <w:sz w:val="28"/>
          <w:szCs w:val="28"/>
          <w:lang w:val="fr"/>
        </w:rPr>
      </w:pPr>
      <w:bookmarkStart w:id="71" w:name="_Toc55922206"/>
      <w:bookmarkStart w:id="72" w:name="_Toc56001503"/>
      <w:bookmarkStart w:id="73" w:name="_Toc56003338"/>
      <w:bookmarkStart w:id="74" w:name="_Toc56003539"/>
      <w:bookmarkStart w:id="75" w:name="_Toc56004282"/>
      <w:bookmarkStart w:id="76" w:name="_Toc61523576"/>
      <w:bookmarkStart w:id="77" w:name="_Toc89948874"/>
      <w:bookmarkStart w:id="78" w:name="_Toc89949065"/>
      <w:bookmarkStart w:id="79" w:name="_Toc89949219"/>
      <w:bookmarkStart w:id="80" w:name="_Toc90910792"/>
      <w:bookmarkEnd w:id="71"/>
      <w:bookmarkEnd w:id="72"/>
      <w:bookmarkEnd w:id="73"/>
      <w:bookmarkEnd w:id="74"/>
      <w:bookmarkEnd w:id="75"/>
      <w:bookmarkEnd w:id="76"/>
      <w:bookmarkEnd w:id="77"/>
      <w:bookmarkEnd w:id="78"/>
      <w:bookmarkEnd w:id="79"/>
      <w:bookmarkEnd w:id="80"/>
    </w:p>
    <w:p w14:paraId="5DED314F" w14:textId="77777777" w:rsidR="001126F7" w:rsidRPr="001126F7" w:rsidRDefault="001126F7" w:rsidP="00BC1AE3">
      <w:pPr>
        <w:pStyle w:val="Paragraphedeliste"/>
        <w:keepNext/>
        <w:keepLines/>
        <w:numPr>
          <w:ilvl w:val="0"/>
          <w:numId w:val="25"/>
        </w:numPr>
        <w:spacing w:before="40" w:after="120" w:line="240" w:lineRule="auto"/>
        <w:contextualSpacing w:val="0"/>
        <w:outlineLvl w:val="1"/>
        <w:rPr>
          <w:rFonts w:ascii="Calibri Light" w:eastAsia="Times New Roman" w:hAnsi="Calibri Light"/>
          <w:b/>
          <w:vanish/>
          <w:color w:val="2F5496"/>
          <w:sz w:val="28"/>
          <w:szCs w:val="28"/>
          <w:lang w:val="fr"/>
        </w:rPr>
      </w:pPr>
      <w:bookmarkStart w:id="81" w:name="_Toc55922207"/>
      <w:bookmarkStart w:id="82" w:name="_Toc56001504"/>
      <w:bookmarkStart w:id="83" w:name="_Toc56003339"/>
      <w:bookmarkStart w:id="84" w:name="_Toc56003540"/>
      <w:bookmarkStart w:id="85" w:name="_Toc56004283"/>
      <w:bookmarkStart w:id="86" w:name="_Toc61523577"/>
      <w:bookmarkStart w:id="87" w:name="_Toc89948875"/>
      <w:bookmarkStart w:id="88" w:name="_Toc89949066"/>
      <w:bookmarkStart w:id="89" w:name="_Toc89949220"/>
      <w:bookmarkStart w:id="90" w:name="_Toc90910793"/>
      <w:bookmarkEnd w:id="81"/>
      <w:bookmarkEnd w:id="82"/>
      <w:bookmarkEnd w:id="83"/>
      <w:bookmarkEnd w:id="84"/>
      <w:bookmarkEnd w:id="85"/>
      <w:bookmarkEnd w:id="86"/>
      <w:bookmarkEnd w:id="87"/>
      <w:bookmarkEnd w:id="88"/>
      <w:bookmarkEnd w:id="89"/>
      <w:bookmarkEnd w:id="90"/>
    </w:p>
    <w:p w14:paraId="6C483C97" w14:textId="77777777" w:rsidR="00D66BF5" w:rsidRPr="00D66BF5" w:rsidRDefault="00D66BF5" w:rsidP="00BC1AE3">
      <w:pPr>
        <w:keepNext/>
        <w:keepLines/>
        <w:numPr>
          <w:ilvl w:val="1"/>
          <w:numId w:val="25"/>
        </w:numPr>
        <w:spacing w:before="40" w:after="120" w:line="240" w:lineRule="auto"/>
        <w:outlineLvl w:val="1"/>
        <w:rPr>
          <w:rFonts w:ascii="Times New Roman" w:eastAsia="Times New Roman" w:hAnsi="Times New Roman"/>
          <w:b/>
          <w:color w:val="2F5496"/>
          <w:sz w:val="28"/>
          <w:szCs w:val="28"/>
          <w:lang w:val="fr"/>
        </w:rPr>
      </w:pPr>
      <w:bookmarkStart w:id="91" w:name="_Toc61523578"/>
      <w:bookmarkStart w:id="92" w:name="_Toc90910794"/>
      <w:bookmarkEnd w:id="69"/>
      <w:bookmarkEnd w:id="70"/>
      <w:r w:rsidRPr="00D66BF5">
        <w:rPr>
          <w:rFonts w:ascii="Times New Roman" w:eastAsia="Times New Roman" w:hAnsi="Times New Roman"/>
          <w:b/>
          <w:color w:val="2F5496"/>
          <w:sz w:val="28"/>
          <w:szCs w:val="28"/>
          <w:lang w:val="fr"/>
        </w:rPr>
        <w:t>Progrès réalisés dans la mise en œuvre de l’agenda 2030</w:t>
      </w:r>
      <w:bookmarkEnd w:id="91"/>
      <w:bookmarkEnd w:id="92"/>
      <w:r w:rsidRPr="00D66BF5">
        <w:rPr>
          <w:rFonts w:ascii="Times New Roman" w:eastAsia="Times New Roman" w:hAnsi="Times New Roman"/>
          <w:b/>
          <w:color w:val="2F5496"/>
          <w:sz w:val="28"/>
          <w:szCs w:val="28"/>
          <w:lang w:val="fr"/>
        </w:rPr>
        <w:t xml:space="preserve"> </w:t>
      </w:r>
    </w:p>
    <w:p w14:paraId="2A495D66" w14:textId="77777777" w:rsidR="00D66BF5" w:rsidRPr="00D66BF5" w:rsidRDefault="00D66BF5" w:rsidP="00D66BF5">
      <w:pPr>
        <w:jc w:val="both"/>
        <w:rPr>
          <w:rFonts w:ascii="Times New Roman" w:hAnsi="Times New Roman"/>
          <w:b/>
          <w:bCs/>
          <w:color w:val="000000"/>
          <w:sz w:val="24"/>
          <w:szCs w:val="24"/>
        </w:rPr>
      </w:pPr>
      <w:r w:rsidRPr="00D66BF5">
        <w:rPr>
          <w:rFonts w:ascii="Times New Roman" w:hAnsi="Times New Roman"/>
          <w:color w:val="000000"/>
          <w:sz w:val="24"/>
        </w:rPr>
        <w:t xml:space="preserve">Dès l’adoption en septembre 2015 du programme de développement durable à l’horizon 2030, le Tchad s’est engagé à opérationnaliser les dix-sept objectifs de développement durable (ODD) </w:t>
      </w:r>
      <w:r w:rsidRPr="00D66BF5">
        <w:rPr>
          <w:rFonts w:ascii="Times New Roman" w:hAnsi="Times New Roman"/>
          <w:color w:val="000000"/>
          <w:sz w:val="24"/>
          <w:szCs w:val="24"/>
        </w:rPr>
        <w:t>qui</w:t>
      </w:r>
      <w:r w:rsidRPr="00D66BF5">
        <w:rPr>
          <w:rFonts w:ascii="Times New Roman" w:hAnsi="Times New Roman"/>
          <w:color w:val="000000"/>
          <w:sz w:val="24"/>
        </w:rPr>
        <w:t xml:space="preserve"> en découlent.</w:t>
      </w:r>
    </w:p>
    <w:p w14:paraId="5B90E54C" w14:textId="3973C1CE" w:rsidR="00D66BF5" w:rsidRPr="00D66BF5" w:rsidRDefault="00D66BF5" w:rsidP="00D66BF5">
      <w:pPr>
        <w:jc w:val="both"/>
        <w:rPr>
          <w:rFonts w:ascii="Times New Roman" w:hAnsi="Times New Roman"/>
          <w:color w:val="000000"/>
          <w:sz w:val="24"/>
        </w:rPr>
      </w:pPr>
      <w:r w:rsidRPr="00D66BF5">
        <w:rPr>
          <w:rFonts w:ascii="Times New Roman" w:hAnsi="Times New Roman"/>
          <w:color w:val="000000"/>
          <w:sz w:val="24"/>
        </w:rPr>
        <w:t xml:space="preserve">Le premier rapport national de suivi de la mise en œuvre des agendas africain et mondial de développement fait ressortir que 70% </w:t>
      </w:r>
      <w:r w:rsidRPr="00D66BF5">
        <w:rPr>
          <w:rFonts w:ascii="Times New Roman" w:hAnsi="Times New Roman"/>
          <w:color w:val="010003"/>
          <w:sz w:val="23"/>
          <w:szCs w:val="23"/>
        </w:rPr>
        <w:t>des ODD et de leurs cibles sont pris en compte dans les Politiques publiques</w:t>
      </w:r>
      <w:r w:rsidRPr="00D66BF5">
        <w:rPr>
          <w:rFonts w:ascii="Times New Roman" w:hAnsi="Times New Roman"/>
          <w:color w:val="000000"/>
          <w:sz w:val="24"/>
        </w:rPr>
        <w:t>. Le niveau d’intégration des cibles des ODD dans le PND 2017-2021 varie selon les ODD et les domaines :</w:t>
      </w:r>
    </w:p>
    <w:p w14:paraId="60B98D3E" w14:textId="77777777" w:rsidR="00D66BF5" w:rsidRPr="00D66BF5" w:rsidRDefault="00D66BF5" w:rsidP="00BC1AE3">
      <w:pPr>
        <w:numPr>
          <w:ilvl w:val="0"/>
          <w:numId w:val="29"/>
        </w:numPr>
        <w:contextualSpacing/>
        <w:jc w:val="both"/>
        <w:rPr>
          <w:rFonts w:ascii="Times New Roman" w:hAnsi="Times New Roman"/>
          <w:color w:val="000000"/>
          <w:sz w:val="24"/>
        </w:rPr>
      </w:pPr>
      <w:r w:rsidRPr="00D66BF5">
        <w:rPr>
          <w:rFonts w:ascii="Times New Roman" w:hAnsi="Times New Roman"/>
          <w:color w:val="000000"/>
          <w:sz w:val="24"/>
        </w:rPr>
        <w:t xml:space="preserve">Capital humain (ODD 1 à 5) : 26 cibles sur 32 sont prises en compte (81%) ; </w:t>
      </w:r>
    </w:p>
    <w:p w14:paraId="496C6E4C" w14:textId="77777777" w:rsidR="00D66BF5" w:rsidRPr="00D66BF5" w:rsidRDefault="00D66BF5" w:rsidP="00BC1AE3">
      <w:pPr>
        <w:numPr>
          <w:ilvl w:val="0"/>
          <w:numId w:val="29"/>
        </w:numPr>
        <w:contextualSpacing/>
        <w:jc w:val="both"/>
        <w:rPr>
          <w:rFonts w:ascii="Times New Roman" w:hAnsi="Times New Roman"/>
          <w:color w:val="000000"/>
          <w:sz w:val="24"/>
        </w:rPr>
      </w:pPr>
      <w:r w:rsidRPr="00D66BF5">
        <w:rPr>
          <w:rFonts w:ascii="Times New Roman" w:hAnsi="Times New Roman"/>
          <w:color w:val="000000"/>
          <w:sz w:val="24"/>
        </w:rPr>
        <w:t xml:space="preserve">Prospérité (ODD 7 à 11) : 24 cibles sur 32 sont prises en compte (75%) ; </w:t>
      </w:r>
    </w:p>
    <w:p w14:paraId="5FD02D3A" w14:textId="77777777" w:rsidR="00D66BF5" w:rsidRPr="00D66BF5" w:rsidRDefault="00D66BF5" w:rsidP="00BC1AE3">
      <w:pPr>
        <w:numPr>
          <w:ilvl w:val="0"/>
          <w:numId w:val="29"/>
        </w:numPr>
        <w:contextualSpacing/>
        <w:jc w:val="both"/>
        <w:rPr>
          <w:rFonts w:ascii="Times New Roman" w:hAnsi="Times New Roman"/>
          <w:color w:val="000000"/>
          <w:sz w:val="24"/>
        </w:rPr>
      </w:pPr>
      <w:r w:rsidRPr="00D66BF5">
        <w:rPr>
          <w:rFonts w:ascii="Times New Roman" w:hAnsi="Times New Roman"/>
          <w:color w:val="000000"/>
          <w:sz w:val="24"/>
        </w:rPr>
        <w:t xml:space="preserve">Planète (ODD 6, 12, 13 et 15) : 11 cibles sur 26 sont prises en compte (42%) ; </w:t>
      </w:r>
    </w:p>
    <w:p w14:paraId="5063FF2F" w14:textId="77777777" w:rsidR="00D66BF5" w:rsidRPr="00D66BF5" w:rsidRDefault="00D66BF5" w:rsidP="00BC1AE3">
      <w:pPr>
        <w:numPr>
          <w:ilvl w:val="0"/>
          <w:numId w:val="29"/>
        </w:numPr>
        <w:contextualSpacing/>
        <w:jc w:val="both"/>
        <w:rPr>
          <w:rFonts w:ascii="Times New Roman" w:hAnsi="Times New Roman"/>
          <w:color w:val="000000"/>
          <w:sz w:val="24"/>
        </w:rPr>
      </w:pPr>
      <w:r w:rsidRPr="00D66BF5">
        <w:rPr>
          <w:rFonts w:ascii="Times New Roman" w:hAnsi="Times New Roman"/>
          <w:color w:val="000000"/>
          <w:sz w:val="24"/>
        </w:rPr>
        <w:t xml:space="preserve">Paix (ODD 16) : 9 cibles sur 10 sont prises en compte (90%). </w:t>
      </w:r>
    </w:p>
    <w:p w14:paraId="2741843E" w14:textId="47F99567" w:rsidR="00D66BF5" w:rsidRPr="00D66BF5" w:rsidRDefault="00D66BF5" w:rsidP="00D66BF5">
      <w:pPr>
        <w:jc w:val="both"/>
        <w:rPr>
          <w:rFonts w:ascii="Times New Roman" w:hAnsi="Times New Roman" w:cs="Arial"/>
          <w:color w:val="000000"/>
          <w:sz w:val="24"/>
        </w:rPr>
      </w:pPr>
      <w:r w:rsidRPr="00D66BF5">
        <w:rPr>
          <w:rFonts w:ascii="Times New Roman" w:hAnsi="Times New Roman"/>
          <w:color w:val="000000"/>
          <w:sz w:val="24"/>
        </w:rPr>
        <w:t>En s’appuyant sur cet alignement, le Tchad a produit deux rapports nationaux volontaires de suivi des ODD</w:t>
      </w:r>
      <w:r w:rsidR="00910B47">
        <w:rPr>
          <w:rFonts w:ascii="Times New Roman" w:hAnsi="Times New Roman"/>
          <w:color w:val="000000"/>
          <w:sz w:val="24"/>
        </w:rPr>
        <w:t xml:space="preserve"> en 2019 et 2021</w:t>
      </w:r>
      <w:r w:rsidRPr="00D66BF5">
        <w:rPr>
          <w:rFonts w:ascii="Times New Roman" w:hAnsi="Times New Roman"/>
          <w:color w:val="000000"/>
          <w:sz w:val="24"/>
        </w:rPr>
        <w:t>. L’analyse des indicateurs des ODD retenus dans le rapport national volontaire sur le développement durable de 2021 révèle les principaux constats ci-après :</w:t>
      </w:r>
    </w:p>
    <w:tbl>
      <w:tblPr>
        <w:tblStyle w:val="Grilledutableau"/>
        <w:tblW w:w="0" w:type="auto"/>
        <w:tblLook w:val="04A0" w:firstRow="1" w:lastRow="0" w:firstColumn="1" w:lastColumn="0" w:noHBand="0" w:noVBand="1"/>
      </w:tblPr>
      <w:tblGrid>
        <w:gridCol w:w="1696"/>
        <w:gridCol w:w="3738"/>
        <w:gridCol w:w="4477"/>
      </w:tblGrid>
      <w:tr w:rsidR="003F0B93" w:rsidRPr="00763DEB" w14:paraId="01A589B9" w14:textId="77777777" w:rsidTr="00763DEB">
        <w:trPr>
          <w:tblHeader/>
        </w:trPr>
        <w:tc>
          <w:tcPr>
            <w:tcW w:w="1696" w:type="dxa"/>
            <w:shd w:val="clear" w:color="auto" w:fill="D9D9D9" w:themeFill="background1" w:themeFillShade="D9"/>
          </w:tcPr>
          <w:p w14:paraId="20D3B26C" w14:textId="4252685B" w:rsidR="003F0B93" w:rsidRPr="00763DEB" w:rsidRDefault="003F0B93" w:rsidP="00763DEB">
            <w:pPr>
              <w:spacing w:after="0"/>
              <w:jc w:val="both"/>
              <w:rPr>
                <w:rFonts w:ascii="Times New Roman" w:hAnsi="Times New Roman" w:cs="Arial"/>
                <w:b/>
                <w:bCs/>
                <w:color w:val="000000"/>
                <w:sz w:val="24"/>
              </w:rPr>
            </w:pPr>
            <w:r w:rsidRPr="00763DEB">
              <w:rPr>
                <w:rFonts w:ascii="Times New Roman" w:hAnsi="Times New Roman" w:cs="Arial"/>
                <w:b/>
                <w:bCs/>
                <w:color w:val="000000"/>
                <w:sz w:val="24"/>
              </w:rPr>
              <w:t xml:space="preserve">Secteur </w:t>
            </w:r>
          </w:p>
        </w:tc>
        <w:tc>
          <w:tcPr>
            <w:tcW w:w="3738" w:type="dxa"/>
            <w:shd w:val="clear" w:color="auto" w:fill="D9D9D9" w:themeFill="background1" w:themeFillShade="D9"/>
          </w:tcPr>
          <w:p w14:paraId="74709819" w14:textId="48654F8C" w:rsidR="003F0B93" w:rsidRPr="00763DEB" w:rsidRDefault="003F0B93" w:rsidP="00763DEB">
            <w:pPr>
              <w:spacing w:after="0"/>
              <w:jc w:val="both"/>
              <w:rPr>
                <w:rFonts w:ascii="Times New Roman" w:hAnsi="Times New Roman" w:cs="Arial"/>
                <w:b/>
                <w:bCs/>
                <w:color w:val="000000"/>
                <w:sz w:val="24"/>
              </w:rPr>
            </w:pPr>
            <w:r w:rsidRPr="00763DEB">
              <w:rPr>
                <w:rFonts w:ascii="Times New Roman" w:hAnsi="Times New Roman" w:cs="Arial"/>
                <w:b/>
                <w:bCs/>
                <w:color w:val="000000"/>
                <w:sz w:val="24"/>
              </w:rPr>
              <w:t>Indicateur</w:t>
            </w:r>
          </w:p>
        </w:tc>
        <w:tc>
          <w:tcPr>
            <w:tcW w:w="4477" w:type="dxa"/>
            <w:shd w:val="clear" w:color="auto" w:fill="D9D9D9" w:themeFill="background1" w:themeFillShade="D9"/>
          </w:tcPr>
          <w:p w14:paraId="1E87E022" w14:textId="1F086828" w:rsidR="003F0B93" w:rsidRPr="00763DEB" w:rsidRDefault="003F0B93" w:rsidP="00763DEB">
            <w:pPr>
              <w:spacing w:after="0"/>
              <w:jc w:val="both"/>
              <w:rPr>
                <w:rFonts w:ascii="Times New Roman" w:hAnsi="Times New Roman" w:cs="Arial"/>
                <w:b/>
                <w:bCs/>
                <w:color w:val="000000"/>
                <w:sz w:val="24"/>
              </w:rPr>
            </w:pPr>
            <w:r w:rsidRPr="00763DEB">
              <w:rPr>
                <w:rFonts w:ascii="Times New Roman" w:hAnsi="Times New Roman" w:cs="Arial"/>
                <w:b/>
                <w:bCs/>
                <w:color w:val="000000"/>
                <w:sz w:val="24"/>
              </w:rPr>
              <w:t>Niveau atteint</w:t>
            </w:r>
          </w:p>
        </w:tc>
      </w:tr>
      <w:tr w:rsidR="003F0B93" w14:paraId="6A3A0DBC" w14:textId="77777777" w:rsidTr="00763DEB">
        <w:tc>
          <w:tcPr>
            <w:tcW w:w="1696" w:type="dxa"/>
          </w:tcPr>
          <w:p w14:paraId="46A11D27" w14:textId="41383C2E" w:rsidR="003F0B93" w:rsidRDefault="002C7DC5" w:rsidP="00763DEB">
            <w:pPr>
              <w:spacing w:after="0"/>
              <w:jc w:val="both"/>
              <w:rPr>
                <w:rFonts w:ascii="Times New Roman" w:hAnsi="Times New Roman" w:cs="Arial"/>
                <w:color w:val="000000"/>
                <w:sz w:val="24"/>
              </w:rPr>
            </w:pPr>
            <w:r>
              <w:rPr>
                <w:rFonts w:ascii="Times New Roman" w:hAnsi="Times New Roman" w:cs="Arial"/>
                <w:color w:val="000000"/>
                <w:sz w:val="24"/>
              </w:rPr>
              <w:t>Sante</w:t>
            </w:r>
            <w:r w:rsidR="0044719C">
              <w:rPr>
                <w:rFonts w:ascii="Times New Roman" w:hAnsi="Times New Roman" w:cs="Arial"/>
                <w:color w:val="000000"/>
                <w:sz w:val="24"/>
              </w:rPr>
              <w:t>/Nutrition</w:t>
            </w:r>
          </w:p>
        </w:tc>
        <w:tc>
          <w:tcPr>
            <w:tcW w:w="3738" w:type="dxa"/>
          </w:tcPr>
          <w:p w14:paraId="77B721F0" w14:textId="12CFA348" w:rsidR="0099545B" w:rsidRDefault="001F3F38"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Pr>
                <w:rFonts w:ascii="Times New Roman" w:hAnsi="Times New Roman"/>
                <w:color w:val="000000"/>
                <w:sz w:val="24"/>
              </w:rPr>
              <w:t>P</w:t>
            </w:r>
            <w:r w:rsidR="0099545B" w:rsidRPr="00D66BF5">
              <w:rPr>
                <w:rFonts w:ascii="Times New Roman" w:hAnsi="Times New Roman"/>
                <w:color w:val="000000"/>
                <w:sz w:val="24"/>
              </w:rPr>
              <w:t xml:space="preserve">roportion d’accouchements assistés par du personnel de santé qualifié </w:t>
            </w:r>
          </w:p>
          <w:p w14:paraId="155A062B" w14:textId="5C150280" w:rsidR="0044719C" w:rsidRPr="00D66BF5"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Nombre d’enfants </w:t>
            </w:r>
            <w:r w:rsidR="0044719C" w:rsidRPr="00D66BF5">
              <w:rPr>
                <w:rFonts w:ascii="Times New Roman" w:hAnsi="Times New Roman"/>
                <w:sz w:val="24"/>
                <w:szCs w:val="24"/>
              </w:rPr>
              <w:t>âgés de moins 28 jours) sur 1 000 naissances vivantes n'atteign</w:t>
            </w:r>
            <w:r>
              <w:rPr>
                <w:rFonts w:ascii="Times New Roman" w:hAnsi="Times New Roman"/>
                <w:sz w:val="24"/>
                <w:szCs w:val="24"/>
              </w:rPr>
              <w:t>a</w:t>
            </w:r>
            <w:r w:rsidR="0044719C" w:rsidRPr="00D66BF5">
              <w:rPr>
                <w:rFonts w:ascii="Times New Roman" w:hAnsi="Times New Roman"/>
                <w:sz w:val="24"/>
                <w:szCs w:val="24"/>
              </w:rPr>
              <w:t xml:space="preserve">nt pas leur premier mois de vie </w:t>
            </w:r>
          </w:p>
          <w:p w14:paraId="39AB6408" w14:textId="2DA027F6" w:rsidR="0044719C" w:rsidRPr="00D66BF5"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Proportion </w:t>
            </w:r>
            <w:r w:rsidR="0044719C" w:rsidRPr="00D66BF5">
              <w:rPr>
                <w:rFonts w:ascii="Times New Roman" w:hAnsi="Times New Roman"/>
                <w:sz w:val="24"/>
                <w:szCs w:val="24"/>
              </w:rPr>
              <w:t>des enfants âgés de moins de cinq ans souffr</w:t>
            </w:r>
            <w:r>
              <w:rPr>
                <w:rFonts w:ascii="Times New Roman" w:hAnsi="Times New Roman"/>
                <w:sz w:val="24"/>
                <w:szCs w:val="24"/>
              </w:rPr>
              <w:t>a</w:t>
            </w:r>
            <w:r w:rsidR="0044719C" w:rsidRPr="00D66BF5">
              <w:rPr>
                <w:rFonts w:ascii="Times New Roman" w:hAnsi="Times New Roman"/>
                <w:sz w:val="24"/>
                <w:szCs w:val="24"/>
              </w:rPr>
              <w:t xml:space="preserve">nt d'un retard de croissance </w:t>
            </w:r>
          </w:p>
          <w:p w14:paraId="7F295A86" w14:textId="56C4A792" w:rsidR="0044719C"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Taux d’allaitement </w:t>
            </w:r>
            <w:r w:rsidR="0044719C" w:rsidRPr="00D66BF5">
              <w:rPr>
                <w:rFonts w:ascii="Times New Roman" w:hAnsi="Times New Roman"/>
                <w:sz w:val="24"/>
                <w:szCs w:val="24"/>
              </w:rPr>
              <w:t>exclusi</w:t>
            </w:r>
            <w:r>
              <w:rPr>
                <w:rFonts w:ascii="Times New Roman" w:hAnsi="Times New Roman"/>
                <w:sz w:val="24"/>
                <w:szCs w:val="24"/>
              </w:rPr>
              <w:t xml:space="preserve">f </w:t>
            </w:r>
          </w:p>
          <w:p w14:paraId="515D7D41" w14:textId="0A9B1210" w:rsidR="001F3F38" w:rsidRDefault="001F3F38" w:rsidP="00763DEB">
            <w:pPr>
              <w:autoSpaceDE w:val="0"/>
              <w:autoSpaceDN w:val="0"/>
              <w:adjustRightInd w:val="0"/>
              <w:spacing w:after="0" w:line="240" w:lineRule="auto"/>
              <w:contextualSpacing/>
              <w:jc w:val="both"/>
              <w:rPr>
                <w:rFonts w:ascii="Times New Roman" w:hAnsi="Times New Roman"/>
                <w:sz w:val="24"/>
                <w:szCs w:val="24"/>
              </w:rPr>
            </w:pPr>
          </w:p>
          <w:p w14:paraId="7A10B56B" w14:textId="6E0CC041" w:rsidR="001F3F38" w:rsidRDefault="001F3F38" w:rsidP="00763DEB">
            <w:pPr>
              <w:autoSpaceDE w:val="0"/>
              <w:autoSpaceDN w:val="0"/>
              <w:adjustRightInd w:val="0"/>
              <w:spacing w:after="0" w:line="240" w:lineRule="auto"/>
              <w:contextualSpacing/>
              <w:jc w:val="both"/>
              <w:rPr>
                <w:rFonts w:ascii="Times New Roman" w:hAnsi="Times New Roman"/>
                <w:sz w:val="24"/>
                <w:szCs w:val="24"/>
              </w:rPr>
            </w:pPr>
          </w:p>
          <w:p w14:paraId="7A387D83" w14:textId="77777777" w:rsidR="001F3F38" w:rsidRPr="00D66BF5" w:rsidRDefault="001F3F38" w:rsidP="00763DEB">
            <w:pPr>
              <w:autoSpaceDE w:val="0"/>
              <w:autoSpaceDN w:val="0"/>
              <w:adjustRightInd w:val="0"/>
              <w:spacing w:after="0" w:line="240" w:lineRule="auto"/>
              <w:contextualSpacing/>
              <w:jc w:val="both"/>
              <w:rPr>
                <w:rFonts w:ascii="Times New Roman" w:hAnsi="Times New Roman"/>
                <w:sz w:val="24"/>
                <w:szCs w:val="24"/>
              </w:rPr>
            </w:pPr>
          </w:p>
          <w:p w14:paraId="7082BBCA" w14:textId="46B64A21" w:rsidR="0044719C" w:rsidRPr="00D66BF5" w:rsidRDefault="006252B9"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P</w:t>
            </w:r>
            <w:r w:rsidR="0044719C" w:rsidRPr="00D66BF5">
              <w:rPr>
                <w:rFonts w:ascii="Times New Roman" w:hAnsi="Times New Roman"/>
                <w:sz w:val="24"/>
                <w:szCs w:val="24"/>
              </w:rPr>
              <w:t>révalence de la malnutrition chronique globale (MC)</w:t>
            </w:r>
          </w:p>
          <w:p w14:paraId="2DE83BAF" w14:textId="3AA2BB15" w:rsidR="003F0B93" w:rsidRPr="00763DEB" w:rsidRDefault="006252B9"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lastRenderedPageBreak/>
              <w:t>P</w:t>
            </w:r>
            <w:r w:rsidR="0044719C" w:rsidRPr="00D66BF5">
              <w:rPr>
                <w:rFonts w:ascii="Times New Roman" w:hAnsi="Times New Roman"/>
                <w:sz w:val="24"/>
                <w:szCs w:val="24"/>
              </w:rPr>
              <w:t xml:space="preserve">révalence de la malnutrition aigüe globale (MAG) </w:t>
            </w:r>
          </w:p>
        </w:tc>
        <w:tc>
          <w:tcPr>
            <w:tcW w:w="4477" w:type="dxa"/>
          </w:tcPr>
          <w:p w14:paraId="479DF224" w14:textId="64D365F1" w:rsidR="0099545B" w:rsidRDefault="0099545B"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lastRenderedPageBreak/>
              <w:t xml:space="preserve"> </w:t>
            </w:r>
            <w:r w:rsidR="001F3F38" w:rsidRPr="00D66BF5">
              <w:rPr>
                <w:rFonts w:ascii="Times New Roman" w:hAnsi="Times New Roman"/>
                <w:color w:val="000000"/>
                <w:sz w:val="24"/>
              </w:rPr>
              <w:t xml:space="preserve">34,5% en 2019 </w:t>
            </w:r>
            <w:r w:rsidR="001F3F38">
              <w:rPr>
                <w:rFonts w:ascii="Times New Roman" w:hAnsi="Times New Roman"/>
                <w:color w:val="000000"/>
                <w:sz w:val="24"/>
              </w:rPr>
              <w:t>contre 2</w:t>
            </w:r>
            <w:r w:rsidRPr="00D66BF5">
              <w:rPr>
                <w:rFonts w:ascii="Times New Roman" w:hAnsi="Times New Roman"/>
                <w:color w:val="000000"/>
                <w:sz w:val="24"/>
              </w:rPr>
              <w:t>4,3% en 2015</w:t>
            </w:r>
            <w:r w:rsidR="001F3F38">
              <w:rPr>
                <w:rFonts w:ascii="Times New Roman" w:hAnsi="Times New Roman"/>
                <w:color w:val="000000"/>
                <w:sz w:val="24"/>
              </w:rPr>
              <w:t xml:space="preserve"> (</w:t>
            </w:r>
            <w:r w:rsidRPr="00D66BF5">
              <w:rPr>
                <w:rFonts w:ascii="Times New Roman" w:hAnsi="Times New Roman"/>
                <w:color w:val="000000"/>
                <w:sz w:val="24"/>
              </w:rPr>
              <w:t xml:space="preserve">(EDS-MICS 2014-2015, MICS 2019)  </w:t>
            </w:r>
          </w:p>
          <w:p w14:paraId="5AAA0D01" w14:textId="7429D1F2" w:rsidR="001F3F38"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33 enfants (MICS 2019)</w:t>
            </w:r>
          </w:p>
          <w:p w14:paraId="7C140F1B" w14:textId="77777777" w:rsidR="001F3F38" w:rsidRPr="00D66BF5" w:rsidRDefault="001F3F38" w:rsidP="00763DEB">
            <w:pPr>
              <w:autoSpaceDE w:val="0"/>
              <w:autoSpaceDN w:val="0"/>
              <w:adjustRightInd w:val="0"/>
              <w:spacing w:after="0" w:line="240" w:lineRule="auto"/>
              <w:contextualSpacing/>
              <w:jc w:val="both"/>
              <w:rPr>
                <w:rFonts w:ascii="Times New Roman" w:hAnsi="Times New Roman"/>
                <w:sz w:val="24"/>
                <w:szCs w:val="24"/>
              </w:rPr>
            </w:pPr>
          </w:p>
          <w:p w14:paraId="638809F8" w14:textId="77777777" w:rsidR="001F3F38" w:rsidRPr="00D66BF5"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 xml:space="preserve">37,8% des enfants âgés de moins de cinq ans souffrent d'un retard de croissance avec 39,8% chez les garçons et 35,7% chez les filles </w:t>
            </w:r>
          </w:p>
          <w:p w14:paraId="354293BF" w14:textId="64340D30" w:rsidR="001F3F38"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11,4% des enfants âgés de 0 à 5 mois sont allaités exclusivement (SMART, 2021).</w:t>
            </w:r>
          </w:p>
          <w:p w14:paraId="3BEADB5B" w14:textId="77777777" w:rsidR="001F3F38" w:rsidRPr="00D66BF5" w:rsidRDefault="001F3F38" w:rsidP="00763DEB">
            <w:pPr>
              <w:autoSpaceDE w:val="0"/>
              <w:autoSpaceDN w:val="0"/>
              <w:adjustRightInd w:val="0"/>
              <w:spacing w:after="0" w:line="240" w:lineRule="auto"/>
              <w:ind w:left="720"/>
              <w:contextualSpacing/>
              <w:jc w:val="both"/>
              <w:rPr>
                <w:rFonts w:ascii="Times New Roman" w:hAnsi="Times New Roman"/>
                <w:sz w:val="24"/>
                <w:szCs w:val="24"/>
              </w:rPr>
            </w:pPr>
          </w:p>
          <w:p w14:paraId="562AE3BF" w14:textId="366B35C6" w:rsidR="001F3F38" w:rsidRPr="00D66BF5"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 xml:space="preserve"> 30,5% (SMART 2021) et se situe donc au-dessus de la norme acceptable de 20% fixée par l’OMS. </w:t>
            </w:r>
          </w:p>
          <w:p w14:paraId="4670082A" w14:textId="624DCE1C" w:rsidR="001F3F38" w:rsidRPr="00D66BF5" w:rsidRDefault="001F3F38"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11,0% (SMART 2021)</w:t>
            </w:r>
          </w:p>
          <w:p w14:paraId="1CFAC025" w14:textId="77777777" w:rsidR="001F3F38" w:rsidRPr="00D66BF5" w:rsidRDefault="001F3F38" w:rsidP="00763DEB">
            <w:pPr>
              <w:autoSpaceDE w:val="0"/>
              <w:autoSpaceDN w:val="0"/>
              <w:adjustRightInd w:val="0"/>
              <w:spacing w:after="0" w:line="240" w:lineRule="auto"/>
              <w:ind w:left="720"/>
              <w:contextualSpacing/>
              <w:jc w:val="both"/>
              <w:rPr>
                <w:rFonts w:ascii="Times New Roman" w:hAnsi="Times New Roman"/>
                <w:color w:val="000000"/>
                <w:sz w:val="24"/>
              </w:rPr>
            </w:pPr>
          </w:p>
          <w:p w14:paraId="414677B3" w14:textId="77777777" w:rsidR="003F0B93" w:rsidRDefault="003F0B93" w:rsidP="00763DEB">
            <w:pPr>
              <w:spacing w:after="0"/>
              <w:jc w:val="both"/>
              <w:rPr>
                <w:rFonts w:ascii="Times New Roman" w:hAnsi="Times New Roman" w:cs="Arial"/>
                <w:color w:val="000000"/>
                <w:sz w:val="24"/>
              </w:rPr>
            </w:pPr>
          </w:p>
        </w:tc>
      </w:tr>
      <w:tr w:rsidR="003F0B93" w14:paraId="3835FE19" w14:textId="77777777" w:rsidTr="00763DEB">
        <w:tc>
          <w:tcPr>
            <w:tcW w:w="1696" w:type="dxa"/>
          </w:tcPr>
          <w:p w14:paraId="502DCAAD" w14:textId="28122523" w:rsidR="003F0B93" w:rsidRDefault="002C7DC5" w:rsidP="00763DEB">
            <w:pPr>
              <w:spacing w:after="0"/>
              <w:jc w:val="both"/>
              <w:rPr>
                <w:rFonts w:ascii="Times New Roman" w:hAnsi="Times New Roman" w:cs="Arial"/>
                <w:color w:val="000000"/>
                <w:sz w:val="24"/>
              </w:rPr>
            </w:pPr>
            <w:r>
              <w:rPr>
                <w:rFonts w:ascii="Times New Roman" w:hAnsi="Times New Roman" w:cs="Arial"/>
                <w:color w:val="000000"/>
                <w:sz w:val="24"/>
              </w:rPr>
              <w:t>Education</w:t>
            </w:r>
          </w:p>
        </w:tc>
        <w:tc>
          <w:tcPr>
            <w:tcW w:w="3738" w:type="dxa"/>
          </w:tcPr>
          <w:p w14:paraId="19D4F8A8" w14:textId="1A6D27E7" w:rsidR="002C7DC5" w:rsidRPr="002C7DC5" w:rsidRDefault="002C7DC5" w:rsidP="00BC1AE3">
            <w:pPr>
              <w:pStyle w:val="Paragraphedeliste"/>
              <w:numPr>
                <w:ilvl w:val="0"/>
                <w:numId w:val="57"/>
              </w:numPr>
              <w:autoSpaceDE w:val="0"/>
              <w:autoSpaceDN w:val="0"/>
              <w:adjustRightInd w:val="0"/>
              <w:spacing w:after="0" w:line="240" w:lineRule="auto"/>
              <w:ind w:left="504"/>
              <w:jc w:val="both"/>
              <w:rPr>
                <w:rFonts w:ascii="Times New Roman" w:hAnsi="Times New Roman"/>
                <w:sz w:val="24"/>
                <w:szCs w:val="24"/>
              </w:rPr>
            </w:pPr>
            <w:r>
              <w:rPr>
                <w:rFonts w:ascii="Times New Roman" w:hAnsi="Times New Roman"/>
                <w:sz w:val="24"/>
                <w:szCs w:val="24"/>
              </w:rPr>
              <w:t>P</w:t>
            </w:r>
            <w:r w:rsidRPr="002C7DC5">
              <w:rPr>
                <w:rFonts w:ascii="Times New Roman" w:hAnsi="Times New Roman"/>
                <w:sz w:val="24"/>
                <w:szCs w:val="24"/>
              </w:rPr>
              <w:t xml:space="preserve">roportion d’enfants en cours élémentaire qui maitrisent au moins les normes d’aptitudes en lecture </w:t>
            </w:r>
          </w:p>
          <w:p w14:paraId="31A0A78F" w14:textId="77777777" w:rsidR="002C7DC5" w:rsidRPr="002C7DC5" w:rsidRDefault="002C7DC5" w:rsidP="00BC1AE3">
            <w:pPr>
              <w:pStyle w:val="Paragraphedeliste"/>
              <w:numPr>
                <w:ilvl w:val="0"/>
                <w:numId w:val="57"/>
              </w:numPr>
              <w:autoSpaceDE w:val="0"/>
              <w:autoSpaceDN w:val="0"/>
              <w:adjustRightInd w:val="0"/>
              <w:spacing w:after="0" w:line="240" w:lineRule="auto"/>
              <w:ind w:left="504"/>
              <w:jc w:val="both"/>
              <w:rPr>
                <w:rFonts w:ascii="Times New Roman" w:hAnsi="Times New Roman"/>
                <w:sz w:val="24"/>
                <w:szCs w:val="24"/>
              </w:rPr>
            </w:pPr>
            <w:r w:rsidRPr="002C7DC5">
              <w:rPr>
                <w:rFonts w:ascii="Times New Roman" w:hAnsi="Times New Roman"/>
                <w:sz w:val="24"/>
                <w:szCs w:val="24"/>
              </w:rPr>
              <w:t xml:space="preserve">Proportion d’enfants en cours élémentaires qui maitrisent au moins les normes d’aptitudes en mathématiques </w:t>
            </w:r>
          </w:p>
          <w:p w14:paraId="32544CD6" w14:textId="77777777" w:rsidR="003F0B93" w:rsidRPr="00820FF0" w:rsidRDefault="002C7DC5" w:rsidP="00BC1AE3">
            <w:pPr>
              <w:pStyle w:val="Paragraphedeliste"/>
              <w:numPr>
                <w:ilvl w:val="0"/>
                <w:numId w:val="57"/>
              </w:numPr>
              <w:autoSpaceDE w:val="0"/>
              <w:autoSpaceDN w:val="0"/>
              <w:adjustRightInd w:val="0"/>
              <w:spacing w:after="0" w:line="240" w:lineRule="auto"/>
              <w:ind w:left="504"/>
              <w:jc w:val="both"/>
              <w:rPr>
                <w:rFonts w:ascii="Times New Roman" w:hAnsi="Times New Roman" w:cs="Arial"/>
                <w:color w:val="000000"/>
                <w:sz w:val="24"/>
              </w:rPr>
            </w:pPr>
            <w:r>
              <w:rPr>
                <w:rFonts w:ascii="Times New Roman" w:hAnsi="Times New Roman"/>
                <w:sz w:val="24"/>
                <w:szCs w:val="24"/>
              </w:rPr>
              <w:t>P</w:t>
            </w:r>
            <w:r w:rsidRPr="002C7DC5">
              <w:rPr>
                <w:rFonts w:ascii="Times New Roman" w:hAnsi="Times New Roman"/>
                <w:sz w:val="24"/>
                <w:szCs w:val="24"/>
              </w:rPr>
              <w:t xml:space="preserve">roportion d’enfants de moins de 5 ans en bonne voie de développement en matière de santé, d’apprentissage et de bien être psychosocial </w:t>
            </w:r>
          </w:p>
          <w:p w14:paraId="1E9BFF1E" w14:textId="540BB938" w:rsidR="00C0127E" w:rsidRDefault="00C0127E" w:rsidP="00BC1AE3">
            <w:pPr>
              <w:pStyle w:val="Paragraphedeliste"/>
              <w:numPr>
                <w:ilvl w:val="0"/>
                <w:numId w:val="57"/>
              </w:numPr>
              <w:autoSpaceDE w:val="0"/>
              <w:autoSpaceDN w:val="0"/>
              <w:adjustRightInd w:val="0"/>
              <w:spacing w:after="0" w:line="240" w:lineRule="auto"/>
              <w:ind w:left="504"/>
              <w:jc w:val="both"/>
              <w:rPr>
                <w:rFonts w:ascii="Times New Roman" w:hAnsi="Times New Roman" w:cs="Arial"/>
                <w:color w:val="000000"/>
                <w:sz w:val="24"/>
              </w:rPr>
            </w:pPr>
            <w:r>
              <w:rPr>
                <w:rFonts w:ascii="Times New Roman" w:hAnsi="Times New Roman" w:cs="Arial"/>
                <w:color w:val="000000"/>
                <w:sz w:val="24"/>
              </w:rPr>
              <w:t>Indice de parité filles /Garçons primaire</w:t>
            </w:r>
          </w:p>
          <w:p w14:paraId="60CD73EE" w14:textId="27B404EC" w:rsidR="00C0127E" w:rsidRDefault="00C0127E" w:rsidP="00763DEB">
            <w:pPr>
              <w:autoSpaceDE w:val="0"/>
              <w:autoSpaceDN w:val="0"/>
              <w:adjustRightInd w:val="0"/>
              <w:spacing w:after="0" w:line="240" w:lineRule="auto"/>
              <w:jc w:val="both"/>
              <w:rPr>
                <w:rFonts w:ascii="Times New Roman" w:hAnsi="Times New Roman" w:cs="Arial"/>
                <w:color w:val="000000"/>
                <w:sz w:val="24"/>
              </w:rPr>
            </w:pPr>
          </w:p>
          <w:p w14:paraId="402D8E94" w14:textId="77777777" w:rsidR="00C0127E" w:rsidRPr="00820FF0" w:rsidRDefault="00C0127E" w:rsidP="00763DEB">
            <w:pPr>
              <w:autoSpaceDE w:val="0"/>
              <w:autoSpaceDN w:val="0"/>
              <w:adjustRightInd w:val="0"/>
              <w:spacing w:after="0" w:line="240" w:lineRule="auto"/>
              <w:jc w:val="both"/>
              <w:rPr>
                <w:rFonts w:ascii="Times New Roman" w:hAnsi="Times New Roman" w:cs="Arial"/>
                <w:color w:val="000000"/>
                <w:sz w:val="24"/>
              </w:rPr>
            </w:pPr>
          </w:p>
          <w:p w14:paraId="63C1C5A7" w14:textId="2EC38A20" w:rsidR="00C0127E" w:rsidRDefault="00C0127E" w:rsidP="00BC1AE3">
            <w:pPr>
              <w:pStyle w:val="Paragraphedeliste"/>
              <w:numPr>
                <w:ilvl w:val="0"/>
                <w:numId w:val="57"/>
              </w:numPr>
              <w:autoSpaceDE w:val="0"/>
              <w:autoSpaceDN w:val="0"/>
              <w:adjustRightInd w:val="0"/>
              <w:spacing w:after="0" w:line="240" w:lineRule="auto"/>
              <w:ind w:left="504"/>
              <w:jc w:val="both"/>
              <w:rPr>
                <w:rFonts w:ascii="Times New Roman" w:hAnsi="Times New Roman" w:cs="Arial"/>
                <w:color w:val="000000"/>
                <w:sz w:val="24"/>
              </w:rPr>
            </w:pPr>
            <w:r>
              <w:rPr>
                <w:rFonts w:ascii="Times New Roman" w:hAnsi="Times New Roman" w:cs="Arial"/>
                <w:color w:val="000000"/>
                <w:sz w:val="24"/>
              </w:rPr>
              <w:t>Indice de parité filles/Garçons secondaire premier cycle</w:t>
            </w:r>
          </w:p>
          <w:p w14:paraId="1E96B69C" w14:textId="77777777" w:rsidR="00C0127E" w:rsidRDefault="00C0127E" w:rsidP="00763DEB">
            <w:pPr>
              <w:pStyle w:val="Paragraphedeliste"/>
              <w:autoSpaceDE w:val="0"/>
              <w:autoSpaceDN w:val="0"/>
              <w:adjustRightInd w:val="0"/>
              <w:spacing w:after="0" w:line="240" w:lineRule="auto"/>
              <w:ind w:left="504"/>
              <w:jc w:val="both"/>
              <w:rPr>
                <w:rFonts w:ascii="Times New Roman" w:hAnsi="Times New Roman" w:cs="Arial"/>
                <w:color w:val="000000"/>
                <w:sz w:val="24"/>
              </w:rPr>
            </w:pPr>
          </w:p>
          <w:p w14:paraId="6192046C" w14:textId="77777777" w:rsidR="00C0127E" w:rsidRDefault="00C0127E" w:rsidP="00BC1AE3">
            <w:pPr>
              <w:pStyle w:val="Paragraphedeliste"/>
              <w:numPr>
                <w:ilvl w:val="0"/>
                <w:numId w:val="57"/>
              </w:numPr>
              <w:autoSpaceDE w:val="0"/>
              <w:autoSpaceDN w:val="0"/>
              <w:adjustRightInd w:val="0"/>
              <w:spacing w:after="0" w:line="240" w:lineRule="auto"/>
              <w:ind w:left="504"/>
              <w:jc w:val="both"/>
              <w:rPr>
                <w:rFonts w:ascii="Times New Roman" w:hAnsi="Times New Roman" w:cs="Arial"/>
                <w:color w:val="000000"/>
                <w:sz w:val="24"/>
              </w:rPr>
            </w:pPr>
            <w:r>
              <w:rPr>
                <w:rFonts w:ascii="Times New Roman" w:hAnsi="Times New Roman" w:cs="Arial"/>
                <w:color w:val="000000"/>
                <w:sz w:val="24"/>
              </w:rPr>
              <w:t xml:space="preserve">Indice de parité filles/garçons secondaire second cycle </w:t>
            </w:r>
          </w:p>
          <w:p w14:paraId="28990C9B" w14:textId="77777777" w:rsidR="0099545B" w:rsidRDefault="0099545B" w:rsidP="00763DEB">
            <w:pPr>
              <w:autoSpaceDE w:val="0"/>
              <w:autoSpaceDN w:val="0"/>
              <w:adjustRightInd w:val="0"/>
              <w:spacing w:after="0" w:line="240" w:lineRule="auto"/>
              <w:jc w:val="both"/>
              <w:rPr>
                <w:rFonts w:ascii="Times New Roman" w:hAnsi="Times New Roman" w:cs="Arial"/>
                <w:color w:val="000000"/>
                <w:sz w:val="24"/>
              </w:rPr>
            </w:pPr>
          </w:p>
          <w:p w14:paraId="1F8BE8C3" w14:textId="702027D7" w:rsidR="0099545B" w:rsidRDefault="0099545B" w:rsidP="00763DEB">
            <w:pPr>
              <w:autoSpaceDE w:val="0"/>
              <w:autoSpaceDN w:val="0"/>
              <w:adjustRightInd w:val="0"/>
              <w:spacing w:after="0" w:line="240" w:lineRule="auto"/>
              <w:jc w:val="both"/>
              <w:rPr>
                <w:rFonts w:ascii="Times New Roman" w:hAnsi="Times New Roman" w:cs="Arial"/>
                <w:color w:val="000000"/>
                <w:sz w:val="24"/>
              </w:rPr>
            </w:pPr>
          </w:p>
          <w:p w14:paraId="1CA55A8B" w14:textId="0E8F4EA8" w:rsidR="00820FF0" w:rsidRDefault="00820FF0" w:rsidP="00763DEB">
            <w:pPr>
              <w:autoSpaceDE w:val="0"/>
              <w:autoSpaceDN w:val="0"/>
              <w:adjustRightInd w:val="0"/>
              <w:spacing w:after="0" w:line="240" w:lineRule="auto"/>
              <w:jc w:val="both"/>
              <w:rPr>
                <w:rFonts w:ascii="Times New Roman" w:hAnsi="Times New Roman" w:cs="Arial"/>
                <w:color w:val="000000"/>
                <w:sz w:val="24"/>
              </w:rPr>
            </w:pPr>
          </w:p>
          <w:p w14:paraId="2AC93370" w14:textId="77777777" w:rsidR="00820FF0" w:rsidRDefault="00820FF0" w:rsidP="00763DEB">
            <w:pPr>
              <w:autoSpaceDE w:val="0"/>
              <w:autoSpaceDN w:val="0"/>
              <w:adjustRightInd w:val="0"/>
              <w:spacing w:after="0" w:line="240" w:lineRule="auto"/>
              <w:jc w:val="both"/>
              <w:rPr>
                <w:rFonts w:ascii="Times New Roman" w:hAnsi="Times New Roman" w:cs="Arial"/>
                <w:color w:val="000000"/>
                <w:sz w:val="24"/>
              </w:rPr>
            </w:pPr>
          </w:p>
          <w:p w14:paraId="5AE708CD" w14:textId="77777777" w:rsidR="0099545B" w:rsidRDefault="0099545B" w:rsidP="00763DEB">
            <w:pPr>
              <w:autoSpaceDE w:val="0"/>
              <w:autoSpaceDN w:val="0"/>
              <w:adjustRightInd w:val="0"/>
              <w:spacing w:after="0" w:line="240" w:lineRule="auto"/>
              <w:jc w:val="both"/>
              <w:rPr>
                <w:rFonts w:ascii="Times New Roman" w:hAnsi="Times New Roman" w:cs="Arial"/>
                <w:color w:val="000000"/>
                <w:sz w:val="24"/>
              </w:rPr>
            </w:pPr>
          </w:p>
          <w:p w14:paraId="6C498BB1" w14:textId="5E61FC7D" w:rsidR="0099545B" w:rsidRPr="00D66BF5" w:rsidRDefault="00820FF0"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Pr>
                <w:rFonts w:ascii="Times New Roman" w:hAnsi="Times New Roman"/>
                <w:color w:val="000000"/>
                <w:sz w:val="24"/>
              </w:rPr>
              <w:t xml:space="preserve">Taux </w:t>
            </w:r>
            <w:r w:rsidR="0099545B" w:rsidRPr="00D66BF5">
              <w:rPr>
                <w:rFonts w:ascii="Times New Roman" w:hAnsi="Times New Roman"/>
                <w:color w:val="000000"/>
                <w:sz w:val="24"/>
              </w:rPr>
              <w:t xml:space="preserve">d’alphabétisation des adultes </w:t>
            </w:r>
          </w:p>
          <w:p w14:paraId="07C51F79" w14:textId="556D3DC1" w:rsidR="0099545B" w:rsidRPr="00820FF0" w:rsidRDefault="0099545B" w:rsidP="00763DEB">
            <w:pPr>
              <w:autoSpaceDE w:val="0"/>
              <w:autoSpaceDN w:val="0"/>
              <w:adjustRightInd w:val="0"/>
              <w:spacing w:after="0" w:line="240" w:lineRule="auto"/>
              <w:jc w:val="both"/>
              <w:rPr>
                <w:rFonts w:ascii="Times New Roman" w:hAnsi="Times New Roman" w:cs="Arial"/>
                <w:color w:val="000000"/>
                <w:sz w:val="24"/>
              </w:rPr>
            </w:pPr>
          </w:p>
        </w:tc>
        <w:tc>
          <w:tcPr>
            <w:tcW w:w="4477" w:type="dxa"/>
          </w:tcPr>
          <w:p w14:paraId="1CBC2FD6" w14:textId="1D60C63B" w:rsidR="002C7DC5" w:rsidRPr="002C7DC5" w:rsidRDefault="002C7DC5" w:rsidP="00BC1AE3">
            <w:pPr>
              <w:pStyle w:val="Paragraphedeliste"/>
              <w:numPr>
                <w:ilvl w:val="0"/>
                <w:numId w:val="58"/>
              </w:numPr>
              <w:autoSpaceDE w:val="0"/>
              <w:autoSpaceDN w:val="0"/>
              <w:adjustRightInd w:val="0"/>
              <w:spacing w:after="0" w:line="240" w:lineRule="auto"/>
              <w:jc w:val="both"/>
              <w:rPr>
                <w:rFonts w:ascii="Times New Roman" w:hAnsi="Times New Roman"/>
                <w:sz w:val="24"/>
                <w:szCs w:val="24"/>
              </w:rPr>
            </w:pPr>
            <w:r w:rsidRPr="002C7DC5">
              <w:rPr>
                <w:rFonts w:ascii="Times New Roman" w:hAnsi="Times New Roman"/>
                <w:sz w:val="24"/>
                <w:szCs w:val="24"/>
              </w:rPr>
              <w:t>34% en 2019 contre 18% en 2014</w:t>
            </w:r>
          </w:p>
          <w:p w14:paraId="49B825F7" w14:textId="77777777" w:rsidR="002C7DC5" w:rsidRDefault="002C7DC5" w:rsidP="00763DEB">
            <w:pPr>
              <w:autoSpaceDE w:val="0"/>
              <w:autoSpaceDN w:val="0"/>
              <w:adjustRightInd w:val="0"/>
              <w:spacing w:after="0" w:line="240" w:lineRule="auto"/>
              <w:ind w:left="144"/>
              <w:contextualSpacing/>
              <w:jc w:val="both"/>
              <w:rPr>
                <w:rFonts w:ascii="Times New Roman" w:hAnsi="Times New Roman"/>
                <w:sz w:val="24"/>
                <w:szCs w:val="24"/>
              </w:rPr>
            </w:pPr>
          </w:p>
          <w:p w14:paraId="52FF8831" w14:textId="77777777" w:rsidR="002C7DC5" w:rsidRDefault="002C7DC5" w:rsidP="00763DEB">
            <w:pPr>
              <w:autoSpaceDE w:val="0"/>
              <w:autoSpaceDN w:val="0"/>
              <w:adjustRightInd w:val="0"/>
              <w:spacing w:after="0" w:line="240" w:lineRule="auto"/>
              <w:ind w:left="144"/>
              <w:contextualSpacing/>
              <w:jc w:val="both"/>
              <w:rPr>
                <w:rFonts w:ascii="Times New Roman" w:hAnsi="Times New Roman"/>
                <w:sz w:val="24"/>
                <w:szCs w:val="24"/>
              </w:rPr>
            </w:pPr>
          </w:p>
          <w:p w14:paraId="3E011543" w14:textId="77777777" w:rsidR="002C7DC5" w:rsidRDefault="002C7DC5" w:rsidP="00763DEB">
            <w:pPr>
              <w:autoSpaceDE w:val="0"/>
              <w:autoSpaceDN w:val="0"/>
              <w:adjustRightInd w:val="0"/>
              <w:spacing w:after="0" w:line="240" w:lineRule="auto"/>
              <w:ind w:left="144"/>
              <w:contextualSpacing/>
              <w:jc w:val="both"/>
              <w:rPr>
                <w:rFonts w:ascii="Times New Roman" w:hAnsi="Times New Roman"/>
                <w:sz w:val="24"/>
                <w:szCs w:val="24"/>
              </w:rPr>
            </w:pPr>
          </w:p>
          <w:p w14:paraId="475C6CC7" w14:textId="6AB302EA" w:rsidR="002C7DC5" w:rsidRPr="002C7DC5" w:rsidRDefault="002C7DC5" w:rsidP="00BC1AE3">
            <w:pPr>
              <w:pStyle w:val="Paragraphedeliste"/>
              <w:numPr>
                <w:ilvl w:val="0"/>
                <w:numId w:val="58"/>
              </w:numPr>
              <w:autoSpaceDE w:val="0"/>
              <w:autoSpaceDN w:val="0"/>
              <w:adjustRightInd w:val="0"/>
              <w:spacing w:after="0" w:line="240" w:lineRule="auto"/>
              <w:jc w:val="both"/>
              <w:rPr>
                <w:rFonts w:ascii="Times New Roman" w:hAnsi="Times New Roman"/>
                <w:color w:val="000000"/>
                <w:sz w:val="24"/>
              </w:rPr>
            </w:pPr>
            <w:r w:rsidRPr="002C7DC5">
              <w:rPr>
                <w:rFonts w:ascii="Times New Roman" w:hAnsi="Times New Roman"/>
                <w:sz w:val="24"/>
                <w:szCs w:val="24"/>
              </w:rPr>
              <w:t>64,5%en 2019 contre 48% en 2014 (EDS-MICS 2014-2015 et MICS 2019).</w:t>
            </w:r>
          </w:p>
          <w:p w14:paraId="61AB342F" w14:textId="77777777" w:rsidR="002C7DC5" w:rsidRDefault="002C7DC5" w:rsidP="00763DEB">
            <w:pPr>
              <w:autoSpaceDE w:val="0"/>
              <w:autoSpaceDN w:val="0"/>
              <w:adjustRightInd w:val="0"/>
              <w:spacing w:after="0" w:line="240" w:lineRule="auto"/>
              <w:ind w:left="144"/>
              <w:contextualSpacing/>
              <w:jc w:val="both"/>
              <w:rPr>
                <w:rFonts w:ascii="Times New Roman" w:hAnsi="Times New Roman"/>
                <w:sz w:val="24"/>
                <w:szCs w:val="24"/>
              </w:rPr>
            </w:pPr>
          </w:p>
          <w:p w14:paraId="7ADC1FD9" w14:textId="77777777" w:rsidR="002C7DC5" w:rsidRDefault="002C7DC5" w:rsidP="00763DEB">
            <w:pPr>
              <w:autoSpaceDE w:val="0"/>
              <w:autoSpaceDN w:val="0"/>
              <w:adjustRightInd w:val="0"/>
              <w:spacing w:after="0" w:line="240" w:lineRule="auto"/>
              <w:ind w:left="144"/>
              <w:contextualSpacing/>
              <w:jc w:val="both"/>
              <w:rPr>
                <w:rFonts w:ascii="Times New Roman" w:hAnsi="Times New Roman"/>
                <w:sz w:val="24"/>
                <w:szCs w:val="24"/>
              </w:rPr>
            </w:pPr>
          </w:p>
          <w:p w14:paraId="3FC5EE20" w14:textId="3E771E8F" w:rsidR="002C7DC5" w:rsidRPr="002C7DC5" w:rsidRDefault="002C7DC5" w:rsidP="00BC1AE3">
            <w:pPr>
              <w:pStyle w:val="Paragraphedeliste"/>
              <w:numPr>
                <w:ilvl w:val="0"/>
                <w:numId w:val="58"/>
              </w:numPr>
              <w:autoSpaceDE w:val="0"/>
              <w:autoSpaceDN w:val="0"/>
              <w:adjustRightInd w:val="0"/>
              <w:spacing w:after="0" w:line="240" w:lineRule="auto"/>
              <w:jc w:val="both"/>
              <w:rPr>
                <w:rFonts w:ascii="Times New Roman" w:hAnsi="Times New Roman"/>
                <w:sz w:val="24"/>
                <w:szCs w:val="24"/>
              </w:rPr>
            </w:pPr>
            <w:r w:rsidRPr="002C7DC5">
              <w:rPr>
                <w:rFonts w:ascii="Times New Roman" w:hAnsi="Times New Roman"/>
                <w:sz w:val="24"/>
                <w:szCs w:val="24"/>
              </w:rPr>
              <w:t>44,9% en 2019 contre 32,6% en 2015(EDS-MICS 2014-2015 et MICS 2019).</w:t>
            </w:r>
          </w:p>
          <w:p w14:paraId="1DC9FF8D" w14:textId="77777777" w:rsidR="00C0127E" w:rsidRDefault="00C0127E" w:rsidP="00763DEB">
            <w:pPr>
              <w:autoSpaceDE w:val="0"/>
              <w:autoSpaceDN w:val="0"/>
              <w:adjustRightInd w:val="0"/>
              <w:spacing w:after="0" w:line="240" w:lineRule="auto"/>
              <w:jc w:val="both"/>
              <w:rPr>
                <w:rFonts w:ascii="Times New Roman" w:hAnsi="Times New Roman"/>
                <w:sz w:val="24"/>
                <w:szCs w:val="24"/>
              </w:rPr>
            </w:pPr>
          </w:p>
          <w:p w14:paraId="0ABF7594" w14:textId="38BD6FC2" w:rsidR="00C0127E" w:rsidRPr="00D66BF5" w:rsidRDefault="00C0127E" w:rsidP="00763DEB">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Ensemble</w:t>
            </w:r>
            <w:r w:rsidR="006252B9">
              <w:rPr>
                <w:rFonts w:ascii="Times New Roman" w:hAnsi="Times New Roman"/>
                <w:sz w:val="24"/>
                <w:szCs w:val="24"/>
              </w:rPr>
              <w:t> : 0,9 (2019) contre 0,85 (2014/15)</w:t>
            </w:r>
          </w:p>
          <w:p w14:paraId="6E0E53C7" w14:textId="618920BC" w:rsidR="00C0127E" w:rsidRPr="00D66BF5" w:rsidRDefault="00C0127E" w:rsidP="00763DEB">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Urbain</w:t>
            </w:r>
            <w:r w:rsidR="006252B9">
              <w:rPr>
                <w:rFonts w:ascii="Times New Roman" w:hAnsi="Times New Roman"/>
                <w:sz w:val="24"/>
                <w:szCs w:val="24"/>
              </w:rPr>
              <w:t> : 0,9 (2019) contre 0,94 (2014/15)</w:t>
            </w:r>
          </w:p>
          <w:p w14:paraId="432A4FAA" w14:textId="42918E17" w:rsidR="003F0B93" w:rsidRDefault="00C0127E" w:rsidP="00763DEB">
            <w:pPr>
              <w:spacing w:after="0"/>
              <w:rPr>
                <w:rFonts w:ascii="Times New Roman" w:hAnsi="Times New Roman"/>
                <w:sz w:val="24"/>
                <w:szCs w:val="24"/>
              </w:rPr>
            </w:pPr>
            <w:r w:rsidRPr="00D66BF5">
              <w:rPr>
                <w:rFonts w:ascii="Times New Roman" w:hAnsi="Times New Roman"/>
                <w:sz w:val="24"/>
                <w:szCs w:val="24"/>
              </w:rPr>
              <w:t>Rural</w:t>
            </w:r>
            <w:r w:rsidR="006252B9">
              <w:rPr>
                <w:rFonts w:ascii="Times New Roman" w:hAnsi="Times New Roman"/>
                <w:sz w:val="24"/>
                <w:szCs w:val="24"/>
              </w:rPr>
              <w:t> : 0,9 (2019) contre 0,82 (2014/15)</w:t>
            </w:r>
          </w:p>
          <w:p w14:paraId="493EF9DC" w14:textId="73570003" w:rsidR="00C0127E" w:rsidRPr="00D66BF5" w:rsidRDefault="00C0127E" w:rsidP="00763DEB">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Ensemble</w:t>
            </w:r>
            <w:r w:rsidR="006252B9">
              <w:rPr>
                <w:rFonts w:ascii="Times New Roman" w:hAnsi="Times New Roman"/>
                <w:sz w:val="24"/>
                <w:szCs w:val="24"/>
              </w:rPr>
              <w:t> : 0,7 (2019) contre 0,53 (2014/15)</w:t>
            </w:r>
          </w:p>
          <w:p w14:paraId="1004433E" w14:textId="37D31E18" w:rsidR="00C0127E" w:rsidRPr="00D66BF5" w:rsidRDefault="00C0127E" w:rsidP="00763DEB">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Urbain</w:t>
            </w:r>
            <w:r w:rsidR="006252B9">
              <w:rPr>
                <w:rFonts w:ascii="Times New Roman" w:hAnsi="Times New Roman"/>
                <w:sz w:val="24"/>
                <w:szCs w:val="24"/>
              </w:rPr>
              <w:t> : 0,8 (2019) contre 0,65 (2014/15)</w:t>
            </w:r>
          </w:p>
          <w:p w14:paraId="59413BE1" w14:textId="65E23F9E" w:rsidR="00C0127E" w:rsidRDefault="00C0127E" w:rsidP="00763DEB">
            <w:pPr>
              <w:spacing w:after="0"/>
              <w:rPr>
                <w:rFonts w:ascii="Times New Roman" w:hAnsi="Times New Roman"/>
                <w:sz w:val="24"/>
                <w:szCs w:val="24"/>
              </w:rPr>
            </w:pPr>
            <w:r w:rsidRPr="00D66BF5">
              <w:rPr>
                <w:rFonts w:ascii="Times New Roman" w:hAnsi="Times New Roman"/>
                <w:sz w:val="24"/>
                <w:szCs w:val="24"/>
              </w:rPr>
              <w:t>Rural</w:t>
            </w:r>
            <w:r w:rsidR="006252B9">
              <w:rPr>
                <w:rFonts w:ascii="Times New Roman" w:hAnsi="Times New Roman"/>
                <w:sz w:val="24"/>
                <w:szCs w:val="24"/>
              </w:rPr>
              <w:t> : 0,5 (2019) contre 0,42 (2014/15)</w:t>
            </w:r>
          </w:p>
          <w:p w14:paraId="36A2FEA1" w14:textId="7EDFB002" w:rsidR="00C0127E" w:rsidRPr="00D66BF5" w:rsidRDefault="00C0127E" w:rsidP="00763DEB">
            <w:pPr>
              <w:autoSpaceDE w:val="0"/>
              <w:autoSpaceDN w:val="0"/>
              <w:adjustRightInd w:val="0"/>
              <w:spacing w:after="0" w:line="240" w:lineRule="auto"/>
              <w:rPr>
                <w:rFonts w:ascii="Times New Roman" w:hAnsi="Times New Roman"/>
                <w:sz w:val="24"/>
                <w:szCs w:val="24"/>
              </w:rPr>
            </w:pPr>
            <w:r w:rsidRPr="00D66BF5">
              <w:rPr>
                <w:rFonts w:ascii="Times New Roman" w:hAnsi="Times New Roman"/>
                <w:sz w:val="24"/>
                <w:szCs w:val="24"/>
              </w:rPr>
              <w:t>Ensemble</w:t>
            </w:r>
            <w:r w:rsidR="006252B9">
              <w:rPr>
                <w:rFonts w:ascii="Times New Roman" w:hAnsi="Times New Roman"/>
                <w:sz w:val="24"/>
                <w:szCs w:val="24"/>
              </w:rPr>
              <w:t> : 0,5 (2019) contre 0,</w:t>
            </w:r>
            <w:r w:rsidR="00F90E52">
              <w:rPr>
                <w:rFonts w:ascii="Times New Roman" w:hAnsi="Times New Roman"/>
                <w:sz w:val="24"/>
                <w:szCs w:val="24"/>
              </w:rPr>
              <w:t xml:space="preserve">53 </w:t>
            </w:r>
            <w:r w:rsidR="006252B9">
              <w:rPr>
                <w:rFonts w:ascii="Times New Roman" w:hAnsi="Times New Roman"/>
                <w:sz w:val="24"/>
                <w:szCs w:val="24"/>
              </w:rPr>
              <w:t>(2014/15) :</w:t>
            </w:r>
          </w:p>
          <w:p w14:paraId="260F42CD" w14:textId="0574B6E3" w:rsidR="00C0127E" w:rsidRPr="00D66BF5" w:rsidRDefault="00C0127E" w:rsidP="00763DEB">
            <w:pPr>
              <w:autoSpaceDE w:val="0"/>
              <w:autoSpaceDN w:val="0"/>
              <w:adjustRightInd w:val="0"/>
              <w:spacing w:after="0" w:line="240" w:lineRule="auto"/>
              <w:rPr>
                <w:rFonts w:ascii="Times New Roman" w:hAnsi="Times New Roman"/>
                <w:sz w:val="24"/>
                <w:szCs w:val="24"/>
              </w:rPr>
            </w:pPr>
            <w:r w:rsidRPr="00D66BF5">
              <w:rPr>
                <w:rFonts w:ascii="Times New Roman" w:hAnsi="Times New Roman"/>
                <w:sz w:val="24"/>
                <w:szCs w:val="24"/>
              </w:rPr>
              <w:t>Urbain</w:t>
            </w:r>
            <w:r w:rsidR="006252B9">
              <w:rPr>
                <w:rFonts w:ascii="Times New Roman" w:hAnsi="Times New Roman"/>
                <w:sz w:val="24"/>
                <w:szCs w:val="24"/>
              </w:rPr>
              <w:t> : 0,</w:t>
            </w:r>
            <w:r w:rsidR="00F90E52">
              <w:rPr>
                <w:rFonts w:ascii="Times New Roman" w:hAnsi="Times New Roman"/>
                <w:sz w:val="24"/>
                <w:szCs w:val="24"/>
              </w:rPr>
              <w:t>7</w:t>
            </w:r>
            <w:r w:rsidR="006252B9">
              <w:rPr>
                <w:rFonts w:ascii="Times New Roman" w:hAnsi="Times New Roman"/>
                <w:sz w:val="24"/>
                <w:szCs w:val="24"/>
              </w:rPr>
              <w:t xml:space="preserve"> (2019) contre 0,</w:t>
            </w:r>
            <w:r w:rsidR="00F90E52">
              <w:rPr>
                <w:rFonts w:ascii="Times New Roman" w:hAnsi="Times New Roman"/>
                <w:sz w:val="24"/>
                <w:szCs w:val="24"/>
              </w:rPr>
              <w:t>65</w:t>
            </w:r>
            <w:r w:rsidR="006252B9">
              <w:rPr>
                <w:rFonts w:ascii="Times New Roman" w:hAnsi="Times New Roman"/>
                <w:sz w:val="24"/>
                <w:szCs w:val="24"/>
              </w:rPr>
              <w:t>(2014/15)</w:t>
            </w:r>
          </w:p>
          <w:p w14:paraId="5C529C78" w14:textId="5D786485" w:rsidR="00C0127E" w:rsidRDefault="00C0127E" w:rsidP="00763DEB">
            <w:pPr>
              <w:spacing w:after="0"/>
              <w:rPr>
                <w:rFonts w:ascii="Times New Roman" w:hAnsi="Times New Roman"/>
                <w:sz w:val="24"/>
                <w:szCs w:val="24"/>
              </w:rPr>
            </w:pPr>
            <w:r w:rsidRPr="00D66BF5">
              <w:rPr>
                <w:rFonts w:ascii="Times New Roman" w:hAnsi="Times New Roman"/>
                <w:sz w:val="24"/>
                <w:szCs w:val="24"/>
              </w:rPr>
              <w:t>Rural</w:t>
            </w:r>
            <w:r w:rsidR="00F90E52">
              <w:rPr>
                <w:rFonts w:ascii="Times New Roman" w:hAnsi="Times New Roman"/>
                <w:sz w:val="24"/>
                <w:szCs w:val="24"/>
              </w:rPr>
              <w:t> :</w:t>
            </w:r>
            <w:r w:rsidR="006252B9">
              <w:rPr>
                <w:rFonts w:ascii="Times New Roman" w:hAnsi="Times New Roman"/>
                <w:sz w:val="24"/>
                <w:szCs w:val="24"/>
              </w:rPr>
              <w:t>0,</w:t>
            </w:r>
            <w:r w:rsidR="00F90E52">
              <w:rPr>
                <w:rFonts w:ascii="Times New Roman" w:hAnsi="Times New Roman"/>
                <w:sz w:val="24"/>
                <w:szCs w:val="24"/>
              </w:rPr>
              <w:t>2</w:t>
            </w:r>
            <w:r w:rsidR="006252B9">
              <w:rPr>
                <w:rFonts w:ascii="Times New Roman" w:hAnsi="Times New Roman"/>
                <w:sz w:val="24"/>
                <w:szCs w:val="24"/>
              </w:rPr>
              <w:t xml:space="preserve"> (2019) contre 0,</w:t>
            </w:r>
            <w:r w:rsidR="00F90E52">
              <w:rPr>
                <w:rFonts w:ascii="Times New Roman" w:hAnsi="Times New Roman"/>
                <w:sz w:val="24"/>
                <w:szCs w:val="24"/>
              </w:rPr>
              <w:t xml:space="preserve">42 </w:t>
            </w:r>
            <w:r w:rsidR="006252B9">
              <w:rPr>
                <w:rFonts w:ascii="Times New Roman" w:hAnsi="Times New Roman"/>
                <w:sz w:val="24"/>
                <w:szCs w:val="24"/>
              </w:rPr>
              <w:t>(2014/15)</w:t>
            </w:r>
          </w:p>
          <w:p w14:paraId="68D75B65" w14:textId="77777777" w:rsidR="0099545B" w:rsidRDefault="0099545B" w:rsidP="00763DEB">
            <w:pPr>
              <w:spacing w:after="0"/>
              <w:rPr>
                <w:rFonts w:ascii="Times New Roman" w:hAnsi="Times New Roman"/>
                <w:sz w:val="24"/>
                <w:szCs w:val="24"/>
              </w:rPr>
            </w:pPr>
          </w:p>
          <w:p w14:paraId="28DA33C5" w14:textId="134E5A06" w:rsidR="0099545B" w:rsidRPr="00820FF0" w:rsidRDefault="0099545B"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 xml:space="preserve"> </w:t>
            </w:r>
            <w:r w:rsidR="00820FF0" w:rsidRPr="00D66BF5">
              <w:rPr>
                <w:rFonts w:ascii="Times New Roman" w:hAnsi="Times New Roman"/>
                <w:color w:val="000000"/>
                <w:sz w:val="24"/>
              </w:rPr>
              <w:t xml:space="preserve">41,5% </w:t>
            </w:r>
            <w:r w:rsidR="00820FF0">
              <w:rPr>
                <w:rFonts w:ascii="Times New Roman" w:hAnsi="Times New Roman"/>
                <w:color w:val="000000"/>
                <w:sz w:val="24"/>
              </w:rPr>
              <w:t>en 2019 (</w:t>
            </w:r>
            <w:r w:rsidR="00820FF0" w:rsidRPr="001B23A8">
              <w:rPr>
                <w:rFonts w:ascii="Times New Roman" w:hAnsi="Times New Roman"/>
                <w:color w:val="000000"/>
                <w:sz w:val="24"/>
              </w:rPr>
              <w:t>ECOSIT4, 2018/2019</w:t>
            </w:r>
            <w:r w:rsidR="00820FF0" w:rsidRPr="00D66BF5">
              <w:rPr>
                <w:rFonts w:ascii="Times New Roman" w:hAnsi="Times New Roman"/>
                <w:color w:val="000000"/>
                <w:sz w:val="24"/>
              </w:rPr>
              <w:t>)</w:t>
            </w:r>
            <w:r w:rsidR="00820FF0">
              <w:rPr>
                <w:rFonts w:ascii="Times New Roman" w:hAnsi="Times New Roman"/>
                <w:color w:val="000000"/>
                <w:sz w:val="24"/>
              </w:rPr>
              <w:t xml:space="preserve"> </w:t>
            </w:r>
            <w:r w:rsidR="000C7089">
              <w:rPr>
                <w:rFonts w:ascii="Times New Roman" w:hAnsi="Times New Roman"/>
                <w:color w:val="000000"/>
                <w:sz w:val="24"/>
              </w:rPr>
              <w:t xml:space="preserve">contre </w:t>
            </w:r>
            <w:r w:rsidR="000C7089" w:rsidRPr="00820FF0">
              <w:rPr>
                <w:rFonts w:ascii="Times New Roman" w:hAnsi="Times New Roman"/>
                <w:color w:val="000000"/>
                <w:sz w:val="24"/>
              </w:rPr>
              <w:t>26</w:t>
            </w:r>
            <w:r w:rsidRPr="00820FF0">
              <w:rPr>
                <w:rFonts w:ascii="Times New Roman" w:hAnsi="Times New Roman"/>
                <w:color w:val="000000"/>
                <w:sz w:val="24"/>
              </w:rPr>
              <w:t xml:space="preserve">,8% </w:t>
            </w:r>
            <w:r w:rsidR="00820FF0">
              <w:rPr>
                <w:rFonts w:ascii="Times New Roman" w:hAnsi="Times New Roman"/>
                <w:color w:val="000000"/>
                <w:sz w:val="24"/>
              </w:rPr>
              <w:t>en 2011</w:t>
            </w:r>
            <w:r w:rsidRPr="00820FF0">
              <w:rPr>
                <w:rFonts w:ascii="Times New Roman" w:hAnsi="Times New Roman"/>
                <w:color w:val="000000"/>
                <w:sz w:val="24"/>
              </w:rPr>
              <w:t> (ECOSIT3,2011</w:t>
            </w:r>
            <w:r w:rsidR="00820FF0">
              <w:rPr>
                <w:rFonts w:ascii="Times New Roman" w:hAnsi="Times New Roman"/>
                <w:color w:val="000000"/>
                <w:sz w:val="24"/>
              </w:rPr>
              <w:t>)</w:t>
            </w:r>
          </w:p>
          <w:p w14:paraId="30552985" w14:textId="68498DF2" w:rsidR="0099545B" w:rsidRDefault="0099545B" w:rsidP="00763DEB">
            <w:pPr>
              <w:spacing w:after="0"/>
              <w:rPr>
                <w:rFonts w:ascii="Times New Roman" w:hAnsi="Times New Roman" w:cs="Arial"/>
                <w:color w:val="000000"/>
                <w:sz w:val="24"/>
              </w:rPr>
            </w:pPr>
          </w:p>
        </w:tc>
      </w:tr>
      <w:tr w:rsidR="003F0B93" w14:paraId="6BEB71FA" w14:textId="77777777" w:rsidTr="00763DEB">
        <w:tc>
          <w:tcPr>
            <w:tcW w:w="1696" w:type="dxa"/>
          </w:tcPr>
          <w:p w14:paraId="0A61DC01" w14:textId="1B8AD3EC" w:rsidR="003F0B93" w:rsidRDefault="002C7DC5" w:rsidP="00763DEB">
            <w:pPr>
              <w:spacing w:after="0"/>
              <w:jc w:val="both"/>
              <w:rPr>
                <w:rFonts w:ascii="Times New Roman" w:hAnsi="Times New Roman" w:cs="Arial"/>
                <w:color w:val="000000"/>
                <w:sz w:val="24"/>
              </w:rPr>
            </w:pPr>
            <w:r>
              <w:rPr>
                <w:rFonts w:ascii="Times New Roman" w:hAnsi="Times New Roman" w:cs="Arial"/>
                <w:color w:val="000000"/>
                <w:sz w:val="24"/>
              </w:rPr>
              <w:t xml:space="preserve">Eau, assainissement et </w:t>
            </w:r>
            <w:r w:rsidR="0044719C">
              <w:rPr>
                <w:rFonts w:ascii="Times New Roman" w:hAnsi="Times New Roman" w:cs="Arial"/>
                <w:color w:val="000000"/>
                <w:sz w:val="24"/>
              </w:rPr>
              <w:t>hygiène</w:t>
            </w:r>
          </w:p>
        </w:tc>
        <w:tc>
          <w:tcPr>
            <w:tcW w:w="3738" w:type="dxa"/>
          </w:tcPr>
          <w:p w14:paraId="6741BA73" w14:textId="1CEA4A4A" w:rsidR="003F0B93" w:rsidRDefault="000C7089" w:rsidP="00763DEB">
            <w:pPr>
              <w:spacing w:after="0"/>
              <w:jc w:val="both"/>
              <w:rPr>
                <w:rFonts w:ascii="Times New Roman" w:hAnsi="Times New Roman" w:cs="Arial"/>
                <w:color w:val="000000"/>
                <w:sz w:val="24"/>
              </w:rPr>
            </w:pPr>
            <w:r>
              <w:rPr>
                <w:rFonts w:ascii="Times New Roman" w:hAnsi="Times New Roman"/>
                <w:color w:val="000000"/>
                <w:sz w:val="24"/>
              </w:rPr>
              <w:t>T</w:t>
            </w:r>
            <w:r w:rsidR="0099545B" w:rsidRPr="00D66BF5">
              <w:rPr>
                <w:rFonts w:ascii="Times New Roman" w:hAnsi="Times New Roman"/>
                <w:color w:val="000000"/>
                <w:sz w:val="24"/>
              </w:rPr>
              <w:t>aux d’accès à l’eau potabl</w:t>
            </w:r>
            <w:r>
              <w:rPr>
                <w:rFonts w:ascii="Times New Roman" w:hAnsi="Times New Roman"/>
                <w:color w:val="000000"/>
                <w:sz w:val="24"/>
              </w:rPr>
              <w:t>e</w:t>
            </w:r>
          </w:p>
        </w:tc>
        <w:tc>
          <w:tcPr>
            <w:tcW w:w="4477" w:type="dxa"/>
          </w:tcPr>
          <w:p w14:paraId="5F9AAE6F" w14:textId="3A38C109" w:rsidR="003F0B93" w:rsidRDefault="0099545B" w:rsidP="00763DEB">
            <w:pPr>
              <w:spacing w:after="0"/>
              <w:jc w:val="both"/>
              <w:rPr>
                <w:rFonts w:ascii="Times New Roman" w:hAnsi="Times New Roman" w:cs="Arial"/>
                <w:color w:val="000000"/>
                <w:sz w:val="24"/>
              </w:rPr>
            </w:pPr>
            <w:r w:rsidRPr="00D66BF5">
              <w:rPr>
                <w:rFonts w:ascii="Times New Roman" w:hAnsi="Times New Roman"/>
                <w:color w:val="000000"/>
                <w:sz w:val="24"/>
              </w:rPr>
              <w:t>Le taux d’accès à l’eau potable est passé de 56,1% en 2014 à 61,8% en 2019</w:t>
            </w:r>
          </w:p>
        </w:tc>
      </w:tr>
      <w:tr w:rsidR="0044719C" w14:paraId="63A29504" w14:textId="77777777" w:rsidTr="00763DEB">
        <w:tc>
          <w:tcPr>
            <w:tcW w:w="1696" w:type="dxa"/>
          </w:tcPr>
          <w:p w14:paraId="5419D490" w14:textId="583C1909" w:rsidR="0044719C" w:rsidRDefault="0044719C" w:rsidP="00763DEB">
            <w:pPr>
              <w:spacing w:after="0"/>
              <w:jc w:val="both"/>
              <w:rPr>
                <w:rFonts w:ascii="Times New Roman" w:hAnsi="Times New Roman" w:cs="Arial"/>
                <w:color w:val="000000"/>
                <w:sz w:val="24"/>
              </w:rPr>
            </w:pPr>
            <w:r>
              <w:rPr>
                <w:rFonts w:ascii="Times New Roman" w:hAnsi="Times New Roman" w:cs="Arial"/>
                <w:color w:val="000000"/>
                <w:sz w:val="24"/>
              </w:rPr>
              <w:t>Protection de l’enfant et de la femme</w:t>
            </w:r>
          </w:p>
        </w:tc>
        <w:tc>
          <w:tcPr>
            <w:tcW w:w="3738" w:type="dxa"/>
          </w:tcPr>
          <w:p w14:paraId="6F3BB6AF" w14:textId="6054CC90" w:rsidR="0044719C" w:rsidRDefault="000C7089" w:rsidP="00BC1AE3">
            <w:pPr>
              <w:numPr>
                <w:ilvl w:val="0"/>
                <w:numId w:val="19"/>
              </w:numPr>
              <w:spacing w:after="0" w:line="276" w:lineRule="auto"/>
              <w:contextualSpacing/>
              <w:jc w:val="both"/>
              <w:rPr>
                <w:rFonts w:ascii="Times New Roman" w:hAnsi="Times New Roman"/>
                <w:sz w:val="24"/>
                <w:szCs w:val="24"/>
              </w:rPr>
            </w:pPr>
            <w:r>
              <w:rPr>
                <w:rFonts w:ascii="Times New Roman" w:hAnsi="Times New Roman"/>
                <w:sz w:val="24"/>
                <w:szCs w:val="24"/>
              </w:rPr>
              <w:t>P</w:t>
            </w:r>
            <w:r w:rsidR="0044719C" w:rsidRPr="00D66BF5">
              <w:rPr>
                <w:rFonts w:ascii="Times New Roman" w:hAnsi="Times New Roman"/>
                <w:sz w:val="24"/>
                <w:szCs w:val="24"/>
              </w:rPr>
              <w:t xml:space="preserve">roportion d’enfants âgés de 0 à 5 ans ayant été enregistrés par une autorité d’état civil </w:t>
            </w:r>
          </w:p>
          <w:p w14:paraId="30389804" w14:textId="062C93EB" w:rsidR="000C7089" w:rsidRDefault="000C7089" w:rsidP="00763DEB">
            <w:pPr>
              <w:spacing w:after="0" w:line="276" w:lineRule="auto"/>
              <w:contextualSpacing/>
              <w:jc w:val="both"/>
              <w:rPr>
                <w:rFonts w:ascii="Times New Roman" w:hAnsi="Times New Roman"/>
                <w:sz w:val="24"/>
                <w:szCs w:val="24"/>
              </w:rPr>
            </w:pPr>
          </w:p>
          <w:p w14:paraId="77335644" w14:textId="07815BE1" w:rsidR="000C7089" w:rsidRDefault="000C7089" w:rsidP="00763DEB">
            <w:pPr>
              <w:spacing w:after="0" w:line="276" w:lineRule="auto"/>
              <w:contextualSpacing/>
              <w:jc w:val="both"/>
              <w:rPr>
                <w:rFonts w:ascii="Times New Roman" w:hAnsi="Times New Roman"/>
                <w:sz w:val="24"/>
                <w:szCs w:val="24"/>
              </w:rPr>
            </w:pPr>
          </w:p>
          <w:p w14:paraId="08AE6CE1" w14:textId="2693B8AD" w:rsidR="000C7089" w:rsidRDefault="000C7089" w:rsidP="00763DEB">
            <w:pPr>
              <w:spacing w:after="0" w:line="276" w:lineRule="auto"/>
              <w:contextualSpacing/>
              <w:jc w:val="both"/>
              <w:rPr>
                <w:rFonts w:ascii="Times New Roman" w:hAnsi="Times New Roman"/>
                <w:sz w:val="24"/>
                <w:szCs w:val="24"/>
              </w:rPr>
            </w:pPr>
          </w:p>
          <w:p w14:paraId="0C207C86" w14:textId="77777777" w:rsidR="000C7089" w:rsidRPr="00D66BF5" w:rsidRDefault="000C7089" w:rsidP="00763DEB">
            <w:pPr>
              <w:spacing w:after="0" w:line="276" w:lineRule="auto"/>
              <w:contextualSpacing/>
              <w:jc w:val="both"/>
              <w:rPr>
                <w:rFonts w:ascii="Times New Roman" w:hAnsi="Times New Roman"/>
                <w:sz w:val="24"/>
                <w:szCs w:val="24"/>
              </w:rPr>
            </w:pPr>
          </w:p>
          <w:p w14:paraId="60DC378E" w14:textId="3E805227" w:rsidR="0044719C" w:rsidRDefault="000C7089" w:rsidP="00BC1AE3">
            <w:pPr>
              <w:numPr>
                <w:ilvl w:val="0"/>
                <w:numId w:val="19"/>
              </w:numPr>
              <w:spacing w:after="0" w:line="276" w:lineRule="auto"/>
              <w:contextualSpacing/>
              <w:jc w:val="both"/>
              <w:rPr>
                <w:rFonts w:ascii="Times New Roman" w:hAnsi="Times New Roman"/>
                <w:sz w:val="24"/>
                <w:szCs w:val="24"/>
              </w:rPr>
            </w:pPr>
            <w:r>
              <w:rPr>
                <w:rFonts w:ascii="Times New Roman" w:hAnsi="Times New Roman"/>
                <w:sz w:val="24"/>
                <w:szCs w:val="24"/>
              </w:rPr>
              <w:t xml:space="preserve">Proportion </w:t>
            </w:r>
            <w:r w:rsidR="0044719C" w:rsidRPr="00D66BF5">
              <w:rPr>
                <w:rFonts w:ascii="Times New Roman" w:hAnsi="Times New Roman"/>
                <w:sz w:val="24"/>
                <w:szCs w:val="24"/>
              </w:rPr>
              <w:t xml:space="preserve">des enfants âgés de 1-14 ans </w:t>
            </w:r>
            <w:r>
              <w:rPr>
                <w:rFonts w:ascii="Times New Roman" w:hAnsi="Times New Roman"/>
                <w:sz w:val="24"/>
                <w:szCs w:val="24"/>
              </w:rPr>
              <w:t xml:space="preserve">ayant </w:t>
            </w:r>
            <w:r w:rsidR="0044719C" w:rsidRPr="00D66BF5">
              <w:rPr>
                <w:rFonts w:ascii="Times New Roman" w:hAnsi="Times New Roman"/>
                <w:sz w:val="24"/>
                <w:szCs w:val="24"/>
              </w:rPr>
              <w:t xml:space="preserve">subi n’importe quel châtiment corporel ou agression psychologique par leur gardien(ne) durant le mois dernier </w:t>
            </w:r>
          </w:p>
          <w:p w14:paraId="5BDC7902" w14:textId="77777777" w:rsidR="000C7089" w:rsidRPr="00D66BF5" w:rsidRDefault="000C7089" w:rsidP="00763DEB">
            <w:pPr>
              <w:spacing w:after="0" w:line="276" w:lineRule="auto"/>
              <w:ind w:left="720"/>
              <w:contextualSpacing/>
              <w:jc w:val="both"/>
              <w:rPr>
                <w:rFonts w:ascii="Times New Roman" w:hAnsi="Times New Roman"/>
                <w:sz w:val="24"/>
                <w:szCs w:val="24"/>
              </w:rPr>
            </w:pPr>
          </w:p>
          <w:p w14:paraId="7B4C36A6" w14:textId="15187BC1" w:rsidR="0044719C" w:rsidRDefault="0044719C" w:rsidP="00BC1AE3">
            <w:pPr>
              <w:numPr>
                <w:ilvl w:val="0"/>
                <w:numId w:val="19"/>
              </w:numPr>
              <w:spacing w:after="0" w:line="276" w:lineRule="auto"/>
              <w:contextualSpacing/>
              <w:jc w:val="both"/>
              <w:rPr>
                <w:rFonts w:ascii="Times New Roman" w:hAnsi="Times New Roman"/>
                <w:sz w:val="24"/>
                <w:szCs w:val="24"/>
              </w:rPr>
            </w:pPr>
            <w:r w:rsidRPr="00D66BF5">
              <w:rPr>
                <w:rFonts w:ascii="Times New Roman" w:hAnsi="Times New Roman"/>
                <w:sz w:val="24"/>
                <w:szCs w:val="24"/>
              </w:rPr>
              <w:t xml:space="preserve">Proportion d’enfants âgés de 5 à 17 ans qui travaillent </w:t>
            </w:r>
          </w:p>
          <w:p w14:paraId="6750473E" w14:textId="2F9C2A51" w:rsidR="000C7089" w:rsidRDefault="000C7089" w:rsidP="00763DEB">
            <w:pPr>
              <w:spacing w:after="0" w:line="276" w:lineRule="auto"/>
              <w:contextualSpacing/>
              <w:jc w:val="both"/>
              <w:rPr>
                <w:rFonts w:ascii="Times New Roman" w:hAnsi="Times New Roman"/>
                <w:sz w:val="24"/>
                <w:szCs w:val="24"/>
              </w:rPr>
            </w:pPr>
          </w:p>
          <w:p w14:paraId="1510414A" w14:textId="77777777" w:rsidR="00284461" w:rsidRPr="00D66BF5" w:rsidRDefault="00284461" w:rsidP="00763DEB">
            <w:pPr>
              <w:spacing w:after="0" w:line="276" w:lineRule="auto"/>
              <w:contextualSpacing/>
              <w:jc w:val="both"/>
              <w:rPr>
                <w:rFonts w:ascii="Times New Roman" w:hAnsi="Times New Roman"/>
                <w:sz w:val="24"/>
                <w:szCs w:val="24"/>
              </w:rPr>
            </w:pPr>
          </w:p>
          <w:p w14:paraId="35D96602" w14:textId="69781099" w:rsidR="0044719C" w:rsidRDefault="000C7089" w:rsidP="00BC1AE3">
            <w:pPr>
              <w:numPr>
                <w:ilvl w:val="0"/>
                <w:numId w:val="19"/>
              </w:numPr>
              <w:spacing w:after="0" w:line="276" w:lineRule="auto"/>
              <w:contextualSpacing/>
              <w:jc w:val="both"/>
              <w:rPr>
                <w:rFonts w:ascii="Times New Roman" w:hAnsi="Times New Roman"/>
                <w:sz w:val="24"/>
                <w:szCs w:val="24"/>
              </w:rPr>
            </w:pPr>
            <w:r>
              <w:rPr>
                <w:rFonts w:ascii="Times New Roman" w:hAnsi="Times New Roman"/>
                <w:sz w:val="24"/>
                <w:szCs w:val="24"/>
              </w:rPr>
              <w:t>P</w:t>
            </w:r>
            <w:r w:rsidR="0044719C" w:rsidRPr="00D66BF5">
              <w:rPr>
                <w:rFonts w:ascii="Times New Roman" w:hAnsi="Times New Roman"/>
                <w:sz w:val="24"/>
                <w:szCs w:val="24"/>
              </w:rPr>
              <w:t xml:space="preserve">roportion de femmes âgées de 20 à 24 ans qui étaient mariées ou en couple avant l’âge de 15 ans </w:t>
            </w:r>
          </w:p>
          <w:p w14:paraId="0BFC850F" w14:textId="77777777" w:rsidR="000C7089" w:rsidRPr="00D66BF5" w:rsidRDefault="000C7089" w:rsidP="00763DEB">
            <w:pPr>
              <w:spacing w:after="0" w:line="276" w:lineRule="auto"/>
              <w:contextualSpacing/>
              <w:jc w:val="both"/>
              <w:rPr>
                <w:rFonts w:ascii="Times New Roman" w:hAnsi="Times New Roman"/>
                <w:sz w:val="24"/>
                <w:szCs w:val="24"/>
              </w:rPr>
            </w:pPr>
          </w:p>
          <w:p w14:paraId="7DFC70BA" w14:textId="3E84E245" w:rsidR="0044719C" w:rsidRPr="00763DEB" w:rsidRDefault="000C7089" w:rsidP="00BC1AE3">
            <w:pPr>
              <w:numPr>
                <w:ilvl w:val="0"/>
                <w:numId w:val="19"/>
              </w:numPr>
              <w:spacing w:after="0" w:line="276" w:lineRule="auto"/>
              <w:contextualSpacing/>
              <w:jc w:val="both"/>
              <w:rPr>
                <w:rFonts w:ascii="Times New Roman" w:hAnsi="Times New Roman"/>
                <w:sz w:val="24"/>
                <w:szCs w:val="24"/>
              </w:rPr>
            </w:pPr>
            <w:r>
              <w:rPr>
                <w:rFonts w:ascii="Times New Roman" w:hAnsi="Times New Roman"/>
                <w:sz w:val="24"/>
                <w:szCs w:val="24"/>
              </w:rPr>
              <w:t xml:space="preserve">Taux des </w:t>
            </w:r>
            <w:r w:rsidR="0044719C" w:rsidRPr="00D66BF5">
              <w:rPr>
                <w:rFonts w:ascii="Times New Roman" w:hAnsi="Times New Roman"/>
                <w:sz w:val="24"/>
                <w:szCs w:val="24"/>
              </w:rPr>
              <w:t xml:space="preserve">MGF (Mutilations Génitales Féminines) </w:t>
            </w:r>
          </w:p>
        </w:tc>
        <w:tc>
          <w:tcPr>
            <w:tcW w:w="4477" w:type="dxa"/>
          </w:tcPr>
          <w:p w14:paraId="410B98B3" w14:textId="77777777" w:rsidR="0044719C" w:rsidRPr="00D66BF5" w:rsidRDefault="0044719C" w:rsidP="00BC1AE3">
            <w:pPr>
              <w:numPr>
                <w:ilvl w:val="0"/>
                <w:numId w:val="19"/>
              </w:numPr>
              <w:spacing w:after="0" w:line="276" w:lineRule="auto"/>
              <w:contextualSpacing/>
              <w:jc w:val="both"/>
              <w:rPr>
                <w:rFonts w:ascii="Times New Roman" w:hAnsi="Times New Roman"/>
                <w:sz w:val="24"/>
                <w:szCs w:val="24"/>
              </w:rPr>
            </w:pPr>
            <w:r w:rsidRPr="00D66BF5">
              <w:rPr>
                <w:rFonts w:ascii="Times New Roman" w:hAnsi="Times New Roman"/>
                <w:sz w:val="24"/>
                <w:szCs w:val="24"/>
              </w:rPr>
              <w:lastRenderedPageBreak/>
              <w:t xml:space="preserve">En 2019, la proportion d’enfants âgés de 0 à 5 ans ayant été enregistrés par une autorité d’état civil reste faible (25,7% ; MICS 2019) même si on relève une nette amélioration par </w:t>
            </w:r>
            <w:r w:rsidRPr="00D66BF5">
              <w:rPr>
                <w:rFonts w:ascii="Times New Roman" w:hAnsi="Times New Roman"/>
                <w:sz w:val="24"/>
                <w:szCs w:val="24"/>
              </w:rPr>
              <w:lastRenderedPageBreak/>
              <w:t>rapport à la situation de 2015 (12% ; EDS-MICS 2014-2015)</w:t>
            </w:r>
            <w:proofErr w:type="gramStart"/>
            <w:r w:rsidRPr="00D66BF5">
              <w:rPr>
                <w:rFonts w:ascii="Times New Roman" w:hAnsi="Times New Roman"/>
                <w:sz w:val="24"/>
                <w:szCs w:val="24"/>
              </w:rPr>
              <w:t>.;</w:t>
            </w:r>
            <w:proofErr w:type="gramEnd"/>
          </w:p>
          <w:p w14:paraId="74EDD1FB" w14:textId="0B0A7659" w:rsidR="0044719C" w:rsidRDefault="0044719C" w:rsidP="00BC1AE3">
            <w:pPr>
              <w:numPr>
                <w:ilvl w:val="0"/>
                <w:numId w:val="19"/>
              </w:numPr>
              <w:spacing w:after="0" w:line="276" w:lineRule="auto"/>
              <w:contextualSpacing/>
              <w:jc w:val="both"/>
              <w:rPr>
                <w:rFonts w:ascii="Times New Roman" w:hAnsi="Times New Roman"/>
                <w:sz w:val="24"/>
                <w:szCs w:val="24"/>
              </w:rPr>
            </w:pPr>
            <w:r w:rsidRPr="00D66BF5">
              <w:rPr>
                <w:rFonts w:ascii="Times New Roman" w:hAnsi="Times New Roman"/>
                <w:sz w:val="24"/>
                <w:szCs w:val="24"/>
              </w:rPr>
              <w:t>85,3% des enfants âgés de 1-14 ans (MICS 2019</w:t>
            </w:r>
            <w:proofErr w:type="gramStart"/>
            <w:r w:rsidRPr="00D66BF5">
              <w:rPr>
                <w:rFonts w:ascii="Times New Roman" w:hAnsi="Times New Roman"/>
                <w:sz w:val="24"/>
                <w:szCs w:val="24"/>
              </w:rPr>
              <w:t>);</w:t>
            </w:r>
            <w:proofErr w:type="gramEnd"/>
          </w:p>
          <w:p w14:paraId="11FCD8D2" w14:textId="2C16AF88" w:rsidR="000C7089" w:rsidRDefault="000C7089" w:rsidP="00763DEB">
            <w:pPr>
              <w:spacing w:after="0" w:line="276" w:lineRule="auto"/>
              <w:contextualSpacing/>
              <w:jc w:val="both"/>
              <w:rPr>
                <w:rFonts w:ascii="Times New Roman" w:hAnsi="Times New Roman"/>
                <w:sz w:val="24"/>
                <w:szCs w:val="24"/>
              </w:rPr>
            </w:pPr>
          </w:p>
          <w:p w14:paraId="7D58B391" w14:textId="4EEDC699" w:rsidR="000C7089" w:rsidRDefault="000C7089" w:rsidP="00763DEB">
            <w:pPr>
              <w:spacing w:after="0" w:line="276" w:lineRule="auto"/>
              <w:contextualSpacing/>
              <w:jc w:val="both"/>
              <w:rPr>
                <w:rFonts w:ascii="Times New Roman" w:hAnsi="Times New Roman"/>
                <w:sz w:val="24"/>
                <w:szCs w:val="24"/>
              </w:rPr>
            </w:pPr>
          </w:p>
          <w:p w14:paraId="12E8BE6A" w14:textId="2B6AF6CC" w:rsidR="000C7089" w:rsidRDefault="000C7089" w:rsidP="00763DEB">
            <w:pPr>
              <w:spacing w:after="0" w:line="276" w:lineRule="auto"/>
              <w:contextualSpacing/>
              <w:jc w:val="both"/>
              <w:rPr>
                <w:rFonts w:ascii="Times New Roman" w:hAnsi="Times New Roman"/>
                <w:sz w:val="24"/>
                <w:szCs w:val="24"/>
              </w:rPr>
            </w:pPr>
          </w:p>
          <w:p w14:paraId="418AA802" w14:textId="7F5C1B88" w:rsidR="00284461" w:rsidRDefault="00284461" w:rsidP="00763DEB">
            <w:pPr>
              <w:spacing w:after="0" w:line="276" w:lineRule="auto"/>
              <w:contextualSpacing/>
              <w:jc w:val="both"/>
              <w:rPr>
                <w:rFonts w:ascii="Times New Roman" w:hAnsi="Times New Roman"/>
                <w:sz w:val="24"/>
                <w:szCs w:val="24"/>
              </w:rPr>
            </w:pPr>
          </w:p>
          <w:p w14:paraId="0B992333" w14:textId="0CE8197F" w:rsidR="00284461" w:rsidRDefault="00284461" w:rsidP="00763DEB">
            <w:pPr>
              <w:spacing w:after="0" w:line="276" w:lineRule="auto"/>
              <w:contextualSpacing/>
              <w:jc w:val="both"/>
              <w:rPr>
                <w:rFonts w:ascii="Times New Roman" w:hAnsi="Times New Roman"/>
                <w:sz w:val="24"/>
                <w:szCs w:val="24"/>
              </w:rPr>
            </w:pPr>
          </w:p>
          <w:p w14:paraId="3F26D8EE" w14:textId="77777777" w:rsidR="00284461" w:rsidRPr="00D66BF5" w:rsidRDefault="00284461" w:rsidP="00763DEB">
            <w:pPr>
              <w:spacing w:after="0" w:line="276" w:lineRule="auto"/>
              <w:contextualSpacing/>
              <w:jc w:val="both"/>
              <w:rPr>
                <w:rFonts w:ascii="Times New Roman" w:hAnsi="Times New Roman"/>
                <w:sz w:val="24"/>
                <w:szCs w:val="24"/>
              </w:rPr>
            </w:pPr>
          </w:p>
          <w:p w14:paraId="06E7FDF8" w14:textId="5D2355B7" w:rsidR="000C7089" w:rsidRPr="00284461" w:rsidRDefault="00284461" w:rsidP="00BC1AE3">
            <w:pPr>
              <w:numPr>
                <w:ilvl w:val="0"/>
                <w:numId w:val="19"/>
              </w:numPr>
              <w:spacing w:after="0" w:line="276" w:lineRule="auto"/>
              <w:contextualSpacing/>
              <w:jc w:val="both"/>
              <w:rPr>
                <w:rFonts w:ascii="Times New Roman" w:hAnsi="Times New Roman"/>
                <w:sz w:val="24"/>
                <w:szCs w:val="24"/>
              </w:rPr>
            </w:pPr>
            <w:r>
              <w:rPr>
                <w:rFonts w:ascii="Times New Roman" w:hAnsi="Times New Roman"/>
                <w:sz w:val="24"/>
                <w:szCs w:val="24"/>
              </w:rPr>
              <w:t>Passant de</w:t>
            </w:r>
            <w:r w:rsidR="0044719C" w:rsidRPr="00D66BF5">
              <w:rPr>
                <w:rFonts w:ascii="Times New Roman" w:hAnsi="Times New Roman"/>
                <w:sz w:val="24"/>
                <w:szCs w:val="24"/>
              </w:rPr>
              <w:t xml:space="preserve"> 51,5% en 2015 à 39% en 2019 (EDS-MICS 2014-2015 et MICS 2019</w:t>
            </w:r>
            <w:proofErr w:type="gramStart"/>
            <w:r w:rsidR="0044719C" w:rsidRPr="00D66BF5">
              <w:rPr>
                <w:rFonts w:ascii="Times New Roman" w:hAnsi="Times New Roman"/>
                <w:sz w:val="24"/>
                <w:szCs w:val="24"/>
              </w:rPr>
              <w:t>);</w:t>
            </w:r>
            <w:proofErr w:type="gramEnd"/>
          </w:p>
          <w:p w14:paraId="0A78FFF7" w14:textId="77777777" w:rsidR="00284461" w:rsidRPr="00D66BF5" w:rsidRDefault="00284461" w:rsidP="00763DEB">
            <w:pPr>
              <w:spacing w:after="0" w:line="276" w:lineRule="auto"/>
              <w:contextualSpacing/>
              <w:jc w:val="both"/>
              <w:rPr>
                <w:rFonts w:ascii="Times New Roman" w:hAnsi="Times New Roman"/>
                <w:sz w:val="24"/>
                <w:szCs w:val="24"/>
              </w:rPr>
            </w:pPr>
          </w:p>
          <w:p w14:paraId="50E6E8E1" w14:textId="4CF6FEF1" w:rsidR="0044719C" w:rsidRDefault="00284461" w:rsidP="00BC1AE3">
            <w:pPr>
              <w:numPr>
                <w:ilvl w:val="0"/>
                <w:numId w:val="19"/>
              </w:numPr>
              <w:spacing w:after="0" w:line="276" w:lineRule="auto"/>
              <w:contextualSpacing/>
              <w:jc w:val="both"/>
              <w:rPr>
                <w:rFonts w:ascii="Times New Roman" w:hAnsi="Times New Roman"/>
                <w:sz w:val="24"/>
                <w:szCs w:val="24"/>
              </w:rPr>
            </w:pPr>
            <w:r>
              <w:rPr>
                <w:rFonts w:ascii="Times New Roman" w:hAnsi="Times New Roman"/>
                <w:sz w:val="24"/>
                <w:szCs w:val="24"/>
              </w:rPr>
              <w:t>E</w:t>
            </w:r>
            <w:r w:rsidR="0044719C" w:rsidRPr="00D66BF5">
              <w:rPr>
                <w:rFonts w:ascii="Times New Roman" w:hAnsi="Times New Roman"/>
                <w:sz w:val="24"/>
                <w:szCs w:val="24"/>
              </w:rPr>
              <w:t>n régression passant de 29,7% en 2015 à 24,2% en 2019 (EDS-MICS 2-14-2015 et MICS 2019</w:t>
            </w:r>
            <w:proofErr w:type="gramStart"/>
            <w:r w:rsidR="0044719C" w:rsidRPr="00D66BF5">
              <w:rPr>
                <w:rFonts w:ascii="Times New Roman" w:hAnsi="Times New Roman"/>
                <w:sz w:val="24"/>
                <w:szCs w:val="24"/>
              </w:rPr>
              <w:t>);</w:t>
            </w:r>
            <w:proofErr w:type="gramEnd"/>
          </w:p>
          <w:p w14:paraId="3A9F4449" w14:textId="0B0B6B1B" w:rsidR="00284461" w:rsidRDefault="00284461" w:rsidP="00763DEB">
            <w:pPr>
              <w:spacing w:after="0" w:line="276" w:lineRule="auto"/>
              <w:contextualSpacing/>
              <w:jc w:val="both"/>
              <w:rPr>
                <w:rFonts w:ascii="Times New Roman" w:hAnsi="Times New Roman"/>
                <w:sz w:val="24"/>
                <w:szCs w:val="24"/>
              </w:rPr>
            </w:pPr>
          </w:p>
          <w:p w14:paraId="4580F095" w14:textId="6F5D1906" w:rsidR="0044719C" w:rsidRPr="00D66BF5" w:rsidRDefault="00284461" w:rsidP="00BC1AE3">
            <w:pPr>
              <w:numPr>
                <w:ilvl w:val="0"/>
                <w:numId w:val="19"/>
              </w:numPr>
              <w:spacing w:after="0" w:line="276" w:lineRule="auto"/>
              <w:contextualSpacing/>
              <w:jc w:val="both"/>
              <w:rPr>
                <w:rFonts w:ascii="Times New Roman" w:hAnsi="Times New Roman"/>
                <w:sz w:val="24"/>
                <w:szCs w:val="24"/>
              </w:rPr>
            </w:pPr>
            <w:r>
              <w:rPr>
                <w:rFonts w:ascii="Times New Roman" w:hAnsi="Times New Roman"/>
                <w:sz w:val="24"/>
                <w:szCs w:val="24"/>
              </w:rPr>
              <w:t xml:space="preserve">34,1% en 2019 </w:t>
            </w:r>
            <w:proofErr w:type="gramStart"/>
            <w:r>
              <w:rPr>
                <w:rFonts w:ascii="Times New Roman" w:hAnsi="Times New Roman"/>
                <w:sz w:val="24"/>
                <w:szCs w:val="24"/>
              </w:rPr>
              <w:t xml:space="preserve">contre </w:t>
            </w:r>
            <w:r w:rsidR="0044719C" w:rsidRPr="00D66BF5">
              <w:rPr>
                <w:rFonts w:ascii="Times New Roman" w:hAnsi="Times New Roman"/>
                <w:sz w:val="24"/>
                <w:szCs w:val="24"/>
              </w:rPr>
              <w:t xml:space="preserve"> 38</w:t>
            </w:r>
            <w:proofErr w:type="gramEnd"/>
            <w:r w:rsidR="0044719C" w:rsidRPr="00D66BF5">
              <w:rPr>
                <w:rFonts w:ascii="Times New Roman" w:hAnsi="Times New Roman"/>
                <w:sz w:val="24"/>
                <w:szCs w:val="24"/>
              </w:rPr>
              <w:t>% en 2014  (EDS-MICS 2014-2015 et MICS 2019).</w:t>
            </w:r>
          </w:p>
          <w:p w14:paraId="587D8D4D" w14:textId="77777777" w:rsidR="0044719C" w:rsidRPr="00D66BF5" w:rsidRDefault="0044719C" w:rsidP="00763DEB">
            <w:pPr>
              <w:spacing w:after="0"/>
              <w:jc w:val="both"/>
              <w:rPr>
                <w:rFonts w:ascii="Times New Roman" w:hAnsi="Times New Roman"/>
                <w:color w:val="000000"/>
                <w:sz w:val="24"/>
              </w:rPr>
            </w:pPr>
          </w:p>
        </w:tc>
      </w:tr>
      <w:tr w:rsidR="0099545B" w14:paraId="37DBE7BF" w14:textId="77777777" w:rsidTr="00763DEB">
        <w:tc>
          <w:tcPr>
            <w:tcW w:w="1696" w:type="dxa"/>
          </w:tcPr>
          <w:p w14:paraId="353F16B5" w14:textId="170E4526" w:rsidR="0099545B" w:rsidRDefault="0099545B" w:rsidP="00763DEB">
            <w:pPr>
              <w:spacing w:after="0"/>
              <w:jc w:val="both"/>
              <w:rPr>
                <w:rFonts w:ascii="Times New Roman" w:hAnsi="Times New Roman" w:cs="Arial"/>
                <w:color w:val="000000"/>
                <w:sz w:val="24"/>
              </w:rPr>
            </w:pPr>
            <w:r>
              <w:rPr>
                <w:rFonts w:ascii="Times New Roman" w:hAnsi="Times New Roman" w:cs="Arial"/>
                <w:color w:val="000000"/>
                <w:sz w:val="24"/>
              </w:rPr>
              <w:lastRenderedPageBreak/>
              <w:t>Energie</w:t>
            </w:r>
          </w:p>
        </w:tc>
        <w:tc>
          <w:tcPr>
            <w:tcW w:w="3738" w:type="dxa"/>
          </w:tcPr>
          <w:p w14:paraId="1B0CAF58" w14:textId="40CE6194" w:rsidR="0099545B" w:rsidRPr="001B23A8" w:rsidRDefault="000C7089"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Pr>
                <w:rFonts w:ascii="Times New Roman" w:hAnsi="Times New Roman"/>
                <w:color w:val="000000"/>
                <w:sz w:val="24"/>
              </w:rPr>
              <w:t xml:space="preserve">Taux </w:t>
            </w:r>
            <w:r w:rsidR="001B5D8B">
              <w:rPr>
                <w:rFonts w:ascii="Times New Roman" w:hAnsi="Times New Roman"/>
                <w:color w:val="000000"/>
                <w:sz w:val="24"/>
              </w:rPr>
              <w:t>d’</w:t>
            </w:r>
            <w:r w:rsidR="001B5D8B" w:rsidRPr="001B23A8">
              <w:rPr>
                <w:rFonts w:ascii="Times New Roman" w:hAnsi="Times New Roman"/>
                <w:color w:val="000000"/>
                <w:sz w:val="24"/>
              </w:rPr>
              <w:t>accès</w:t>
            </w:r>
            <w:r w:rsidR="0099545B" w:rsidRPr="001B23A8">
              <w:rPr>
                <w:rFonts w:ascii="Times New Roman" w:hAnsi="Times New Roman"/>
                <w:color w:val="000000"/>
                <w:sz w:val="24"/>
              </w:rPr>
              <w:t xml:space="preserve"> à l’électricité </w:t>
            </w:r>
          </w:p>
          <w:p w14:paraId="5056F1BF" w14:textId="50AF83B5" w:rsidR="0099545B" w:rsidRPr="00D66BF5" w:rsidRDefault="0099545B" w:rsidP="00763DEB">
            <w:pPr>
              <w:tabs>
                <w:tab w:val="left" w:pos="1130"/>
              </w:tabs>
              <w:spacing w:after="0"/>
              <w:jc w:val="both"/>
              <w:rPr>
                <w:rFonts w:ascii="Times New Roman" w:hAnsi="Times New Roman"/>
                <w:color w:val="000000"/>
                <w:sz w:val="24"/>
              </w:rPr>
            </w:pPr>
          </w:p>
        </w:tc>
        <w:tc>
          <w:tcPr>
            <w:tcW w:w="4477" w:type="dxa"/>
          </w:tcPr>
          <w:p w14:paraId="34BA9698" w14:textId="42C13F39" w:rsidR="0044719C" w:rsidRPr="001B23A8" w:rsidRDefault="0044719C"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1B23A8">
              <w:rPr>
                <w:rFonts w:ascii="Times New Roman" w:hAnsi="Times New Roman"/>
                <w:color w:val="000000"/>
                <w:sz w:val="24"/>
              </w:rPr>
              <w:t>Un accès limité à l’électricité (8,4% des ménages, MICS6,</w:t>
            </w:r>
            <w:r>
              <w:rPr>
                <w:rFonts w:ascii="Times New Roman" w:hAnsi="Times New Roman"/>
                <w:color w:val="000000"/>
                <w:sz w:val="24"/>
              </w:rPr>
              <w:t xml:space="preserve"> </w:t>
            </w:r>
            <w:r w:rsidRPr="001B23A8">
              <w:rPr>
                <w:rFonts w:ascii="Times New Roman" w:hAnsi="Times New Roman"/>
                <w:color w:val="000000"/>
                <w:sz w:val="24"/>
              </w:rPr>
              <w:t xml:space="preserve">2019) </w:t>
            </w:r>
          </w:p>
          <w:p w14:paraId="32851DFB" w14:textId="77777777" w:rsidR="0099545B" w:rsidRPr="00D66BF5" w:rsidRDefault="0099545B" w:rsidP="00763DEB">
            <w:pPr>
              <w:spacing w:after="0"/>
              <w:jc w:val="both"/>
              <w:rPr>
                <w:rFonts w:ascii="Times New Roman" w:hAnsi="Times New Roman"/>
                <w:color w:val="000000"/>
                <w:sz w:val="24"/>
              </w:rPr>
            </w:pPr>
          </w:p>
        </w:tc>
      </w:tr>
      <w:tr w:rsidR="0044719C" w14:paraId="572C9C9E" w14:textId="77777777" w:rsidTr="00763DEB">
        <w:tc>
          <w:tcPr>
            <w:tcW w:w="1696" w:type="dxa"/>
          </w:tcPr>
          <w:p w14:paraId="0B2333E6" w14:textId="488825E5" w:rsidR="0044719C" w:rsidRDefault="0044719C" w:rsidP="00763DEB">
            <w:pPr>
              <w:spacing w:after="0"/>
              <w:jc w:val="both"/>
              <w:rPr>
                <w:rFonts w:ascii="Times New Roman" w:hAnsi="Times New Roman" w:cs="Arial"/>
                <w:color w:val="000000"/>
                <w:sz w:val="24"/>
              </w:rPr>
            </w:pPr>
            <w:r>
              <w:rPr>
                <w:rFonts w:ascii="Times New Roman" w:hAnsi="Times New Roman" w:cs="Arial"/>
                <w:color w:val="000000"/>
                <w:sz w:val="24"/>
              </w:rPr>
              <w:t>Sécurité alimentaire</w:t>
            </w:r>
          </w:p>
        </w:tc>
        <w:tc>
          <w:tcPr>
            <w:tcW w:w="3738" w:type="dxa"/>
          </w:tcPr>
          <w:p w14:paraId="0CA35243" w14:textId="6AC8E2F0" w:rsidR="0044719C" w:rsidRPr="00D66BF5" w:rsidRDefault="0044719C"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Prévalence d</w:t>
            </w:r>
            <w:r w:rsidR="001B5D8B">
              <w:rPr>
                <w:rFonts w:ascii="Times New Roman" w:hAnsi="Times New Roman"/>
                <w:sz w:val="24"/>
                <w:szCs w:val="24"/>
              </w:rPr>
              <w:t>e</w:t>
            </w:r>
            <w:r w:rsidRPr="00D66BF5">
              <w:rPr>
                <w:rFonts w:ascii="Times New Roman" w:hAnsi="Times New Roman"/>
                <w:sz w:val="24"/>
                <w:szCs w:val="24"/>
              </w:rPr>
              <w:t xml:space="preserve"> </w:t>
            </w:r>
            <w:r w:rsidR="001B5D8B">
              <w:rPr>
                <w:rFonts w:ascii="Times New Roman" w:hAnsi="Times New Roman"/>
                <w:sz w:val="24"/>
                <w:szCs w:val="24"/>
              </w:rPr>
              <w:t>l’</w:t>
            </w:r>
            <w:r w:rsidRPr="00D66BF5">
              <w:rPr>
                <w:rFonts w:ascii="Times New Roman" w:hAnsi="Times New Roman"/>
                <w:sz w:val="24"/>
                <w:szCs w:val="24"/>
              </w:rPr>
              <w:t>insécurité alimentaire modérée ou grave</w:t>
            </w:r>
          </w:p>
          <w:p w14:paraId="608AA4B1" w14:textId="77777777" w:rsidR="0044719C" w:rsidRDefault="0044719C"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p>
        </w:tc>
        <w:tc>
          <w:tcPr>
            <w:tcW w:w="4477" w:type="dxa"/>
          </w:tcPr>
          <w:p w14:paraId="41DD0599" w14:textId="0B1B74E5" w:rsidR="0044719C" w:rsidRPr="00763DEB" w:rsidRDefault="0044719C"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La Prévalence d’une insécurité alimentaire modérée ou grave, évaluée selon l’échelle de mesure du sentiment d’insécurité alimentaire est de 18,6% en 2015 contre 20,3% en 2018, soit une augmentation de 1,7 points de pourcentage alors que la prévalence de malnutrition sévère est en baisse passant de 5,6% en 2015 à 1,2% en 2018.</w:t>
            </w:r>
          </w:p>
        </w:tc>
      </w:tr>
    </w:tbl>
    <w:p w14:paraId="4540A687" w14:textId="77777777" w:rsidR="00D66BF5" w:rsidRPr="00D66BF5" w:rsidRDefault="00D66BF5" w:rsidP="00D66BF5">
      <w:pPr>
        <w:autoSpaceDE w:val="0"/>
        <w:autoSpaceDN w:val="0"/>
        <w:adjustRightInd w:val="0"/>
        <w:spacing w:after="0" w:line="240" w:lineRule="auto"/>
        <w:contextualSpacing/>
        <w:jc w:val="both"/>
        <w:rPr>
          <w:rFonts w:ascii="Times New Roman" w:hAnsi="Times New Roman"/>
          <w:color w:val="000000"/>
          <w:sz w:val="24"/>
        </w:rPr>
      </w:pPr>
    </w:p>
    <w:p w14:paraId="5C41705E" w14:textId="1DC6D4E3" w:rsidR="00D66BF5" w:rsidRPr="00D66BF5" w:rsidRDefault="00D66BF5" w:rsidP="00D66BF5">
      <w:pPr>
        <w:autoSpaceDE w:val="0"/>
        <w:autoSpaceDN w:val="0"/>
        <w:adjustRightInd w:val="0"/>
        <w:spacing w:after="120"/>
        <w:jc w:val="both"/>
        <w:rPr>
          <w:rFonts w:ascii="Times New Roman" w:hAnsi="Times New Roman"/>
          <w:b/>
          <w:bCs/>
          <w:sz w:val="24"/>
          <w:szCs w:val="24"/>
        </w:rPr>
      </w:pPr>
    </w:p>
    <w:tbl>
      <w:tblPr>
        <w:tblW w:w="0" w:type="auto"/>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14"/>
        <w:gridCol w:w="1358"/>
        <w:gridCol w:w="1528"/>
        <w:gridCol w:w="1358"/>
      </w:tblGrid>
      <w:tr w:rsidR="00D66BF5" w:rsidRPr="00D66BF5" w14:paraId="4A058364" w14:textId="77777777" w:rsidTr="00420F19">
        <w:trPr>
          <w:trHeight w:val="228"/>
        </w:trPr>
        <w:tc>
          <w:tcPr>
            <w:tcW w:w="3014" w:type="dxa"/>
            <w:shd w:val="clear" w:color="auto" w:fill="FFFFFF"/>
          </w:tcPr>
          <w:p w14:paraId="5580B27E"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b/>
                <w:bCs/>
                <w:sz w:val="24"/>
                <w:szCs w:val="24"/>
              </w:rPr>
              <w:t>Niveaux d’enseignement</w:t>
            </w:r>
          </w:p>
        </w:tc>
        <w:tc>
          <w:tcPr>
            <w:tcW w:w="1358" w:type="dxa"/>
            <w:shd w:val="clear" w:color="auto" w:fill="FFFFFF"/>
          </w:tcPr>
          <w:p w14:paraId="454C7EA3" w14:textId="77777777" w:rsidR="00D66BF5" w:rsidRPr="00D66BF5" w:rsidRDefault="00D66BF5" w:rsidP="00D66BF5">
            <w:pPr>
              <w:keepNext/>
              <w:keepLines/>
              <w:autoSpaceDE w:val="0"/>
              <w:autoSpaceDN w:val="0"/>
              <w:adjustRightInd w:val="0"/>
              <w:spacing w:before="200" w:after="0" w:line="240" w:lineRule="auto"/>
              <w:jc w:val="both"/>
              <w:rPr>
                <w:rFonts w:ascii="Times New Roman" w:hAnsi="Times New Roman"/>
              </w:rPr>
            </w:pPr>
          </w:p>
        </w:tc>
        <w:tc>
          <w:tcPr>
            <w:tcW w:w="1528" w:type="dxa"/>
            <w:shd w:val="clear" w:color="auto" w:fill="FFFFFF"/>
          </w:tcPr>
          <w:p w14:paraId="22A31E84"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b/>
                <w:bCs/>
                <w:sz w:val="24"/>
                <w:szCs w:val="24"/>
              </w:rPr>
              <w:t>2014/2015</w:t>
            </w:r>
          </w:p>
        </w:tc>
        <w:tc>
          <w:tcPr>
            <w:tcW w:w="1358" w:type="dxa"/>
            <w:shd w:val="clear" w:color="auto" w:fill="FFFFFF"/>
          </w:tcPr>
          <w:p w14:paraId="66D6659F"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b/>
                <w:bCs/>
                <w:sz w:val="24"/>
                <w:szCs w:val="24"/>
              </w:rPr>
              <w:t>2019</w:t>
            </w:r>
          </w:p>
        </w:tc>
      </w:tr>
      <w:tr w:rsidR="00D66BF5" w:rsidRPr="00D66BF5" w14:paraId="0F10F599" w14:textId="77777777" w:rsidTr="00420F19">
        <w:trPr>
          <w:trHeight w:val="1"/>
        </w:trPr>
        <w:tc>
          <w:tcPr>
            <w:tcW w:w="3014" w:type="dxa"/>
            <w:shd w:val="clear" w:color="auto" w:fill="FFFFFF"/>
          </w:tcPr>
          <w:p w14:paraId="508E6C1E"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lastRenderedPageBreak/>
              <w:t>Primaire</w:t>
            </w:r>
          </w:p>
          <w:p w14:paraId="02D69E1C" w14:textId="77777777" w:rsidR="00D66BF5" w:rsidRPr="00D66BF5" w:rsidRDefault="00D66BF5" w:rsidP="00D66BF5">
            <w:pPr>
              <w:keepNext/>
              <w:keepLines/>
              <w:autoSpaceDE w:val="0"/>
              <w:autoSpaceDN w:val="0"/>
              <w:adjustRightInd w:val="0"/>
              <w:spacing w:before="200" w:after="0" w:line="240" w:lineRule="auto"/>
              <w:jc w:val="both"/>
              <w:rPr>
                <w:rFonts w:ascii="Times New Roman" w:hAnsi="Times New Roman"/>
              </w:rPr>
            </w:pPr>
          </w:p>
        </w:tc>
        <w:tc>
          <w:tcPr>
            <w:tcW w:w="1358" w:type="dxa"/>
            <w:shd w:val="clear" w:color="auto" w:fill="FFFFFF"/>
          </w:tcPr>
          <w:p w14:paraId="7E7C382A"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Ensemble</w:t>
            </w:r>
          </w:p>
          <w:p w14:paraId="7E83929A"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Urbain</w:t>
            </w:r>
          </w:p>
          <w:p w14:paraId="189C0BB8"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 xml:space="preserve">Rural </w:t>
            </w:r>
          </w:p>
        </w:tc>
        <w:tc>
          <w:tcPr>
            <w:tcW w:w="1528" w:type="dxa"/>
            <w:shd w:val="clear" w:color="auto" w:fill="FFFFFF"/>
          </w:tcPr>
          <w:p w14:paraId="357A495E"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0,85</w:t>
            </w:r>
          </w:p>
          <w:p w14:paraId="2F5D657B"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0,94</w:t>
            </w:r>
          </w:p>
          <w:p w14:paraId="2D0ADA5B"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0,82</w:t>
            </w:r>
          </w:p>
        </w:tc>
        <w:tc>
          <w:tcPr>
            <w:tcW w:w="1358" w:type="dxa"/>
            <w:shd w:val="clear" w:color="auto" w:fill="FFFFFF"/>
          </w:tcPr>
          <w:p w14:paraId="14679127"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0,9</w:t>
            </w:r>
          </w:p>
          <w:p w14:paraId="64385291"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0,9</w:t>
            </w:r>
          </w:p>
          <w:p w14:paraId="5FC476DD"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0,9</w:t>
            </w:r>
          </w:p>
        </w:tc>
      </w:tr>
      <w:tr w:rsidR="00D66BF5" w:rsidRPr="00D66BF5" w14:paraId="5D2E8F3A" w14:textId="77777777" w:rsidTr="00420F19">
        <w:trPr>
          <w:trHeight w:val="1"/>
        </w:trPr>
        <w:tc>
          <w:tcPr>
            <w:tcW w:w="3014" w:type="dxa"/>
            <w:shd w:val="clear" w:color="auto" w:fill="FFFFFF"/>
          </w:tcPr>
          <w:p w14:paraId="18AAA4FC"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Secondaire 1</w:t>
            </w:r>
            <w:r w:rsidRPr="00D66BF5">
              <w:rPr>
                <w:rFonts w:ascii="Times New Roman" w:hAnsi="Times New Roman"/>
                <w:sz w:val="24"/>
                <w:szCs w:val="24"/>
                <w:vertAlign w:val="superscript"/>
              </w:rPr>
              <w:t>er</w:t>
            </w:r>
            <w:r w:rsidRPr="00D66BF5">
              <w:rPr>
                <w:rFonts w:ascii="Times New Roman" w:hAnsi="Times New Roman"/>
                <w:sz w:val="24"/>
                <w:szCs w:val="24"/>
              </w:rPr>
              <w:t xml:space="preserve"> cycle</w:t>
            </w:r>
          </w:p>
        </w:tc>
        <w:tc>
          <w:tcPr>
            <w:tcW w:w="1358" w:type="dxa"/>
            <w:shd w:val="clear" w:color="auto" w:fill="FFFFFF"/>
          </w:tcPr>
          <w:p w14:paraId="65880613"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Ensemble</w:t>
            </w:r>
          </w:p>
          <w:p w14:paraId="2E5DFF63"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Urbain</w:t>
            </w:r>
          </w:p>
          <w:p w14:paraId="671B55CD"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Rural</w:t>
            </w:r>
          </w:p>
        </w:tc>
        <w:tc>
          <w:tcPr>
            <w:tcW w:w="1528" w:type="dxa"/>
            <w:shd w:val="clear" w:color="auto" w:fill="FFFFFF"/>
          </w:tcPr>
          <w:p w14:paraId="1EB77556"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0,53</w:t>
            </w:r>
          </w:p>
          <w:p w14:paraId="7F1D323D"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0,65</w:t>
            </w:r>
          </w:p>
          <w:p w14:paraId="1E1D51BD"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0,42</w:t>
            </w:r>
          </w:p>
        </w:tc>
        <w:tc>
          <w:tcPr>
            <w:tcW w:w="1358" w:type="dxa"/>
            <w:shd w:val="clear" w:color="auto" w:fill="FFFFFF"/>
          </w:tcPr>
          <w:p w14:paraId="65D571A3"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0,7</w:t>
            </w:r>
          </w:p>
          <w:p w14:paraId="487559F9"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0,8</w:t>
            </w:r>
          </w:p>
          <w:p w14:paraId="5909848A"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0,5</w:t>
            </w:r>
          </w:p>
        </w:tc>
      </w:tr>
      <w:tr w:rsidR="00D66BF5" w:rsidRPr="00D66BF5" w14:paraId="36CB4A8F" w14:textId="77777777" w:rsidTr="00420F19">
        <w:trPr>
          <w:trHeight w:val="1"/>
        </w:trPr>
        <w:tc>
          <w:tcPr>
            <w:tcW w:w="3014" w:type="dxa"/>
            <w:shd w:val="clear" w:color="auto" w:fill="FFFFFF"/>
          </w:tcPr>
          <w:p w14:paraId="5E398FE4"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Secondaire 2nd cycle</w:t>
            </w:r>
          </w:p>
        </w:tc>
        <w:tc>
          <w:tcPr>
            <w:tcW w:w="1358" w:type="dxa"/>
            <w:shd w:val="clear" w:color="auto" w:fill="FFFFFF"/>
          </w:tcPr>
          <w:p w14:paraId="61520647"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Ensemble</w:t>
            </w:r>
          </w:p>
          <w:p w14:paraId="22C7B394"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Urbain</w:t>
            </w:r>
          </w:p>
          <w:p w14:paraId="6240E9D0"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Rural</w:t>
            </w:r>
          </w:p>
        </w:tc>
        <w:tc>
          <w:tcPr>
            <w:tcW w:w="1528" w:type="dxa"/>
            <w:shd w:val="clear" w:color="auto" w:fill="FFFFFF"/>
          </w:tcPr>
          <w:p w14:paraId="6F56C17A"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0,53</w:t>
            </w:r>
          </w:p>
          <w:p w14:paraId="6E495B41"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0,65</w:t>
            </w:r>
          </w:p>
          <w:p w14:paraId="0F3EC939"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0,42</w:t>
            </w:r>
          </w:p>
        </w:tc>
        <w:tc>
          <w:tcPr>
            <w:tcW w:w="1358" w:type="dxa"/>
            <w:shd w:val="clear" w:color="auto" w:fill="FFFFFF"/>
          </w:tcPr>
          <w:p w14:paraId="76BA45E1"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0,5</w:t>
            </w:r>
          </w:p>
          <w:p w14:paraId="6317AF17" w14:textId="77777777" w:rsidR="00D66BF5" w:rsidRPr="00D66BF5" w:rsidRDefault="00D66BF5" w:rsidP="00D66BF5">
            <w:pPr>
              <w:autoSpaceDE w:val="0"/>
              <w:autoSpaceDN w:val="0"/>
              <w:adjustRightInd w:val="0"/>
              <w:spacing w:after="0" w:line="240" w:lineRule="auto"/>
              <w:jc w:val="both"/>
              <w:rPr>
                <w:rFonts w:ascii="Times New Roman" w:hAnsi="Times New Roman"/>
                <w:sz w:val="24"/>
                <w:szCs w:val="24"/>
              </w:rPr>
            </w:pPr>
            <w:r w:rsidRPr="00D66BF5">
              <w:rPr>
                <w:rFonts w:ascii="Times New Roman" w:hAnsi="Times New Roman"/>
                <w:sz w:val="24"/>
                <w:szCs w:val="24"/>
              </w:rPr>
              <w:t>0,7</w:t>
            </w:r>
          </w:p>
          <w:p w14:paraId="1EA4E3FE"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sz w:val="24"/>
                <w:szCs w:val="24"/>
              </w:rPr>
              <w:t>0,2</w:t>
            </w:r>
          </w:p>
        </w:tc>
      </w:tr>
    </w:tbl>
    <w:p w14:paraId="2FF82E23" w14:textId="77777777" w:rsidR="00D66BF5" w:rsidRPr="00D66BF5" w:rsidRDefault="00D66BF5" w:rsidP="00D66BF5">
      <w:pPr>
        <w:autoSpaceDE w:val="0"/>
        <w:autoSpaceDN w:val="0"/>
        <w:adjustRightInd w:val="0"/>
        <w:spacing w:after="0" w:line="240" w:lineRule="auto"/>
        <w:jc w:val="both"/>
        <w:rPr>
          <w:rFonts w:ascii="Times New Roman" w:hAnsi="Times New Roman"/>
        </w:rPr>
      </w:pPr>
      <w:r w:rsidRPr="00D66BF5">
        <w:rPr>
          <w:rFonts w:ascii="Times New Roman" w:hAnsi="Times New Roman"/>
        </w:rPr>
        <w:t xml:space="preserve">      Sources : EDS-MICS 2014-2015, MICS 2019</w:t>
      </w:r>
    </w:p>
    <w:p w14:paraId="5F0EB48D" w14:textId="77777777" w:rsidR="00D66BF5" w:rsidRPr="00D66BF5" w:rsidRDefault="00D66BF5" w:rsidP="00D66BF5">
      <w:pPr>
        <w:autoSpaceDE w:val="0"/>
        <w:autoSpaceDN w:val="0"/>
        <w:adjustRightInd w:val="0"/>
        <w:spacing w:after="0" w:line="240" w:lineRule="auto"/>
        <w:contextualSpacing/>
        <w:jc w:val="both"/>
        <w:rPr>
          <w:rFonts w:ascii="Times New Roman" w:hAnsi="Times New Roman"/>
          <w:color w:val="000000"/>
          <w:sz w:val="24"/>
        </w:rPr>
      </w:pPr>
    </w:p>
    <w:p w14:paraId="52317C22"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 xml:space="preserve">Le taux d’accès à l’eau potable est passé de 56,1% en 2014 à 61,8% en 2019 ; </w:t>
      </w:r>
    </w:p>
    <w:p w14:paraId="4F74084E"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 xml:space="preserve">La proportion d’accouchements assistés par du personnel de santé qualifié est passée de 24,3% en 2015 à 34,5% en 2019 (EDS-MICS 2014-2015, MICS 2019) ; </w:t>
      </w:r>
    </w:p>
    <w:p w14:paraId="316F7E04" w14:textId="42A056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 xml:space="preserve">L’amélioration du taux d’alphabétisation des adultes qui est passé de 26,8% à 41,5% entre 2011 et </w:t>
      </w:r>
      <w:r w:rsidR="00730BD7">
        <w:rPr>
          <w:rFonts w:ascii="Times New Roman" w:hAnsi="Times New Roman"/>
          <w:color w:val="000000"/>
          <w:sz w:val="24"/>
        </w:rPr>
        <w:t>2018/</w:t>
      </w:r>
      <w:r w:rsidRPr="00D66BF5">
        <w:rPr>
          <w:rFonts w:ascii="Times New Roman" w:hAnsi="Times New Roman"/>
          <w:color w:val="000000"/>
          <w:sz w:val="24"/>
        </w:rPr>
        <w:t>2019 (</w:t>
      </w:r>
      <w:r w:rsidR="00730BD7">
        <w:rPr>
          <w:rFonts w:ascii="Times New Roman" w:hAnsi="Times New Roman"/>
          <w:color w:val="000000"/>
          <w:sz w:val="24"/>
        </w:rPr>
        <w:t>ECOSIT3,2011 et ECOSIT4, 2018/2019</w:t>
      </w:r>
      <w:proofErr w:type="gramStart"/>
      <w:r w:rsidRPr="00D66BF5">
        <w:rPr>
          <w:rFonts w:ascii="Times New Roman" w:hAnsi="Times New Roman"/>
          <w:color w:val="000000"/>
          <w:sz w:val="24"/>
        </w:rPr>
        <w:t>);</w:t>
      </w:r>
      <w:proofErr w:type="gramEnd"/>
    </w:p>
    <w:p w14:paraId="1D422597"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Une faiblesse de la croissance économique, selon le rapport du Fonds Monétaire International 2019, le taux de croissance du Produit Intérieur Brut était à 2,8% en 2018 contre -2,4% en 2017 ;</w:t>
      </w:r>
    </w:p>
    <w:p w14:paraId="0DA8C5EF"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Une persistance des inégalités des revenus, l’indice de Gini</w:t>
      </w:r>
      <w:r w:rsidRPr="00D66BF5">
        <w:rPr>
          <w:rFonts w:ascii="Times New Roman" w:hAnsi="Times New Roman"/>
          <w:color w:val="000000"/>
          <w:sz w:val="16"/>
          <w:szCs w:val="16"/>
        </w:rPr>
        <w:footnoteReference w:id="26"/>
      </w:r>
      <w:r w:rsidRPr="00D66BF5">
        <w:rPr>
          <w:rFonts w:ascii="Times New Roman" w:hAnsi="Times New Roman"/>
          <w:color w:val="000000"/>
          <w:sz w:val="24"/>
        </w:rPr>
        <w:t xml:space="preserve"> est passé de 39,4 en 2003 à 33,4 en 2018 (Rapport ECOSIT 4</w:t>
      </w:r>
      <w:proofErr w:type="gramStart"/>
      <w:r w:rsidRPr="00D66BF5">
        <w:rPr>
          <w:rFonts w:ascii="Times New Roman" w:hAnsi="Times New Roman"/>
          <w:color w:val="000000"/>
          <w:sz w:val="24"/>
        </w:rPr>
        <w:t>);</w:t>
      </w:r>
      <w:proofErr w:type="gramEnd"/>
    </w:p>
    <w:p w14:paraId="1EBE1E85"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Bien que plusieurs mesures sur le changement climatique</w:t>
      </w:r>
      <w:r w:rsidRPr="00D66BF5">
        <w:rPr>
          <w:rFonts w:ascii="Times New Roman" w:hAnsi="Times New Roman"/>
          <w:b/>
          <w:bCs/>
          <w:color w:val="000000"/>
          <w:sz w:val="24"/>
        </w:rPr>
        <w:t xml:space="preserve"> </w:t>
      </w:r>
      <w:r w:rsidRPr="00D66BF5">
        <w:rPr>
          <w:rFonts w:ascii="Times New Roman" w:hAnsi="Times New Roman"/>
          <w:color w:val="000000"/>
          <w:sz w:val="24"/>
        </w:rPr>
        <w:t>aient été prises par le Gouvernement, leurs impacts sur le terrain sont mitigés. Cette situation s’explique en partie par le contexte sécuritaire, l’insuffisance des moyens de mise en œuvre ;</w:t>
      </w:r>
    </w:p>
    <w:p w14:paraId="7EA58CBC" w14:textId="1C21DBB0"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color w:val="000000"/>
          <w:sz w:val="24"/>
        </w:rPr>
      </w:pPr>
      <w:r w:rsidRPr="00D66BF5">
        <w:rPr>
          <w:rFonts w:ascii="Times New Roman" w:hAnsi="Times New Roman"/>
          <w:color w:val="000000"/>
          <w:sz w:val="24"/>
        </w:rPr>
        <w:t>Un accès limité à l’électricité (8,4% de</w:t>
      </w:r>
      <w:r w:rsidR="00730BD7">
        <w:rPr>
          <w:rFonts w:ascii="Times New Roman" w:hAnsi="Times New Roman"/>
          <w:color w:val="000000"/>
          <w:sz w:val="24"/>
        </w:rPr>
        <w:t>s ménages, MICS6,</w:t>
      </w:r>
      <w:proofErr w:type="gramStart"/>
      <w:r w:rsidR="00730BD7">
        <w:rPr>
          <w:rFonts w:ascii="Times New Roman" w:hAnsi="Times New Roman"/>
          <w:color w:val="000000"/>
          <w:sz w:val="24"/>
        </w:rPr>
        <w:t>2019</w:t>
      </w:r>
      <w:r w:rsidRPr="00D66BF5">
        <w:rPr>
          <w:rFonts w:ascii="Times New Roman" w:hAnsi="Times New Roman"/>
          <w:color w:val="000000"/>
          <w:sz w:val="24"/>
        </w:rPr>
        <w:t xml:space="preserve"> )</w:t>
      </w:r>
      <w:proofErr w:type="gramEnd"/>
      <w:r w:rsidRPr="00D66BF5">
        <w:rPr>
          <w:rFonts w:ascii="Times New Roman" w:hAnsi="Times New Roman"/>
          <w:color w:val="000000"/>
          <w:sz w:val="24"/>
        </w:rPr>
        <w:t xml:space="preserve"> et seulement 1,6% de la population est couvert par le socle de protection sociale.</w:t>
      </w:r>
    </w:p>
    <w:p w14:paraId="3014FFE2" w14:textId="77777777" w:rsidR="00D66BF5" w:rsidRPr="00D66BF5" w:rsidRDefault="00D66BF5" w:rsidP="00D66BF5">
      <w:pPr>
        <w:autoSpaceDE w:val="0"/>
        <w:autoSpaceDN w:val="0"/>
        <w:adjustRightInd w:val="0"/>
        <w:spacing w:after="0" w:line="240" w:lineRule="auto"/>
        <w:contextualSpacing/>
        <w:jc w:val="both"/>
        <w:rPr>
          <w:rFonts w:ascii="Times New Roman" w:hAnsi="Times New Roman"/>
          <w:color w:val="000000"/>
          <w:sz w:val="24"/>
        </w:rPr>
      </w:pPr>
    </w:p>
    <w:p w14:paraId="6B7D27F2" w14:textId="77777777" w:rsidR="00D66BF5" w:rsidRPr="00D66BF5" w:rsidRDefault="00D66BF5" w:rsidP="00D66BF5">
      <w:pPr>
        <w:autoSpaceDE w:val="0"/>
        <w:autoSpaceDN w:val="0"/>
        <w:adjustRightInd w:val="0"/>
        <w:spacing w:after="0" w:line="240" w:lineRule="auto"/>
        <w:contextualSpacing/>
        <w:jc w:val="both"/>
        <w:rPr>
          <w:rFonts w:ascii="Times New Roman" w:hAnsi="Times New Roman"/>
          <w:sz w:val="24"/>
          <w:szCs w:val="24"/>
        </w:rPr>
      </w:pPr>
    </w:p>
    <w:p w14:paraId="3B725EC8"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color w:val="000000"/>
          <w:sz w:val="24"/>
        </w:rPr>
        <w:t>Un enfant né au Tchad aujourd’hui sera 70% moins productif à l'âge adulte qu'un enfant ayant reçu une scolarisation complète et de qualité, et des services de santé optimales</w:t>
      </w:r>
    </w:p>
    <w:p w14:paraId="2DAAFFD7"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33 enfants tchadiens (âgés de moins 28 jours) sur 1 000 naissances vivantes n'atteignent pas leur premier mois de vie (MICS 2019)</w:t>
      </w:r>
    </w:p>
    <w:p w14:paraId="1425A523"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 xml:space="preserve">37,8% des enfants âgés de moins de cinq ans souffrent d'un retard de croissance avec 39,8% chez les garçons et 35,7% chez les filles </w:t>
      </w:r>
    </w:p>
    <w:p w14:paraId="033CF4E1"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11,4% des enfants âgés de 0 à 5 mois sont allaités exclusivement et 48,1% des enfants âgés de 0 à 23 mois sont mis au sein durant la première heure après la naissance (SMART, 2021).</w:t>
      </w:r>
    </w:p>
    <w:p w14:paraId="548B01F3"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La prévalence de la malnutrition chronique globale (MC) est de 30,5% (SMART 2021) et se situe donc au-dessus de la norme acceptable de 20% fixée par l’OMS. Ce niveau est stable par rapport à l’année 2020 (30,5%).</w:t>
      </w:r>
    </w:p>
    <w:p w14:paraId="73D6B98B"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t>La prévalence de la malnutrition aigüe globale (MAG) est de 11,0% (SMART 2021), ce qui représente une hausse par rapport à 2020 (10,0%).</w:t>
      </w:r>
    </w:p>
    <w:p w14:paraId="0F98FA6B" w14:textId="77777777" w:rsidR="00D66BF5" w:rsidRPr="00D66BF5" w:rsidRDefault="00D66BF5" w:rsidP="00BC1AE3">
      <w:pPr>
        <w:numPr>
          <w:ilvl w:val="0"/>
          <w:numId w:val="19"/>
        </w:numPr>
        <w:autoSpaceDE w:val="0"/>
        <w:autoSpaceDN w:val="0"/>
        <w:adjustRightInd w:val="0"/>
        <w:spacing w:after="0" w:line="240" w:lineRule="auto"/>
        <w:contextualSpacing/>
        <w:jc w:val="both"/>
        <w:rPr>
          <w:rFonts w:ascii="Times New Roman" w:hAnsi="Times New Roman"/>
          <w:sz w:val="24"/>
          <w:szCs w:val="24"/>
        </w:rPr>
      </w:pPr>
      <w:r w:rsidRPr="00D66BF5">
        <w:rPr>
          <w:rFonts w:ascii="Times New Roman" w:hAnsi="Times New Roman"/>
          <w:sz w:val="24"/>
          <w:szCs w:val="24"/>
        </w:rPr>
        <w:lastRenderedPageBreak/>
        <w:t>La Prévalence d’une insécurité alimentaire modérée ou grave, évaluée selon l’échelle de mesure du sentiment d’insécurité alimentaire est de 18,6% en 2015 contre 20,3% en 2018, soit une augmentation de 1,7 points de pourcentage alors que la prévalence de malnutrition sévère est en baisse passant de 5,6% en 2015 à 1,2% en 2018.</w:t>
      </w:r>
    </w:p>
    <w:p w14:paraId="7ACB8427" w14:textId="77777777" w:rsidR="00D66BF5" w:rsidRPr="00D66BF5" w:rsidRDefault="00D66BF5" w:rsidP="00BC1AE3">
      <w:pPr>
        <w:numPr>
          <w:ilvl w:val="0"/>
          <w:numId w:val="19"/>
        </w:numPr>
        <w:spacing w:after="200" w:line="276" w:lineRule="auto"/>
        <w:contextualSpacing/>
        <w:jc w:val="both"/>
        <w:rPr>
          <w:rFonts w:ascii="Times New Roman" w:hAnsi="Times New Roman"/>
          <w:sz w:val="24"/>
          <w:szCs w:val="24"/>
        </w:rPr>
      </w:pPr>
      <w:r w:rsidRPr="00D66BF5">
        <w:rPr>
          <w:rFonts w:ascii="Times New Roman" w:hAnsi="Times New Roman"/>
          <w:sz w:val="24"/>
          <w:szCs w:val="24"/>
        </w:rPr>
        <w:t>En 2019, la proportion d’enfants âgés de 0 à 5 ans ayant été enregistrés par une autorité d’état civil reste faible (25,7% ; MICS 2019) même si on relève une nette amélioration par rapport à la situation de 2015 (12% ; EDS-MICS 2014-2015)</w:t>
      </w:r>
      <w:proofErr w:type="gramStart"/>
      <w:r w:rsidRPr="00D66BF5">
        <w:rPr>
          <w:rFonts w:ascii="Times New Roman" w:hAnsi="Times New Roman"/>
          <w:sz w:val="24"/>
          <w:szCs w:val="24"/>
        </w:rPr>
        <w:t>.;</w:t>
      </w:r>
      <w:proofErr w:type="gramEnd"/>
    </w:p>
    <w:p w14:paraId="6C99CF97" w14:textId="77777777" w:rsidR="00D66BF5" w:rsidRPr="00D66BF5" w:rsidRDefault="00D66BF5" w:rsidP="00BC1AE3">
      <w:pPr>
        <w:numPr>
          <w:ilvl w:val="0"/>
          <w:numId w:val="19"/>
        </w:numPr>
        <w:spacing w:after="200" w:line="276" w:lineRule="auto"/>
        <w:contextualSpacing/>
        <w:jc w:val="both"/>
        <w:rPr>
          <w:rFonts w:ascii="Times New Roman" w:hAnsi="Times New Roman"/>
          <w:sz w:val="24"/>
          <w:szCs w:val="24"/>
        </w:rPr>
      </w:pPr>
      <w:r w:rsidRPr="00D66BF5">
        <w:rPr>
          <w:rFonts w:ascii="Times New Roman" w:hAnsi="Times New Roman"/>
          <w:sz w:val="24"/>
          <w:szCs w:val="24"/>
        </w:rPr>
        <w:t>85,3% des enfants âgés de 1-14 ans ont subi n’importe quel châtiment corporel ou agression psychologique par leur gardien(ne) durant le mois dernier (MICS 2019</w:t>
      </w:r>
      <w:proofErr w:type="gramStart"/>
      <w:r w:rsidRPr="00D66BF5">
        <w:rPr>
          <w:rFonts w:ascii="Times New Roman" w:hAnsi="Times New Roman"/>
          <w:sz w:val="24"/>
          <w:szCs w:val="24"/>
        </w:rPr>
        <w:t>);</w:t>
      </w:r>
      <w:proofErr w:type="gramEnd"/>
    </w:p>
    <w:p w14:paraId="63BDC4C5" w14:textId="5C938436" w:rsidR="00D66BF5" w:rsidRPr="00D66BF5" w:rsidRDefault="00D66BF5" w:rsidP="00BC1AE3">
      <w:pPr>
        <w:numPr>
          <w:ilvl w:val="0"/>
          <w:numId w:val="19"/>
        </w:numPr>
        <w:spacing w:after="200" w:line="276" w:lineRule="auto"/>
        <w:contextualSpacing/>
        <w:jc w:val="both"/>
        <w:rPr>
          <w:rFonts w:ascii="Times New Roman" w:hAnsi="Times New Roman"/>
          <w:sz w:val="24"/>
          <w:szCs w:val="24"/>
        </w:rPr>
      </w:pPr>
      <w:r w:rsidRPr="00D66BF5">
        <w:rPr>
          <w:rFonts w:ascii="Times New Roman" w:hAnsi="Times New Roman"/>
          <w:sz w:val="24"/>
          <w:szCs w:val="24"/>
        </w:rPr>
        <w:t>La Proportion d’enfants âgés de 5 à 17 ans qui travaillent est passé de 51,5% en 2015 à 39</w:t>
      </w:r>
      <w:r w:rsidR="00823C5E">
        <w:rPr>
          <w:rFonts w:ascii="Times New Roman" w:hAnsi="Times New Roman"/>
          <w:sz w:val="24"/>
          <w:szCs w:val="24"/>
        </w:rPr>
        <w:t>,0</w:t>
      </w:r>
      <w:r w:rsidRPr="00D66BF5">
        <w:rPr>
          <w:rFonts w:ascii="Times New Roman" w:hAnsi="Times New Roman"/>
          <w:sz w:val="24"/>
          <w:szCs w:val="24"/>
        </w:rPr>
        <w:t>% en 2019 (EDS-MICS 2014-2015 et MICS 2019</w:t>
      </w:r>
      <w:proofErr w:type="gramStart"/>
      <w:r w:rsidRPr="00D66BF5">
        <w:rPr>
          <w:rFonts w:ascii="Times New Roman" w:hAnsi="Times New Roman"/>
          <w:sz w:val="24"/>
          <w:szCs w:val="24"/>
        </w:rPr>
        <w:t>);</w:t>
      </w:r>
      <w:proofErr w:type="gramEnd"/>
    </w:p>
    <w:p w14:paraId="0232AF95" w14:textId="77777777" w:rsidR="00D66BF5" w:rsidRPr="00D66BF5" w:rsidRDefault="00D66BF5" w:rsidP="00BC1AE3">
      <w:pPr>
        <w:numPr>
          <w:ilvl w:val="0"/>
          <w:numId w:val="19"/>
        </w:numPr>
        <w:spacing w:after="200" w:line="276" w:lineRule="auto"/>
        <w:contextualSpacing/>
        <w:jc w:val="both"/>
        <w:rPr>
          <w:rFonts w:ascii="Times New Roman" w:hAnsi="Times New Roman"/>
          <w:sz w:val="24"/>
          <w:szCs w:val="24"/>
        </w:rPr>
      </w:pPr>
      <w:r w:rsidRPr="00D66BF5">
        <w:rPr>
          <w:rFonts w:ascii="Times New Roman" w:hAnsi="Times New Roman"/>
          <w:sz w:val="24"/>
          <w:szCs w:val="24"/>
        </w:rPr>
        <w:t>La proportion de femmes âgées de 20 à 24 ans qui étaient mariées ou en couple avant l’âge de 15 ans est en régression passant de 29,7% en 2015 à 24,2% en 2019 (EDS-MICS 2-14-2015 et MICS 2019</w:t>
      </w:r>
      <w:proofErr w:type="gramStart"/>
      <w:r w:rsidRPr="00D66BF5">
        <w:rPr>
          <w:rFonts w:ascii="Times New Roman" w:hAnsi="Times New Roman"/>
          <w:sz w:val="24"/>
          <w:szCs w:val="24"/>
        </w:rPr>
        <w:t>);</w:t>
      </w:r>
      <w:proofErr w:type="gramEnd"/>
    </w:p>
    <w:p w14:paraId="6D869DD3" w14:textId="77777777" w:rsidR="00D66BF5" w:rsidRPr="00D66BF5" w:rsidRDefault="00D66BF5" w:rsidP="00BC1AE3">
      <w:pPr>
        <w:numPr>
          <w:ilvl w:val="0"/>
          <w:numId w:val="19"/>
        </w:numPr>
        <w:spacing w:after="200" w:line="276" w:lineRule="auto"/>
        <w:contextualSpacing/>
        <w:jc w:val="both"/>
        <w:rPr>
          <w:rFonts w:ascii="Times New Roman" w:hAnsi="Times New Roman"/>
          <w:sz w:val="24"/>
          <w:szCs w:val="24"/>
        </w:rPr>
      </w:pPr>
      <w:r w:rsidRPr="00D66BF5">
        <w:rPr>
          <w:rFonts w:ascii="Times New Roman" w:hAnsi="Times New Roman"/>
          <w:sz w:val="24"/>
          <w:szCs w:val="24"/>
        </w:rPr>
        <w:t xml:space="preserve">Les MGF (Mutilations Génitales Féminines) sont encore </w:t>
      </w:r>
      <w:proofErr w:type="gramStart"/>
      <w:r w:rsidRPr="00D66BF5">
        <w:rPr>
          <w:rFonts w:ascii="Times New Roman" w:hAnsi="Times New Roman"/>
          <w:sz w:val="24"/>
          <w:szCs w:val="24"/>
        </w:rPr>
        <w:t>prégnantes</w:t>
      </w:r>
      <w:proofErr w:type="gramEnd"/>
      <w:r w:rsidRPr="00D66BF5">
        <w:rPr>
          <w:rFonts w:ascii="Times New Roman" w:hAnsi="Times New Roman"/>
          <w:sz w:val="24"/>
          <w:szCs w:val="24"/>
        </w:rPr>
        <w:t xml:space="preserve"> avec une proportion de 38% en 2014 contre 34,1% en 2019 (EDS-MICS 2014-2015 et MICS 2019).</w:t>
      </w:r>
    </w:p>
    <w:p w14:paraId="6061986C" w14:textId="77777777" w:rsidR="00D66BF5" w:rsidRPr="00D66BF5" w:rsidRDefault="00D66BF5" w:rsidP="00D66BF5">
      <w:pPr>
        <w:autoSpaceDE w:val="0"/>
        <w:autoSpaceDN w:val="0"/>
        <w:adjustRightInd w:val="0"/>
        <w:spacing w:after="0" w:line="240" w:lineRule="auto"/>
        <w:ind w:left="720"/>
        <w:contextualSpacing/>
        <w:jc w:val="both"/>
        <w:rPr>
          <w:rFonts w:ascii="Times New Roman" w:hAnsi="Times New Roman"/>
          <w:sz w:val="24"/>
          <w:szCs w:val="24"/>
        </w:rPr>
      </w:pPr>
    </w:p>
    <w:p w14:paraId="7D458414" w14:textId="3F208E6F" w:rsidR="00C566B3" w:rsidRPr="00683D7B" w:rsidRDefault="00C566B3" w:rsidP="00D66BF5">
      <w:pPr>
        <w:jc w:val="both"/>
        <w:rPr>
          <w:rFonts w:ascii="Times New Roman" w:hAnsi="Times New Roman"/>
          <w:color w:val="000000"/>
          <w:sz w:val="24"/>
          <w:szCs w:val="24"/>
        </w:rPr>
      </w:pPr>
      <w:r w:rsidRPr="00683D7B">
        <w:rPr>
          <w:rFonts w:ascii="Times New Roman" w:hAnsi="Times New Roman"/>
          <w:color w:val="000000"/>
          <w:sz w:val="24"/>
          <w:szCs w:val="24"/>
        </w:rPr>
        <w:t xml:space="preserve">Globalement, malgré la persistance de défis structurels et </w:t>
      </w:r>
      <w:r w:rsidR="00796D8B" w:rsidRPr="00683D7B">
        <w:rPr>
          <w:rFonts w:ascii="Times New Roman" w:hAnsi="Times New Roman"/>
          <w:color w:val="000000"/>
          <w:sz w:val="24"/>
          <w:szCs w:val="24"/>
        </w:rPr>
        <w:t xml:space="preserve">la </w:t>
      </w:r>
      <w:r w:rsidRPr="00683D7B">
        <w:rPr>
          <w:rFonts w:ascii="Times New Roman" w:hAnsi="Times New Roman"/>
          <w:color w:val="000000"/>
          <w:sz w:val="24"/>
          <w:szCs w:val="24"/>
        </w:rPr>
        <w:t xml:space="preserve">conjoncture socio-économique liée à la baisse des revenus de l’Etat et à la lutte contre l’extrémisme violent, le Tchad a fait des progrès dans la mise en œuvre des ODD. Le taux de pauvreté est ainsi passé de 46,7% en 2011 à 42,3% en 2019 ; le taux d’accès à l’eau potable de 56,1% en 2014 à 61,8% en 2019 ; la proportion d’accouchements assistés par du personnel de santé qualifié est passée de 24,3% en 2015 à 34,5% en 2019 ; l’amélioration du taux de maintien des filles à l’école et l’amélioration du taux d’alphabétisation des adultes qui est passé de 28,8% à 41,5% entre 2011 et 2019. </w:t>
      </w:r>
    </w:p>
    <w:p w14:paraId="1B213FE1" w14:textId="05AC77BA" w:rsidR="00D66BF5" w:rsidRPr="00D66BF5" w:rsidRDefault="00D66BF5" w:rsidP="00D66BF5">
      <w:pPr>
        <w:jc w:val="both"/>
        <w:rPr>
          <w:rFonts w:ascii="Times New Roman" w:hAnsi="Times New Roman"/>
          <w:sz w:val="24"/>
          <w:szCs w:val="24"/>
        </w:rPr>
      </w:pPr>
      <w:r w:rsidRPr="00D66BF5">
        <w:rPr>
          <w:rFonts w:ascii="Times New Roman" w:hAnsi="Times New Roman"/>
          <w:color w:val="000000"/>
          <w:sz w:val="24"/>
          <w:szCs w:val="24"/>
        </w:rPr>
        <w:t>Dans un souci de redevabilité et d’apprentissage, des évaluations des programmes ont été faites durant le cycle actuel de l’UNDAF avec l’agenda 2030 en point de mire. Ces évaluations ont permis de mettre en évidence des constats</w:t>
      </w:r>
      <w:r w:rsidRPr="00D66BF5">
        <w:rPr>
          <w:rFonts w:ascii="Times New Roman" w:hAnsi="Times New Roman"/>
          <w:sz w:val="24"/>
          <w:szCs w:val="24"/>
        </w:rPr>
        <w:t xml:space="preserve"> solides sur la base de critères d’évaluation de l’Organisation de coopération et de développement économiques (OCDE). Les principaux éclairages et enseignements </w:t>
      </w:r>
      <w:r w:rsidR="009508B5">
        <w:rPr>
          <w:rFonts w:ascii="Times New Roman" w:hAnsi="Times New Roman"/>
          <w:sz w:val="24"/>
          <w:szCs w:val="24"/>
        </w:rPr>
        <w:t xml:space="preserve">tirés de ces évaluations sont annexés. </w:t>
      </w:r>
    </w:p>
    <w:p w14:paraId="7D46C433" w14:textId="4479CBA6" w:rsidR="00A0303E" w:rsidRDefault="00A0303E" w:rsidP="00D66BF5">
      <w:pPr>
        <w:jc w:val="both"/>
        <w:rPr>
          <w:rStyle w:val="ts-alignment-element"/>
          <w:rFonts w:ascii="Segoe UI" w:hAnsi="Segoe UI" w:cs="Segoe UI"/>
          <w:sz w:val="21"/>
          <w:szCs w:val="21"/>
        </w:rPr>
      </w:pPr>
    </w:p>
    <w:p w14:paraId="0229D9DE" w14:textId="7FB5D85A" w:rsidR="00806C46" w:rsidRPr="00A8375B" w:rsidRDefault="00A0303E" w:rsidP="00A8375B">
      <w:pPr>
        <w:jc w:val="both"/>
        <w:rPr>
          <w:rStyle w:val="ts-alignment-element"/>
          <w:rFonts w:ascii="Times New Roman" w:hAnsi="Times New Roman"/>
          <w:sz w:val="24"/>
        </w:rPr>
      </w:pPr>
      <w:r w:rsidRPr="00A0303E">
        <w:rPr>
          <w:rStyle w:val="ts-alignment-element"/>
          <w:rFonts w:ascii="Times New Roman" w:hAnsi="Times New Roman"/>
          <w:sz w:val="24"/>
          <w:szCs w:val="24"/>
        </w:rPr>
        <w:t xml:space="preserve">Le </w:t>
      </w:r>
      <w:r w:rsidR="00516EAC" w:rsidRPr="00A0303E">
        <w:rPr>
          <w:rStyle w:val="ts-alignment-element"/>
          <w:rFonts w:ascii="Times New Roman" w:hAnsi="Times New Roman"/>
          <w:sz w:val="24"/>
          <w:szCs w:val="24"/>
        </w:rPr>
        <w:t>tableau</w:t>
      </w:r>
      <w:r w:rsidR="00516EAC" w:rsidRPr="00A0303E">
        <w:rPr>
          <w:rFonts w:ascii="Times New Roman" w:hAnsi="Times New Roman"/>
          <w:sz w:val="24"/>
          <w:szCs w:val="24"/>
        </w:rPr>
        <w:t xml:space="preserve"> </w:t>
      </w:r>
      <w:r w:rsidR="00516EAC">
        <w:rPr>
          <w:rFonts w:ascii="Times New Roman" w:hAnsi="Times New Roman"/>
          <w:sz w:val="24"/>
          <w:szCs w:val="24"/>
        </w:rPr>
        <w:t>suivant</w:t>
      </w:r>
      <w:r>
        <w:rPr>
          <w:rFonts w:ascii="Times New Roman" w:hAnsi="Times New Roman"/>
          <w:sz w:val="24"/>
          <w:szCs w:val="24"/>
        </w:rPr>
        <w:t xml:space="preserve"> </w:t>
      </w:r>
      <w:r>
        <w:rPr>
          <w:rStyle w:val="ts-alignment-element"/>
          <w:rFonts w:ascii="Times New Roman" w:hAnsi="Times New Roman"/>
          <w:sz w:val="24"/>
          <w:szCs w:val="24"/>
        </w:rPr>
        <w:t xml:space="preserve">fait </w:t>
      </w:r>
      <w:r w:rsidR="00806C46" w:rsidRPr="00A0303E">
        <w:rPr>
          <w:rStyle w:val="ts-alignment-element"/>
          <w:rFonts w:ascii="Times New Roman" w:hAnsi="Times New Roman"/>
          <w:sz w:val="24"/>
          <w:szCs w:val="24"/>
        </w:rPr>
        <w:t>l’état</w:t>
      </w:r>
      <w:r w:rsidR="00806C46" w:rsidRPr="00A0303E">
        <w:rPr>
          <w:rFonts w:ascii="Times New Roman" w:hAnsi="Times New Roman"/>
          <w:sz w:val="24"/>
          <w:szCs w:val="24"/>
        </w:rPr>
        <w:t xml:space="preserve"> </w:t>
      </w:r>
      <w:r w:rsidR="00806C46" w:rsidRPr="00A0303E">
        <w:rPr>
          <w:rStyle w:val="ts-alignment-element"/>
          <w:rFonts w:ascii="Times New Roman" w:hAnsi="Times New Roman"/>
          <w:sz w:val="24"/>
          <w:szCs w:val="24"/>
        </w:rPr>
        <w:t>d’avancement</w:t>
      </w:r>
      <w:r w:rsidR="00806C46" w:rsidRPr="00A8375B">
        <w:rPr>
          <w:rFonts w:ascii="Times New Roman" w:hAnsi="Times New Roman"/>
          <w:sz w:val="24"/>
        </w:rPr>
        <w:t xml:space="preserve"> </w:t>
      </w:r>
      <w:r w:rsidR="00806C46" w:rsidRPr="00A8375B">
        <w:rPr>
          <w:rStyle w:val="ts-alignment-element"/>
          <w:rFonts w:ascii="Times New Roman" w:hAnsi="Times New Roman"/>
          <w:sz w:val="24"/>
        </w:rPr>
        <w:t>de</w:t>
      </w:r>
      <w:r w:rsidR="00806C46" w:rsidRPr="00A8375B">
        <w:rPr>
          <w:rFonts w:ascii="Times New Roman" w:hAnsi="Times New Roman"/>
          <w:sz w:val="24"/>
        </w:rPr>
        <w:t xml:space="preserve"> </w:t>
      </w:r>
      <w:r w:rsidR="00806C46" w:rsidRPr="00A8375B">
        <w:rPr>
          <w:rStyle w:val="ts-alignment-element"/>
          <w:rFonts w:ascii="Times New Roman" w:hAnsi="Times New Roman"/>
          <w:sz w:val="24"/>
        </w:rPr>
        <w:t>la</w:t>
      </w:r>
      <w:r w:rsidR="00806C46" w:rsidRPr="00A8375B">
        <w:rPr>
          <w:rFonts w:ascii="Times New Roman" w:hAnsi="Times New Roman"/>
          <w:sz w:val="24"/>
        </w:rPr>
        <w:t xml:space="preserve"> </w:t>
      </w:r>
      <w:r w:rsidR="00806C46" w:rsidRPr="00A8375B">
        <w:rPr>
          <w:rStyle w:val="ts-alignment-element"/>
          <w:rFonts w:ascii="Times New Roman" w:hAnsi="Times New Roman"/>
          <w:sz w:val="24"/>
        </w:rPr>
        <w:t>réalisation</w:t>
      </w:r>
      <w:r w:rsidR="00806C46" w:rsidRPr="00A8375B">
        <w:rPr>
          <w:rFonts w:ascii="Times New Roman" w:hAnsi="Times New Roman"/>
          <w:sz w:val="24"/>
        </w:rPr>
        <w:t xml:space="preserve"> </w:t>
      </w:r>
      <w:r w:rsidR="00806C46" w:rsidRPr="00A8375B">
        <w:rPr>
          <w:rStyle w:val="ts-alignment-element"/>
          <w:rFonts w:ascii="Times New Roman" w:hAnsi="Times New Roman"/>
          <w:sz w:val="24"/>
        </w:rPr>
        <w:t>de</w:t>
      </w:r>
      <w:r w:rsidR="00806C46" w:rsidRPr="00A8375B">
        <w:rPr>
          <w:rFonts w:ascii="Times New Roman" w:hAnsi="Times New Roman"/>
          <w:sz w:val="24"/>
        </w:rPr>
        <w:t xml:space="preserve"> </w:t>
      </w:r>
      <w:r w:rsidR="00806C46" w:rsidRPr="00A0303E">
        <w:rPr>
          <w:rStyle w:val="ts-alignment-element"/>
          <w:rFonts w:ascii="Times New Roman" w:hAnsi="Times New Roman"/>
          <w:sz w:val="24"/>
          <w:szCs w:val="24"/>
        </w:rPr>
        <w:t>ODD</w:t>
      </w:r>
      <w:r w:rsidR="00516EAC">
        <w:rPr>
          <w:rStyle w:val="ts-alignment-element"/>
          <w:rFonts w:ascii="Times New Roman" w:hAnsi="Times New Roman"/>
          <w:sz w:val="24"/>
          <w:szCs w:val="24"/>
        </w:rPr>
        <w:t xml:space="preserve">. Les </w:t>
      </w:r>
      <w:r w:rsidR="002121C4">
        <w:rPr>
          <w:rStyle w:val="ts-alignment-element"/>
          <w:rFonts w:ascii="Times New Roman" w:hAnsi="Times New Roman"/>
          <w:sz w:val="24"/>
          <w:szCs w:val="24"/>
        </w:rPr>
        <w:t>constats et</w:t>
      </w:r>
      <w:r w:rsidR="00A039CE">
        <w:rPr>
          <w:rStyle w:val="ts-alignment-element"/>
          <w:rFonts w:ascii="Times New Roman" w:hAnsi="Times New Roman"/>
          <w:sz w:val="24"/>
          <w:szCs w:val="24"/>
        </w:rPr>
        <w:t xml:space="preserve"> les </w:t>
      </w:r>
      <w:r w:rsidR="00516EAC">
        <w:rPr>
          <w:rStyle w:val="ts-alignment-element"/>
          <w:rFonts w:ascii="Times New Roman" w:hAnsi="Times New Roman"/>
          <w:sz w:val="24"/>
          <w:szCs w:val="24"/>
        </w:rPr>
        <w:t>principales</w:t>
      </w:r>
      <w:r w:rsidR="00516EAC" w:rsidRPr="00A8375B">
        <w:rPr>
          <w:rStyle w:val="ts-alignment-element"/>
          <w:rFonts w:ascii="Times New Roman" w:hAnsi="Times New Roman"/>
          <w:sz w:val="24"/>
        </w:rPr>
        <w:t xml:space="preserve"> réalisations </w:t>
      </w:r>
      <w:r w:rsidR="00516EAC">
        <w:rPr>
          <w:rStyle w:val="ts-alignment-element"/>
          <w:rFonts w:ascii="Times New Roman" w:hAnsi="Times New Roman"/>
          <w:sz w:val="24"/>
          <w:szCs w:val="24"/>
        </w:rPr>
        <w:t>des ODD figurent en annexe</w:t>
      </w:r>
      <w:r w:rsidR="00516EAC" w:rsidRPr="00A8375B">
        <w:rPr>
          <w:rStyle w:val="ts-alignment-element"/>
          <w:rFonts w:ascii="Times New Roman" w:hAnsi="Times New Roman"/>
          <w:sz w:val="24"/>
        </w:rPr>
        <w:t>.</w:t>
      </w:r>
    </w:p>
    <w:p w14:paraId="2B2ABE2E" w14:textId="35C6FF71" w:rsidR="00806C46" w:rsidRPr="00A8375B" w:rsidRDefault="00806C46" w:rsidP="00A8375B">
      <w:pPr>
        <w:jc w:val="both"/>
        <w:rPr>
          <w:rStyle w:val="ts-alignment-element"/>
          <w:rFonts w:ascii="Segoe UI" w:hAnsi="Segoe UI"/>
          <w:sz w:val="21"/>
        </w:rPr>
      </w:pPr>
      <w:r w:rsidRPr="00A8375B">
        <w:rPr>
          <w:rStyle w:val="ts-alignment-element"/>
          <w:rFonts w:ascii="Segoe UI" w:hAnsi="Segoe UI"/>
          <w:b/>
          <w:sz w:val="21"/>
        </w:rPr>
        <w:t>Tableau 1 :</w:t>
      </w:r>
      <w:r w:rsidRPr="00A8375B">
        <w:rPr>
          <w:rStyle w:val="ts-alignment-element"/>
          <w:rFonts w:ascii="Segoe UI" w:hAnsi="Segoe UI"/>
          <w:sz w:val="21"/>
        </w:rPr>
        <w:t xml:space="preserve"> </w:t>
      </w:r>
      <w:r>
        <w:rPr>
          <w:rStyle w:val="ts-alignment-element"/>
          <w:rFonts w:ascii="Segoe UI" w:hAnsi="Segoe UI" w:cs="Segoe UI"/>
          <w:sz w:val="21"/>
          <w:szCs w:val="21"/>
        </w:rPr>
        <w:t xml:space="preserve">Etat </w:t>
      </w:r>
      <w:r w:rsidR="00D24136">
        <w:rPr>
          <w:rStyle w:val="ts-alignment-element"/>
          <w:rFonts w:ascii="Segoe UI" w:hAnsi="Segoe UI" w:cs="Segoe UI"/>
          <w:sz w:val="21"/>
          <w:szCs w:val="21"/>
        </w:rPr>
        <w:t>d’avancement</w:t>
      </w:r>
      <w:r w:rsidR="00D24136" w:rsidRPr="00A8375B">
        <w:rPr>
          <w:rStyle w:val="ts-alignment-element"/>
          <w:rFonts w:ascii="Segoe UI" w:hAnsi="Segoe UI"/>
          <w:sz w:val="21"/>
        </w:rPr>
        <w:t xml:space="preserve"> de</w:t>
      </w:r>
      <w:r w:rsidRPr="00A8375B">
        <w:rPr>
          <w:rStyle w:val="ts-alignment-element"/>
          <w:rFonts w:ascii="Segoe UI" w:hAnsi="Segoe UI"/>
          <w:sz w:val="21"/>
        </w:rPr>
        <w:t xml:space="preserve"> </w:t>
      </w:r>
      <w:r>
        <w:rPr>
          <w:rStyle w:val="ts-alignment-element"/>
          <w:rFonts w:ascii="Segoe UI" w:hAnsi="Segoe UI" w:cs="Segoe UI"/>
          <w:sz w:val="21"/>
          <w:szCs w:val="21"/>
        </w:rPr>
        <w:t>la réalisation des ODD</w:t>
      </w:r>
    </w:p>
    <w:tbl>
      <w:tblPr>
        <w:tblStyle w:val="Grilledutableau"/>
        <w:tblW w:w="0" w:type="auto"/>
        <w:tblLook w:val="04A0" w:firstRow="1" w:lastRow="0" w:firstColumn="1" w:lastColumn="0" w:noHBand="0" w:noVBand="1"/>
      </w:tblPr>
      <w:tblGrid>
        <w:gridCol w:w="4495"/>
        <w:gridCol w:w="5130"/>
      </w:tblGrid>
      <w:tr w:rsidR="00D24136" w:rsidRPr="00A0303E" w14:paraId="5768DB20" w14:textId="77777777" w:rsidTr="00A8375B">
        <w:tc>
          <w:tcPr>
            <w:tcW w:w="4495" w:type="dxa"/>
          </w:tcPr>
          <w:p w14:paraId="5BE04531" w14:textId="4132898A" w:rsidR="00D24136" w:rsidRPr="00A8375B" w:rsidRDefault="00D24136" w:rsidP="00A8375B">
            <w:pPr>
              <w:jc w:val="both"/>
              <w:rPr>
                <w:rFonts w:ascii="Times New Roman" w:hAnsi="Times New Roman"/>
                <w:b/>
                <w:sz w:val="24"/>
              </w:rPr>
            </w:pPr>
            <w:r w:rsidRPr="00A0303E">
              <w:rPr>
                <w:rFonts w:ascii="Times New Roman" w:hAnsi="Times New Roman"/>
                <w:b/>
                <w:bCs/>
                <w:sz w:val="24"/>
                <w:szCs w:val="24"/>
              </w:rPr>
              <w:t>En progrès</w:t>
            </w:r>
          </w:p>
        </w:tc>
        <w:tc>
          <w:tcPr>
            <w:tcW w:w="5130" w:type="dxa"/>
          </w:tcPr>
          <w:p w14:paraId="45CB6110" w14:textId="51ABB588" w:rsidR="00D24136" w:rsidRPr="00A0303E" w:rsidRDefault="00D24136" w:rsidP="00D66BF5">
            <w:pPr>
              <w:jc w:val="both"/>
              <w:rPr>
                <w:rFonts w:ascii="Times New Roman" w:hAnsi="Times New Roman"/>
                <w:b/>
                <w:bCs/>
                <w:sz w:val="24"/>
                <w:szCs w:val="24"/>
              </w:rPr>
            </w:pPr>
            <w:r w:rsidRPr="00A0303E">
              <w:rPr>
                <w:rFonts w:ascii="Times New Roman" w:hAnsi="Times New Roman"/>
                <w:b/>
                <w:bCs/>
                <w:sz w:val="24"/>
                <w:szCs w:val="24"/>
              </w:rPr>
              <w:t>Pas de progrès</w:t>
            </w:r>
          </w:p>
        </w:tc>
      </w:tr>
      <w:tr w:rsidR="00D24136" w14:paraId="603D2320" w14:textId="77777777" w:rsidTr="00A8375B">
        <w:tc>
          <w:tcPr>
            <w:tcW w:w="4495" w:type="dxa"/>
          </w:tcPr>
          <w:p w14:paraId="6CAB4267" w14:textId="288FEEDF" w:rsidR="00D24136" w:rsidRPr="00A8375B" w:rsidRDefault="00D24136" w:rsidP="00A8375B">
            <w:pPr>
              <w:jc w:val="both"/>
              <w:rPr>
                <w:rFonts w:ascii="Times New Roman" w:hAnsi="Times New Roman"/>
                <w:sz w:val="24"/>
              </w:rPr>
            </w:pPr>
            <w:r w:rsidRPr="00D66BF5">
              <w:rPr>
                <w:rFonts w:ascii="Times New Roman" w:hAnsi="Times New Roman"/>
                <w:b/>
                <w:color w:val="FF0000"/>
              </w:rPr>
              <w:t xml:space="preserve">ODD 1 : </w:t>
            </w:r>
            <w:r w:rsidRPr="00D24136">
              <w:rPr>
                <w:rFonts w:ascii="Times New Roman" w:hAnsi="Times New Roman"/>
                <w:bCs/>
              </w:rPr>
              <w:t>Éliminer la pauvreté sous toutes ses formes et partout dans le monde</w:t>
            </w:r>
          </w:p>
        </w:tc>
        <w:tc>
          <w:tcPr>
            <w:tcW w:w="5130" w:type="dxa"/>
          </w:tcPr>
          <w:p w14:paraId="011F49DB" w14:textId="0DB4D01A" w:rsidR="00D24136" w:rsidRPr="00A8375B" w:rsidRDefault="00D24136" w:rsidP="00A8375B">
            <w:pPr>
              <w:jc w:val="both"/>
              <w:rPr>
                <w:rFonts w:ascii="Times New Roman" w:hAnsi="Times New Roman"/>
                <w:sz w:val="24"/>
              </w:rPr>
            </w:pPr>
            <w:r w:rsidRPr="00D66BF5">
              <w:rPr>
                <w:rFonts w:ascii="Times New Roman" w:hAnsi="Times New Roman"/>
                <w:b/>
                <w:color w:val="FF0000"/>
              </w:rPr>
              <w:t xml:space="preserve">ODD 2 :  </w:t>
            </w:r>
            <w:r w:rsidRPr="00D24136">
              <w:rPr>
                <w:rFonts w:ascii="Times New Roman" w:hAnsi="Times New Roman"/>
                <w:bCs/>
              </w:rPr>
              <w:t>Éliminer la faim, assurer la sécurité alimentaire, améliorer la nutrition et promouvoir une agriculture durable</w:t>
            </w:r>
          </w:p>
        </w:tc>
      </w:tr>
      <w:tr w:rsidR="00D24136" w14:paraId="360F621A" w14:textId="77777777" w:rsidTr="00A8375B">
        <w:tc>
          <w:tcPr>
            <w:tcW w:w="4495" w:type="dxa"/>
            <w:vAlign w:val="center"/>
          </w:tcPr>
          <w:p w14:paraId="24795A68" w14:textId="6CA03475" w:rsidR="00D24136" w:rsidRPr="00A8375B" w:rsidRDefault="00D24136" w:rsidP="00A8375B">
            <w:pPr>
              <w:jc w:val="both"/>
              <w:rPr>
                <w:rFonts w:ascii="Times New Roman" w:hAnsi="Times New Roman"/>
                <w:sz w:val="24"/>
              </w:rPr>
            </w:pPr>
            <w:r w:rsidRPr="00D66BF5">
              <w:rPr>
                <w:rFonts w:ascii="Times New Roman" w:hAnsi="Times New Roman"/>
                <w:b/>
                <w:color w:val="FF0000"/>
              </w:rPr>
              <w:lastRenderedPageBreak/>
              <w:t xml:space="preserve">ODD 3 :   </w:t>
            </w:r>
            <w:r w:rsidRPr="00D24136">
              <w:rPr>
                <w:rFonts w:ascii="Times New Roman" w:hAnsi="Times New Roman"/>
                <w:bCs/>
              </w:rPr>
              <w:t>Permettre à tous de vivre en bonne santé et promouvoir le bien-être de tous à tout âge</w:t>
            </w:r>
          </w:p>
        </w:tc>
        <w:tc>
          <w:tcPr>
            <w:tcW w:w="5130" w:type="dxa"/>
          </w:tcPr>
          <w:p w14:paraId="5E8E066B" w14:textId="3405C152" w:rsidR="00D24136" w:rsidRPr="00A8375B" w:rsidRDefault="00D24136" w:rsidP="00A8375B">
            <w:pPr>
              <w:jc w:val="both"/>
              <w:rPr>
                <w:rFonts w:ascii="Times New Roman" w:hAnsi="Times New Roman"/>
                <w:sz w:val="24"/>
              </w:rPr>
            </w:pPr>
          </w:p>
        </w:tc>
      </w:tr>
      <w:tr w:rsidR="00D24136" w14:paraId="375938CF" w14:textId="77777777" w:rsidTr="00A8375B">
        <w:tc>
          <w:tcPr>
            <w:tcW w:w="4495" w:type="dxa"/>
          </w:tcPr>
          <w:p w14:paraId="07335791" w14:textId="3443825E" w:rsidR="00D24136" w:rsidRPr="00A8375B" w:rsidRDefault="00D24136" w:rsidP="00A8375B">
            <w:pPr>
              <w:jc w:val="both"/>
              <w:rPr>
                <w:rFonts w:ascii="Times New Roman" w:hAnsi="Times New Roman"/>
                <w:sz w:val="24"/>
              </w:rPr>
            </w:pPr>
            <w:r w:rsidRPr="00D66BF5">
              <w:rPr>
                <w:rFonts w:ascii="Times New Roman" w:hAnsi="Times New Roman"/>
                <w:b/>
                <w:color w:val="FF0000"/>
              </w:rPr>
              <w:t>ODD 4 :</w:t>
            </w:r>
            <w:r w:rsidRPr="00D66BF5">
              <w:rPr>
                <w:rFonts w:ascii="Times New Roman" w:hAnsi="Times New Roman"/>
                <w:b/>
              </w:rPr>
              <w:t xml:space="preserve"> </w:t>
            </w:r>
            <w:r w:rsidRPr="00A8375B">
              <w:rPr>
                <w:rFonts w:ascii="Times New Roman" w:hAnsi="Times New Roman"/>
              </w:rPr>
              <w:t>Assurer à tous une éducation équitable, inclusive et de qualité et des possibilités d’apprentissage tout au long de la vie</w:t>
            </w:r>
          </w:p>
        </w:tc>
        <w:tc>
          <w:tcPr>
            <w:tcW w:w="5130" w:type="dxa"/>
          </w:tcPr>
          <w:p w14:paraId="57B2FA2A" w14:textId="77777777" w:rsidR="00D24136" w:rsidRDefault="00D24136" w:rsidP="00D24136">
            <w:pPr>
              <w:jc w:val="both"/>
              <w:rPr>
                <w:rFonts w:ascii="Times New Roman" w:hAnsi="Times New Roman"/>
                <w:sz w:val="24"/>
                <w:szCs w:val="24"/>
              </w:rPr>
            </w:pPr>
          </w:p>
        </w:tc>
      </w:tr>
      <w:tr w:rsidR="00FB3D54" w14:paraId="0A4D48E1" w14:textId="77777777" w:rsidTr="00A8375B">
        <w:tc>
          <w:tcPr>
            <w:tcW w:w="4495" w:type="dxa"/>
            <w:vAlign w:val="center"/>
          </w:tcPr>
          <w:p w14:paraId="5D1B3723" w14:textId="5BD63A7C" w:rsidR="00FB3D54" w:rsidRPr="00A8375B" w:rsidRDefault="00FB3D54" w:rsidP="00A8375B">
            <w:pPr>
              <w:jc w:val="both"/>
              <w:rPr>
                <w:rFonts w:ascii="Times New Roman" w:hAnsi="Times New Roman"/>
                <w:b/>
                <w:color w:val="FF0000"/>
              </w:rPr>
            </w:pPr>
          </w:p>
        </w:tc>
        <w:tc>
          <w:tcPr>
            <w:tcW w:w="5130" w:type="dxa"/>
          </w:tcPr>
          <w:p w14:paraId="781F2F80" w14:textId="788CA066" w:rsidR="00FB3D54" w:rsidRPr="00A8375B" w:rsidRDefault="00FB3D54" w:rsidP="00A8375B">
            <w:pPr>
              <w:jc w:val="both"/>
              <w:rPr>
                <w:rFonts w:ascii="Times New Roman" w:hAnsi="Times New Roman"/>
                <w:sz w:val="24"/>
              </w:rPr>
            </w:pPr>
            <w:r w:rsidRPr="00D66BF5">
              <w:rPr>
                <w:rFonts w:ascii="Times New Roman" w:hAnsi="Times New Roman"/>
                <w:b/>
                <w:color w:val="FF0000"/>
              </w:rPr>
              <w:t>ODD 5 :</w:t>
            </w:r>
            <w:r w:rsidRPr="00D66BF5">
              <w:rPr>
                <w:rFonts w:ascii="Times New Roman" w:hAnsi="Times New Roman"/>
                <w:b/>
              </w:rPr>
              <w:t xml:space="preserve"> </w:t>
            </w:r>
            <w:r w:rsidRPr="001139D7">
              <w:rPr>
                <w:rFonts w:ascii="Times New Roman" w:hAnsi="Times New Roman"/>
                <w:bCs/>
              </w:rPr>
              <w:t>Parvenir à l’égalité des sexes et autonomiser toutes les femmes et les filles</w:t>
            </w:r>
          </w:p>
        </w:tc>
      </w:tr>
      <w:tr w:rsidR="00FB3D54" w14:paraId="0A9520C7" w14:textId="77777777" w:rsidTr="00A8375B">
        <w:tc>
          <w:tcPr>
            <w:tcW w:w="4495" w:type="dxa"/>
          </w:tcPr>
          <w:p w14:paraId="2AE3737A" w14:textId="77777777" w:rsidR="00FB3D54" w:rsidRPr="00D66BF5" w:rsidRDefault="00FB3D54" w:rsidP="00FB3D54">
            <w:pPr>
              <w:jc w:val="both"/>
              <w:rPr>
                <w:rFonts w:ascii="Times New Roman" w:hAnsi="Times New Roman"/>
                <w:b/>
                <w:color w:val="FF0000"/>
              </w:rPr>
            </w:pPr>
          </w:p>
        </w:tc>
        <w:tc>
          <w:tcPr>
            <w:tcW w:w="5130" w:type="dxa"/>
          </w:tcPr>
          <w:p w14:paraId="72D1CB56" w14:textId="5E48CA2B" w:rsidR="00FB3D54" w:rsidRPr="00A8375B" w:rsidRDefault="00FB3D54" w:rsidP="00A8375B">
            <w:pPr>
              <w:jc w:val="both"/>
              <w:rPr>
                <w:rFonts w:ascii="Times New Roman" w:hAnsi="Times New Roman"/>
                <w:sz w:val="24"/>
              </w:rPr>
            </w:pPr>
            <w:r w:rsidRPr="00D66BF5">
              <w:rPr>
                <w:rFonts w:ascii="Times New Roman" w:hAnsi="Times New Roman"/>
                <w:b/>
                <w:color w:val="FF0000"/>
              </w:rPr>
              <w:t xml:space="preserve">ODD 6 : </w:t>
            </w:r>
            <w:r w:rsidRPr="00D66BF5">
              <w:rPr>
                <w:rFonts w:ascii="Times New Roman" w:hAnsi="Times New Roman"/>
              </w:rPr>
              <w:t>Garantir l’accès de tous à l’eau et à l’assainissement et assurer une gestion durable des ressources en eau </w:t>
            </w:r>
          </w:p>
        </w:tc>
      </w:tr>
      <w:tr w:rsidR="00FB3D54" w14:paraId="5FE96B21" w14:textId="77777777" w:rsidTr="00A8375B">
        <w:tc>
          <w:tcPr>
            <w:tcW w:w="4495" w:type="dxa"/>
          </w:tcPr>
          <w:p w14:paraId="2F02FE95" w14:textId="77777777" w:rsidR="00FB3D54" w:rsidRPr="00D66BF5" w:rsidRDefault="00FB3D54" w:rsidP="00FB3D54">
            <w:pPr>
              <w:jc w:val="both"/>
              <w:rPr>
                <w:rFonts w:ascii="Times New Roman" w:hAnsi="Times New Roman"/>
                <w:b/>
                <w:color w:val="FF0000"/>
              </w:rPr>
            </w:pPr>
          </w:p>
        </w:tc>
        <w:tc>
          <w:tcPr>
            <w:tcW w:w="5130" w:type="dxa"/>
          </w:tcPr>
          <w:p w14:paraId="20ED60A3" w14:textId="4730FBBC" w:rsidR="00FB3D54" w:rsidRPr="00A8375B" w:rsidRDefault="00FB3D54" w:rsidP="00A8375B">
            <w:pPr>
              <w:jc w:val="both"/>
              <w:rPr>
                <w:rFonts w:ascii="Times New Roman" w:hAnsi="Times New Roman"/>
                <w:sz w:val="24"/>
              </w:rPr>
            </w:pPr>
            <w:r w:rsidRPr="00D66BF5">
              <w:rPr>
                <w:rFonts w:ascii="Times New Roman" w:hAnsi="Times New Roman"/>
                <w:b/>
                <w:color w:val="FF0000"/>
              </w:rPr>
              <w:t xml:space="preserve">ODD 7 : </w:t>
            </w:r>
            <w:r w:rsidRPr="00A8375B">
              <w:rPr>
                <w:rFonts w:ascii="Times New Roman" w:hAnsi="Times New Roman"/>
              </w:rPr>
              <w:t>Garantir l’accès de tous à des services énergétiques fiables, durables et modernes, à un coût abordable</w:t>
            </w:r>
          </w:p>
        </w:tc>
      </w:tr>
      <w:tr w:rsidR="00FB3D54" w14:paraId="31357F00" w14:textId="77777777" w:rsidTr="00A8375B">
        <w:tc>
          <w:tcPr>
            <w:tcW w:w="4495" w:type="dxa"/>
          </w:tcPr>
          <w:p w14:paraId="48D25B8E" w14:textId="45F26BE1" w:rsidR="00FB3D54" w:rsidRPr="00A8375B" w:rsidRDefault="00FB3D54" w:rsidP="00A8375B">
            <w:pPr>
              <w:jc w:val="both"/>
              <w:rPr>
                <w:rFonts w:ascii="Times New Roman" w:hAnsi="Times New Roman"/>
                <w:b/>
                <w:color w:val="FF0000"/>
              </w:rPr>
            </w:pPr>
          </w:p>
        </w:tc>
        <w:tc>
          <w:tcPr>
            <w:tcW w:w="5130" w:type="dxa"/>
          </w:tcPr>
          <w:p w14:paraId="490F221D" w14:textId="567621E9" w:rsidR="00FB3D54" w:rsidRPr="00A8375B" w:rsidRDefault="00F12584" w:rsidP="00A8375B">
            <w:pPr>
              <w:jc w:val="both"/>
              <w:rPr>
                <w:rFonts w:ascii="Times New Roman" w:hAnsi="Times New Roman"/>
                <w:sz w:val="24"/>
              </w:rPr>
            </w:pPr>
            <w:r w:rsidRPr="00D66BF5">
              <w:rPr>
                <w:rFonts w:ascii="Times New Roman" w:hAnsi="Times New Roman"/>
                <w:b/>
                <w:color w:val="FF0000"/>
              </w:rPr>
              <w:t>ODD 8 :</w:t>
            </w:r>
            <w:r w:rsidRPr="00D66BF5">
              <w:rPr>
                <w:rFonts w:ascii="Times New Roman" w:hAnsi="Times New Roman"/>
                <w:b/>
              </w:rPr>
              <w:t xml:space="preserve"> </w:t>
            </w:r>
            <w:r w:rsidRPr="00F12584">
              <w:rPr>
                <w:rFonts w:ascii="Times New Roman" w:hAnsi="Times New Roman"/>
                <w:bCs/>
              </w:rPr>
              <w:t>Promouvoir une croissance économique soutenue, partagée et durable, le plein emploi productif et un travail décent pour tous</w:t>
            </w:r>
          </w:p>
        </w:tc>
      </w:tr>
      <w:tr w:rsidR="00F12584" w14:paraId="3283D6ED" w14:textId="77777777" w:rsidTr="00A8375B">
        <w:tc>
          <w:tcPr>
            <w:tcW w:w="4495" w:type="dxa"/>
          </w:tcPr>
          <w:p w14:paraId="5728B151" w14:textId="77777777" w:rsidR="00F12584" w:rsidRPr="00D66BF5" w:rsidRDefault="00F12584" w:rsidP="00FB3D54">
            <w:pPr>
              <w:jc w:val="both"/>
              <w:rPr>
                <w:rFonts w:ascii="Times New Roman" w:hAnsi="Times New Roman"/>
                <w:b/>
                <w:color w:val="FF0000"/>
              </w:rPr>
            </w:pPr>
          </w:p>
        </w:tc>
        <w:tc>
          <w:tcPr>
            <w:tcW w:w="5130" w:type="dxa"/>
          </w:tcPr>
          <w:p w14:paraId="4F27520F" w14:textId="4711A4A3" w:rsidR="00F12584" w:rsidRPr="00A8375B" w:rsidRDefault="00F12584" w:rsidP="00A8375B">
            <w:pPr>
              <w:jc w:val="both"/>
              <w:rPr>
                <w:rFonts w:ascii="Times New Roman" w:hAnsi="Times New Roman"/>
                <w:b/>
                <w:color w:val="FF0000"/>
              </w:rPr>
            </w:pPr>
            <w:r w:rsidRPr="00D66BF5">
              <w:rPr>
                <w:rFonts w:ascii="Times New Roman" w:hAnsi="Times New Roman"/>
                <w:b/>
                <w:color w:val="FF0000"/>
              </w:rPr>
              <w:t>ODD 9 :</w:t>
            </w:r>
            <w:r w:rsidRPr="00D66BF5">
              <w:rPr>
                <w:rFonts w:ascii="Times New Roman" w:hAnsi="Times New Roman"/>
                <w:b/>
              </w:rPr>
              <w:t xml:space="preserve"> </w:t>
            </w:r>
            <w:r w:rsidRPr="00A8375B">
              <w:rPr>
                <w:rFonts w:ascii="Times New Roman" w:hAnsi="Times New Roman"/>
              </w:rPr>
              <w:t>Bâtir une infrastructure résiliente, promouvoir une industrialisation durable qui profite à tous et encourager l’innovation</w:t>
            </w:r>
          </w:p>
        </w:tc>
      </w:tr>
      <w:tr w:rsidR="00FC0406" w14:paraId="18C298F4" w14:textId="77777777" w:rsidTr="00A8375B">
        <w:tc>
          <w:tcPr>
            <w:tcW w:w="4495" w:type="dxa"/>
          </w:tcPr>
          <w:p w14:paraId="0A20CA98" w14:textId="77777777" w:rsidR="00FC0406" w:rsidRPr="00D66BF5" w:rsidRDefault="00FC0406" w:rsidP="00FC0406">
            <w:pPr>
              <w:jc w:val="both"/>
              <w:rPr>
                <w:rFonts w:ascii="Times New Roman" w:hAnsi="Times New Roman"/>
                <w:b/>
                <w:color w:val="FF0000"/>
              </w:rPr>
            </w:pPr>
          </w:p>
        </w:tc>
        <w:tc>
          <w:tcPr>
            <w:tcW w:w="5130" w:type="dxa"/>
            <w:vAlign w:val="center"/>
          </w:tcPr>
          <w:p w14:paraId="2708D43B" w14:textId="11A04B6B" w:rsidR="00FC0406" w:rsidRPr="00A8375B" w:rsidRDefault="00FC0406" w:rsidP="00A8375B">
            <w:pPr>
              <w:jc w:val="both"/>
              <w:rPr>
                <w:rFonts w:ascii="Times New Roman" w:hAnsi="Times New Roman"/>
                <w:b/>
                <w:color w:val="FF0000"/>
              </w:rPr>
            </w:pPr>
            <w:r w:rsidRPr="00D66BF5">
              <w:rPr>
                <w:rFonts w:ascii="Times New Roman" w:hAnsi="Times New Roman"/>
                <w:b/>
                <w:color w:val="FF0000"/>
              </w:rPr>
              <w:t xml:space="preserve">ODD 10 : </w:t>
            </w:r>
            <w:r w:rsidRPr="00A8375B">
              <w:rPr>
                <w:rFonts w:ascii="Times New Roman" w:hAnsi="Times New Roman"/>
              </w:rPr>
              <w:t>Réduire les inégalités dans les pays et d’un pays à l’autre</w:t>
            </w:r>
          </w:p>
        </w:tc>
      </w:tr>
      <w:tr w:rsidR="00FC0406" w14:paraId="4998CE11" w14:textId="77777777" w:rsidTr="00A8375B">
        <w:tc>
          <w:tcPr>
            <w:tcW w:w="4495" w:type="dxa"/>
          </w:tcPr>
          <w:p w14:paraId="419D0966" w14:textId="77777777" w:rsidR="00FC0406" w:rsidRPr="00D66BF5" w:rsidRDefault="00FC0406" w:rsidP="00FC0406">
            <w:pPr>
              <w:jc w:val="both"/>
              <w:rPr>
                <w:rFonts w:ascii="Times New Roman" w:hAnsi="Times New Roman"/>
                <w:b/>
                <w:color w:val="FF0000"/>
              </w:rPr>
            </w:pPr>
          </w:p>
        </w:tc>
        <w:tc>
          <w:tcPr>
            <w:tcW w:w="5130" w:type="dxa"/>
          </w:tcPr>
          <w:p w14:paraId="407E553D" w14:textId="5A92A3AD" w:rsidR="00FC0406" w:rsidRPr="00A8375B" w:rsidRDefault="00FC0406" w:rsidP="00A8375B">
            <w:pPr>
              <w:jc w:val="both"/>
              <w:rPr>
                <w:rFonts w:ascii="Times New Roman" w:hAnsi="Times New Roman"/>
                <w:b/>
                <w:color w:val="FF0000"/>
              </w:rPr>
            </w:pPr>
            <w:r w:rsidRPr="00D66BF5">
              <w:rPr>
                <w:rFonts w:ascii="Times New Roman" w:hAnsi="Times New Roman"/>
                <w:b/>
                <w:color w:val="FF0000"/>
              </w:rPr>
              <w:t>ODD 11 </w:t>
            </w:r>
            <w:r w:rsidRPr="00D66BF5">
              <w:rPr>
                <w:rFonts w:ascii="Times New Roman" w:hAnsi="Times New Roman"/>
                <w:b/>
              </w:rPr>
              <w:t xml:space="preserve">: </w:t>
            </w:r>
            <w:r w:rsidRPr="00A8375B">
              <w:rPr>
                <w:rFonts w:ascii="Times New Roman" w:hAnsi="Times New Roman"/>
              </w:rPr>
              <w:t>Faire en sorte que les villes et les établissements humains soient ouverts à tous, sûrs, résilients et durables</w:t>
            </w:r>
          </w:p>
        </w:tc>
      </w:tr>
      <w:tr w:rsidR="00FC0406" w14:paraId="6B5F6E26" w14:textId="77777777" w:rsidTr="00A8375B">
        <w:tc>
          <w:tcPr>
            <w:tcW w:w="4495" w:type="dxa"/>
          </w:tcPr>
          <w:p w14:paraId="1802C8C7" w14:textId="77777777" w:rsidR="00FC0406" w:rsidRPr="00D66BF5" w:rsidRDefault="00FC0406" w:rsidP="00FC0406">
            <w:pPr>
              <w:jc w:val="both"/>
              <w:rPr>
                <w:rFonts w:ascii="Times New Roman" w:hAnsi="Times New Roman"/>
                <w:b/>
                <w:color w:val="FF0000"/>
              </w:rPr>
            </w:pPr>
          </w:p>
        </w:tc>
        <w:tc>
          <w:tcPr>
            <w:tcW w:w="5130" w:type="dxa"/>
          </w:tcPr>
          <w:p w14:paraId="3DDD3C4F" w14:textId="5B18DF32" w:rsidR="00FC0406" w:rsidRPr="00A8375B" w:rsidRDefault="00FC0406" w:rsidP="00A8375B">
            <w:pPr>
              <w:jc w:val="both"/>
              <w:rPr>
                <w:rFonts w:ascii="Times New Roman" w:hAnsi="Times New Roman"/>
                <w:b/>
                <w:color w:val="FF0000"/>
              </w:rPr>
            </w:pPr>
            <w:r w:rsidRPr="00D66BF5">
              <w:rPr>
                <w:rFonts w:ascii="Times New Roman" w:hAnsi="Times New Roman"/>
                <w:b/>
                <w:color w:val="FF0000"/>
              </w:rPr>
              <w:t>ODD 12 </w:t>
            </w:r>
            <w:r w:rsidRPr="00D66BF5">
              <w:rPr>
                <w:rFonts w:ascii="Times New Roman" w:hAnsi="Times New Roman"/>
                <w:b/>
              </w:rPr>
              <w:t xml:space="preserve">: </w:t>
            </w:r>
            <w:r w:rsidRPr="00A8375B">
              <w:rPr>
                <w:rFonts w:ascii="Times New Roman" w:hAnsi="Times New Roman"/>
              </w:rPr>
              <w:t>Établir des modes de consommation et de production durables</w:t>
            </w:r>
          </w:p>
        </w:tc>
      </w:tr>
      <w:tr w:rsidR="00FC0406" w14:paraId="5659A08B" w14:textId="77777777" w:rsidTr="00A8375B">
        <w:tc>
          <w:tcPr>
            <w:tcW w:w="4495" w:type="dxa"/>
          </w:tcPr>
          <w:p w14:paraId="0B02103F" w14:textId="4F0131ED" w:rsidR="00FC0406" w:rsidRPr="00A8375B" w:rsidRDefault="00A0303E" w:rsidP="00A8375B">
            <w:pPr>
              <w:jc w:val="both"/>
              <w:rPr>
                <w:rFonts w:ascii="Times New Roman" w:hAnsi="Times New Roman"/>
                <w:b/>
                <w:color w:val="FF0000"/>
              </w:rPr>
            </w:pPr>
            <w:r w:rsidRPr="00D66BF5">
              <w:rPr>
                <w:rFonts w:ascii="Times New Roman" w:hAnsi="Times New Roman"/>
                <w:b/>
                <w:color w:val="FF0000"/>
              </w:rPr>
              <w:t>ODD 13 </w:t>
            </w:r>
            <w:r w:rsidRPr="00D66BF5">
              <w:rPr>
                <w:rFonts w:ascii="Times New Roman" w:hAnsi="Times New Roman"/>
                <w:b/>
              </w:rPr>
              <w:t xml:space="preserve">: </w:t>
            </w:r>
            <w:r w:rsidRPr="00A0303E">
              <w:rPr>
                <w:rFonts w:ascii="Times New Roman" w:hAnsi="Times New Roman"/>
                <w:bCs/>
              </w:rPr>
              <w:t>Prendre d’urgence des mesures pour lutter contre les changements climatiques et leurs répercussions</w:t>
            </w:r>
          </w:p>
        </w:tc>
        <w:tc>
          <w:tcPr>
            <w:tcW w:w="5130" w:type="dxa"/>
          </w:tcPr>
          <w:p w14:paraId="6935F735" w14:textId="0016354E" w:rsidR="00FC0406" w:rsidRPr="00A8375B" w:rsidRDefault="00A0303E" w:rsidP="00A8375B">
            <w:pPr>
              <w:jc w:val="both"/>
              <w:rPr>
                <w:rFonts w:ascii="Times New Roman" w:hAnsi="Times New Roman"/>
                <w:b/>
                <w:color w:val="FF0000"/>
              </w:rPr>
            </w:pPr>
            <w:r w:rsidRPr="00A8375B">
              <w:rPr>
                <w:rFonts w:ascii="Times New Roman" w:hAnsi="Times New Roman"/>
                <w:b/>
                <w:color w:val="FF0000"/>
              </w:rPr>
              <w:t>ODD 15 </w:t>
            </w:r>
            <w:r w:rsidRPr="00A8375B">
              <w:rPr>
                <w:rFonts w:ascii="Times New Roman" w:hAnsi="Times New Roman"/>
                <w:b/>
              </w:rPr>
              <w:t>:</w:t>
            </w:r>
            <w:r w:rsidRPr="00D66BF5">
              <w:rPr>
                <w:rFonts w:ascii="Times New Roman" w:hAnsi="Times New Roman"/>
              </w:rPr>
              <w:t xml:space="preserve"> </w:t>
            </w:r>
            <w:r w:rsidRPr="00A8375B">
              <w:rPr>
                <w:rFonts w:ascii="Times New Roman" w:hAnsi="Times New Roman"/>
              </w:rPr>
              <w:t>Préserver et restaurer les écosystèmes terrestres, en veillant à les exploiter de façon durable, gérer durablement les forêts, lutter contre la désertification, enrayer et inverser le processus de dégradation des terres et mettre fin à l’appauvrissement de la biodiversité</w:t>
            </w:r>
          </w:p>
        </w:tc>
      </w:tr>
      <w:tr w:rsidR="00FC0406" w14:paraId="1E08FB33" w14:textId="77777777" w:rsidTr="00A8375B">
        <w:tc>
          <w:tcPr>
            <w:tcW w:w="4495" w:type="dxa"/>
          </w:tcPr>
          <w:p w14:paraId="28B231A6" w14:textId="7BE54323" w:rsidR="00FC0406" w:rsidRPr="00A8375B" w:rsidRDefault="00A0303E" w:rsidP="00A8375B">
            <w:pPr>
              <w:jc w:val="both"/>
              <w:rPr>
                <w:rFonts w:ascii="Times New Roman" w:hAnsi="Times New Roman"/>
                <w:b/>
                <w:color w:val="FF0000"/>
              </w:rPr>
            </w:pPr>
            <w:r w:rsidRPr="00D66BF5">
              <w:rPr>
                <w:rFonts w:ascii="Times New Roman" w:hAnsi="Times New Roman"/>
                <w:b/>
                <w:bCs/>
                <w:color w:val="FF0000"/>
              </w:rPr>
              <w:t>ODD 16 </w:t>
            </w:r>
            <w:r w:rsidRPr="00D66BF5">
              <w:rPr>
                <w:rFonts w:ascii="Times New Roman" w:hAnsi="Times New Roman"/>
                <w:b/>
                <w:bCs/>
              </w:rPr>
              <w:t xml:space="preserve">: </w:t>
            </w:r>
            <w:r w:rsidRPr="00A0303E">
              <w:rPr>
                <w:rFonts w:ascii="Times New Roman" w:hAnsi="Times New Roman"/>
              </w:rPr>
              <w:t xml:space="preserve">Promouvoir l’avènement de sociétés pacifiques et inclusives aux fins du développement durable, assurer l’accès de tous à la justice et mettre en place, à tous les niveaux, </w:t>
            </w:r>
            <w:r w:rsidRPr="00A0303E">
              <w:rPr>
                <w:rFonts w:ascii="Times New Roman" w:hAnsi="Times New Roman"/>
              </w:rPr>
              <w:lastRenderedPageBreak/>
              <w:t>des institutions efficaces, responsables et ouvertes à tous</w:t>
            </w:r>
          </w:p>
        </w:tc>
        <w:tc>
          <w:tcPr>
            <w:tcW w:w="5130" w:type="dxa"/>
          </w:tcPr>
          <w:p w14:paraId="5727698C" w14:textId="77777777" w:rsidR="00FC0406" w:rsidRPr="00D66BF5" w:rsidRDefault="00FC0406" w:rsidP="00FC0406">
            <w:pPr>
              <w:jc w:val="both"/>
              <w:rPr>
                <w:rFonts w:ascii="Times New Roman" w:hAnsi="Times New Roman"/>
                <w:b/>
                <w:color w:val="FF0000"/>
              </w:rPr>
            </w:pPr>
          </w:p>
        </w:tc>
      </w:tr>
      <w:tr w:rsidR="00FC0406" w14:paraId="15B1CDDA" w14:textId="77777777" w:rsidTr="00D24136">
        <w:tc>
          <w:tcPr>
            <w:tcW w:w="4495" w:type="dxa"/>
          </w:tcPr>
          <w:p w14:paraId="63ED3826" w14:textId="5F8EBA11" w:rsidR="00FC0406" w:rsidRPr="00D66BF5" w:rsidRDefault="00A0303E" w:rsidP="00FC0406">
            <w:pPr>
              <w:jc w:val="both"/>
              <w:rPr>
                <w:rFonts w:ascii="Times New Roman" w:hAnsi="Times New Roman"/>
                <w:b/>
                <w:color w:val="FF0000"/>
              </w:rPr>
            </w:pPr>
            <w:r w:rsidRPr="00D66BF5">
              <w:rPr>
                <w:rFonts w:ascii="Times New Roman" w:hAnsi="Times New Roman"/>
                <w:b/>
                <w:color w:val="FF0000"/>
              </w:rPr>
              <w:t>ODD 17 </w:t>
            </w:r>
            <w:r w:rsidRPr="00D66BF5">
              <w:rPr>
                <w:rFonts w:ascii="Times New Roman" w:hAnsi="Times New Roman"/>
                <w:b/>
              </w:rPr>
              <w:t xml:space="preserve">: </w:t>
            </w:r>
            <w:r w:rsidRPr="00A0303E">
              <w:rPr>
                <w:rFonts w:ascii="Times New Roman" w:hAnsi="Times New Roman"/>
                <w:bCs/>
              </w:rPr>
              <w:t>Renforcer les moyens de mettre en œuvre le Partenariat mondial pour le développement durable et le revitaliser.</w:t>
            </w:r>
          </w:p>
        </w:tc>
        <w:tc>
          <w:tcPr>
            <w:tcW w:w="5130" w:type="dxa"/>
          </w:tcPr>
          <w:p w14:paraId="1E900238" w14:textId="77777777" w:rsidR="00FC0406" w:rsidRPr="00D66BF5" w:rsidRDefault="00FC0406" w:rsidP="00FC0406">
            <w:pPr>
              <w:jc w:val="both"/>
              <w:rPr>
                <w:rFonts w:ascii="Times New Roman" w:hAnsi="Times New Roman"/>
                <w:b/>
                <w:color w:val="FF0000"/>
              </w:rPr>
            </w:pPr>
          </w:p>
        </w:tc>
      </w:tr>
    </w:tbl>
    <w:p w14:paraId="44976A73" w14:textId="77777777" w:rsidR="00806C46" w:rsidRPr="00A8375B" w:rsidRDefault="00806C46" w:rsidP="00A8375B">
      <w:pPr>
        <w:jc w:val="both"/>
        <w:rPr>
          <w:rFonts w:ascii="Times New Roman" w:hAnsi="Times New Roman"/>
          <w:sz w:val="24"/>
        </w:rPr>
      </w:pPr>
    </w:p>
    <w:p w14:paraId="0260AF90" w14:textId="31D8BA78" w:rsidR="00CD37DE" w:rsidRPr="001126F7" w:rsidRDefault="00CD37DE" w:rsidP="00BC1AE3">
      <w:pPr>
        <w:pStyle w:val="Titre2"/>
        <w:numPr>
          <w:ilvl w:val="1"/>
          <w:numId w:val="25"/>
        </w:numPr>
        <w:rPr>
          <w:b/>
          <w:bCs w:val="0"/>
          <w:sz w:val="28"/>
          <w:szCs w:val="28"/>
        </w:rPr>
      </w:pPr>
      <w:bookmarkStart w:id="93" w:name="_Toc55372903"/>
      <w:bookmarkStart w:id="94" w:name="_Toc55539107"/>
      <w:bookmarkStart w:id="95" w:name="_Toc61523579"/>
      <w:bookmarkStart w:id="96" w:name="_Toc90910795"/>
      <w:r w:rsidRPr="001126F7">
        <w:rPr>
          <w:b/>
          <w:bCs w:val="0"/>
          <w:sz w:val="28"/>
          <w:szCs w:val="28"/>
        </w:rPr>
        <w:t xml:space="preserve">Analyse de l’impact de la COVID-19 sur la réalisation de l’agenda 2030 et l’atteinte des </w:t>
      </w:r>
      <w:r w:rsidR="001126F7" w:rsidRPr="001126F7">
        <w:rPr>
          <w:b/>
          <w:bCs w:val="0"/>
          <w:sz w:val="28"/>
          <w:szCs w:val="28"/>
        </w:rPr>
        <w:t xml:space="preserve">objectifs de développement durable </w:t>
      </w:r>
      <w:r w:rsidRPr="001126F7">
        <w:rPr>
          <w:b/>
          <w:bCs w:val="0"/>
          <w:sz w:val="28"/>
          <w:szCs w:val="28"/>
        </w:rPr>
        <w:t>au Tchad</w:t>
      </w:r>
      <w:bookmarkEnd w:id="93"/>
      <w:bookmarkEnd w:id="94"/>
      <w:bookmarkEnd w:id="95"/>
      <w:bookmarkEnd w:id="96"/>
      <w:r w:rsidRPr="001126F7">
        <w:rPr>
          <w:b/>
          <w:bCs w:val="0"/>
          <w:sz w:val="28"/>
          <w:szCs w:val="28"/>
        </w:rPr>
        <w:t xml:space="preserve">  </w:t>
      </w:r>
    </w:p>
    <w:p w14:paraId="523BCCDA" w14:textId="3BFCBF69" w:rsidR="00CD37DE" w:rsidRPr="00CD37DE" w:rsidRDefault="00CD37DE" w:rsidP="00CD37DE">
      <w:pPr>
        <w:spacing w:line="240" w:lineRule="auto"/>
        <w:jc w:val="both"/>
        <w:rPr>
          <w:rFonts w:ascii="Times New Roman" w:hAnsi="Times New Roman"/>
          <w:sz w:val="24"/>
          <w:szCs w:val="24"/>
        </w:rPr>
      </w:pPr>
      <w:r w:rsidRPr="00CD37DE">
        <w:rPr>
          <w:rFonts w:ascii="Times New Roman" w:hAnsi="Times New Roman"/>
          <w:b/>
          <w:bCs/>
          <w:sz w:val="24"/>
        </w:rPr>
        <w:t xml:space="preserve">Depuis le début de l’année 2020, la pandémie de COVID-19 </w:t>
      </w:r>
      <w:r w:rsidR="00243E96">
        <w:rPr>
          <w:rFonts w:ascii="Times New Roman" w:hAnsi="Times New Roman"/>
          <w:b/>
          <w:bCs/>
          <w:sz w:val="24"/>
        </w:rPr>
        <w:t xml:space="preserve">a </w:t>
      </w:r>
      <w:r w:rsidRPr="00CD37DE">
        <w:rPr>
          <w:rFonts w:ascii="Times New Roman" w:hAnsi="Times New Roman"/>
          <w:b/>
          <w:bCs/>
          <w:sz w:val="24"/>
        </w:rPr>
        <w:t>m</w:t>
      </w:r>
      <w:r w:rsidR="00243E96">
        <w:rPr>
          <w:rFonts w:ascii="Times New Roman" w:hAnsi="Times New Roman"/>
          <w:b/>
          <w:bCs/>
          <w:sz w:val="24"/>
        </w:rPr>
        <w:t>is</w:t>
      </w:r>
      <w:r w:rsidRPr="00CD37DE">
        <w:rPr>
          <w:rFonts w:ascii="Times New Roman" w:hAnsi="Times New Roman"/>
          <w:b/>
          <w:bCs/>
          <w:sz w:val="24"/>
        </w:rPr>
        <w:t xml:space="preserve"> à rude épreuve les capacités du secteur de la santé de nombreux pays</w:t>
      </w:r>
      <w:r w:rsidRPr="00CD37DE">
        <w:t xml:space="preserve"> </w:t>
      </w:r>
      <w:r w:rsidRPr="00CD37DE">
        <w:rPr>
          <w:rFonts w:ascii="Times New Roman" w:hAnsi="Times New Roman"/>
          <w:b/>
          <w:bCs/>
          <w:sz w:val="24"/>
        </w:rPr>
        <w:t>y compris le Tchad</w:t>
      </w:r>
      <w:r w:rsidRPr="00CD37DE">
        <w:rPr>
          <w:rFonts w:ascii="Times New Roman" w:hAnsi="Times New Roman"/>
          <w:sz w:val="24"/>
        </w:rPr>
        <w:t>. Les mesures prises pour empêcher la propagation de la COVID-19 ont des effets dévastateurs sur l</w:t>
      </w:r>
      <w:r w:rsidR="00243E96">
        <w:rPr>
          <w:rFonts w:ascii="Times New Roman" w:hAnsi="Times New Roman"/>
          <w:sz w:val="24"/>
        </w:rPr>
        <w:t>’</w:t>
      </w:r>
      <w:r w:rsidRPr="00CD37DE">
        <w:rPr>
          <w:rFonts w:ascii="Times New Roman" w:hAnsi="Times New Roman"/>
          <w:sz w:val="24"/>
        </w:rPr>
        <w:t xml:space="preserve">économie et les moyens d’existence des populations. </w:t>
      </w:r>
    </w:p>
    <w:p w14:paraId="5B2EA11C" w14:textId="77777777" w:rsidR="00CD37DE" w:rsidRPr="00CD37DE" w:rsidRDefault="00245EB4" w:rsidP="00CD37DE">
      <w:pPr>
        <w:spacing w:after="0" w:line="240" w:lineRule="auto"/>
        <w:ind w:right="288"/>
        <w:jc w:val="both"/>
        <w:rPr>
          <w:rFonts w:ascii="Times New Roman" w:hAnsi="Times New Roman"/>
          <w:sz w:val="24"/>
          <w:szCs w:val="24"/>
        </w:rPr>
      </w:pPr>
      <w:r>
        <w:rPr>
          <w:rFonts w:ascii="Times New Roman" w:hAnsi="Times New Roman"/>
          <w:sz w:val="24"/>
          <w:szCs w:val="24"/>
        </w:rPr>
        <w:t>Elles ont eu aussi des effets sur les progrès vers la réalisation des ODD qui se présentent comme suit :</w:t>
      </w:r>
    </w:p>
    <w:p w14:paraId="6F9DC667" w14:textId="5D08E082" w:rsidR="00245EB4" w:rsidRPr="00CD37DE" w:rsidRDefault="00245EB4" w:rsidP="00CD37DE">
      <w:pPr>
        <w:spacing w:after="0" w:line="240" w:lineRule="auto"/>
        <w:ind w:right="288"/>
        <w:jc w:val="both"/>
        <w:rPr>
          <w:rFonts w:ascii="Times New Roman" w:hAnsi="Times New Roman"/>
          <w:sz w:val="24"/>
          <w:szCs w:val="24"/>
        </w:rPr>
      </w:pPr>
    </w:p>
    <w:p w14:paraId="1EC48421" w14:textId="0B4B6A82" w:rsidR="00CD37DE" w:rsidRDefault="00CD37DE" w:rsidP="00CD37DE">
      <w:pPr>
        <w:spacing w:line="240" w:lineRule="auto"/>
        <w:jc w:val="both"/>
        <w:rPr>
          <w:rFonts w:ascii="Times New Roman" w:hAnsi="Times New Roman"/>
          <w:sz w:val="24"/>
          <w:szCs w:val="24"/>
        </w:rPr>
      </w:pPr>
      <w:r w:rsidRPr="00CD37DE">
        <w:rPr>
          <w:rFonts w:ascii="Times New Roman" w:hAnsi="Times New Roman"/>
          <w:sz w:val="24"/>
          <w:szCs w:val="24"/>
        </w:rPr>
        <w:t xml:space="preserve">.:  </w:t>
      </w:r>
    </w:p>
    <w:p w14:paraId="6B414130" w14:textId="416EB4CA" w:rsidR="001D553C" w:rsidRDefault="001D553C" w:rsidP="00CD37DE">
      <w:pPr>
        <w:spacing w:line="240" w:lineRule="auto"/>
        <w:jc w:val="both"/>
        <w:rPr>
          <w:rFonts w:ascii="Times New Roman" w:hAnsi="Times New Roman"/>
          <w:sz w:val="24"/>
          <w:szCs w:val="24"/>
        </w:rPr>
      </w:pPr>
    </w:p>
    <w:p w14:paraId="4F1A8804" w14:textId="621726B8" w:rsidR="001D553C" w:rsidRPr="00CD37DE" w:rsidRDefault="001D553C" w:rsidP="00BC1AE3">
      <w:pPr>
        <w:pStyle w:val="Paragraphedeliste"/>
        <w:numPr>
          <w:ilvl w:val="0"/>
          <w:numId w:val="52"/>
        </w:numPr>
        <w:spacing w:line="240" w:lineRule="auto"/>
        <w:jc w:val="both"/>
        <w:rPr>
          <w:rFonts w:ascii="Times New Roman" w:hAnsi="Times New Roman"/>
          <w:sz w:val="24"/>
          <w:szCs w:val="24"/>
        </w:rPr>
      </w:pPr>
      <w:r w:rsidRPr="001D553C">
        <w:rPr>
          <w:rFonts w:ascii="Times New Roman" w:hAnsi="Times New Roman"/>
          <w:sz w:val="24"/>
          <w:szCs w:val="24"/>
        </w:rPr>
        <w:t xml:space="preserve"> </w:t>
      </w:r>
      <w:r w:rsidR="00245EB4" w:rsidRPr="00303EB1">
        <w:rPr>
          <w:rFonts w:ascii="Times New Roman" w:hAnsi="Times New Roman"/>
          <w:sz w:val="24"/>
          <w:szCs w:val="24"/>
        </w:rPr>
        <w:t xml:space="preserve">Les </w:t>
      </w:r>
      <w:r w:rsidRPr="001D553C">
        <w:rPr>
          <w:rFonts w:ascii="Times New Roman" w:hAnsi="Times New Roman"/>
          <w:sz w:val="24"/>
          <w:szCs w:val="24"/>
        </w:rPr>
        <w:t>mesures</w:t>
      </w:r>
      <w:r w:rsidRPr="00303EB1">
        <w:rPr>
          <w:rFonts w:ascii="Times New Roman" w:hAnsi="Times New Roman"/>
          <w:sz w:val="24"/>
          <w:szCs w:val="24"/>
        </w:rPr>
        <w:t xml:space="preserve"> </w:t>
      </w:r>
      <w:r w:rsidR="00245EB4" w:rsidRPr="00303EB1">
        <w:rPr>
          <w:rFonts w:ascii="Times New Roman" w:hAnsi="Times New Roman"/>
          <w:sz w:val="24"/>
          <w:szCs w:val="24"/>
        </w:rPr>
        <w:t>prises par le Gouvernement</w:t>
      </w:r>
      <w:r w:rsidRPr="001D553C">
        <w:rPr>
          <w:rFonts w:ascii="Times New Roman" w:hAnsi="Times New Roman"/>
          <w:sz w:val="24"/>
          <w:szCs w:val="24"/>
        </w:rPr>
        <w:t xml:space="preserve"> ont entraîné un dysfonctionnement des chaines d’approvisionnement des denrées alimentaires et des intrants nécessaires aux systèmes de production agro-</w:t>
      </w:r>
      <w:proofErr w:type="spellStart"/>
      <w:r w:rsidRPr="001D553C">
        <w:rPr>
          <w:rFonts w:ascii="Times New Roman" w:hAnsi="Times New Roman"/>
          <w:sz w:val="24"/>
          <w:szCs w:val="24"/>
        </w:rPr>
        <w:t>sylvo</w:t>
      </w:r>
      <w:proofErr w:type="spellEnd"/>
      <w:r w:rsidRPr="001D553C">
        <w:rPr>
          <w:rFonts w:ascii="Times New Roman" w:hAnsi="Times New Roman"/>
          <w:sz w:val="24"/>
          <w:szCs w:val="24"/>
        </w:rPr>
        <w:t xml:space="preserve">-pastoraux et halieutiques. </w:t>
      </w:r>
    </w:p>
    <w:p w14:paraId="012DB088" w14:textId="7A7E932C" w:rsidR="00CD37DE" w:rsidRPr="00720B1A" w:rsidRDefault="00CD37DE" w:rsidP="00BC1AE3">
      <w:pPr>
        <w:pStyle w:val="Paragraphedeliste"/>
        <w:numPr>
          <w:ilvl w:val="0"/>
          <w:numId w:val="53"/>
        </w:numPr>
        <w:autoSpaceDE w:val="0"/>
        <w:autoSpaceDN w:val="0"/>
        <w:adjustRightInd w:val="0"/>
        <w:spacing w:after="0" w:line="240" w:lineRule="auto"/>
        <w:jc w:val="both"/>
        <w:rPr>
          <w:rFonts w:ascii="Times New Roman" w:hAnsi="Times New Roman"/>
        </w:rPr>
      </w:pPr>
      <w:r w:rsidRPr="00CD37DE">
        <w:rPr>
          <w:rFonts w:ascii="Times New Roman" w:hAnsi="Times New Roman"/>
          <w:sz w:val="24"/>
          <w:szCs w:val="24"/>
        </w:rPr>
        <w:t xml:space="preserve">Bien qu'une étude approfondie sur l'effet du covid-19 sur l'agriculture et la sécurité alimentaire n'ait pas encore été menée pour le Tchad, les derniers chiffres du </w:t>
      </w:r>
      <w:r w:rsidR="001D0347">
        <w:rPr>
          <w:rFonts w:ascii="Times New Roman" w:hAnsi="Times New Roman"/>
          <w:sz w:val="24"/>
          <w:szCs w:val="24"/>
        </w:rPr>
        <w:t>Programme Alimentaire Mondial</w:t>
      </w:r>
      <w:r w:rsidRPr="00CD37DE">
        <w:rPr>
          <w:rFonts w:ascii="Times New Roman" w:hAnsi="Times New Roman"/>
          <w:sz w:val="24"/>
          <w:szCs w:val="24"/>
        </w:rPr>
        <w:t xml:space="preserve"> au niveau global révèlent qu’en raison de la pandémie de </w:t>
      </w:r>
      <w:r w:rsidR="001D0347">
        <w:rPr>
          <w:rFonts w:ascii="Times New Roman" w:hAnsi="Times New Roman"/>
          <w:sz w:val="24"/>
          <w:szCs w:val="24"/>
        </w:rPr>
        <w:t xml:space="preserve">la </w:t>
      </w:r>
      <w:r w:rsidRPr="00CD37DE">
        <w:rPr>
          <w:rFonts w:ascii="Times New Roman" w:hAnsi="Times New Roman"/>
          <w:sz w:val="24"/>
          <w:szCs w:val="24"/>
        </w:rPr>
        <w:t xml:space="preserve">COVID-19 ce nombre de </w:t>
      </w:r>
      <w:r w:rsidRPr="00303EB1">
        <w:rPr>
          <w:rFonts w:ascii="Times New Roman" w:hAnsi="Times New Roman"/>
          <w:sz w:val="24"/>
          <w:szCs w:val="24"/>
        </w:rPr>
        <w:t>personne</w:t>
      </w:r>
      <w:r w:rsidR="00B61D11" w:rsidRPr="00B61D11">
        <w:rPr>
          <w:rFonts w:ascii="Times New Roman" w:hAnsi="Times New Roman"/>
          <w:sz w:val="24"/>
          <w:szCs w:val="24"/>
        </w:rPr>
        <w:t>s</w:t>
      </w:r>
      <w:r w:rsidRPr="00CD37DE">
        <w:rPr>
          <w:rFonts w:ascii="Times New Roman" w:hAnsi="Times New Roman"/>
          <w:sz w:val="24"/>
          <w:szCs w:val="24"/>
        </w:rPr>
        <w:t xml:space="preserve"> qui risquent de souffrir d’insécurité alimentaire aiguë d’ici à la fin de l’année 2020 pourrait doubler. </w:t>
      </w:r>
    </w:p>
    <w:p w14:paraId="22364FA5" w14:textId="77777777" w:rsidR="00763DEB" w:rsidRDefault="00763DEB" w:rsidP="000824A6">
      <w:pPr>
        <w:autoSpaceDE w:val="0"/>
        <w:autoSpaceDN w:val="0"/>
        <w:adjustRightInd w:val="0"/>
        <w:spacing w:after="0" w:line="240" w:lineRule="auto"/>
        <w:jc w:val="both"/>
        <w:rPr>
          <w:rFonts w:ascii="Times New Roman" w:hAnsi="Times New Roman"/>
          <w:sz w:val="24"/>
        </w:rPr>
      </w:pPr>
    </w:p>
    <w:p w14:paraId="50D9F838" w14:textId="6D1A9E38" w:rsidR="00CD37DE" w:rsidRPr="00720B1A" w:rsidRDefault="00CD37DE" w:rsidP="000824A6">
      <w:pPr>
        <w:autoSpaceDE w:val="0"/>
        <w:autoSpaceDN w:val="0"/>
        <w:adjustRightInd w:val="0"/>
        <w:spacing w:after="0" w:line="240" w:lineRule="auto"/>
        <w:jc w:val="both"/>
        <w:rPr>
          <w:rFonts w:ascii="Times New Roman" w:hAnsi="Times New Roman"/>
        </w:rPr>
      </w:pPr>
      <w:r w:rsidRPr="000824A6">
        <w:rPr>
          <w:rFonts w:ascii="Times New Roman" w:hAnsi="Times New Roman"/>
          <w:sz w:val="24"/>
        </w:rPr>
        <w:t xml:space="preserve">La pandémie de </w:t>
      </w:r>
      <w:r w:rsidR="001D0347">
        <w:rPr>
          <w:rFonts w:ascii="Times New Roman" w:hAnsi="Times New Roman"/>
          <w:sz w:val="24"/>
        </w:rPr>
        <w:t xml:space="preserve">la </w:t>
      </w:r>
      <w:r w:rsidRPr="000824A6">
        <w:rPr>
          <w:rFonts w:ascii="Times New Roman" w:hAnsi="Times New Roman"/>
          <w:sz w:val="24"/>
        </w:rPr>
        <w:t xml:space="preserve">COVID-19 </w:t>
      </w:r>
      <w:r w:rsidR="00303EB1">
        <w:rPr>
          <w:rFonts w:ascii="Times New Roman" w:hAnsi="Times New Roman"/>
          <w:sz w:val="24"/>
        </w:rPr>
        <w:t xml:space="preserve">a </w:t>
      </w:r>
      <w:r w:rsidR="00303EB1" w:rsidRPr="000824A6">
        <w:rPr>
          <w:rFonts w:ascii="Times New Roman" w:hAnsi="Times New Roman"/>
          <w:sz w:val="24"/>
        </w:rPr>
        <w:t>perturbé</w:t>
      </w:r>
      <w:r w:rsidRPr="000824A6">
        <w:rPr>
          <w:rFonts w:ascii="Times New Roman" w:hAnsi="Times New Roman"/>
          <w:sz w:val="24"/>
        </w:rPr>
        <w:t xml:space="preserve"> les services essentiels de santé y compris les services liés à la tuberculose et au VIH. </w:t>
      </w:r>
    </w:p>
    <w:p w14:paraId="551459A1" w14:textId="77777777" w:rsidR="00CD37DE" w:rsidRPr="00720B1A" w:rsidRDefault="00CD37DE" w:rsidP="000824A6">
      <w:pPr>
        <w:autoSpaceDE w:val="0"/>
        <w:autoSpaceDN w:val="0"/>
        <w:adjustRightInd w:val="0"/>
        <w:spacing w:after="0" w:line="240" w:lineRule="auto"/>
        <w:jc w:val="both"/>
        <w:rPr>
          <w:rFonts w:ascii="Times New Roman" w:hAnsi="Times New Roman"/>
        </w:rPr>
      </w:pPr>
      <w:r w:rsidRPr="000824A6">
        <w:rPr>
          <w:rFonts w:ascii="Times New Roman" w:hAnsi="Times New Roman"/>
          <w:sz w:val="24"/>
        </w:rPr>
        <w:t xml:space="preserve"> </w:t>
      </w:r>
    </w:p>
    <w:p w14:paraId="30DCBDF6" w14:textId="08CE32FB" w:rsidR="00CD37DE" w:rsidRPr="00720B1A" w:rsidRDefault="00CD37DE" w:rsidP="00BC1AE3">
      <w:pPr>
        <w:pStyle w:val="Paragraphedeliste"/>
        <w:numPr>
          <w:ilvl w:val="0"/>
          <w:numId w:val="54"/>
        </w:numPr>
        <w:autoSpaceDE w:val="0"/>
        <w:autoSpaceDN w:val="0"/>
        <w:adjustRightInd w:val="0"/>
        <w:spacing w:after="0" w:line="240" w:lineRule="auto"/>
        <w:jc w:val="both"/>
        <w:rPr>
          <w:rFonts w:ascii="Times New Roman" w:hAnsi="Times New Roman"/>
        </w:rPr>
      </w:pPr>
      <w:r w:rsidRPr="000824A6">
        <w:rPr>
          <w:rFonts w:ascii="Times New Roman" w:hAnsi="Times New Roman"/>
          <w:b/>
          <w:sz w:val="24"/>
        </w:rPr>
        <w:t xml:space="preserve"> </w:t>
      </w:r>
      <w:r w:rsidRPr="000824A6">
        <w:rPr>
          <w:rFonts w:ascii="Times New Roman" w:hAnsi="Times New Roman"/>
          <w:sz w:val="24"/>
        </w:rPr>
        <w:t xml:space="preserve">L’interruption scolaire </w:t>
      </w:r>
      <w:r w:rsidR="00B61D11" w:rsidRPr="003D310F">
        <w:rPr>
          <w:rFonts w:ascii="Times New Roman" w:hAnsi="Times New Roman"/>
          <w:sz w:val="24"/>
        </w:rPr>
        <w:t>a entraîné</w:t>
      </w:r>
      <w:r w:rsidRPr="000824A6">
        <w:rPr>
          <w:rFonts w:ascii="Times New Roman" w:hAnsi="Times New Roman"/>
          <w:sz w:val="24"/>
        </w:rPr>
        <w:t xml:space="preserve"> des lacunes dans </w:t>
      </w:r>
      <w:r w:rsidR="003D310F" w:rsidRPr="003D310F">
        <w:rPr>
          <w:rFonts w:ascii="Times New Roman" w:hAnsi="Times New Roman"/>
          <w:sz w:val="24"/>
        </w:rPr>
        <w:t xml:space="preserve">la délivrance des </w:t>
      </w:r>
      <w:r w:rsidRPr="005B765C">
        <w:rPr>
          <w:rFonts w:ascii="Times New Roman" w:hAnsi="Times New Roman"/>
          <w:sz w:val="24"/>
        </w:rPr>
        <w:t>services de garde d’enfants</w:t>
      </w:r>
      <w:r w:rsidRPr="000824A6">
        <w:rPr>
          <w:rFonts w:ascii="Times New Roman" w:hAnsi="Times New Roman"/>
          <w:sz w:val="24"/>
        </w:rPr>
        <w:t xml:space="preserve">, </w:t>
      </w:r>
      <w:r w:rsidR="003D310F" w:rsidRPr="003D310F">
        <w:rPr>
          <w:rFonts w:ascii="Times New Roman" w:hAnsi="Times New Roman"/>
          <w:sz w:val="24"/>
        </w:rPr>
        <w:t>de l’apprentissage</w:t>
      </w:r>
      <w:r w:rsidR="003D310F">
        <w:rPr>
          <w:rFonts w:ascii="Times New Roman" w:hAnsi="Times New Roman"/>
          <w:sz w:val="24"/>
        </w:rPr>
        <w:t xml:space="preserve"> et du niveau scolaire des élèves</w:t>
      </w:r>
      <w:r w:rsidR="003D310F" w:rsidRPr="003D310F">
        <w:rPr>
          <w:rFonts w:ascii="Times New Roman" w:hAnsi="Times New Roman"/>
          <w:sz w:val="24"/>
        </w:rPr>
        <w:t xml:space="preserve">. </w:t>
      </w:r>
      <w:r w:rsidRPr="005B765C">
        <w:rPr>
          <w:rFonts w:ascii="Times New Roman" w:hAnsi="Times New Roman"/>
          <w:sz w:val="24"/>
        </w:rPr>
        <w:t xml:space="preserve"> </w:t>
      </w:r>
    </w:p>
    <w:p w14:paraId="337E3611" w14:textId="77777777" w:rsidR="00CD37DE" w:rsidRPr="00720B1A" w:rsidRDefault="00CD37DE" w:rsidP="000824A6">
      <w:pPr>
        <w:autoSpaceDE w:val="0"/>
        <w:autoSpaceDN w:val="0"/>
        <w:adjustRightInd w:val="0"/>
        <w:spacing w:after="0" w:line="240" w:lineRule="auto"/>
        <w:jc w:val="both"/>
        <w:rPr>
          <w:rFonts w:ascii="Times New Roman" w:hAnsi="Times New Roman"/>
        </w:rPr>
      </w:pPr>
    </w:p>
    <w:p w14:paraId="0B3F5242" w14:textId="4BFD5FAD" w:rsidR="00A71C7B" w:rsidRDefault="00CD37DE" w:rsidP="00BC1AE3">
      <w:pPr>
        <w:pStyle w:val="Paragraphedeliste"/>
        <w:numPr>
          <w:ilvl w:val="0"/>
          <w:numId w:val="55"/>
        </w:numPr>
        <w:autoSpaceDE w:val="0"/>
        <w:autoSpaceDN w:val="0"/>
        <w:adjustRightInd w:val="0"/>
        <w:spacing w:after="0" w:line="240" w:lineRule="auto"/>
        <w:jc w:val="both"/>
        <w:rPr>
          <w:rFonts w:ascii="Times New Roman" w:hAnsi="Times New Roman"/>
          <w:iCs/>
          <w:color w:val="0D0D0D" w:themeColor="text1" w:themeTint="F2"/>
        </w:rPr>
      </w:pPr>
      <w:bookmarkStart w:id="97" w:name="_Hlk55904990"/>
      <w:r w:rsidRPr="000824A6">
        <w:rPr>
          <w:rFonts w:ascii="Times New Roman" w:hAnsi="Times New Roman"/>
          <w:sz w:val="24"/>
        </w:rPr>
        <w:t xml:space="preserve"> </w:t>
      </w:r>
      <w:r w:rsidR="00C06929">
        <w:rPr>
          <w:rFonts w:ascii="Times New Roman" w:hAnsi="Times New Roman"/>
        </w:rPr>
        <w:t>Une forte</w:t>
      </w:r>
      <w:r w:rsidR="00A71C7B">
        <w:rPr>
          <w:rFonts w:ascii="Times New Roman" w:hAnsi="Times New Roman"/>
        </w:rPr>
        <w:t xml:space="preserve"> baisse du taux de fréquentation des formations sanitaires par les femmes et les filles</w:t>
      </w:r>
      <w:r w:rsidR="00D6684D">
        <w:rPr>
          <w:rFonts w:ascii="Times New Roman" w:hAnsi="Times New Roman"/>
        </w:rPr>
        <w:t xml:space="preserve"> a été observée ainsi qu’une </w:t>
      </w:r>
      <w:r w:rsidR="00C06929">
        <w:rPr>
          <w:rFonts w:ascii="Times New Roman" w:hAnsi="Times New Roman"/>
        </w:rPr>
        <w:t xml:space="preserve">augmentation des cas des violences </w:t>
      </w:r>
      <w:proofErr w:type="spellStart"/>
      <w:r w:rsidR="00C06929">
        <w:rPr>
          <w:rFonts w:ascii="Times New Roman" w:hAnsi="Times New Roman"/>
        </w:rPr>
        <w:t>basee</w:t>
      </w:r>
      <w:proofErr w:type="spellEnd"/>
      <w:r w:rsidR="00C06929">
        <w:rPr>
          <w:rFonts w:ascii="Times New Roman" w:hAnsi="Times New Roman"/>
        </w:rPr>
        <w:t xml:space="preserve"> sur le genre. </w:t>
      </w:r>
      <w:r w:rsidR="00A71C7B">
        <w:rPr>
          <w:rFonts w:ascii="Times New Roman" w:hAnsi="Times New Roman"/>
        </w:rPr>
        <w:t xml:space="preserve"> </w:t>
      </w:r>
    </w:p>
    <w:p w14:paraId="45EBAA5B" w14:textId="0079BC49" w:rsidR="00CD37DE" w:rsidRPr="00720B1A" w:rsidRDefault="00CD37DE" w:rsidP="00BC1AE3">
      <w:pPr>
        <w:pStyle w:val="Paragraphedeliste"/>
        <w:numPr>
          <w:ilvl w:val="0"/>
          <w:numId w:val="56"/>
        </w:numPr>
        <w:autoSpaceDE w:val="0"/>
        <w:autoSpaceDN w:val="0"/>
        <w:adjustRightInd w:val="0"/>
        <w:spacing w:after="0" w:line="240" w:lineRule="auto"/>
        <w:jc w:val="both"/>
        <w:rPr>
          <w:rFonts w:ascii="Times New Roman" w:hAnsi="Times New Roman"/>
        </w:rPr>
      </w:pPr>
      <w:bookmarkStart w:id="98" w:name="_Hlk55905046"/>
      <w:bookmarkEnd w:id="97"/>
      <w:r w:rsidRPr="000824A6">
        <w:rPr>
          <w:rFonts w:ascii="Times New Roman" w:hAnsi="Times New Roman"/>
          <w:sz w:val="24"/>
        </w:rPr>
        <w:t xml:space="preserve">La COVID-19 a mis en exergue la problématique de l’accès à l’eau et </w:t>
      </w:r>
      <w:r w:rsidR="001B67C5" w:rsidRPr="00CD37DE">
        <w:rPr>
          <w:rFonts w:ascii="Times New Roman" w:hAnsi="Times New Roman"/>
          <w:sz w:val="24"/>
          <w:szCs w:val="24"/>
        </w:rPr>
        <w:t>à</w:t>
      </w:r>
      <w:r w:rsidR="001B67C5" w:rsidRPr="000824A6" w:rsidDel="00BE4C0D">
        <w:rPr>
          <w:rFonts w:ascii="Times New Roman" w:hAnsi="Times New Roman"/>
          <w:sz w:val="24"/>
        </w:rPr>
        <w:t xml:space="preserve"> </w:t>
      </w:r>
      <w:r w:rsidR="001B67C5" w:rsidRPr="000824A6">
        <w:rPr>
          <w:rFonts w:ascii="Times New Roman" w:hAnsi="Times New Roman"/>
          <w:sz w:val="24"/>
        </w:rPr>
        <w:t>l’assainissement</w:t>
      </w:r>
      <w:r w:rsidRPr="000824A6">
        <w:rPr>
          <w:rFonts w:ascii="Times New Roman" w:hAnsi="Times New Roman"/>
          <w:sz w:val="24"/>
        </w:rPr>
        <w:t xml:space="preserve"> dans les formations sanitaires en particulier pour assurer l’hygiène et les pratiques de prévention et contrôle de la COVID-19. Avec la faiblesse des indicateurs en matière d’accès à l’eau potable et </w:t>
      </w:r>
      <w:r w:rsidR="001B67C5" w:rsidRPr="00CD37DE">
        <w:rPr>
          <w:rFonts w:ascii="Times New Roman" w:hAnsi="Times New Roman"/>
          <w:sz w:val="24"/>
          <w:szCs w:val="24"/>
        </w:rPr>
        <w:t>à</w:t>
      </w:r>
      <w:r w:rsidR="001B67C5" w:rsidRPr="000824A6" w:rsidDel="00B36CCB">
        <w:rPr>
          <w:rFonts w:ascii="Times New Roman" w:hAnsi="Times New Roman"/>
          <w:sz w:val="24"/>
        </w:rPr>
        <w:t xml:space="preserve"> </w:t>
      </w:r>
      <w:r w:rsidR="001B67C5" w:rsidRPr="000824A6">
        <w:rPr>
          <w:rFonts w:ascii="Times New Roman" w:hAnsi="Times New Roman"/>
          <w:sz w:val="24"/>
        </w:rPr>
        <w:t>l’assainissement</w:t>
      </w:r>
      <w:r w:rsidRPr="000824A6">
        <w:rPr>
          <w:rFonts w:ascii="Times New Roman" w:hAnsi="Times New Roman"/>
          <w:sz w:val="24"/>
        </w:rPr>
        <w:t xml:space="preserve">, </w:t>
      </w:r>
      <w:r w:rsidRPr="00CD37DE">
        <w:rPr>
          <w:rFonts w:ascii="Times New Roman" w:hAnsi="Times New Roman"/>
          <w:sz w:val="24"/>
          <w:szCs w:val="24"/>
        </w:rPr>
        <w:t>la pratique</w:t>
      </w:r>
      <w:r w:rsidRPr="000824A6">
        <w:rPr>
          <w:rFonts w:ascii="Times New Roman" w:hAnsi="Times New Roman"/>
          <w:sz w:val="24"/>
        </w:rPr>
        <w:t xml:space="preserve"> de lavage des mains </w:t>
      </w:r>
      <w:r w:rsidR="0013662F" w:rsidRPr="000824A6">
        <w:rPr>
          <w:rFonts w:ascii="Times New Roman" w:hAnsi="Times New Roman"/>
          <w:sz w:val="24"/>
        </w:rPr>
        <w:t>demeure</w:t>
      </w:r>
      <w:r w:rsidRPr="000824A6">
        <w:rPr>
          <w:rFonts w:ascii="Times New Roman" w:hAnsi="Times New Roman"/>
          <w:sz w:val="24"/>
        </w:rPr>
        <w:t xml:space="preserve"> un défi aussi bien en milieu rural qu’urbain. </w:t>
      </w:r>
    </w:p>
    <w:bookmarkEnd w:id="98"/>
    <w:p w14:paraId="7CF343EA" w14:textId="77777777" w:rsidR="00CD37DE" w:rsidRPr="00720B1A" w:rsidRDefault="00CD37DE" w:rsidP="000824A6">
      <w:pPr>
        <w:autoSpaceDE w:val="0"/>
        <w:autoSpaceDN w:val="0"/>
        <w:adjustRightInd w:val="0"/>
        <w:spacing w:after="0" w:line="240" w:lineRule="auto"/>
        <w:jc w:val="both"/>
        <w:rPr>
          <w:rFonts w:ascii="Times New Roman" w:hAnsi="Times New Roman"/>
        </w:rPr>
      </w:pPr>
    </w:p>
    <w:p w14:paraId="4E487435" w14:textId="77777777" w:rsidR="00CD37DE" w:rsidRPr="00720B1A" w:rsidRDefault="00CD37DE" w:rsidP="000824A6">
      <w:pPr>
        <w:autoSpaceDE w:val="0"/>
        <w:autoSpaceDN w:val="0"/>
        <w:adjustRightInd w:val="0"/>
        <w:spacing w:after="0" w:line="240" w:lineRule="auto"/>
        <w:jc w:val="both"/>
        <w:rPr>
          <w:rFonts w:ascii="Times New Roman" w:hAnsi="Times New Roman"/>
        </w:rPr>
      </w:pPr>
    </w:p>
    <w:p w14:paraId="4C9F038C" w14:textId="0249D04C" w:rsidR="00CD37DE" w:rsidRPr="00CD37DE" w:rsidRDefault="00CD37DE" w:rsidP="00BC1AE3">
      <w:pPr>
        <w:pStyle w:val="Paragraphedeliste"/>
        <w:numPr>
          <w:ilvl w:val="0"/>
          <w:numId w:val="56"/>
        </w:numPr>
        <w:autoSpaceDE w:val="0"/>
        <w:autoSpaceDN w:val="0"/>
        <w:adjustRightInd w:val="0"/>
        <w:spacing w:after="0" w:line="240" w:lineRule="auto"/>
        <w:jc w:val="both"/>
        <w:rPr>
          <w:rFonts w:ascii="Times New Roman" w:hAnsi="Times New Roman"/>
          <w:sz w:val="24"/>
          <w:szCs w:val="24"/>
        </w:rPr>
      </w:pPr>
      <w:r w:rsidRPr="000824A6">
        <w:rPr>
          <w:rFonts w:ascii="Times New Roman" w:hAnsi="Times New Roman"/>
          <w:sz w:val="24"/>
        </w:rPr>
        <w:lastRenderedPageBreak/>
        <w:t>Selon le rapport du F</w:t>
      </w:r>
      <w:r w:rsidR="003A222B">
        <w:rPr>
          <w:rFonts w:ascii="Times New Roman" w:hAnsi="Times New Roman"/>
          <w:sz w:val="24"/>
        </w:rPr>
        <w:t xml:space="preserve">onds </w:t>
      </w:r>
      <w:r w:rsidR="003A222B" w:rsidRPr="000824A6">
        <w:rPr>
          <w:rFonts w:ascii="Times New Roman" w:hAnsi="Times New Roman"/>
          <w:sz w:val="24"/>
        </w:rPr>
        <w:t>M</w:t>
      </w:r>
      <w:r w:rsidR="003A222B">
        <w:rPr>
          <w:rFonts w:ascii="Times New Roman" w:hAnsi="Times New Roman"/>
          <w:sz w:val="24"/>
        </w:rPr>
        <w:t xml:space="preserve">onétaire </w:t>
      </w:r>
      <w:r w:rsidRPr="000824A6">
        <w:rPr>
          <w:rFonts w:ascii="Times New Roman" w:hAnsi="Times New Roman"/>
          <w:sz w:val="24"/>
        </w:rPr>
        <w:t>I</w:t>
      </w:r>
      <w:r w:rsidR="003A222B">
        <w:rPr>
          <w:rFonts w:ascii="Times New Roman" w:hAnsi="Times New Roman"/>
          <w:sz w:val="24"/>
        </w:rPr>
        <w:t>nternational</w:t>
      </w:r>
      <w:r w:rsidRPr="000824A6">
        <w:rPr>
          <w:rFonts w:ascii="Times New Roman" w:hAnsi="Times New Roman"/>
          <w:sz w:val="24"/>
        </w:rPr>
        <w:t xml:space="preserve"> 2020, pour ce qui est du secteur réel, les simulations intégrant les effets de cette pandémie montrent que la croissance du P</w:t>
      </w:r>
      <w:r w:rsidR="003A222B">
        <w:rPr>
          <w:rFonts w:ascii="Times New Roman" w:hAnsi="Times New Roman"/>
          <w:sz w:val="24"/>
        </w:rPr>
        <w:t xml:space="preserve">roduit </w:t>
      </w:r>
      <w:r w:rsidRPr="000824A6">
        <w:rPr>
          <w:rFonts w:ascii="Times New Roman" w:hAnsi="Times New Roman"/>
          <w:sz w:val="24"/>
        </w:rPr>
        <w:t>I</w:t>
      </w:r>
      <w:r w:rsidR="003A222B">
        <w:rPr>
          <w:rFonts w:ascii="Times New Roman" w:hAnsi="Times New Roman"/>
          <w:sz w:val="24"/>
        </w:rPr>
        <w:t xml:space="preserve">ntérieur </w:t>
      </w:r>
      <w:r w:rsidRPr="000824A6">
        <w:rPr>
          <w:rFonts w:ascii="Times New Roman" w:hAnsi="Times New Roman"/>
          <w:sz w:val="24"/>
        </w:rPr>
        <w:t>B</w:t>
      </w:r>
      <w:r w:rsidR="003A222B">
        <w:rPr>
          <w:rFonts w:ascii="Times New Roman" w:hAnsi="Times New Roman"/>
          <w:sz w:val="24"/>
        </w:rPr>
        <w:t>rut</w:t>
      </w:r>
      <w:r w:rsidRPr="000824A6">
        <w:rPr>
          <w:rFonts w:ascii="Times New Roman" w:hAnsi="Times New Roman"/>
          <w:sz w:val="24"/>
        </w:rPr>
        <w:t xml:space="preserve"> réel projetée à 3,9 % en 2020 (dont 7,5% pour le secteur pétrolier et 3% pour le secteur hors pétrole) avant la crise se situerait à -0,8% (dont 2,4% pour le secteur pétrolier et -1,5% pour le secteur hors pétrole) en raison du ralentissement des activités pétrolières (3,2%) et aussi du secteur non pétrolier (-1,3%). </w:t>
      </w:r>
    </w:p>
    <w:p w14:paraId="0B57FA17" w14:textId="77777777" w:rsidR="00CD37DE" w:rsidRPr="00CD37DE" w:rsidRDefault="00CD37DE" w:rsidP="00CD37DE">
      <w:pPr>
        <w:autoSpaceDE w:val="0"/>
        <w:autoSpaceDN w:val="0"/>
        <w:adjustRightInd w:val="0"/>
        <w:spacing w:after="0" w:line="240" w:lineRule="auto"/>
        <w:jc w:val="both"/>
        <w:rPr>
          <w:rFonts w:ascii="Times New Roman" w:hAnsi="Times New Roman"/>
          <w:sz w:val="24"/>
          <w:szCs w:val="24"/>
        </w:rPr>
      </w:pPr>
    </w:p>
    <w:p w14:paraId="353C2E6D" w14:textId="0E784FFF" w:rsidR="00CD37DE" w:rsidRPr="00720B1A" w:rsidRDefault="00CD37DE" w:rsidP="00BC1AE3">
      <w:pPr>
        <w:pStyle w:val="Paragraphedeliste"/>
        <w:numPr>
          <w:ilvl w:val="0"/>
          <w:numId w:val="56"/>
        </w:numPr>
        <w:autoSpaceDE w:val="0"/>
        <w:autoSpaceDN w:val="0"/>
        <w:adjustRightInd w:val="0"/>
        <w:spacing w:after="0" w:line="240" w:lineRule="auto"/>
        <w:jc w:val="both"/>
        <w:rPr>
          <w:rFonts w:ascii="Times New Roman" w:hAnsi="Times New Roman"/>
        </w:rPr>
      </w:pPr>
      <w:proofErr w:type="gramStart"/>
      <w:r w:rsidRPr="000824A6">
        <w:rPr>
          <w:rFonts w:ascii="Times New Roman" w:hAnsi="Times New Roman"/>
          <w:sz w:val="24"/>
        </w:rPr>
        <w:t>la</w:t>
      </w:r>
      <w:proofErr w:type="gramEnd"/>
      <w:r w:rsidRPr="000824A6">
        <w:rPr>
          <w:rFonts w:ascii="Times New Roman" w:hAnsi="Times New Roman"/>
          <w:sz w:val="24"/>
        </w:rPr>
        <w:t xml:space="preserve"> base des données de l'Office Nationale pour la Promotion de l’Emploi et de la Caisse Nationale de Prévoyance Sociale, il ressort qu’en termes d’homologation des postes de travail, les nationaux perdront 100 postes ; 6.000 personnes bénéficiaires de l’auto-emploi seront en difficulté. </w:t>
      </w:r>
    </w:p>
    <w:p w14:paraId="1E799A62" w14:textId="77777777" w:rsidR="00CD37DE" w:rsidRPr="00720B1A" w:rsidRDefault="00CD37DE" w:rsidP="000824A6">
      <w:pPr>
        <w:autoSpaceDE w:val="0"/>
        <w:autoSpaceDN w:val="0"/>
        <w:adjustRightInd w:val="0"/>
        <w:spacing w:after="0" w:line="240" w:lineRule="auto"/>
        <w:jc w:val="both"/>
        <w:rPr>
          <w:rFonts w:ascii="Times New Roman" w:hAnsi="Times New Roman"/>
        </w:rPr>
      </w:pPr>
    </w:p>
    <w:p w14:paraId="231C612F" w14:textId="01732B2C" w:rsidR="00CD37DE" w:rsidRPr="00CD37DE" w:rsidRDefault="00CD37DE" w:rsidP="00BC1AE3">
      <w:pPr>
        <w:pStyle w:val="Paragraphedeliste"/>
        <w:numPr>
          <w:ilvl w:val="0"/>
          <w:numId w:val="56"/>
        </w:numPr>
        <w:autoSpaceDE w:val="0"/>
        <w:autoSpaceDN w:val="0"/>
        <w:adjustRightInd w:val="0"/>
        <w:spacing w:after="0" w:line="240" w:lineRule="auto"/>
        <w:jc w:val="both"/>
        <w:rPr>
          <w:rFonts w:ascii="Times New Roman" w:hAnsi="Times New Roman"/>
          <w:sz w:val="24"/>
          <w:szCs w:val="24"/>
        </w:rPr>
      </w:pPr>
      <w:r w:rsidRPr="000824A6">
        <w:rPr>
          <w:rFonts w:ascii="Times New Roman" w:hAnsi="Times New Roman"/>
          <w:color w:val="000000"/>
          <w:sz w:val="24"/>
        </w:rPr>
        <w:t xml:space="preserve">Les échanges extérieurs sont durement touchés par la crise sanitaire. Sous l'effet de la balance commerciale, le déficit des comptes courants se creuserait en 2020. </w:t>
      </w:r>
    </w:p>
    <w:p w14:paraId="4E416674" w14:textId="1E261159" w:rsidR="00C261AF" w:rsidRPr="00C261AF" w:rsidRDefault="002B6B44" w:rsidP="00BC1AE3">
      <w:pPr>
        <w:pStyle w:val="Paragraphedeliste"/>
        <w:numPr>
          <w:ilvl w:val="0"/>
          <w:numId w:val="56"/>
        </w:numPr>
        <w:spacing w:line="240" w:lineRule="auto"/>
        <w:jc w:val="both"/>
        <w:rPr>
          <w:rFonts w:ascii="Times New Roman" w:hAnsi="Times New Roman"/>
          <w:sz w:val="24"/>
          <w:szCs w:val="24"/>
        </w:rPr>
      </w:pPr>
      <w:r>
        <w:rPr>
          <w:rFonts w:ascii="Times New Roman" w:hAnsi="Times New Roman"/>
          <w:sz w:val="24"/>
          <w:szCs w:val="24"/>
        </w:rPr>
        <w:t xml:space="preserve">Dans son rapport, </w:t>
      </w:r>
      <w:r w:rsidR="00C261AF" w:rsidRPr="00C261AF">
        <w:rPr>
          <w:rFonts w:ascii="Times New Roman" w:hAnsi="Times New Roman"/>
          <w:sz w:val="24"/>
          <w:szCs w:val="24"/>
        </w:rPr>
        <w:t>l’O</w:t>
      </w:r>
      <w:r w:rsidR="00FE1DD7">
        <w:rPr>
          <w:rFonts w:ascii="Times New Roman" w:hAnsi="Times New Roman"/>
          <w:sz w:val="24"/>
          <w:szCs w:val="24"/>
        </w:rPr>
        <w:t xml:space="preserve">rganisation non-Gouvernementale </w:t>
      </w:r>
      <w:r w:rsidR="00C261AF" w:rsidRPr="00C261AF">
        <w:rPr>
          <w:rFonts w:ascii="Times New Roman" w:hAnsi="Times New Roman"/>
          <w:sz w:val="24"/>
          <w:szCs w:val="24"/>
        </w:rPr>
        <w:t xml:space="preserve">Oxfam, en partenariat avec </w:t>
      </w:r>
      <w:r w:rsidR="00646D99">
        <w:rPr>
          <w:rFonts w:ascii="Times New Roman" w:hAnsi="Times New Roman"/>
          <w:sz w:val="24"/>
          <w:szCs w:val="24"/>
        </w:rPr>
        <w:t xml:space="preserve">le </w:t>
      </w:r>
      <w:r w:rsidR="00646D99" w:rsidRPr="00646D99">
        <w:rPr>
          <w:rFonts w:ascii="Times New Roman" w:hAnsi="Times New Roman"/>
          <w:sz w:val="24"/>
          <w:szCs w:val="24"/>
        </w:rPr>
        <w:t xml:space="preserve">Centre d’Etude et de Recherche pour la Gouvernance, les Industries Extractives et le Développement </w:t>
      </w:r>
      <w:r>
        <w:rPr>
          <w:rFonts w:ascii="Times New Roman" w:hAnsi="Times New Roman"/>
          <w:sz w:val="24"/>
          <w:szCs w:val="24"/>
        </w:rPr>
        <w:t>c</w:t>
      </w:r>
      <w:r w:rsidR="00C261AF" w:rsidRPr="00C261AF">
        <w:rPr>
          <w:rFonts w:ascii="Times New Roman" w:hAnsi="Times New Roman"/>
          <w:sz w:val="24"/>
          <w:szCs w:val="24"/>
        </w:rPr>
        <w:t xml:space="preserve">omparativement à ses voisins, le Tchad est le pays sahélien le plus inégalitaire où les 10% de la population les plus riches possèdent une part deux fois plus importante du revenu national brut, que les 40% de la population les plus pauvres. </w:t>
      </w:r>
      <w:proofErr w:type="gramStart"/>
      <w:r w:rsidR="00C261AF" w:rsidRPr="00C261AF">
        <w:rPr>
          <w:rFonts w:ascii="Times New Roman" w:hAnsi="Times New Roman"/>
          <w:sz w:val="24"/>
          <w:szCs w:val="24"/>
        </w:rPr>
        <w:t>réduire</w:t>
      </w:r>
      <w:proofErr w:type="gramEnd"/>
      <w:r w:rsidR="00C261AF" w:rsidRPr="00C261AF">
        <w:rPr>
          <w:rFonts w:ascii="Times New Roman" w:hAnsi="Times New Roman"/>
          <w:sz w:val="24"/>
          <w:szCs w:val="24"/>
        </w:rPr>
        <w:t xml:space="preserve"> les inégalités de revenus dans la population. </w:t>
      </w:r>
    </w:p>
    <w:p w14:paraId="2E18F661" w14:textId="10FF26E1" w:rsidR="00940B62" w:rsidRDefault="00940B62" w:rsidP="00BC1AE3">
      <w:pPr>
        <w:pStyle w:val="Paragraphedeliste"/>
        <w:numPr>
          <w:ilvl w:val="0"/>
          <w:numId w:val="56"/>
        </w:numPr>
        <w:shd w:val="clear" w:color="auto" w:fill="FFFFFF" w:themeFill="background1"/>
        <w:spacing w:line="240" w:lineRule="auto"/>
        <w:jc w:val="both"/>
        <w:rPr>
          <w:rFonts w:ascii="Times New Roman" w:hAnsi="Times New Roman"/>
          <w:sz w:val="24"/>
          <w:szCs w:val="24"/>
        </w:rPr>
      </w:pPr>
    </w:p>
    <w:p w14:paraId="1D41FC0F" w14:textId="53D2764E" w:rsidR="00CD37DE" w:rsidRPr="00CD37DE" w:rsidRDefault="002B6B44" w:rsidP="00BC1AE3">
      <w:pPr>
        <w:pStyle w:val="Paragraphedeliste"/>
        <w:numPr>
          <w:ilvl w:val="0"/>
          <w:numId w:val="56"/>
        </w:numPr>
        <w:spacing w:line="240" w:lineRule="auto"/>
        <w:jc w:val="both"/>
        <w:rPr>
          <w:rFonts w:ascii="Times New Roman" w:hAnsi="Times New Roman"/>
          <w:sz w:val="24"/>
          <w:szCs w:val="24"/>
        </w:rPr>
      </w:pPr>
      <w:proofErr w:type="gramStart"/>
      <w:r>
        <w:rPr>
          <w:rFonts w:ascii="Times New Roman" w:hAnsi="Times New Roman"/>
          <w:sz w:val="24"/>
          <w:szCs w:val="24"/>
        </w:rPr>
        <w:t>la</w:t>
      </w:r>
      <w:proofErr w:type="gramEnd"/>
      <w:r w:rsidR="00CD37DE" w:rsidRPr="00CD37DE">
        <w:rPr>
          <w:rFonts w:ascii="Times New Roman" w:hAnsi="Times New Roman"/>
          <w:sz w:val="24"/>
          <w:szCs w:val="24"/>
        </w:rPr>
        <w:t xml:space="preserve"> </w:t>
      </w:r>
      <w:r>
        <w:rPr>
          <w:rFonts w:ascii="Times New Roman" w:hAnsi="Times New Roman"/>
          <w:sz w:val="24"/>
          <w:szCs w:val="24"/>
        </w:rPr>
        <w:t>COVID</w:t>
      </w:r>
      <w:r w:rsidR="00CD37DE" w:rsidRPr="00CD37DE">
        <w:rPr>
          <w:rFonts w:ascii="Times New Roman" w:hAnsi="Times New Roman"/>
          <w:sz w:val="24"/>
          <w:szCs w:val="24"/>
        </w:rPr>
        <w:t>-19 a entravé les efforts en cours pour fournir des formations et soutien technique aux institutions nationales sur la conception et la mise en œuvre de programmes de planification des réponses pour la sécurité alimentaire et la nutrition ainsi que des filets sociaux sensibles aux chocs</w:t>
      </w:r>
      <w:r>
        <w:rPr>
          <w:rFonts w:ascii="Times New Roman" w:hAnsi="Times New Roman"/>
          <w:sz w:val="24"/>
          <w:szCs w:val="24"/>
        </w:rPr>
        <w:t>.</w:t>
      </w:r>
    </w:p>
    <w:p w14:paraId="076F8FCA" w14:textId="77777777" w:rsidR="00CD37DE" w:rsidRPr="00CD37DE" w:rsidRDefault="00CD37DE" w:rsidP="00BC1AE3">
      <w:pPr>
        <w:pStyle w:val="Paragraphedeliste"/>
        <w:numPr>
          <w:ilvl w:val="0"/>
          <w:numId w:val="56"/>
        </w:numPr>
        <w:spacing w:after="0" w:line="240" w:lineRule="auto"/>
        <w:jc w:val="both"/>
        <w:rPr>
          <w:rFonts w:ascii="Calibri-Light" w:hAnsi="Calibri-Light"/>
          <w:color w:val="000000"/>
        </w:rPr>
      </w:pPr>
      <w:r w:rsidRPr="00CD37DE">
        <w:rPr>
          <w:rFonts w:ascii="Calibri-Light" w:hAnsi="Calibri-Light"/>
          <w:color w:val="000000"/>
        </w:rPr>
        <w:br w:type="page"/>
      </w:r>
    </w:p>
    <w:p w14:paraId="5DEBDEAB" w14:textId="77777777" w:rsidR="00CD37DE" w:rsidRPr="0095279A" w:rsidRDefault="00CD37DE" w:rsidP="00BC1AE3">
      <w:pPr>
        <w:pStyle w:val="Titre1"/>
        <w:numPr>
          <w:ilvl w:val="0"/>
          <w:numId w:val="23"/>
        </w:numPr>
        <w:jc w:val="both"/>
        <w:rPr>
          <w:rFonts w:ascii="Times New Roman" w:hAnsi="Times New Roman"/>
          <w:b/>
          <w:bCs/>
        </w:rPr>
      </w:pPr>
      <w:bookmarkStart w:id="99" w:name="_Toc55372904"/>
      <w:bookmarkStart w:id="100" w:name="_Toc55539108"/>
      <w:bookmarkStart w:id="101" w:name="_Toc61523580"/>
      <w:bookmarkStart w:id="102" w:name="_Toc90910796"/>
      <w:bookmarkStart w:id="103" w:name="_Toc51745203"/>
      <w:r w:rsidRPr="0095279A">
        <w:rPr>
          <w:rFonts w:ascii="Times New Roman" w:hAnsi="Times New Roman"/>
          <w:b/>
          <w:bCs/>
        </w:rPr>
        <w:lastRenderedPageBreak/>
        <w:t>NE LAISSER PERSONNE DE COTE</w:t>
      </w:r>
      <w:bookmarkEnd w:id="99"/>
      <w:bookmarkEnd w:id="100"/>
      <w:bookmarkEnd w:id="101"/>
      <w:bookmarkEnd w:id="102"/>
      <w:r w:rsidRPr="0095279A">
        <w:rPr>
          <w:rFonts w:ascii="Times New Roman" w:hAnsi="Times New Roman"/>
          <w:b/>
          <w:bCs/>
        </w:rPr>
        <w:t xml:space="preserve"> </w:t>
      </w:r>
      <w:bookmarkEnd w:id="103"/>
    </w:p>
    <w:p w14:paraId="0A0ACDD1" w14:textId="77777777" w:rsidR="00763DEB" w:rsidRDefault="00763DEB" w:rsidP="00F125E0">
      <w:pPr>
        <w:jc w:val="both"/>
        <w:rPr>
          <w:rFonts w:ascii="Times New Roman" w:hAnsi="Times New Roman"/>
          <w:sz w:val="24"/>
          <w:szCs w:val="24"/>
        </w:rPr>
      </w:pPr>
      <w:bookmarkStart w:id="104" w:name="_Toc51745204"/>
      <w:bookmarkStart w:id="105" w:name="_Toc55372905"/>
      <w:bookmarkStart w:id="106" w:name="_Toc55539109"/>
      <w:bookmarkStart w:id="107" w:name="_Hlk55521192"/>
    </w:p>
    <w:p w14:paraId="27D44D77" w14:textId="6D810788" w:rsidR="00D37584" w:rsidRPr="00A8375B" w:rsidRDefault="00D37584" w:rsidP="00A8375B">
      <w:pPr>
        <w:jc w:val="both"/>
        <w:rPr>
          <w:rFonts w:ascii="Times New Roman" w:hAnsi="Times New Roman"/>
          <w:sz w:val="24"/>
        </w:rPr>
      </w:pPr>
      <w:bookmarkStart w:id="108" w:name="_Toc61523581"/>
      <w:r w:rsidRPr="00A8375B">
        <w:rPr>
          <w:rFonts w:ascii="Times New Roman" w:hAnsi="Times New Roman"/>
          <w:sz w:val="24"/>
        </w:rPr>
        <w:t>Le Tchad regorge d’énormes ressources naturelles mais demeure parmi les pays les moins avancés. D’après le rapport sur le développement humain du PNUD publié en 2020 pour 2019, le Tchad est classé 187ème sur 189, dans les pays ayant un développement humain faible. Selon l’INSEED, près de la moitié de la population tchadienne, soit 46,7%, vit en dessous du seuil de pauvreté́. Parmi celles-ci, 52,5% vivent en milieu rural et 25% en milieu urbain.</w:t>
      </w:r>
    </w:p>
    <w:p w14:paraId="7368E961" w14:textId="77777777" w:rsidR="00D37584" w:rsidRPr="00A8375B" w:rsidRDefault="00D37584" w:rsidP="00A8375B">
      <w:pPr>
        <w:jc w:val="both"/>
        <w:rPr>
          <w:rFonts w:ascii="Times New Roman" w:hAnsi="Times New Roman"/>
          <w:sz w:val="24"/>
        </w:rPr>
      </w:pPr>
      <w:r w:rsidRPr="00A8375B">
        <w:rPr>
          <w:rFonts w:ascii="Times New Roman" w:hAnsi="Times New Roman"/>
          <w:sz w:val="24"/>
        </w:rPr>
        <w:t xml:space="preserve">Les revenus pétroliers qui représentent 75% des revenus du budget de l’Etat ont été largement investis dans les infrastructures publiques. Le rapport du Groupe de recherches alternatives et de monitoring du projet pétrole Tchad-Cameroun (GRAMP/TC, 2013) indique que la plupart des investissements publics en infrastructure se sont concentrés dans les centres urbains en général, et particulièrement dans la capitale, N’Djamena. Ainsi, le pays est en proie à d’importantes inégalités horizontales (dans l’espace) et verticales liées à l’inégale répartition des revenus pétroliers entre les régions. Cette concentration des investissements dans les grands centres urbains accentue les inégalités entre les ruraux et les urbains en termes d’accès à l’emploi et aux services publics (inégalités d’opportunité). L’augmentation des inégalités d’opportunité va contribuer à l’augmentation des inégalités de revenus puisque les deux formes d’inégalités sont liées. </w:t>
      </w:r>
    </w:p>
    <w:p w14:paraId="71B0640A" w14:textId="4D4A5E90" w:rsidR="00D37584" w:rsidRPr="00A8375B" w:rsidRDefault="00D37584" w:rsidP="00A8375B">
      <w:pPr>
        <w:jc w:val="both"/>
        <w:rPr>
          <w:rFonts w:ascii="Times New Roman" w:hAnsi="Times New Roman"/>
          <w:sz w:val="24"/>
        </w:rPr>
      </w:pPr>
      <w:r w:rsidRPr="00A8375B">
        <w:rPr>
          <w:rFonts w:ascii="Times New Roman" w:hAnsi="Times New Roman"/>
          <w:sz w:val="24"/>
        </w:rPr>
        <w:t xml:space="preserve">Quant au degré d’urbanisation, il demeure faible et se situe à 21,9% d’après les derniers chiffres de l’INSEED. L’économie nationale est également caractérisée par la prépondérance du secteur informel et plus particulièrement en milieu rural. Le Tchad est composé à plus de 80% des populations rurales qui, en plus de leurs activités principales agricoles exercent dans l’informel à titre d’activités secondaires. </w:t>
      </w:r>
    </w:p>
    <w:p w14:paraId="2FEB2713" w14:textId="472FC913" w:rsidR="00D37584" w:rsidRPr="00A8375B" w:rsidRDefault="00D37584" w:rsidP="00A8375B">
      <w:pPr>
        <w:jc w:val="both"/>
        <w:rPr>
          <w:rFonts w:ascii="Times New Roman" w:hAnsi="Times New Roman"/>
          <w:sz w:val="24"/>
        </w:rPr>
      </w:pPr>
      <w:r w:rsidRPr="00A8375B">
        <w:rPr>
          <w:rFonts w:ascii="Times New Roman" w:hAnsi="Times New Roman"/>
          <w:sz w:val="24"/>
        </w:rPr>
        <w:t>Ainsi, les inégalités dans la redistribution des revenus de l’Etat entre les régions rurales et urbaines risquent de s’accentuer dans le cadre de la crise de Covid-19. D’après ECOSIT 4 de 2019, le taux de pauvreté qui se situe à 42,3% au niveau national augmente de façon significative en milieu rural contrairement à la capitale et aux centres urbains. En effet, le taux de pauvreté qui n’est que de 13,6% à N’Djamena, augmente rapidement pour atteindre 19,9% dans les autres centres urbains et 49,7% en milieu rural. En termes de pauvreté extrême, quatre provinces sont les plus affectées : le Mayo-</w:t>
      </w:r>
      <w:proofErr w:type="spellStart"/>
      <w:r w:rsidRPr="00A8375B">
        <w:rPr>
          <w:rFonts w:ascii="Times New Roman" w:hAnsi="Times New Roman"/>
          <w:sz w:val="24"/>
        </w:rPr>
        <w:t>Kebbi</w:t>
      </w:r>
      <w:proofErr w:type="spellEnd"/>
      <w:r w:rsidRPr="00A8375B">
        <w:rPr>
          <w:rFonts w:ascii="Times New Roman" w:hAnsi="Times New Roman"/>
          <w:sz w:val="24"/>
        </w:rPr>
        <w:t xml:space="preserve"> Est (58,7%) ; le Mayo-</w:t>
      </w:r>
      <w:proofErr w:type="spellStart"/>
      <w:r w:rsidRPr="00A8375B">
        <w:rPr>
          <w:rFonts w:ascii="Times New Roman" w:hAnsi="Times New Roman"/>
          <w:sz w:val="24"/>
        </w:rPr>
        <w:t>Kebbi</w:t>
      </w:r>
      <w:proofErr w:type="spellEnd"/>
      <w:r w:rsidRPr="00A8375B">
        <w:rPr>
          <w:rFonts w:ascii="Times New Roman" w:hAnsi="Times New Roman"/>
          <w:sz w:val="24"/>
        </w:rPr>
        <w:t xml:space="preserve"> Ouest (63,1%) ; le Logone oriental (52,9%) ; et le </w:t>
      </w:r>
      <w:proofErr w:type="spellStart"/>
      <w:r w:rsidRPr="00A8375B">
        <w:rPr>
          <w:rFonts w:ascii="Times New Roman" w:hAnsi="Times New Roman"/>
          <w:sz w:val="24"/>
        </w:rPr>
        <w:t>Mandoul</w:t>
      </w:r>
      <w:proofErr w:type="spellEnd"/>
      <w:r w:rsidRPr="00A8375B">
        <w:rPr>
          <w:rFonts w:ascii="Times New Roman" w:hAnsi="Times New Roman"/>
          <w:sz w:val="24"/>
        </w:rPr>
        <w:t xml:space="preserve"> (57,8%).</w:t>
      </w:r>
    </w:p>
    <w:p w14:paraId="158DD80A" w14:textId="77777777" w:rsidR="00D37584" w:rsidRPr="00A8375B" w:rsidRDefault="00D37584" w:rsidP="00A8375B">
      <w:pPr>
        <w:jc w:val="both"/>
        <w:rPr>
          <w:rFonts w:ascii="Times New Roman" w:hAnsi="Times New Roman"/>
          <w:sz w:val="24"/>
        </w:rPr>
      </w:pPr>
      <w:r w:rsidRPr="00A8375B">
        <w:rPr>
          <w:rFonts w:ascii="Times New Roman" w:hAnsi="Times New Roman"/>
          <w:sz w:val="24"/>
        </w:rPr>
        <w:t>Selon l'indice de développement humain de 2019 publié en 2020, le Tchad est classé 187ème sur 189 pays et territoires ceci, avec un indice de développement humain de 0,398. L’indice de développement humain du Tchad est passé de 0,293 à 0,398 entre l’an 2000 et 2019, soit une progression de 10,5 points de base en 20 ans. Sur la base des données disponibles, on peut estimer qu'en 2025 la valeur de l’indice de développement humain du Tchad devrait osciller autour de 0,43.</w:t>
      </w:r>
    </w:p>
    <w:p w14:paraId="58A4D734" w14:textId="1A0B877D" w:rsidR="00D37584" w:rsidRPr="00A8375B" w:rsidRDefault="00D37584" w:rsidP="00A8375B">
      <w:pPr>
        <w:jc w:val="both"/>
        <w:rPr>
          <w:rFonts w:ascii="Times New Roman" w:hAnsi="Times New Roman"/>
          <w:sz w:val="24"/>
        </w:rPr>
      </w:pPr>
      <w:r w:rsidRPr="00A8375B">
        <w:rPr>
          <w:rFonts w:ascii="Times New Roman" w:hAnsi="Times New Roman"/>
          <w:sz w:val="24"/>
        </w:rPr>
        <w:t xml:space="preserve">Considérant ces caractéristiques propres à l’économie tchadienne, les conséquences des mesures barrières risquent de creuser les taux de pauvreté et d’accentuer les inégalités régionales d’une part et les inégalités entre le monde rural et urbain d’autre part. Le Tchad ne dispose pas de données exhaustives couvrant tout le pays pour mesurer l’évolution des inégalités sociales. Cependant, en croisant les </w:t>
      </w:r>
      <w:r w:rsidRPr="00A8375B">
        <w:rPr>
          <w:rFonts w:ascii="Times New Roman" w:hAnsi="Times New Roman"/>
          <w:sz w:val="24"/>
        </w:rPr>
        <w:lastRenderedPageBreak/>
        <w:t xml:space="preserve">différents rapports de plusieurs sources, principalement la Quatrième Enquête sur les Conditions de vie des ménages et la Pauvreté au Tchad (ECOSIT4 de 2019) publiée en juillet 2020 par l’INSEED et les documents des Nations Unies et de la Banque Mondiale on arrive à distiller l’information suivante : </w:t>
      </w:r>
    </w:p>
    <w:p w14:paraId="38FFA566" w14:textId="77777777" w:rsidR="00D37584" w:rsidRPr="00A8375B" w:rsidRDefault="00D37584" w:rsidP="00A8375B">
      <w:pPr>
        <w:jc w:val="both"/>
        <w:rPr>
          <w:rFonts w:ascii="Times New Roman" w:hAnsi="Times New Roman"/>
          <w:sz w:val="24"/>
        </w:rPr>
      </w:pPr>
      <w:r w:rsidRPr="00A8375B">
        <w:rPr>
          <w:rFonts w:ascii="Times New Roman" w:hAnsi="Times New Roman"/>
          <w:sz w:val="24"/>
        </w:rPr>
        <w:t>Environ seize millions de personnes vivent au Tchad en 2021 (80% dans les zones rurales, avec une forte disparité régionale due aux déplacements de populations, particulièrement dans les zones de frontière avec les pays en crise ; aux conflits ; et/ou au changement climatique). De ces 16 millions, on dénombre 520 129 réfugiés et 509 321 déplacés internes et retournés.  Leurs taux de mortalité maternelle et néonatale sont parmi les plus élevés au monde (respectivement 860 décès pour 100 000 naissances vivantes et 33 pour 1 000 naissances vivantes en 2019). Leur accès à l’éducation est minime (1.3 années de scolarité).</w:t>
      </w:r>
    </w:p>
    <w:p w14:paraId="365F7382" w14:textId="5662AF27" w:rsidR="00D37584" w:rsidRPr="00A8375B" w:rsidRDefault="1627ED4A" w:rsidP="00A8375B">
      <w:pPr>
        <w:jc w:val="both"/>
        <w:rPr>
          <w:rFonts w:ascii="Times New Roman" w:hAnsi="Times New Roman"/>
          <w:sz w:val="24"/>
        </w:rPr>
      </w:pPr>
      <w:r w:rsidRPr="00A8375B">
        <w:rPr>
          <w:rFonts w:ascii="Times New Roman" w:hAnsi="Times New Roman"/>
          <w:sz w:val="24"/>
        </w:rPr>
        <w:t xml:space="preserve">Au Tchad, 1 034 063 personnes se trouvent en déplacement (520 129 réfugiés ; </w:t>
      </w:r>
      <w:r w:rsidR="5F4FDE40" w:rsidRPr="00A8375B">
        <w:rPr>
          <w:rFonts w:ascii="Times New Roman" w:hAnsi="Times New Roman"/>
          <w:sz w:val="24"/>
        </w:rPr>
        <w:t>406 573</w:t>
      </w:r>
      <w:r w:rsidRPr="00A8375B">
        <w:rPr>
          <w:rFonts w:ascii="Times New Roman" w:hAnsi="Times New Roman"/>
          <w:sz w:val="24"/>
        </w:rPr>
        <w:t xml:space="preserve"> déplacés internes </w:t>
      </w:r>
      <w:r w:rsidR="1048E038" w:rsidRPr="00A8375B">
        <w:rPr>
          <w:rFonts w:ascii="Times New Roman" w:hAnsi="Times New Roman"/>
          <w:sz w:val="24"/>
        </w:rPr>
        <w:t>dans la province du Lac</w:t>
      </w:r>
      <w:r w:rsidRPr="00A8375B">
        <w:rPr>
          <w:rFonts w:ascii="Times New Roman" w:hAnsi="Times New Roman"/>
          <w:sz w:val="24"/>
        </w:rPr>
        <w:t xml:space="preserve"> ; </w:t>
      </w:r>
      <w:r w:rsidR="276EDBA5" w:rsidRPr="00A8375B">
        <w:rPr>
          <w:rFonts w:ascii="Times New Roman" w:hAnsi="Times New Roman"/>
          <w:sz w:val="24"/>
        </w:rPr>
        <w:t>29 263</w:t>
      </w:r>
      <w:r w:rsidRPr="00A8375B">
        <w:rPr>
          <w:rFonts w:ascii="Times New Roman" w:hAnsi="Times New Roman"/>
          <w:sz w:val="24"/>
        </w:rPr>
        <w:t xml:space="preserve"> </w:t>
      </w:r>
      <w:r w:rsidR="5B2DD912" w:rsidRPr="00A8375B">
        <w:rPr>
          <w:rFonts w:ascii="Times New Roman" w:hAnsi="Times New Roman"/>
          <w:sz w:val="24"/>
        </w:rPr>
        <w:t xml:space="preserve">retournés venus de l’étranger </w:t>
      </w:r>
      <w:r w:rsidR="276EDBA5" w:rsidRPr="00A8375B">
        <w:rPr>
          <w:rFonts w:ascii="Times New Roman" w:hAnsi="Times New Roman"/>
          <w:sz w:val="24"/>
        </w:rPr>
        <w:t xml:space="preserve">dans la même province </w:t>
      </w:r>
      <w:r w:rsidR="5B2DD912" w:rsidRPr="00A8375B">
        <w:rPr>
          <w:rFonts w:ascii="Times New Roman" w:hAnsi="Times New Roman"/>
          <w:sz w:val="24"/>
        </w:rPr>
        <w:t xml:space="preserve">et </w:t>
      </w:r>
      <w:r w:rsidR="276EDBA5" w:rsidRPr="00A8375B">
        <w:rPr>
          <w:rFonts w:ascii="Times New Roman" w:hAnsi="Times New Roman"/>
          <w:sz w:val="24"/>
        </w:rPr>
        <w:t xml:space="preserve">89 858 au sud du Tchad, ainsi que </w:t>
      </w:r>
      <w:r w:rsidR="5B2DD912" w:rsidRPr="00A8375B">
        <w:rPr>
          <w:rFonts w:ascii="Times New Roman" w:hAnsi="Times New Roman"/>
          <w:sz w:val="24"/>
        </w:rPr>
        <w:t xml:space="preserve">22 112 personnes </w:t>
      </w:r>
      <w:r w:rsidR="276EDBA5" w:rsidRPr="00A8375B">
        <w:rPr>
          <w:rFonts w:ascii="Times New Roman" w:hAnsi="Times New Roman"/>
          <w:sz w:val="24"/>
        </w:rPr>
        <w:t>retournés anciennes PDI</w:t>
      </w:r>
      <w:r w:rsidR="2133F1A2" w:rsidRPr="00A8375B">
        <w:rPr>
          <w:rFonts w:ascii="Times New Roman" w:hAnsi="Times New Roman"/>
          <w:sz w:val="24"/>
        </w:rPr>
        <w:t>)</w:t>
      </w:r>
      <w:r w:rsidRPr="00A8375B">
        <w:rPr>
          <w:rFonts w:ascii="Times New Roman" w:hAnsi="Times New Roman"/>
          <w:sz w:val="24"/>
        </w:rPr>
        <w:t xml:space="preserve"> avec un total de 360 620 personnes dans les communautés hôtes (tcd_str_hno2021_20210415). </w:t>
      </w:r>
      <w:r w:rsidR="3CEDA780" w:rsidRPr="581E4654">
        <w:rPr>
          <w:rFonts w:ascii="Times New Roman" w:eastAsia="Times New Roman" w:hAnsi="Times New Roman"/>
          <w:sz w:val="24"/>
          <w:szCs w:val="24"/>
          <w:lang w:val="fr"/>
        </w:rPr>
        <w:t>Le profil de pauvreté au Tchad en 2018 établi à travers l’Enquête sur le conditions de vie des ménages et la pauvreté au Tchad (ECOCIT4</w:t>
      </w:r>
      <w:proofErr w:type="gramStart"/>
      <w:r w:rsidR="3CEDA780" w:rsidRPr="581E4654">
        <w:rPr>
          <w:rFonts w:ascii="Times New Roman" w:eastAsia="Times New Roman" w:hAnsi="Times New Roman"/>
          <w:sz w:val="24"/>
          <w:szCs w:val="24"/>
          <w:lang w:val="fr"/>
        </w:rPr>
        <w:t>)  a</w:t>
      </w:r>
      <w:proofErr w:type="gramEnd"/>
      <w:r w:rsidR="3CEDA780" w:rsidRPr="581E4654">
        <w:rPr>
          <w:rFonts w:ascii="Times New Roman" w:eastAsia="Times New Roman" w:hAnsi="Times New Roman"/>
          <w:sz w:val="24"/>
          <w:szCs w:val="24"/>
          <w:lang w:val="fr"/>
        </w:rPr>
        <w:t xml:space="preserve"> permis de déterminer le niveau de pauvreté  selon la sévérité (1,9% en milieu urbain et 6,3% en milieu rural) et la profondeur (5% en milieu urbain et 15,1 en milieu rural) pour différents groupes socio-professionnels selon les milieux.</w:t>
      </w:r>
      <w:r w:rsidR="3CEDA780" w:rsidRPr="581E4654">
        <w:rPr>
          <w:rFonts w:ascii="Times New Roman" w:hAnsi="Times New Roman"/>
          <w:sz w:val="24"/>
          <w:szCs w:val="24"/>
        </w:rPr>
        <w:t xml:space="preserve"> </w:t>
      </w:r>
      <w:r w:rsidR="29F3B610" w:rsidRPr="581E4654">
        <w:rPr>
          <w:rFonts w:ascii="Times New Roman" w:hAnsi="Times New Roman"/>
          <w:sz w:val="24"/>
          <w:szCs w:val="24"/>
        </w:rPr>
        <w:t xml:space="preserve"> Les études sectorielles </w:t>
      </w:r>
      <w:r w:rsidR="01855D38" w:rsidRPr="581E4654">
        <w:rPr>
          <w:rFonts w:ascii="Times New Roman" w:hAnsi="Times New Roman"/>
          <w:sz w:val="24"/>
          <w:szCs w:val="24"/>
        </w:rPr>
        <w:t>menées</w:t>
      </w:r>
      <w:r w:rsidR="29F3B610" w:rsidRPr="581E4654">
        <w:rPr>
          <w:rFonts w:ascii="Times New Roman" w:hAnsi="Times New Roman"/>
          <w:sz w:val="24"/>
          <w:szCs w:val="24"/>
        </w:rPr>
        <w:t xml:space="preserve"> par différents partenaires ont aussi aidé à la classification des groupes les plus vulnérables. </w:t>
      </w:r>
      <w:r w:rsidRPr="00A8375B">
        <w:rPr>
          <w:rFonts w:ascii="Times New Roman" w:hAnsi="Times New Roman"/>
          <w:sz w:val="24"/>
        </w:rPr>
        <w:t>En croisant ces multiples facteurs, on identifie les groupes les plus vulnérables suivants :</w:t>
      </w:r>
    </w:p>
    <w:p w14:paraId="35D7A5C8" w14:textId="77777777" w:rsidR="00D37584" w:rsidRPr="00A8375B" w:rsidRDefault="00D37584" w:rsidP="00A8375B">
      <w:pPr>
        <w:jc w:val="both"/>
        <w:rPr>
          <w:rFonts w:ascii="Times New Roman" w:hAnsi="Times New Roman"/>
          <w:sz w:val="24"/>
        </w:rPr>
      </w:pPr>
      <w:r w:rsidRPr="00A8375B">
        <w:rPr>
          <w:rFonts w:ascii="Times New Roman" w:hAnsi="Times New Roman"/>
          <w:sz w:val="24"/>
        </w:rPr>
        <w:t>Groupe 1 : Femmes mariées en âge précoce, avec un bas niveau d’instruction ou analphabètes, vivant en zones rurales affectées soit par un conflit soit par le changement climatique, particulièrement celles vivant avec un handicap et/ou victime de violence basée sur le genre ; et celles en déplacement.</w:t>
      </w:r>
    </w:p>
    <w:p w14:paraId="6C156422" w14:textId="77777777" w:rsidR="00D37584" w:rsidRPr="00A8375B" w:rsidRDefault="00D37584" w:rsidP="00A8375B">
      <w:pPr>
        <w:jc w:val="both"/>
        <w:rPr>
          <w:rFonts w:ascii="Times New Roman" w:hAnsi="Times New Roman"/>
          <w:sz w:val="24"/>
        </w:rPr>
      </w:pPr>
      <w:r w:rsidRPr="00A8375B">
        <w:rPr>
          <w:rFonts w:ascii="Times New Roman" w:hAnsi="Times New Roman"/>
          <w:sz w:val="24"/>
        </w:rPr>
        <w:t>Groupe 2 : Hommes et femmes vivant dans une des zones les plus pauvres du pays, ayant un accès très limite aux services de base (sante, éducation, etc.) et aux ressources (comme la terre, l’eau et équipement agricole), en particulier ceux qui vivent avec un handicap et ceux qui ont été victimes d’un conflit et/ou d’un déplacement.</w:t>
      </w:r>
    </w:p>
    <w:p w14:paraId="60CAF906" w14:textId="77777777" w:rsidR="00D37584" w:rsidRPr="00A8375B" w:rsidRDefault="00D37584" w:rsidP="00A8375B">
      <w:pPr>
        <w:jc w:val="both"/>
        <w:rPr>
          <w:rFonts w:ascii="Times New Roman" w:hAnsi="Times New Roman"/>
          <w:sz w:val="24"/>
        </w:rPr>
      </w:pPr>
      <w:r w:rsidRPr="00A8375B">
        <w:rPr>
          <w:rFonts w:ascii="Times New Roman" w:hAnsi="Times New Roman"/>
          <w:sz w:val="24"/>
        </w:rPr>
        <w:t>Groupe 3 : Enfants de zéro à cinq ans, vivant dans les ménages les plus pauvres et nécessitant d’une assistance alimentaire d’urgence, en particulier ceux qui vivent avec un handicap et ceux qui ont été victimes d’un conflit et/ou d’un déplacement.</w:t>
      </w:r>
    </w:p>
    <w:p w14:paraId="5CBB8214" w14:textId="10D8001A" w:rsidR="00396146" w:rsidRPr="00A8375B" w:rsidRDefault="00396146" w:rsidP="00A8375B">
      <w:pPr>
        <w:jc w:val="both"/>
        <w:rPr>
          <w:rFonts w:ascii="Times New Roman" w:hAnsi="Times New Roman"/>
          <w:sz w:val="24"/>
        </w:rPr>
      </w:pPr>
      <w:r w:rsidRPr="00A8375B">
        <w:rPr>
          <w:rFonts w:ascii="Times New Roman" w:hAnsi="Times New Roman"/>
          <w:sz w:val="24"/>
        </w:rPr>
        <w:t xml:space="preserve">Groupe 4 : Personnes </w:t>
      </w:r>
      <w:r w:rsidR="00814723" w:rsidRPr="00A8375B">
        <w:rPr>
          <w:rFonts w:ascii="Times New Roman" w:hAnsi="Times New Roman"/>
          <w:sz w:val="24"/>
        </w:rPr>
        <w:t>mobiles et/ou affectées par les migrations forcées</w:t>
      </w:r>
      <w:r w:rsidR="00EF254E" w:rsidRPr="00A8375B">
        <w:rPr>
          <w:rFonts w:ascii="Times New Roman" w:hAnsi="Times New Roman"/>
          <w:sz w:val="24"/>
        </w:rPr>
        <w:t>, en particulier les personnes déplacées internes, les réfugies et les retournés</w:t>
      </w:r>
      <w:r w:rsidR="00814723" w:rsidRPr="00A8375B">
        <w:rPr>
          <w:rFonts w:ascii="Times New Roman" w:hAnsi="Times New Roman"/>
          <w:sz w:val="24"/>
        </w:rPr>
        <w:t xml:space="preserve"> qui constituent près de 6% de la population nationale</w:t>
      </w:r>
      <w:r w:rsidR="00EF254E" w:rsidRPr="00A8375B">
        <w:rPr>
          <w:rFonts w:ascii="Times New Roman" w:hAnsi="Times New Roman"/>
          <w:sz w:val="24"/>
        </w:rPr>
        <w:t>.</w:t>
      </w:r>
    </w:p>
    <w:p w14:paraId="45DD2EFD" w14:textId="4C430382" w:rsidR="00D37584" w:rsidRPr="00A8375B" w:rsidRDefault="00D37584" w:rsidP="00A8375B">
      <w:pPr>
        <w:jc w:val="both"/>
        <w:rPr>
          <w:rFonts w:ascii="Times New Roman" w:hAnsi="Times New Roman"/>
          <w:sz w:val="24"/>
        </w:rPr>
      </w:pPr>
      <w:r w:rsidRPr="00A8375B">
        <w:rPr>
          <w:rFonts w:ascii="Times New Roman" w:hAnsi="Times New Roman"/>
          <w:sz w:val="24"/>
        </w:rPr>
        <w:t xml:space="preserve">L’absence de données précises pour certains groupes empêche la détermination de leur niveau de vulnérabilité. Néanmoins, de façon anecdotique on considère que les personnes issues des minorités, y compris les groupes religieux et ethniques, les personnes vivant dans les zones enclavées (îles du Lac et département de </w:t>
      </w:r>
      <w:proofErr w:type="spellStart"/>
      <w:r w:rsidRPr="00A8375B">
        <w:rPr>
          <w:rFonts w:ascii="Times New Roman" w:hAnsi="Times New Roman"/>
          <w:sz w:val="24"/>
        </w:rPr>
        <w:t>Haraze</w:t>
      </w:r>
      <w:proofErr w:type="spellEnd"/>
      <w:r w:rsidRPr="00A8375B">
        <w:rPr>
          <w:rFonts w:ascii="Times New Roman" w:hAnsi="Times New Roman"/>
          <w:sz w:val="24"/>
        </w:rPr>
        <w:t xml:space="preserve"> Magane) et les personnes ayant une orientation sexuelle non-conforme aux normes majoritaires font face à une discrimination latente et pourraient, </w:t>
      </w:r>
      <w:r w:rsidR="00751682" w:rsidRPr="00A8375B">
        <w:rPr>
          <w:rFonts w:ascii="Times New Roman" w:hAnsi="Times New Roman"/>
          <w:sz w:val="24"/>
        </w:rPr>
        <w:t>après</w:t>
      </w:r>
      <w:r w:rsidRPr="00A8375B">
        <w:rPr>
          <w:rFonts w:ascii="Times New Roman" w:hAnsi="Times New Roman"/>
          <w:sz w:val="24"/>
        </w:rPr>
        <w:t xml:space="preserve"> analyse, être inclus. </w:t>
      </w:r>
    </w:p>
    <w:p w14:paraId="516071A8" w14:textId="77777777" w:rsidR="00D37584" w:rsidRPr="00A8375B" w:rsidRDefault="00D37584" w:rsidP="00A8375B">
      <w:pPr>
        <w:jc w:val="both"/>
        <w:rPr>
          <w:rFonts w:ascii="Times New Roman" w:hAnsi="Times New Roman"/>
          <w:sz w:val="24"/>
        </w:rPr>
      </w:pPr>
      <w:r w:rsidRPr="00A8375B">
        <w:rPr>
          <w:rFonts w:ascii="Times New Roman" w:hAnsi="Times New Roman"/>
          <w:sz w:val="24"/>
        </w:rPr>
        <w:lastRenderedPageBreak/>
        <w:t>Les causes sous-jacentes et profondes sont multiples et interdépendantes. La pauvreté a son origine dans un manque objectif des ressources – tant humaines que financières – mais aussi dans une mauvaise distribution des ressources disponibles qui, dans certains cas, est causée par des pratiques de mauvaise gestion et de corruption. Le principe de la réalisation progressive des droits économiques et sociaux n’est pas respecté. La discrimination de certains groupes, par exemple les femmes, se traduit dans un accès encore plus réduit à l’éducation qui, à son tour, empêche l’implication et l’appropriation de leur part dans les actions de développement.</w:t>
      </w:r>
    </w:p>
    <w:p w14:paraId="05023870" w14:textId="77777777" w:rsidR="00D37584" w:rsidRPr="00A8375B" w:rsidRDefault="00D37584" w:rsidP="00A8375B">
      <w:pPr>
        <w:jc w:val="both"/>
        <w:rPr>
          <w:rFonts w:ascii="Times New Roman" w:hAnsi="Times New Roman"/>
          <w:sz w:val="24"/>
        </w:rPr>
      </w:pPr>
      <w:r w:rsidRPr="00A8375B">
        <w:rPr>
          <w:rFonts w:ascii="Times New Roman" w:hAnsi="Times New Roman"/>
          <w:sz w:val="24"/>
        </w:rPr>
        <w:t xml:space="preserve">Le niveau de pauvreté généralisé dans le pays crée à son tour une situation d’instabilité sociale qui favorise les conflits violents autour de la gestion des ressources naturelles (en particulier le conflit éleveurs-agriculteurs). Les différents groupes armés exploitent cette situation pour recruter les jeunes sans emploi et sans espoir et pour victimiser les populations, en particulier les jeunes femmes. Certaines coutumes traditionnelles et pratiques négatives empêchent la résolution pacifique des conflits ; perpétuent la discrimination, en particulier des femmes et d’autres groupes vulnérables, même dans le domaine de la nutrition (par exemple, les enfants n’étant pas censé manger les œufs avant de parler) ; et freinent le développement complet des individus, par exemple à travers les mariages précoces, les accouchements précoces et multiples et la mutilation génitale féminine (30% des femmes tchadiennes âgées de 20 à 24 ans ont été mariées avant l'âge de 15 ans ; environ 14% d’entre elles accouchent également avant l'âge de 15 ans ; et les mutilations génitales féminines, pratiquées dans la plupart des régions du Tchad, touchent 44% des femmes).  </w:t>
      </w:r>
    </w:p>
    <w:p w14:paraId="59CB881A" w14:textId="29DE6400" w:rsidR="00D37584" w:rsidRPr="00763DEB" w:rsidRDefault="1627ED4A" w:rsidP="00763DEB">
      <w:pPr>
        <w:jc w:val="both"/>
        <w:rPr>
          <w:rFonts w:ascii="Times New Roman" w:eastAsia="Times New Roman" w:hAnsi="Times New Roman"/>
          <w:sz w:val="24"/>
          <w:szCs w:val="24"/>
          <w:lang w:val="fr"/>
        </w:rPr>
      </w:pPr>
      <w:r w:rsidRPr="00A8375B">
        <w:rPr>
          <w:rFonts w:ascii="Times New Roman" w:hAnsi="Times New Roman"/>
          <w:sz w:val="24"/>
        </w:rPr>
        <w:t xml:space="preserve">Du côté structurel, l’Etat est présent dans l’ensemble du pays mais les institutions déconcentrées n’ont pas les ressources suffisantes pour assurer le respect de tous les droits humains. Les violations des droits de l’homme ne sont pas nécessairement poursuivies et l’impunité génère un manque de confiance de la part des détenteurs des droits dans la protection offerte par les agents de l’Etat.  </w:t>
      </w:r>
      <w:r w:rsidR="26525E59" w:rsidRPr="00A8375B">
        <w:rPr>
          <w:rFonts w:ascii="Times New Roman" w:hAnsi="Times New Roman"/>
          <w:sz w:val="24"/>
          <w:lang w:val="fr"/>
        </w:rPr>
        <w:t xml:space="preserve"> </w:t>
      </w:r>
      <w:r w:rsidR="26525E59" w:rsidRPr="00763DEB">
        <w:rPr>
          <w:rFonts w:ascii="Times New Roman" w:eastAsia="Times New Roman" w:hAnsi="Times New Roman"/>
          <w:sz w:val="24"/>
          <w:szCs w:val="24"/>
          <w:lang w:val="fr"/>
        </w:rPr>
        <w:t xml:space="preserve">Pour réduire le niveau de pauvreté des différents groupes les plus vulnérables, le Gouvernement a initié le Projet SWEDD </w:t>
      </w:r>
      <w:proofErr w:type="gramStart"/>
      <w:r w:rsidR="26525E59" w:rsidRPr="00763DEB">
        <w:rPr>
          <w:rFonts w:ascii="Times New Roman" w:eastAsia="Times New Roman" w:hAnsi="Times New Roman"/>
          <w:sz w:val="24"/>
          <w:szCs w:val="24"/>
          <w:lang w:val="fr"/>
        </w:rPr>
        <w:t>( Autonomisation</w:t>
      </w:r>
      <w:proofErr w:type="gramEnd"/>
      <w:r w:rsidR="26525E59" w:rsidRPr="00763DEB">
        <w:rPr>
          <w:rFonts w:ascii="Times New Roman" w:eastAsia="Times New Roman" w:hAnsi="Times New Roman"/>
          <w:sz w:val="24"/>
          <w:szCs w:val="24"/>
          <w:lang w:val="fr"/>
        </w:rPr>
        <w:t xml:space="preserve"> des femmes et filles et dividende démographique au Sahel) qui apporte un appui direct dans l’autonomisation des femmes et filles en se focalisant sur l’éducation de la fille, la santé maternelle, la formation aux métiers et les activités génératrices de revenus.</w:t>
      </w:r>
    </w:p>
    <w:p w14:paraId="2D3BF878" w14:textId="1C15624B" w:rsidR="00D37584" w:rsidRPr="00A8375B" w:rsidRDefault="00D37584" w:rsidP="00A8375B">
      <w:pPr>
        <w:jc w:val="both"/>
        <w:rPr>
          <w:rFonts w:ascii="Times New Roman" w:hAnsi="Times New Roman"/>
          <w:sz w:val="24"/>
        </w:rPr>
      </w:pPr>
    </w:p>
    <w:p w14:paraId="58762B84" w14:textId="77777777" w:rsidR="00D37584" w:rsidRPr="00A8375B" w:rsidRDefault="00D37584" w:rsidP="00A8375B">
      <w:pPr>
        <w:jc w:val="both"/>
        <w:rPr>
          <w:rFonts w:ascii="Times New Roman" w:hAnsi="Times New Roman"/>
          <w:sz w:val="24"/>
        </w:rPr>
      </w:pPr>
      <w:r w:rsidRPr="00A8375B">
        <w:rPr>
          <w:rFonts w:ascii="Times New Roman" w:hAnsi="Times New Roman"/>
          <w:sz w:val="24"/>
        </w:rPr>
        <w:t>Les domaines dans lesquels il faudrait fournir un appui pour combler les lacunes pour tous, une fois que la législation va le permettre, sont les suivants :</w:t>
      </w:r>
    </w:p>
    <w:p w14:paraId="48704DFB" w14:textId="77777777" w:rsidR="00D37584" w:rsidRPr="00A8375B" w:rsidRDefault="00D37584" w:rsidP="00BC1AE3">
      <w:pPr>
        <w:pStyle w:val="Paragraphedeliste"/>
        <w:numPr>
          <w:ilvl w:val="0"/>
          <w:numId w:val="59"/>
        </w:numPr>
        <w:spacing w:after="0"/>
        <w:jc w:val="both"/>
        <w:rPr>
          <w:rFonts w:ascii="Times New Roman" w:hAnsi="Times New Roman"/>
          <w:sz w:val="24"/>
        </w:rPr>
      </w:pPr>
      <w:r w:rsidRPr="00A8375B">
        <w:rPr>
          <w:rFonts w:ascii="Times New Roman" w:hAnsi="Times New Roman"/>
          <w:sz w:val="24"/>
        </w:rPr>
        <w:t xml:space="preserve">L’éducation et la formation professionnelle et technique de qualité pour tous ; </w:t>
      </w:r>
    </w:p>
    <w:p w14:paraId="176C66A9" w14:textId="77777777" w:rsidR="00D37584" w:rsidRPr="00A8375B" w:rsidRDefault="00D37584" w:rsidP="00BC1AE3">
      <w:pPr>
        <w:pStyle w:val="Paragraphedeliste"/>
        <w:numPr>
          <w:ilvl w:val="0"/>
          <w:numId w:val="59"/>
        </w:numPr>
        <w:spacing w:after="0"/>
        <w:jc w:val="both"/>
        <w:rPr>
          <w:rFonts w:ascii="Times New Roman" w:hAnsi="Times New Roman"/>
          <w:sz w:val="24"/>
        </w:rPr>
      </w:pPr>
      <w:r w:rsidRPr="00A8375B">
        <w:rPr>
          <w:rFonts w:ascii="Times New Roman" w:hAnsi="Times New Roman"/>
          <w:sz w:val="24"/>
        </w:rPr>
        <w:t>L’accès aux services de santé de qualité pour toute la population avec des coûts abordables afin d’éviter les dépenses catastrophiques aux ménages ;</w:t>
      </w:r>
    </w:p>
    <w:p w14:paraId="34AB1805" w14:textId="22E646A8" w:rsidR="00D37584" w:rsidRPr="00A8375B" w:rsidRDefault="1627ED4A" w:rsidP="00BC1AE3">
      <w:pPr>
        <w:pStyle w:val="Paragraphedeliste"/>
        <w:numPr>
          <w:ilvl w:val="0"/>
          <w:numId w:val="59"/>
        </w:numPr>
        <w:spacing w:after="0"/>
        <w:jc w:val="both"/>
        <w:rPr>
          <w:rFonts w:ascii="Times New Roman" w:hAnsi="Times New Roman"/>
          <w:sz w:val="24"/>
        </w:rPr>
      </w:pPr>
      <w:proofErr w:type="gramStart"/>
      <w:r w:rsidRPr="00A8375B">
        <w:rPr>
          <w:rFonts w:ascii="Times New Roman" w:hAnsi="Times New Roman"/>
          <w:sz w:val="24"/>
        </w:rPr>
        <w:t>la</w:t>
      </w:r>
      <w:proofErr w:type="gramEnd"/>
      <w:r w:rsidRPr="00A8375B">
        <w:rPr>
          <w:rFonts w:ascii="Times New Roman" w:hAnsi="Times New Roman"/>
          <w:sz w:val="24"/>
        </w:rPr>
        <w:t xml:space="preserve"> création des opportunités d’emplois décents et de </w:t>
      </w:r>
      <w:r w:rsidR="407F5C0C" w:rsidRPr="00A8375B">
        <w:rPr>
          <w:rFonts w:ascii="Times New Roman" w:hAnsi="Times New Roman"/>
          <w:sz w:val="24"/>
        </w:rPr>
        <w:t>revenus y</w:t>
      </w:r>
      <w:r w:rsidRPr="00A8375B">
        <w:rPr>
          <w:rFonts w:ascii="Times New Roman" w:hAnsi="Times New Roman"/>
          <w:sz w:val="24"/>
        </w:rPr>
        <w:t xml:space="preserve"> compris pour des personnes en situation de handicap ;</w:t>
      </w:r>
    </w:p>
    <w:p w14:paraId="22C53B41" w14:textId="77777777" w:rsidR="00D37584" w:rsidRPr="00A8375B" w:rsidRDefault="00D37584" w:rsidP="00BC1AE3">
      <w:pPr>
        <w:pStyle w:val="Paragraphedeliste"/>
        <w:numPr>
          <w:ilvl w:val="0"/>
          <w:numId w:val="59"/>
        </w:numPr>
        <w:spacing w:after="0"/>
        <w:jc w:val="both"/>
        <w:rPr>
          <w:rFonts w:ascii="Times New Roman" w:hAnsi="Times New Roman"/>
          <w:sz w:val="24"/>
        </w:rPr>
      </w:pPr>
      <w:proofErr w:type="gramStart"/>
      <w:r w:rsidRPr="00A8375B">
        <w:rPr>
          <w:rFonts w:ascii="Times New Roman" w:hAnsi="Times New Roman"/>
          <w:sz w:val="24"/>
        </w:rPr>
        <w:t>la</w:t>
      </w:r>
      <w:proofErr w:type="gramEnd"/>
      <w:r w:rsidRPr="00A8375B">
        <w:rPr>
          <w:rFonts w:ascii="Times New Roman" w:hAnsi="Times New Roman"/>
          <w:sz w:val="24"/>
        </w:rPr>
        <w:t xml:space="preserve"> réduction des inégalités sous toutes ses formes et dimensions, particulièrement l’accès aux ressources publiques et à l’eau potable, quelle que soit la province du pays ;</w:t>
      </w:r>
    </w:p>
    <w:p w14:paraId="037EF260" w14:textId="77777777" w:rsidR="00D37584" w:rsidRPr="00A8375B" w:rsidRDefault="00D37584" w:rsidP="00BC1AE3">
      <w:pPr>
        <w:pStyle w:val="Paragraphedeliste"/>
        <w:numPr>
          <w:ilvl w:val="0"/>
          <w:numId w:val="59"/>
        </w:numPr>
        <w:spacing w:after="0"/>
        <w:jc w:val="both"/>
        <w:rPr>
          <w:rFonts w:ascii="Times New Roman" w:hAnsi="Times New Roman"/>
          <w:sz w:val="24"/>
        </w:rPr>
      </w:pPr>
      <w:proofErr w:type="gramStart"/>
      <w:r w:rsidRPr="00A8375B">
        <w:rPr>
          <w:rFonts w:ascii="Times New Roman" w:hAnsi="Times New Roman"/>
          <w:sz w:val="24"/>
        </w:rPr>
        <w:t>les</w:t>
      </w:r>
      <w:proofErr w:type="gramEnd"/>
      <w:r w:rsidRPr="00A8375B">
        <w:rPr>
          <w:rFonts w:ascii="Times New Roman" w:hAnsi="Times New Roman"/>
          <w:sz w:val="24"/>
        </w:rPr>
        <w:t xml:space="preserve"> mesures incitatives à la lutte contre les changements climatiques et environnementaux ;</w:t>
      </w:r>
    </w:p>
    <w:p w14:paraId="38250479" w14:textId="77777777" w:rsidR="00D37584" w:rsidRPr="00A8375B" w:rsidRDefault="00D37584" w:rsidP="00BC1AE3">
      <w:pPr>
        <w:pStyle w:val="Paragraphedeliste"/>
        <w:numPr>
          <w:ilvl w:val="0"/>
          <w:numId w:val="59"/>
        </w:numPr>
        <w:spacing w:after="0"/>
        <w:jc w:val="both"/>
        <w:rPr>
          <w:rFonts w:ascii="Times New Roman" w:hAnsi="Times New Roman"/>
          <w:sz w:val="24"/>
        </w:rPr>
      </w:pPr>
      <w:proofErr w:type="gramStart"/>
      <w:r w:rsidRPr="00A8375B">
        <w:rPr>
          <w:rFonts w:ascii="Times New Roman" w:hAnsi="Times New Roman"/>
          <w:sz w:val="24"/>
        </w:rPr>
        <w:lastRenderedPageBreak/>
        <w:t>la</w:t>
      </w:r>
      <w:proofErr w:type="gramEnd"/>
      <w:r w:rsidRPr="00A8375B">
        <w:rPr>
          <w:rFonts w:ascii="Times New Roman" w:hAnsi="Times New Roman"/>
          <w:sz w:val="24"/>
        </w:rPr>
        <w:t xml:space="preserve"> promotion et la consolidation de la paix, de la justice et des institutions efficaces.</w:t>
      </w:r>
    </w:p>
    <w:p w14:paraId="0667E236" w14:textId="77777777" w:rsidR="00763DEB" w:rsidRDefault="00763DEB" w:rsidP="00F125E0">
      <w:pPr>
        <w:jc w:val="both"/>
        <w:rPr>
          <w:rFonts w:ascii="Times New Roman" w:hAnsi="Times New Roman"/>
          <w:sz w:val="24"/>
          <w:szCs w:val="24"/>
        </w:rPr>
      </w:pPr>
    </w:p>
    <w:p w14:paraId="0EBFC883" w14:textId="573E26EB" w:rsidR="00D37584" w:rsidRPr="00A8375B" w:rsidRDefault="00D37584" w:rsidP="00A8375B">
      <w:pPr>
        <w:jc w:val="both"/>
        <w:rPr>
          <w:rFonts w:ascii="Times New Roman" w:hAnsi="Times New Roman"/>
          <w:sz w:val="24"/>
        </w:rPr>
      </w:pPr>
      <w:r w:rsidRPr="00A8375B">
        <w:rPr>
          <w:rFonts w:ascii="Times New Roman" w:hAnsi="Times New Roman"/>
          <w:sz w:val="24"/>
        </w:rPr>
        <w:t xml:space="preserve">Selon Global </w:t>
      </w:r>
      <w:proofErr w:type="spellStart"/>
      <w:r w:rsidRPr="00A8375B">
        <w:rPr>
          <w:rFonts w:ascii="Times New Roman" w:hAnsi="Times New Roman"/>
          <w:sz w:val="24"/>
        </w:rPr>
        <w:t>Gender</w:t>
      </w:r>
      <w:proofErr w:type="spellEnd"/>
      <w:r w:rsidRPr="00A8375B">
        <w:rPr>
          <w:rFonts w:ascii="Times New Roman" w:hAnsi="Times New Roman"/>
          <w:sz w:val="24"/>
        </w:rPr>
        <w:t xml:space="preserve"> Gap Index en 2020, le Tchad enregistre un taux d’indice d’inégalité de genre de 0,596 le plaçant à la 147e position sur 153 pays</w:t>
      </w:r>
      <w:proofErr w:type="gramStart"/>
      <w:r w:rsidRPr="00A8375B">
        <w:rPr>
          <w:rFonts w:ascii="Times New Roman" w:hAnsi="Times New Roman"/>
          <w:sz w:val="24"/>
        </w:rPr>
        <w:t>. .</w:t>
      </w:r>
      <w:proofErr w:type="gramEnd"/>
      <w:r w:rsidRPr="00A8375B">
        <w:rPr>
          <w:rFonts w:ascii="Times New Roman" w:hAnsi="Times New Roman"/>
          <w:sz w:val="24"/>
        </w:rPr>
        <w:t xml:space="preserve"> Au Tchad, 33 % des sièges parlementaires sont occupés par des femmes et 1,7 % des femmes adultes ont suivi au moins des études secondaires, contre 10,3 % des hommes. La différence entre filles et garçons est source de discrimination d’accès aux opportunités éducatives, sociales, économiques, aux services sociaux de base et même de jouissance des droits y compris les droits civils et politiques, notamment la participation aux instances de prise de décisions, l’accès à l’information ou l’expression des opinions et idées. </w:t>
      </w:r>
    </w:p>
    <w:p w14:paraId="7E36E391" w14:textId="39B1321C" w:rsidR="00D37584" w:rsidRPr="00A8375B" w:rsidRDefault="00D37584" w:rsidP="00A8375B">
      <w:pPr>
        <w:jc w:val="both"/>
        <w:rPr>
          <w:rFonts w:ascii="Times New Roman" w:hAnsi="Times New Roman"/>
          <w:sz w:val="24"/>
        </w:rPr>
      </w:pPr>
      <w:r w:rsidRPr="00A8375B">
        <w:rPr>
          <w:rFonts w:ascii="Times New Roman" w:hAnsi="Times New Roman"/>
          <w:sz w:val="24"/>
        </w:rPr>
        <w:t>La pandémie de la COVID-19 est venue aggraver les problèmes que rencontrent au quotidien les personnes le plus vulnérables. Les mesures de riposte prises par le Gouvernement comme la fermeture de certains commerces ont parfois eu des effets négatifs surtout que les groupes les plus vulnérables identifiés en haut n’ont pas été la cible de mesures d’accompagnement et que certaines mesures d’accompagnement (comme le sursis sur le paiement des factures de l’électricité, dont ils ne disposent pas) ne les concernaient pas directement. Trente-trois cas ont été enregistré dans les camps de réfugiés au 31 Décembre 2020 (situation journalière du Haut-Commissariat des Nations Unies pour les Réfugiés), les mesures prises par le Gouvernement semblent avoir accentué le degré de vulnérabilité des réfugiés et personnes sous mandat du Haut-Commissariat des Nations Unies pour les Réfugiés. En effet, le confinement dans les camps a limité leur capacité de poursuivre les activités socioéconomiques, notamment l’agriculture, l’élevage, le petit commerce et la pêche. Cela a également accentué les risques de protection avec une augmentation du nombre d’enfants qui ne sont pas retournés à l’école, et obligés à s’engager dans des activités rémunérées ainsi que des femmes et filles victimes des violences sexuelles.</w:t>
      </w:r>
    </w:p>
    <w:p w14:paraId="2CE7BE98" w14:textId="591325B1" w:rsidR="00420F19" w:rsidRPr="00420F19" w:rsidRDefault="00420F19" w:rsidP="00420F19">
      <w:pPr>
        <w:jc w:val="both"/>
        <w:rPr>
          <w:rFonts w:ascii="Times New Roman" w:hAnsi="Times New Roman"/>
          <w:sz w:val="24"/>
          <w:szCs w:val="24"/>
        </w:rPr>
      </w:pPr>
      <w:r w:rsidRPr="00420F19">
        <w:rPr>
          <w:rFonts w:ascii="Times New Roman" w:hAnsi="Times New Roman"/>
          <w:sz w:val="24"/>
          <w:szCs w:val="24"/>
        </w:rPr>
        <w:t xml:space="preserve">Sur le plan juridique, le Tchad fait partie des pays qui ont ratifié la plupart des conventions internationales en matière des droits de l’Homme. Un bon nombre de ces instruments juridiques a été transposé dans la législation nationale. Malheureusement, l’on remarque beaucoup d’insuffisances dans l’application par les acteurs judiciaires et dans le respect par les agents de l’Etat de ces textes, ou encore de l’ingérence et de l’interférence de certaines autorités politiques, militaires ou traditionnelles. Ces manquements alimentent parfois l’impunité des auteurs de violences et de discrimination à l’égard surtout des femmes, des jeunes, des personnes handicapées, des personnes âgées, des réfugiés, des migrants et des ressortissants de pays tiers. Un des exemples les plus courants est la violation, y compris par le Gouvernement, de la loi sur la parité dans les fonctions nominatives et électives. Au dernier remaniement du Gouvernement de transition intervenu le 02 </w:t>
      </w:r>
      <w:r w:rsidR="00751682">
        <w:rPr>
          <w:rFonts w:ascii="Times New Roman" w:hAnsi="Times New Roman"/>
          <w:sz w:val="24"/>
          <w:szCs w:val="24"/>
        </w:rPr>
        <w:t>Mai</w:t>
      </w:r>
      <w:r w:rsidRPr="00420F19">
        <w:rPr>
          <w:rFonts w:ascii="Times New Roman" w:hAnsi="Times New Roman"/>
          <w:sz w:val="24"/>
          <w:szCs w:val="24"/>
        </w:rPr>
        <w:t xml:space="preserve"> 2021, seul 21% de femmes ont été nommées alors que la loi sur la parité impose au moins 30%.  A l’échéance de la transition qui dure 18 mois et dont la feuille de route prévoit, la réconciliation nationale, le dialogue inclusif, les élections présidentielles, législatives et locales entre mai 2021 et octobre 2022, le respect des lois, la non-discrimination, l’inclusivité de toutes les couches socio-culturelles et leur accès à l’information seront déterminants pour crédibiliser le processus et alimenter un climat de paix et de sérénité. Les Agences des nations Unies s’activent à accompagner le gouvernement de la transition pour s’assurer de la </w:t>
      </w:r>
      <w:r w:rsidRPr="00420F19">
        <w:rPr>
          <w:rFonts w:ascii="Times New Roman" w:hAnsi="Times New Roman"/>
          <w:sz w:val="24"/>
          <w:szCs w:val="24"/>
        </w:rPr>
        <w:lastRenderedPageBreak/>
        <w:t>participation effective des femmes et des jeunes sur l’ensemble du territoire national et de l’intégration de l’approche basée sur les droits humains dans le processus de transition.</w:t>
      </w:r>
    </w:p>
    <w:p w14:paraId="1B05CA7B" w14:textId="32C575F6" w:rsidR="00420F19" w:rsidRDefault="00420F19" w:rsidP="00420F19">
      <w:pPr>
        <w:jc w:val="both"/>
        <w:rPr>
          <w:rFonts w:ascii="Times New Roman" w:hAnsi="Times New Roman"/>
          <w:sz w:val="24"/>
          <w:szCs w:val="24"/>
        </w:rPr>
      </w:pPr>
      <w:r w:rsidRPr="00420F19">
        <w:rPr>
          <w:rFonts w:ascii="Times New Roman" w:hAnsi="Times New Roman"/>
          <w:sz w:val="24"/>
          <w:szCs w:val="24"/>
        </w:rPr>
        <w:t>Au regard des défis mentionnés, il apparait important d’assister le Gouvernement non seulement dans l’adoption des textes respectueux de ses engagements internationaux mais surtout dans leur mise en œuvre ainsi que dans le développement de politiques et de programmes visant la réduction de l’impunité, des inégalités et de la discrimination. La justice, acteur incontournable dans le rétablissement des droits violés, a besoin d’être accompagnée afin de regagner son indépendance, lutter contre la corruption et</w:t>
      </w:r>
      <w:r>
        <w:rPr>
          <w:rFonts w:ascii="Times New Roman" w:hAnsi="Times New Roman"/>
          <w:sz w:val="24"/>
          <w:szCs w:val="24"/>
        </w:rPr>
        <w:t xml:space="preserve"> </w:t>
      </w:r>
      <w:r w:rsidRPr="00420F19">
        <w:rPr>
          <w:rFonts w:ascii="Times New Roman" w:hAnsi="Times New Roman"/>
          <w:sz w:val="24"/>
          <w:szCs w:val="24"/>
        </w:rPr>
        <w:t xml:space="preserve">l’impunité qui la gangrène et retrouver son efficacité dans le combat contre les injustices et toutes les formes de discriminations. Enfin, sur le plan institutionnel, la jeune commission nationale des droits de l’Homme a aussi besoin de l’appui du système des Nations Unies en vue de mieux protéger les droits de l'homme et de préserver son indépendance.  </w:t>
      </w:r>
    </w:p>
    <w:p w14:paraId="4E07EA84" w14:textId="77777777" w:rsidR="00420F19" w:rsidRDefault="00420F19" w:rsidP="00420F19">
      <w:pPr>
        <w:rPr>
          <w:rFonts w:ascii="Times New Roman" w:hAnsi="Times New Roman"/>
          <w:sz w:val="24"/>
          <w:szCs w:val="24"/>
        </w:rPr>
      </w:pPr>
    </w:p>
    <w:p w14:paraId="36B21FC5" w14:textId="416000A6" w:rsidR="000369E6" w:rsidRPr="0095279A" w:rsidRDefault="00E817E0" w:rsidP="00BC1AE3">
      <w:pPr>
        <w:pStyle w:val="Titre1"/>
        <w:numPr>
          <w:ilvl w:val="0"/>
          <w:numId w:val="23"/>
        </w:numPr>
        <w:rPr>
          <w:rFonts w:ascii="Times New Roman" w:hAnsi="Times New Roman"/>
          <w:b/>
          <w:bCs/>
        </w:rPr>
      </w:pPr>
      <w:bookmarkStart w:id="109" w:name="_Toc90910797"/>
      <w:r w:rsidRPr="0095279A">
        <w:rPr>
          <w:rFonts w:ascii="Times New Roman" w:hAnsi="Times New Roman"/>
          <w:b/>
          <w:bCs/>
        </w:rPr>
        <w:t>ENGAGEMENTS PRIS AU REGARD DES NORMES ET REGLES INTERNATIONALES</w:t>
      </w:r>
      <w:bookmarkEnd w:id="104"/>
      <w:bookmarkEnd w:id="105"/>
      <w:bookmarkEnd w:id="106"/>
      <w:bookmarkEnd w:id="108"/>
      <w:bookmarkEnd w:id="109"/>
      <w:r w:rsidRPr="0095279A">
        <w:rPr>
          <w:rFonts w:ascii="Times New Roman" w:hAnsi="Times New Roman"/>
          <w:b/>
          <w:bCs/>
        </w:rPr>
        <w:t xml:space="preserve"> </w:t>
      </w:r>
    </w:p>
    <w:bookmarkEnd w:id="107"/>
    <w:p w14:paraId="58217866" w14:textId="77777777" w:rsidR="000369E6" w:rsidRPr="000369E6" w:rsidRDefault="000369E6" w:rsidP="000369E6">
      <w:pPr>
        <w:spacing w:after="0"/>
        <w:ind w:left="360"/>
        <w:jc w:val="both"/>
        <w:rPr>
          <w:b/>
          <w:bCs/>
        </w:rPr>
      </w:pPr>
    </w:p>
    <w:p w14:paraId="3FD71D18" w14:textId="230EDF83" w:rsidR="00AC077E" w:rsidRDefault="00AC077E" w:rsidP="00AC077E">
      <w:pPr>
        <w:spacing w:after="0" w:line="240" w:lineRule="auto"/>
        <w:jc w:val="both"/>
        <w:rPr>
          <w:rFonts w:ascii="Times New Roman" w:hAnsi="Times New Roman"/>
          <w:sz w:val="24"/>
          <w:szCs w:val="24"/>
        </w:rPr>
      </w:pPr>
      <w:r w:rsidRPr="761E5622">
        <w:rPr>
          <w:rFonts w:ascii="Times New Roman" w:hAnsi="Times New Roman"/>
          <w:sz w:val="24"/>
          <w:szCs w:val="24"/>
        </w:rPr>
        <w:t xml:space="preserve">En sa qualité d’Etat membre de l’Organisation des Nations Unies, le Tchad a ratifié sept conventions internationales relatives aux droits de l’Homme et certains protocoles additionnels, à savoir : </w:t>
      </w:r>
    </w:p>
    <w:p w14:paraId="6FAB4A26" w14:textId="77316C8D" w:rsidR="146D91B6" w:rsidRPr="00A8375B" w:rsidRDefault="146D91B6" w:rsidP="00BC1AE3">
      <w:pPr>
        <w:pStyle w:val="Paragraphedeliste"/>
        <w:numPr>
          <w:ilvl w:val="0"/>
          <w:numId w:val="2"/>
        </w:numPr>
        <w:jc w:val="both"/>
        <w:rPr>
          <w:rFonts w:ascii="Times New Roman" w:hAnsi="Times New Roman"/>
          <w:sz w:val="24"/>
          <w:lang w:val="fr"/>
        </w:rPr>
      </w:pPr>
      <w:r w:rsidRPr="00A8375B">
        <w:rPr>
          <w:rFonts w:ascii="Times New Roman" w:hAnsi="Times New Roman"/>
          <w:sz w:val="24"/>
          <w:lang w:val="fr"/>
        </w:rPr>
        <w:t>La Convention contre la torture et autres peines ou traitements cruels, inhumains ou dégradants (CCT)</w:t>
      </w:r>
      <w:r w:rsidRPr="00016537">
        <w:rPr>
          <w:rFonts w:ascii="Times New Roman" w:hAnsi="Times New Roman"/>
          <w:sz w:val="24"/>
          <w:szCs w:val="24"/>
          <w:lang w:val="fr"/>
        </w:rPr>
        <w:t xml:space="preserve"> </w:t>
      </w:r>
      <w:r w:rsidRPr="00A8375B">
        <w:rPr>
          <w:rFonts w:ascii="Times New Roman" w:hAnsi="Times New Roman"/>
          <w:sz w:val="24"/>
          <w:lang w:val="fr"/>
        </w:rPr>
        <w:t>;</w:t>
      </w:r>
    </w:p>
    <w:p w14:paraId="36D9128B" w14:textId="6CD81E69"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le</w:t>
      </w:r>
      <w:proofErr w:type="gramEnd"/>
      <w:r w:rsidRPr="00A8375B">
        <w:rPr>
          <w:rFonts w:ascii="Times New Roman" w:hAnsi="Times New Roman"/>
          <w:sz w:val="24"/>
          <w:lang w:val="fr"/>
        </w:rPr>
        <w:t xml:space="preserve"> Pacte international relatif aux droits civils et politiques (PIDCP) </w:t>
      </w:r>
    </w:p>
    <w:p w14:paraId="0EBCDB48" w14:textId="7ED42E59"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le</w:t>
      </w:r>
      <w:proofErr w:type="gramEnd"/>
      <w:r w:rsidRPr="00A8375B">
        <w:rPr>
          <w:rFonts w:ascii="Times New Roman" w:hAnsi="Times New Roman"/>
          <w:sz w:val="24"/>
          <w:lang w:val="fr"/>
        </w:rPr>
        <w:t xml:space="preserve"> pacte international relatif aux droits économiques, sociaux et culturels (PIDESC)</w:t>
      </w:r>
    </w:p>
    <w:p w14:paraId="68B1F442" w14:textId="7EDAC596"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la</w:t>
      </w:r>
      <w:proofErr w:type="gramEnd"/>
      <w:r w:rsidRPr="00A8375B">
        <w:rPr>
          <w:rFonts w:ascii="Times New Roman" w:hAnsi="Times New Roman"/>
          <w:sz w:val="24"/>
          <w:lang w:val="fr"/>
        </w:rPr>
        <w:t xml:space="preserve"> Convention sur l’élimination de toutes les formes de discriminations à l’égard de la femme (CEDEF) </w:t>
      </w:r>
    </w:p>
    <w:p w14:paraId="535DB185" w14:textId="39767690"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la</w:t>
      </w:r>
      <w:proofErr w:type="gramEnd"/>
      <w:r w:rsidRPr="00A8375B">
        <w:rPr>
          <w:rFonts w:ascii="Times New Roman" w:hAnsi="Times New Roman"/>
          <w:sz w:val="24"/>
          <w:lang w:val="fr"/>
        </w:rPr>
        <w:t xml:space="preserve"> Convention internationale sur l’élimination de toutes les formes de discrimination raciale (CERD)</w:t>
      </w:r>
    </w:p>
    <w:p w14:paraId="27CA5ABD" w14:textId="65A4EF0B"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la</w:t>
      </w:r>
      <w:proofErr w:type="gramEnd"/>
      <w:r w:rsidRPr="00A8375B">
        <w:rPr>
          <w:rFonts w:ascii="Times New Roman" w:hAnsi="Times New Roman"/>
          <w:sz w:val="24"/>
          <w:lang w:val="fr"/>
        </w:rPr>
        <w:t xml:space="preserve"> Convention relative aux droits de l’enfant (CDE)</w:t>
      </w:r>
    </w:p>
    <w:p w14:paraId="09B27B13" w14:textId="007808FA"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le</w:t>
      </w:r>
      <w:proofErr w:type="gramEnd"/>
      <w:r w:rsidRPr="00A8375B">
        <w:rPr>
          <w:rFonts w:ascii="Times New Roman" w:hAnsi="Times New Roman"/>
          <w:sz w:val="24"/>
          <w:lang w:val="fr"/>
        </w:rPr>
        <w:t xml:space="preserve"> Protocole facultatif à la Convention relative aux droits de l’enfant, concernant l’implication d’enfants dans les conflits armés (OPAC) </w:t>
      </w:r>
    </w:p>
    <w:p w14:paraId="31086D7E" w14:textId="33C6C54F"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le</w:t>
      </w:r>
      <w:proofErr w:type="gramEnd"/>
      <w:r w:rsidRPr="00A8375B">
        <w:rPr>
          <w:rFonts w:ascii="Times New Roman" w:hAnsi="Times New Roman"/>
          <w:sz w:val="24"/>
          <w:lang w:val="fr"/>
        </w:rPr>
        <w:t xml:space="preserve"> Protocole facultatif à la Convention relative aux droits de l’enfant, concernant la vente d’enfants, la prostitution des enfants et la pornographie mettant en scène des enfants (OPSC)</w:t>
      </w:r>
    </w:p>
    <w:p w14:paraId="770E030B" w14:textId="68C788FF" w:rsidR="146D91B6" w:rsidRPr="00A8375B" w:rsidRDefault="146D91B6" w:rsidP="00BC1AE3">
      <w:pPr>
        <w:pStyle w:val="Paragraphedeliste"/>
        <w:numPr>
          <w:ilvl w:val="0"/>
          <w:numId w:val="2"/>
        </w:numPr>
        <w:jc w:val="both"/>
        <w:rPr>
          <w:rFonts w:ascii="Times New Roman" w:hAnsi="Times New Roman"/>
          <w:sz w:val="24"/>
          <w:lang w:val="fr"/>
        </w:rPr>
      </w:pPr>
      <w:proofErr w:type="gramStart"/>
      <w:r w:rsidRPr="00A8375B">
        <w:rPr>
          <w:rFonts w:ascii="Times New Roman" w:hAnsi="Times New Roman"/>
          <w:sz w:val="24"/>
          <w:lang w:val="fr"/>
        </w:rPr>
        <w:t>la</w:t>
      </w:r>
      <w:proofErr w:type="gramEnd"/>
      <w:r w:rsidRPr="00A8375B">
        <w:rPr>
          <w:rFonts w:ascii="Times New Roman" w:hAnsi="Times New Roman"/>
          <w:sz w:val="24"/>
          <w:lang w:val="fr"/>
        </w:rPr>
        <w:t xml:space="preserve"> Convention relative aux droits des personnes handicapées (CDPH).</w:t>
      </w:r>
    </w:p>
    <w:p w14:paraId="1101AB8C" w14:textId="248DC2E3" w:rsidR="146D91B6" w:rsidRPr="00A8375B" w:rsidRDefault="146D91B6" w:rsidP="00BC1AE3">
      <w:pPr>
        <w:pStyle w:val="Paragraphedeliste"/>
        <w:numPr>
          <w:ilvl w:val="0"/>
          <w:numId w:val="2"/>
        </w:numPr>
        <w:jc w:val="both"/>
        <w:rPr>
          <w:rFonts w:ascii="Times New Roman" w:hAnsi="Times New Roman"/>
          <w:sz w:val="24"/>
          <w:lang w:val="fr"/>
        </w:rPr>
      </w:pPr>
      <w:r w:rsidRPr="00A8375B">
        <w:rPr>
          <w:rFonts w:ascii="Times New Roman" w:hAnsi="Times New Roman"/>
          <w:sz w:val="24"/>
          <w:lang w:val="fr"/>
        </w:rPr>
        <w:t xml:space="preserve">La convention internationale relative à protection des droits de tous les travailleurs migrants et des membres de leurs familles,  </w:t>
      </w:r>
    </w:p>
    <w:p w14:paraId="55A5D640" w14:textId="1DB51280" w:rsidR="146D91B6" w:rsidRPr="00A8375B" w:rsidRDefault="146D91B6" w:rsidP="00BC1AE3">
      <w:pPr>
        <w:pStyle w:val="Paragraphedeliste"/>
        <w:numPr>
          <w:ilvl w:val="0"/>
          <w:numId w:val="2"/>
        </w:numPr>
        <w:jc w:val="both"/>
        <w:rPr>
          <w:rFonts w:ascii="Times New Roman" w:hAnsi="Times New Roman"/>
          <w:sz w:val="24"/>
          <w:lang w:val="fr"/>
        </w:rPr>
      </w:pPr>
      <w:r w:rsidRPr="00A8375B">
        <w:rPr>
          <w:rFonts w:ascii="Times New Roman" w:hAnsi="Times New Roman"/>
          <w:sz w:val="24"/>
          <w:lang w:val="fr"/>
        </w:rPr>
        <w:t>Le Protocole additionnel 1 et 2 de 1977 aux Conventions de Genève du 12 Août 1949 relatif à la protection des victimes des conflits armés non internationaux</w:t>
      </w:r>
    </w:p>
    <w:p w14:paraId="120FA9E8" w14:textId="509B10E0" w:rsidR="146D91B6" w:rsidRDefault="146D91B6" w:rsidP="00BC1AE3">
      <w:pPr>
        <w:pStyle w:val="Paragraphedeliste"/>
        <w:numPr>
          <w:ilvl w:val="0"/>
          <w:numId w:val="2"/>
        </w:numPr>
        <w:jc w:val="both"/>
        <w:rPr>
          <w:rFonts w:ascii="Times New Roman" w:eastAsia="Times New Roman" w:hAnsi="Times New Roman"/>
          <w:sz w:val="24"/>
          <w:szCs w:val="24"/>
          <w:lang w:val="fr"/>
        </w:rPr>
      </w:pPr>
      <w:r w:rsidRPr="00A8375B">
        <w:rPr>
          <w:rFonts w:ascii="Times New Roman" w:hAnsi="Times New Roman"/>
          <w:sz w:val="24"/>
          <w:lang w:val="fr"/>
        </w:rPr>
        <w:t>Le Tchad a aussi adhéré à la Convention de Genève de 1951 sur le statut de réfugié et à son Protocole de 1967.</w:t>
      </w:r>
    </w:p>
    <w:p w14:paraId="3766C133" w14:textId="47E8BF84" w:rsidR="171696D3" w:rsidRDefault="171696D3" w:rsidP="00BC1AE3">
      <w:pPr>
        <w:pStyle w:val="Paragraphedeliste"/>
        <w:numPr>
          <w:ilvl w:val="0"/>
          <w:numId w:val="2"/>
        </w:numPr>
        <w:jc w:val="both"/>
        <w:rPr>
          <w:rFonts w:ascii="Times New Roman" w:eastAsia="Times New Roman" w:hAnsi="Times New Roman"/>
          <w:sz w:val="24"/>
          <w:szCs w:val="24"/>
          <w:lang w:val="fr"/>
        </w:rPr>
      </w:pPr>
      <w:r w:rsidRPr="00016537">
        <w:rPr>
          <w:rFonts w:ascii="Times New Roman" w:hAnsi="Times New Roman"/>
          <w:sz w:val="24"/>
          <w:szCs w:val="24"/>
          <w:lang w:val="fr"/>
        </w:rPr>
        <w:t>Le Tchad a également adhéré au Pacte mondial pour la migration.</w:t>
      </w:r>
    </w:p>
    <w:p w14:paraId="092DEA03" w14:textId="454BE458" w:rsidR="146D91B6" w:rsidRPr="00016537" w:rsidRDefault="146D91B6" w:rsidP="00016537">
      <w:pPr>
        <w:jc w:val="both"/>
        <w:rPr>
          <w:rFonts w:ascii="Times New Roman" w:hAnsi="Times New Roman"/>
          <w:sz w:val="24"/>
          <w:szCs w:val="24"/>
          <w:lang w:val="fr"/>
        </w:rPr>
      </w:pPr>
      <w:r w:rsidRPr="00016537">
        <w:rPr>
          <w:rFonts w:ascii="Times New Roman" w:hAnsi="Times New Roman"/>
          <w:sz w:val="24"/>
          <w:szCs w:val="24"/>
          <w:lang w:val="fr"/>
        </w:rPr>
        <w:lastRenderedPageBreak/>
        <w:t xml:space="preserve"> </w:t>
      </w:r>
    </w:p>
    <w:p w14:paraId="0740E6D6" w14:textId="5DA65FAC" w:rsidR="146D91B6" w:rsidRPr="00A8375B" w:rsidRDefault="146D91B6" w:rsidP="00A8375B">
      <w:pPr>
        <w:jc w:val="both"/>
        <w:rPr>
          <w:rFonts w:ascii="Times New Roman" w:hAnsi="Times New Roman"/>
          <w:sz w:val="24"/>
          <w:lang w:val="fr"/>
        </w:rPr>
      </w:pPr>
      <w:r w:rsidRPr="00A8375B">
        <w:rPr>
          <w:rFonts w:ascii="Times New Roman" w:hAnsi="Times New Roman"/>
          <w:sz w:val="24"/>
          <w:lang w:val="fr"/>
        </w:rPr>
        <w:t>En termes d’acceptation des procédures de plaintes individuelles, le Tchad a accepté la procédure d'enquête sous la Convention contre la torture de 1995 mais aucune des autres.</w:t>
      </w:r>
    </w:p>
    <w:p w14:paraId="50DC0DAC" w14:textId="4B02AFFA" w:rsidR="146D91B6" w:rsidRPr="00016537" w:rsidRDefault="146D91B6" w:rsidP="00016537">
      <w:pPr>
        <w:jc w:val="both"/>
        <w:rPr>
          <w:rFonts w:ascii="Times New Roman" w:hAnsi="Times New Roman"/>
          <w:sz w:val="24"/>
          <w:szCs w:val="24"/>
          <w:lang w:val="fr"/>
        </w:rPr>
      </w:pPr>
      <w:r w:rsidRPr="00016537">
        <w:rPr>
          <w:rFonts w:ascii="Times New Roman" w:hAnsi="Times New Roman"/>
          <w:sz w:val="24"/>
          <w:szCs w:val="24"/>
          <w:lang w:val="fr"/>
        </w:rPr>
        <w:t xml:space="preserve"> </w:t>
      </w:r>
    </w:p>
    <w:p w14:paraId="32D32E6B" w14:textId="7A844C50" w:rsidR="146D91B6" w:rsidRPr="00016537" w:rsidRDefault="146D91B6" w:rsidP="00016537">
      <w:pPr>
        <w:spacing w:line="257" w:lineRule="auto"/>
        <w:jc w:val="both"/>
        <w:rPr>
          <w:rFonts w:ascii="Times New Roman" w:hAnsi="Times New Roman"/>
          <w:sz w:val="24"/>
          <w:szCs w:val="24"/>
          <w:lang w:val="fr"/>
        </w:rPr>
      </w:pPr>
      <w:proofErr w:type="gramStart"/>
      <w:r w:rsidRPr="00016537">
        <w:rPr>
          <w:rFonts w:ascii="Times New Roman" w:hAnsi="Times New Roman"/>
          <w:sz w:val="24"/>
          <w:szCs w:val="24"/>
          <w:lang w:val="fr"/>
        </w:rPr>
        <w:t>Au</w:t>
      </w:r>
      <w:proofErr w:type="gramEnd"/>
      <w:r w:rsidRPr="00016537">
        <w:rPr>
          <w:rFonts w:ascii="Times New Roman" w:hAnsi="Times New Roman"/>
          <w:sz w:val="24"/>
          <w:szCs w:val="24"/>
          <w:lang w:val="fr"/>
        </w:rPr>
        <w:t xml:space="preserve"> plan régional africain, le Tchad a ratifié également la Charte africaine des droits de l’Homme et des peuples ; la Charte Africaine des droits et du bien-être de l’enfant ainsi que la Convention de l’Organisation de l’Union Africaine de 1969 régissant les aspects propres aux problèmes des réfugiés en Afrique et le protocole relatif à la Charte africaine des droits de l’homme et des peuples, portant création d’une Cour africaine des droits de l’homme et des peuples</w:t>
      </w:r>
      <w:r w:rsidRPr="00A8375B">
        <w:rPr>
          <w:rFonts w:ascii="Times New Roman" w:hAnsi="Times New Roman"/>
          <w:sz w:val="24"/>
          <w:lang w:val="fr"/>
        </w:rPr>
        <w:t>. Cependant, il reste encore un bon nombre d’instruments de protection importants que le Tchad devrait adopter ou ratifier. C’est le cas de</w:t>
      </w:r>
      <w:r w:rsidRPr="00016537">
        <w:rPr>
          <w:rFonts w:ascii="Times New Roman" w:hAnsi="Times New Roman"/>
          <w:sz w:val="24"/>
          <w:szCs w:val="24"/>
          <w:lang w:val="fr"/>
        </w:rPr>
        <w:t xml:space="preserve"> : </w:t>
      </w:r>
    </w:p>
    <w:p w14:paraId="78BA6352" w14:textId="10C289EA" w:rsidR="146D91B6" w:rsidRDefault="146D91B6" w:rsidP="00BC1AE3">
      <w:pPr>
        <w:pStyle w:val="Paragraphedeliste"/>
        <w:numPr>
          <w:ilvl w:val="0"/>
          <w:numId w:val="1"/>
        </w:numPr>
        <w:spacing w:line="257" w:lineRule="auto"/>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la</w:t>
      </w:r>
      <w:proofErr w:type="gramEnd"/>
      <w:r w:rsidRPr="00016537">
        <w:rPr>
          <w:rFonts w:ascii="Times New Roman" w:hAnsi="Times New Roman"/>
          <w:sz w:val="24"/>
          <w:szCs w:val="24"/>
          <w:lang w:val="fr"/>
        </w:rPr>
        <w:t xml:space="preserve"> Convention internationale pour la protection des personnes contre les disparitions forcées ; </w:t>
      </w:r>
    </w:p>
    <w:p w14:paraId="393EADCB" w14:textId="2DD9062B" w:rsidR="146D91B6" w:rsidRDefault="146D91B6" w:rsidP="00BC1AE3">
      <w:pPr>
        <w:pStyle w:val="Paragraphedeliste"/>
        <w:numPr>
          <w:ilvl w:val="0"/>
          <w:numId w:val="1"/>
        </w:numPr>
        <w:spacing w:line="257" w:lineRule="auto"/>
        <w:jc w:val="both"/>
        <w:rPr>
          <w:rFonts w:ascii="Times New Roman" w:eastAsia="Times New Roman" w:hAnsi="Times New Roman"/>
          <w:b/>
          <w:bCs/>
          <w:sz w:val="24"/>
          <w:szCs w:val="24"/>
          <w:lang w:val="fr"/>
        </w:rPr>
      </w:pPr>
      <w:proofErr w:type="gramStart"/>
      <w:r w:rsidRPr="00016537">
        <w:rPr>
          <w:rFonts w:ascii="Times New Roman" w:hAnsi="Times New Roman"/>
          <w:sz w:val="24"/>
          <w:szCs w:val="24"/>
          <w:lang w:val="fr"/>
        </w:rPr>
        <w:t>la</w:t>
      </w:r>
      <w:proofErr w:type="gramEnd"/>
      <w:r w:rsidRPr="00016537">
        <w:rPr>
          <w:rFonts w:ascii="Times New Roman" w:hAnsi="Times New Roman"/>
          <w:sz w:val="24"/>
          <w:szCs w:val="24"/>
          <w:lang w:val="fr"/>
        </w:rPr>
        <w:t xml:space="preserve"> Convention de 1954 relative au statut des apatrides ;</w:t>
      </w:r>
    </w:p>
    <w:p w14:paraId="08469CC8" w14:textId="6F26E756" w:rsidR="146D91B6" w:rsidRDefault="146D91B6" w:rsidP="00BC1AE3">
      <w:pPr>
        <w:pStyle w:val="Paragraphedeliste"/>
        <w:numPr>
          <w:ilvl w:val="0"/>
          <w:numId w:val="1"/>
        </w:numPr>
        <w:spacing w:line="257" w:lineRule="auto"/>
        <w:jc w:val="both"/>
        <w:rPr>
          <w:rFonts w:ascii="Times New Roman" w:eastAsia="Times New Roman" w:hAnsi="Times New Roman"/>
          <w:b/>
          <w:bCs/>
          <w:sz w:val="24"/>
          <w:szCs w:val="24"/>
          <w:lang w:val="fr"/>
        </w:rPr>
      </w:pPr>
      <w:proofErr w:type="gramStart"/>
      <w:r w:rsidRPr="00016537">
        <w:rPr>
          <w:rFonts w:ascii="Times New Roman" w:hAnsi="Times New Roman"/>
          <w:sz w:val="24"/>
          <w:szCs w:val="24"/>
          <w:lang w:val="fr"/>
        </w:rPr>
        <w:t>la</w:t>
      </w:r>
      <w:proofErr w:type="gramEnd"/>
      <w:r w:rsidRPr="00016537">
        <w:rPr>
          <w:rFonts w:ascii="Times New Roman" w:hAnsi="Times New Roman"/>
          <w:sz w:val="24"/>
          <w:szCs w:val="24"/>
          <w:lang w:val="fr"/>
        </w:rPr>
        <w:t xml:space="preserve"> Convention de 1961 sur la réduction des cas d’apatridie ; </w:t>
      </w:r>
    </w:p>
    <w:p w14:paraId="2FAEBCA8" w14:textId="72AB7C5B" w:rsidR="146D91B6" w:rsidRDefault="146D91B6" w:rsidP="00BC1AE3">
      <w:pPr>
        <w:pStyle w:val="Paragraphedeliste"/>
        <w:numPr>
          <w:ilvl w:val="0"/>
          <w:numId w:val="1"/>
        </w:numPr>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le</w:t>
      </w:r>
      <w:proofErr w:type="gramEnd"/>
      <w:r w:rsidRPr="00016537">
        <w:rPr>
          <w:rFonts w:ascii="Times New Roman" w:hAnsi="Times New Roman"/>
          <w:sz w:val="24"/>
          <w:szCs w:val="24"/>
          <w:lang w:val="fr"/>
        </w:rPr>
        <w:t xml:space="preserve"> Protocole facultatif se rapportant au Pacte international relatif aux droits économiques, sociaux et culturels ;</w:t>
      </w:r>
    </w:p>
    <w:p w14:paraId="37FEB9E1" w14:textId="01CE44F1" w:rsidR="146D91B6" w:rsidRDefault="146D91B6" w:rsidP="00BC1AE3">
      <w:pPr>
        <w:pStyle w:val="Paragraphedeliste"/>
        <w:numPr>
          <w:ilvl w:val="0"/>
          <w:numId w:val="1"/>
        </w:numPr>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le</w:t>
      </w:r>
      <w:proofErr w:type="gramEnd"/>
      <w:r w:rsidRPr="00016537">
        <w:rPr>
          <w:rFonts w:ascii="Times New Roman" w:hAnsi="Times New Roman"/>
          <w:sz w:val="24"/>
          <w:szCs w:val="24"/>
          <w:lang w:val="fr"/>
        </w:rPr>
        <w:t xml:space="preserve"> Deuxième protocole facultatif se rapportant au Pacte international relatif aux droits civils et politiques, visant à abolir la peine de mort ;</w:t>
      </w:r>
    </w:p>
    <w:p w14:paraId="1A7E59CA" w14:textId="4A306888" w:rsidR="146D91B6" w:rsidRDefault="146D91B6" w:rsidP="00BC1AE3">
      <w:pPr>
        <w:pStyle w:val="Paragraphedeliste"/>
        <w:numPr>
          <w:ilvl w:val="0"/>
          <w:numId w:val="1"/>
        </w:numPr>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le</w:t>
      </w:r>
      <w:proofErr w:type="gramEnd"/>
      <w:r w:rsidRPr="00016537">
        <w:rPr>
          <w:rFonts w:ascii="Times New Roman" w:hAnsi="Times New Roman"/>
          <w:sz w:val="24"/>
          <w:szCs w:val="24"/>
          <w:lang w:val="fr"/>
        </w:rPr>
        <w:t xml:space="preserve"> Protocole facultatif à la Convention sur l’élimination de toutes les formes de discrimination à l’égard des femmes ;</w:t>
      </w:r>
    </w:p>
    <w:p w14:paraId="3260F9B5" w14:textId="6B3A4665" w:rsidR="146D91B6" w:rsidRDefault="146D91B6" w:rsidP="00BC1AE3">
      <w:pPr>
        <w:pStyle w:val="Paragraphedeliste"/>
        <w:numPr>
          <w:ilvl w:val="0"/>
          <w:numId w:val="1"/>
        </w:numPr>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le</w:t>
      </w:r>
      <w:proofErr w:type="gramEnd"/>
      <w:r w:rsidRPr="00016537">
        <w:rPr>
          <w:rFonts w:ascii="Times New Roman" w:hAnsi="Times New Roman"/>
          <w:sz w:val="24"/>
          <w:szCs w:val="24"/>
          <w:lang w:val="fr"/>
        </w:rPr>
        <w:t xml:space="preserve"> Protocole facultatif se rapportant à la Convention contre la torture et autres peines ou traitements cruels, inhumains ou dégradants ;</w:t>
      </w:r>
    </w:p>
    <w:p w14:paraId="324FDEAB" w14:textId="44327FFB" w:rsidR="146D91B6" w:rsidRDefault="146D91B6" w:rsidP="00BC1AE3">
      <w:pPr>
        <w:pStyle w:val="Paragraphedeliste"/>
        <w:numPr>
          <w:ilvl w:val="0"/>
          <w:numId w:val="1"/>
        </w:numPr>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le</w:t>
      </w:r>
      <w:proofErr w:type="gramEnd"/>
      <w:r w:rsidRPr="00016537">
        <w:rPr>
          <w:rFonts w:ascii="Times New Roman" w:hAnsi="Times New Roman"/>
          <w:sz w:val="24"/>
          <w:szCs w:val="24"/>
          <w:lang w:val="fr"/>
        </w:rPr>
        <w:t xml:space="preserve"> Protocole facultatif à la Convention relative aux droits des personnes handicapées ;</w:t>
      </w:r>
    </w:p>
    <w:p w14:paraId="382524F4" w14:textId="10B17AE9" w:rsidR="146D91B6" w:rsidRDefault="146D91B6" w:rsidP="00BC1AE3">
      <w:pPr>
        <w:pStyle w:val="Paragraphedeliste"/>
        <w:numPr>
          <w:ilvl w:val="0"/>
          <w:numId w:val="1"/>
        </w:numPr>
        <w:jc w:val="both"/>
        <w:rPr>
          <w:rFonts w:ascii="Times New Roman" w:eastAsia="Times New Roman" w:hAnsi="Times New Roman"/>
          <w:sz w:val="24"/>
          <w:szCs w:val="24"/>
          <w:lang w:val="fr"/>
        </w:rPr>
      </w:pPr>
      <w:r w:rsidRPr="00016537">
        <w:rPr>
          <w:rFonts w:ascii="Times New Roman" w:hAnsi="Times New Roman"/>
          <w:sz w:val="24"/>
          <w:szCs w:val="24"/>
          <w:lang w:val="fr"/>
        </w:rPr>
        <w:t xml:space="preserve"> </w:t>
      </w:r>
    </w:p>
    <w:p w14:paraId="29EFC26F" w14:textId="3C461BE8" w:rsidR="146D91B6" w:rsidRDefault="146D91B6" w:rsidP="00BC1AE3">
      <w:pPr>
        <w:pStyle w:val="Paragraphedeliste"/>
        <w:numPr>
          <w:ilvl w:val="0"/>
          <w:numId w:val="1"/>
        </w:numPr>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le</w:t>
      </w:r>
      <w:proofErr w:type="gramEnd"/>
      <w:r w:rsidRPr="00016537">
        <w:rPr>
          <w:rFonts w:ascii="Times New Roman" w:hAnsi="Times New Roman"/>
          <w:sz w:val="24"/>
          <w:szCs w:val="24"/>
          <w:lang w:val="fr"/>
        </w:rPr>
        <w:t xml:space="preserve"> Protocole facultatif à la Convention relative aux droits de l’enfant établissant une procédure de présentation de communications ;</w:t>
      </w:r>
    </w:p>
    <w:p w14:paraId="34CC75B3" w14:textId="5C8084DB" w:rsidR="146D91B6" w:rsidRDefault="146D91B6" w:rsidP="00BC1AE3">
      <w:pPr>
        <w:pStyle w:val="Paragraphedeliste"/>
        <w:numPr>
          <w:ilvl w:val="0"/>
          <w:numId w:val="1"/>
        </w:numPr>
        <w:jc w:val="both"/>
        <w:rPr>
          <w:rFonts w:ascii="Times New Roman" w:eastAsia="Times New Roman" w:hAnsi="Times New Roman"/>
          <w:sz w:val="24"/>
          <w:szCs w:val="24"/>
          <w:lang w:val="fr"/>
        </w:rPr>
      </w:pPr>
      <w:proofErr w:type="gramStart"/>
      <w:r w:rsidRPr="00016537">
        <w:rPr>
          <w:rFonts w:ascii="Times New Roman" w:hAnsi="Times New Roman"/>
          <w:sz w:val="24"/>
          <w:szCs w:val="24"/>
          <w:lang w:val="fr"/>
        </w:rPr>
        <w:t>les</w:t>
      </w:r>
      <w:proofErr w:type="gramEnd"/>
      <w:r w:rsidRPr="00016537">
        <w:rPr>
          <w:rFonts w:ascii="Times New Roman" w:hAnsi="Times New Roman"/>
          <w:sz w:val="24"/>
          <w:szCs w:val="24"/>
          <w:lang w:val="fr"/>
        </w:rPr>
        <w:t xml:space="preserve"> Protocoles à la Charte africaine des droits de l’Homme et des peuples relatifs aux droits de la femme en Afrique,  aux droits des personnes âgées et à ceux des personnes vivants avec un handicap.</w:t>
      </w:r>
    </w:p>
    <w:p w14:paraId="7C560D37" w14:textId="517927FA" w:rsidR="146D91B6" w:rsidRPr="00016537" w:rsidRDefault="146D91B6" w:rsidP="00016537">
      <w:pPr>
        <w:jc w:val="both"/>
        <w:rPr>
          <w:rFonts w:ascii="Times New Roman" w:hAnsi="Times New Roman"/>
          <w:sz w:val="24"/>
          <w:szCs w:val="24"/>
          <w:lang w:val="fr"/>
        </w:rPr>
      </w:pPr>
      <w:r w:rsidRPr="00016537">
        <w:rPr>
          <w:rFonts w:ascii="Times New Roman" w:hAnsi="Times New Roman"/>
          <w:sz w:val="24"/>
          <w:szCs w:val="24"/>
          <w:lang w:val="fr"/>
        </w:rPr>
        <w:t xml:space="preserve"> </w:t>
      </w:r>
    </w:p>
    <w:p w14:paraId="6510820A" w14:textId="4E994387" w:rsidR="146D91B6" w:rsidRPr="00016537" w:rsidRDefault="146D91B6" w:rsidP="00016537">
      <w:pPr>
        <w:jc w:val="both"/>
        <w:rPr>
          <w:rFonts w:ascii="Times New Roman" w:hAnsi="Times New Roman"/>
          <w:sz w:val="24"/>
          <w:szCs w:val="24"/>
          <w:lang w:val="fr"/>
        </w:rPr>
      </w:pPr>
      <w:r w:rsidRPr="00016537">
        <w:rPr>
          <w:rFonts w:ascii="Times New Roman" w:hAnsi="Times New Roman"/>
          <w:sz w:val="24"/>
          <w:szCs w:val="24"/>
          <w:lang w:val="fr"/>
        </w:rPr>
        <w:t xml:space="preserve">Le Tchad est membre de la Commission du Bassin du Lac Tchad (CBLT), de l’Autorité du Bassin du Niger (ABN) et du Comité Inter-Etats de Lutte contre la Sécheresse au Sahel (CILSS). </w:t>
      </w:r>
      <w:r w:rsidRPr="00A8375B">
        <w:rPr>
          <w:rFonts w:ascii="Times New Roman" w:hAnsi="Times New Roman"/>
          <w:sz w:val="24"/>
          <w:lang w:val="fr"/>
        </w:rPr>
        <w:t xml:space="preserve">Il a signé plusieurs Accords, Protocoles et Conventions régionaux, et sous –régionaux relatifs à l’Environnement avec la Communauté économique des États de l'Afrique centrale (CEEAC), la Communauté économique et monétaire de l'Afrique centrale (CEMAC), l’Union Africaine (UA). </w:t>
      </w:r>
      <w:r w:rsidRPr="00016537">
        <w:rPr>
          <w:rFonts w:ascii="Times New Roman" w:hAnsi="Times New Roman"/>
          <w:sz w:val="24"/>
          <w:szCs w:val="24"/>
          <w:lang w:val="fr"/>
        </w:rPr>
        <w:t>Il convient de souligner que la République du Tchad est aussi impliquée dans le programme Analyse Multidisciplinaire de la Mousson Africaine et de ses impacts ; la Prévisions Saisonnières en Afrique de l’Ouest au Cameroun et au Tchad ; et le consortium Centre Africain des Applications de la Météorologie au Développement (ACMAD)-</w:t>
      </w:r>
      <w:r w:rsidRPr="00016537">
        <w:rPr>
          <w:rFonts w:ascii="Times New Roman" w:hAnsi="Times New Roman"/>
          <w:sz w:val="24"/>
          <w:szCs w:val="24"/>
          <w:lang w:val="fr"/>
        </w:rPr>
        <w:lastRenderedPageBreak/>
        <w:t>AGRHYMEHT-ABN qui ambitionne de renforcer les capacités de prévision climatique et la variation pluviométrique.</w:t>
      </w:r>
    </w:p>
    <w:p w14:paraId="33F77338" w14:textId="4DF96A84" w:rsidR="146D91B6" w:rsidRPr="00016537" w:rsidRDefault="146D91B6" w:rsidP="00016537">
      <w:pPr>
        <w:jc w:val="both"/>
        <w:rPr>
          <w:rFonts w:ascii="Times New Roman" w:hAnsi="Times New Roman"/>
          <w:sz w:val="24"/>
          <w:szCs w:val="24"/>
          <w:lang w:val="fr"/>
        </w:rPr>
      </w:pPr>
      <w:r w:rsidRPr="00016537">
        <w:rPr>
          <w:rFonts w:ascii="Times New Roman" w:hAnsi="Times New Roman"/>
          <w:sz w:val="24"/>
          <w:szCs w:val="24"/>
          <w:lang w:val="fr"/>
        </w:rPr>
        <w:t xml:space="preserve"> </w:t>
      </w:r>
    </w:p>
    <w:p w14:paraId="359ED351" w14:textId="5C8EB28D" w:rsidR="146D91B6" w:rsidRPr="00A8375B" w:rsidRDefault="146D91B6" w:rsidP="00A8375B">
      <w:pPr>
        <w:jc w:val="both"/>
        <w:rPr>
          <w:rFonts w:ascii="Times New Roman" w:hAnsi="Times New Roman"/>
          <w:sz w:val="24"/>
          <w:lang w:val="fr"/>
        </w:rPr>
      </w:pPr>
      <w:r w:rsidRPr="00A8375B">
        <w:rPr>
          <w:rFonts w:ascii="Times New Roman" w:hAnsi="Times New Roman"/>
          <w:sz w:val="24"/>
          <w:lang w:val="fr"/>
        </w:rPr>
        <w:t xml:space="preserve">Le Tchad a ratifié la convention sur la Biodiversité et la convention de lutte contre la désertification. À côté de ces engagements régionaux, plusieurs initiatives des partenaires techniques et financiers pour soutenir l’adaptation et l’atténuation aux changements climatiques existent. </w:t>
      </w:r>
    </w:p>
    <w:p w14:paraId="541C5C86" w14:textId="4E6914E9" w:rsidR="146D91B6" w:rsidRPr="00A8375B" w:rsidRDefault="146D91B6" w:rsidP="00A8375B">
      <w:pPr>
        <w:jc w:val="both"/>
        <w:rPr>
          <w:rFonts w:ascii="Times New Roman" w:hAnsi="Times New Roman"/>
          <w:sz w:val="24"/>
          <w:lang w:val="fr"/>
        </w:rPr>
      </w:pPr>
      <w:r w:rsidRPr="00A8375B">
        <w:rPr>
          <w:rFonts w:ascii="Times New Roman" w:hAnsi="Times New Roman"/>
          <w:sz w:val="24"/>
          <w:lang w:val="fr"/>
        </w:rPr>
        <w:t xml:space="preserve"> </w:t>
      </w:r>
    </w:p>
    <w:p w14:paraId="53C6650C" w14:textId="6BBA8267" w:rsidR="146D91B6" w:rsidRPr="00016537" w:rsidRDefault="146D91B6" w:rsidP="00016537">
      <w:pPr>
        <w:jc w:val="both"/>
        <w:rPr>
          <w:rFonts w:ascii="Times New Roman" w:hAnsi="Times New Roman"/>
          <w:sz w:val="24"/>
          <w:szCs w:val="24"/>
          <w:lang w:val="fr"/>
        </w:rPr>
      </w:pPr>
      <w:r w:rsidRPr="00A8375B">
        <w:rPr>
          <w:rFonts w:ascii="Times New Roman" w:hAnsi="Times New Roman"/>
          <w:sz w:val="24"/>
          <w:lang w:val="fr"/>
        </w:rPr>
        <w:t xml:space="preserve">En </w:t>
      </w:r>
      <w:r w:rsidRPr="00016537">
        <w:rPr>
          <w:rFonts w:ascii="Times New Roman" w:hAnsi="Times New Roman"/>
          <w:sz w:val="24"/>
          <w:szCs w:val="24"/>
          <w:lang w:val="fr"/>
        </w:rPr>
        <w:t xml:space="preserve">Afrique, un autre texte fait référence </w:t>
      </w:r>
      <w:r w:rsidRPr="00A8375B">
        <w:rPr>
          <w:rFonts w:ascii="Times New Roman" w:hAnsi="Times New Roman"/>
          <w:sz w:val="24"/>
          <w:lang w:val="fr"/>
        </w:rPr>
        <w:t>: le document portant « Cadre et lignes directrices sur les politiques foncières en Afrique », qui a été entériné par l’Assemblée des Chefs d’Etat et de Gouvernement de l’Union africaine en juillet 2009. Le Cadre et lignes directrices n’est ni un cadre contraignant, ni un modèle de politique foncière, ni un mécanisme d’harmonisation des politiques foncières. Il vise à inciter l’ensemble des Etats membres à aborder le foncier comme question prioritaire de développement et de gouvernance et apporte des repères méthodologiques sur la façon de s’y prendre.</w:t>
      </w:r>
    </w:p>
    <w:p w14:paraId="0E41127B" w14:textId="2F3987F5" w:rsidR="761E5622" w:rsidRPr="00016537" w:rsidRDefault="761E5622" w:rsidP="1E2F3CE4">
      <w:pPr>
        <w:spacing w:after="0" w:line="240" w:lineRule="auto"/>
        <w:jc w:val="both"/>
        <w:rPr>
          <w:rFonts w:ascii="Times New Roman" w:hAnsi="Times New Roman"/>
          <w:sz w:val="24"/>
          <w:szCs w:val="24"/>
        </w:rPr>
      </w:pPr>
    </w:p>
    <w:p w14:paraId="59D433D1" w14:textId="726F073F" w:rsidR="761E5622" w:rsidRDefault="03302FA1" w:rsidP="00763DEB">
      <w:pPr>
        <w:jc w:val="both"/>
        <w:rPr>
          <w:rFonts w:ascii="Times New Roman" w:hAnsi="Times New Roman"/>
          <w:sz w:val="24"/>
          <w:szCs w:val="24"/>
        </w:rPr>
      </w:pPr>
      <w:r w:rsidRPr="00016537">
        <w:rPr>
          <w:rFonts w:ascii="Times New Roman" w:hAnsi="Times New Roman"/>
          <w:sz w:val="24"/>
          <w:szCs w:val="24"/>
        </w:rPr>
        <w:t>En termes de</w:t>
      </w:r>
      <w:r w:rsidR="1B069BF9" w:rsidRPr="00016537">
        <w:rPr>
          <w:rFonts w:ascii="Times New Roman" w:hAnsi="Times New Roman"/>
          <w:sz w:val="24"/>
          <w:szCs w:val="24"/>
        </w:rPr>
        <w:t xml:space="preserve"> mise en œuvre des conventions internationales et régionales, le Tchad a fait des progrès qu</w:t>
      </w:r>
      <w:r w:rsidR="1B7564A3" w:rsidRPr="00016537">
        <w:rPr>
          <w:rFonts w:ascii="Times New Roman" w:hAnsi="Times New Roman"/>
          <w:sz w:val="24"/>
          <w:szCs w:val="24"/>
        </w:rPr>
        <w:t>i méritent d’</w:t>
      </w:r>
      <w:r w:rsidR="21AF6BFD" w:rsidRPr="00016537">
        <w:rPr>
          <w:rFonts w:ascii="Times New Roman" w:hAnsi="Times New Roman"/>
          <w:sz w:val="24"/>
          <w:szCs w:val="24"/>
        </w:rPr>
        <w:t>être</w:t>
      </w:r>
      <w:r w:rsidR="1B7564A3" w:rsidRPr="00016537">
        <w:rPr>
          <w:rFonts w:ascii="Times New Roman" w:hAnsi="Times New Roman"/>
          <w:sz w:val="24"/>
          <w:szCs w:val="24"/>
        </w:rPr>
        <w:t xml:space="preserve"> signalés </w:t>
      </w:r>
      <w:r w:rsidR="21909952" w:rsidRPr="00016537">
        <w:rPr>
          <w:rFonts w:ascii="Times New Roman" w:hAnsi="Times New Roman"/>
          <w:sz w:val="24"/>
          <w:szCs w:val="24"/>
        </w:rPr>
        <w:t>quoiqu'encore</w:t>
      </w:r>
      <w:r w:rsidR="1B7564A3" w:rsidRPr="00016537">
        <w:rPr>
          <w:rFonts w:ascii="Times New Roman" w:hAnsi="Times New Roman"/>
          <w:sz w:val="24"/>
          <w:szCs w:val="24"/>
        </w:rPr>
        <w:t xml:space="preserve"> </w:t>
      </w:r>
      <w:proofErr w:type="spellStart"/>
      <w:r w:rsidR="68AFCBEB" w:rsidRPr="00016537">
        <w:rPr>
          <w:rFonts w:ascii="Times New Roman" w:hAnsi="Times New Roman"/>
          <w:sz w:val="24"/>
          <w:szCs w:val="24"/>
        </w:rPr>
        <w:t>insuffisants</w:t>
      </w:r>
      <w:r w:rsidR="1B7564A3" w:rsidRPr="00016537">
        <w:rPr>
          <w:rFonts w:ascii="Times New Roman" w:hAnsi="Times New Roman"/>
          <w:sz w:val="24"/>
          <w:szCs w:val="24"/>
        </w:rPr>
        <w:t>.</w:t>
      </w:r>
      <w:r w:rsidR="0749A24F" w:rsidRPr="00016537">
        <w:rPr>
          <w:rFonts w:ascii="Times New Roman" w:hAnsi="Times New Roman"/>
          <w:sz w:val="24"/>
          <w:szCs w:val="24"/>
        </w:rPr>
        <w:t>Du</w:t>
      </w:r>
      <w:proofErr w:type="spellEnd"/>
      <w:r w:rsidR="0749A24F" w:rsidRPr="00016537">
        <w:rPr>
          <w:rFonts w:ascii="Times New Roman" w:hAnsi="Times New Roman"/>
          <w:sz w:val="24"/>
          <w:szCs w:val="24"/>
        </w:rPr>
        <w:t xml:space="preserve"> point de vue du renforcement des institutions</w:t>
      </w:r>
      <w:r w:rsidR="0AE4999E" w:rsidRPr="00016537">
        <w:rPr>
          <w:rFonts w:ascii="Times New Roman" w:hAnsi="Times New Roman"/>
          <w:sz w:val="24"/>
          <w:szCs w:val="24"/>
        </w:rPr>
        <w:t xml:space="preserve"> et conformément aux recommandations </w:t>
      </w:r>
      <w:r w:rsidR="491AB625" w:rsidRPr="00016537">
        <w:rPr>
          <w:rFonts w:ascii="Times New Roman" w:hAnsi="Times New Roman"/>
          <w:sz w:val="24"/>
          <w:szCs w:val="24"/>
        </w:rPr>
        <w:t xml:space="preserve">émises en 2009 par </w:t>
      </w:r>
      <w:r w:rsidR="457185BC" w:rsidRPr="00016537">
        <w:rPr>
          <w:rFonts w:ascii="Times New Roman" w:hAnsi="Times New Roman"/>
          <w:sz w:val="24"/>
          <w:szCs w:val="24"/>
        </w:rPr>
        <w:t xml:space="preserve">le </w:t>
      </w:r>
      <w:r w:rsidR="0AE4999E" w:rsidRPr="00016537">
        <w:rPr>
          <w:rFonts w:ascii="Times New Roman" w:hAnsi="Times New Roman"/>
          <w:sz w:val="24"/>
          <w:szCs w:val="24"/>
        </w:rPr>
        <w:t>Comité des droits économiques, sociaux et culturels ainsi qu’aux recommandations de l’Examen périodique universel de 2018</w:t>
      </w:r>
      <w:r w:rsidR="0749A24F" w:rsidRPr="00016537">
        <w:rPr>
          <w:rFonts w:ascii="Times New Roman" w:hAnsi="Times New Roman"/>
          <w:sz w:val="24"/>
          <w:szCs w:val="24"/>
        </w:rPr>
        <w:t>, le Tchad a mis en place une réforme de la Commission Nationale des Droits de l’Homme qui tire son existence d’une loi conforme aux standards internationaux et qui élève cette Commission au rang des grandes institutions de la République. La loi mettant en place cette institution lui octroie un plein mandat de promotion et de protection. Les 11 commissaires dont 5 femmes et une personne vivant avec un handicap, ont pour leur part été sélectionnés suivant une procédure compétitive, conformément aux principes de Paris et à la loi portant attributions, organisation et fonctionnement de la Commission Nationale des droits de l’Homme. La commission nationale des droits de l’Homme a été mise en place conformément aux principes de Paris et fonctionne depuis le mois de février 2020. Elle a produit en aout 2020 son premier rapport d’investigation sur le cas de mort en détention des 44 présumés Boko Haram le 16 avril 2020 à N’Djamena. A ce jour, la Commission a produit quatre rapports d’</w:t>
      </w:r>
      <w:r w:rsidR="4827BB59" w:rsidRPr="00016537">
        <w:rPr>
          <w:rFonts w:ascii="Times New Roman" w:hAnsi="Times New Roman"/>
          <w:sz w:val="24"/>
          <w:szCs w:val="24"/>
        </w:rPr>
        <w:t xml:space="preserve">investigation et plusieurs avis et recommandations au Gouvernement. </w:t>
      </w:r>
      <w:r w:rsidR="0749A24F" w:rsidRPr="00016537">
        <w:rPr>
          <w:rFonts w:ascii="Times New Roman" w:hAnsi="Times New Roman"/>
          <w:sz w:val="24"/>
          <w:szCs w:val="24"/>
        </w:rPr>
        <w:t>Les prochaines années seront déterminantes pour que la Commission puisse atteindre la complète indépendance substantive et administrative et pleinement mettre en œuvre son ambitieux mandat.</w:t>
      </w:r>
    </w:p>
    <w:p w14:paraId="5F7837E6" w14:textId="77777777" w:rsidR="00763DEB" w:rsidRPr="00763DEB" w:rsidRDefault="7E05F571" w:rsidP="761E5622">
      <w:pPr>
        <w:jc w:val="both"/>
        <w:rPr>
          <w:rFonts w:ascii="Times New Roman" w:hAnsi="Times New Roman"/>
          <w:sz w:val="24"/>
          <w:szCs w:val="24"/>
        </w:rPr>
      </w:pPr>
      <w:r w:rsidRPr="00763DEB">
        <w:rPr>
          <w:rFonts w:ascii="Times New Roman" w:hAnsi="Times New Roman"/>
          <w:sz w:val="24"/>
          <w:szCs w:val="24"/>
        </w:rPr>
        <w:t>On note également, dans le domaine législatif, afin de mettre en cohérence les pratiques du pays avec ses engagements internationaux, l’adoption du nouveau Code pénal (Loi n° 001/PR du 8 mai 2017) qui introduit le crime de torture dont la définition retenue est conforme à celle de la Convention contre la torture et qui abolit la peine de mort avec comme conséquence la révision de la loi n° 034/PR/2015 du 5 août 2015 portant répression des actes de terrorisme pour se conformer à ce code pénal dont plusieurs dispositions sanctionnent par ailleurs les auteurs de violences basées sur le genre</w:t>
      </w:r>
      <w:r w:rsidR="517E360E" w:rsidRPr="00763DEB">
        <w:rPr>
          <w:rFonts w:ascii="Times New Roman" w:hAnsi="Times New Roman"/>
          <w:sz w:val="24"/>
          <w:szCs w:val="24"/>
        </w:rPr>
        <w:t>.</w:t>
      </w:r>
    </w:p>
    <w:p w14:paraId="2408DC93" w14:textId="5A5DE71D" w:rsidR="380E55B3" w:rsidRDefault="380E55B3" w:rsidP="761E5622">
      <w:pPr>
        <w:jc w:val="both"/>
        <w:rPr>
          <w:rFonts w:ascii="Times New Roman" w:eastAsia="Times New Roman" w:hAnsi="Times New Roman"/>
          <w:sz w:val="24"/>
          <w:szCs w:val="24"/>
          <w:lang w:eastAsia="fr-FR"/>
        </w:rPr>
      </w:pPr>
      <w:r w:rsidRPr="106C3604">
        <w:rPr>
          <w:rFonts w:ascii="Times New Roman" w:eastAsia="Times New Roman" w:hAnsi="Times New Roman"/>
          <w:sz w:val="24"/>
          <w:szCs w:val="24"/>
          <w:lang w:eastAsia="fr-FR"/>
        </w:rPr>
        <w:lastRenderedPageBreak/>
        <w:t xml:space="preserve">De même, en vue du renforcement du système d’état civil, la loi n° 006/PR/2020/portant ratification de l’ordonnance N°002/PR/2020 du 14 février 2020, portant Organisation de l’Etat Civil en République du Tchad a été promulguée. En lien avec l’objectif Zéro de ONUSIDA (Zéro nouvelle infection, zéro décès liée au VIH et </w:t>
      </w:r>
      <w:proofErr w:type="spellStart"/>
      <w:r w:rsidRPr="106C3604">
        <w:rPr>
          <w:rFonts w:ascii="Times New Roman" w:eastAsia="Times New Roman" w:hAnsi="Times New Roman"/>
          <w:sz w:val="24"/>
          <w:szCs w:val="24"/>
          <w:lang w:eastAsia="fr-FR"/>
        </w:rPr>
        <w:t>Zero</w:t>
      </w:r>
      <w:proofErr w:type="spellEnd"/>
      <w:r w:rsidRPr="106C3604">
        <w:rPr>
          <w:rFonts w:ascii="Times New Roman" w:eastAsia="Times New Roman" w:hAnsi="Times New Roman"/>
          <w:sz w:val="24"/>
          <w:szCs w:val="24"/>
          <w:lang w:eastAsia="fr-FR"/>
        </w:rPr>
        <w:t xml:space="preserve"> discrimination), la loi 019 portant lutte contre le VIH et la protection des personnes vivant avec le VIH/SIDA a été promulguée en décembre 2020. Pour lutter contre les discriminations à l’égard des femmes, la loi n° 001/PR/2017 précitée criminalise un grand nombre de violences basées sur le genre, la loi 28/PR/2018 implique la Commission Nationale des Droits de l’Homme dans la lutte contre les viols, les mariages précoces et les violences basées sur le genre (article 5), la loi portant ratification de l’ordonnance N°12/PR/2018 fixe un quota de 30% aux femmes dans toutes les fonctions nominatives. Ce quota doit évoluer progressivement vers la parité. En matière de protection des droits de l’enfant et des mineurs, le législateur tchadien a adopté la loi N° 007/PR/99 portant procédure de poursuite et jugement des infractions commises par des mineurs, la loi N° 029/PR/2015 portant ratification de l’ordonnance N°006/PR/2015 portant interdiction du mariage d’enfants et fixant l’âge minimum du mariage à 18 ans, la loi N°006/PR/2002 du 15 avril 2002 portant promotion de la santé de reproduction et la loi n° 001/PR/2017 dont plusieurs dispositions répriment les infractions telles que la pédophilie et l’enlèvement de mineurs. La finalisation de la revue du code de la Famille reste un objectif à atteindre et un pas qui serait crucial pour avancer l’égalité de genre. En 2018, le pays a adopté sa première loi criminalisant la traite des personnes dans le pays. En 2021, la toute première commission nationale de lutte contre la traite des personnes a été mise en place.</w:t>
      </w:r>
      <w:r w:rsidRPr="761E5622">
        <w:rPr>
          <w:rStyle w:val="Appelnotedebasdep"/>
          <w:rFonts w:eastAsia="Times New Roman"/>
          <w:sz w:val="20"/>
          <w:szCs w:val="20"/>
          <w:vertAlign w:val="superscript"/>
          <w:lang w:eastAsia="fr-FR"/>
        </w:rPr>
        <w:footnoteReference w:id="27"/>
      </w:r>
    </w:p>
    <w:p w14:paraId="41941CB0" w14:textId="5A8A002B" w:rsidR="380E55B3" w:rsidRDefault="380E55B3" w:rsidP="761E5622">
      <w:pPr>
        <w:jc w:val="both"/>
        <w:rPr>
          <w:rFonts w:ascii="Times New Roman" w:eastAsia="Times New Roman" w:hAnsi="Times New Roman"/>
          <w:sz w:val="24"/>
          <w:szCs w:val="24"/>
          <w:lang w:eastAsia="fr-FR"/>
        </w:rPr>
      </w:pPr>
      <w:r w:rsidRPr="1E2F3CE4">
        <w:rPr>
          <w:rFonts w:ascii="Times New Roman" w:eastAsia="Times New Roman" w:hAnsi="Times New Roman"/>
          <w:sz w:val="24"/>
          <w:szCs w:val="24"/>
          <w:lang w:eastAsia="fr-FR"/>
        </w:rPr>
        <w:t xml:space="preserve">Le système judiciaire tchadien souffre </w:t>
      </w:r>
      <w:r w:rsidR="588DC096" w:rsidRPr="1E2F3CE4">
        <w:rPr>
          <w:rFonts w:ascii="Times New Roman" w:eastAsia="Times New Roman" w:hAnsi="Times New Roman"/>
          <w:sz w:val="24"/>
          <w:szCs w:val="24"/>
          <w:lang w:eastAsia="fr-FR"/>
        </w:rPr>
        <w:t xml:space="preserve">encore </w:t>
      </w:r>
      <w:r w:rsidRPr="1E2F3CE4">
        <w:rPr>
          <w:rFonts w:ascii="Times New Roman" w:eastAsia="Times New Roman" w:hAnsi="Times New Roman"/>
          <w:sz w:val="24"/>
          <w:szCs w:val="24"/>
          <w:lang w:eastAsia="fr-FR"/>
        </w:rPr>
        <w:t xml:space="preserve">d'un certain nombre de problèmes structurels qui continuent d'affecter son efficacité. La tenue des états généraux de la justice en 2003 a pointé plusieurs problèmes qui minent le fonctionnement de la justice. Parmi lesquels, on retrouve : l’inadaptation des droits civil, pénal, procédural, judiciaire, l’insuffisante diffusion du droit positif tant auprès des professionnels du droit que de la population, l’éloignement de la justice du justiciables, l’insuffisance des moyens humains et matériels, l’insuffisance qualitatif des magistrats, l’indépendance de la magistrature à l’égard du pouvoir exécutif du fait notamment de la composition du Conseil Supérieur de la Magistrature et de la prééminence du pouvoir exécutif dans la nomination et la mutation des magistrats ; la nécessité de renforcer le système judiciaire (actualiser les textes en vigueur pour les magistrats). Ces recommandations demeurent pertinentes. </w:t>
      </w:r>
    </w:p>
    <w:p w14:paraId="320DAE91" w14:textId="77777777" w:rsidR="380E55B3" w:rsidRDefault="380E55B3" w:rsidP="761E5622">
      <w:pPr>
        <w:jc w:val="both"/>
        <w:rPr>
          <w:rFonts w:ascii="Times New Roman" w:eastAsia="Times New Roman" w:hAnsi="Times New Roman"/>
          <w:sz w:val="24"/>
          <w:szCs w:val="24"/>
          <w:lang w:eastAsia="fr-FR"/>
        </w:rPr>
      </w:pPr>
      <w:r w:rsidRPr="761E5622">
        <w:rPr>
          <w:rFonts w:ascii="Times New Roman" w:eastAsia="Times New Roman" w:hAnsi="Times New Roman"/>
          <w:sz w:val="24"/>
          <w:szCs w:val="24"/>
          <w:lang w:eastAsia="fr-FR"/>
        </w:rPr>
        <w:t>Néanmoins, les renforcements de capacités des magistrats et des officiers de police judiciaire sur la lutte contre traite des personnes ainsi que la mise en place, à travers le Ministère de la Justice chargé des Droits Humains, du Mécanisme National de Référencement et des procédures opérationnelles standards pour la protection et l'assistance des victimes de traite constituent un pas significatif dans la protection des victimes de traite des personnes au Tchad.</w:t>
      </w:r>
    </w:p>
    <w:p w14:paraId="6D4705A2" w14:textId="77777777" w:rsidR="380E55B3" w:rsidRDefault="380E55B3" w:rsidP="761E5622">
      <w:pPr>
        <w:jc w:val="both"/>
        <w:rPr>
          <w:rFonts w:ascii="Times New Roman" w:eastAsia="Times New Roman" w:hAnsi="Times New Roman"/>
          <w:sz w:val="24"/>
          <w:szCs w:val="24"/>
          <w:lang w:eastAsia="fr-FR"/>
        </w:rPr>
      </w:pPr>
      <w:r w:rsidRPr="761E5622">
        <w:rPr>
          <w:rFonts w:ascii="Times New Roman" w:eastAsia="Times New Roman" w:hAnsi="Times New Roman"/>
          <w:sz w:val="24"/>
          <w:szCs w:val="24"/>
          <w:lang w:eastAsia="fr-FR"/>
        </w:rPr>
        <w:t xml:space="preserve">Comme tout État partie, le Tchad devrait soumettre des rapports périodiques aux organes de traités chargés d’examiner le niveau de mise en œuvre des conventions ratifiées par le pays. L’examen de ces </w:t>
      </w:r>
      <w:r w:rsidRPr="761E5622">
        <w:rPr>
          <w:rFonts w:ascii="Times New Roman" w:eastAsia="Times New Roman" w:hAnsi="Times New Roman"/>
          <w:sz w:val="24"/>
          <w:szCs w:val="24"/>
          <w:lang w:eastAsia="fr-FR"/>
        </w:rPr>
        <w:lastRenderedPageBreak/>
        <w:t xml:space="preserve">rapports débouche sur des recommandations que l’Etat partie est tenu de mettre en œuvre. Actuellement, plusieurs rapports sont dus par le Tchad. Les seuls rapports en cours de soumission portent sur le Pacte international relatif aux droits civils et politiques ; et le Pacte international relatif aux droits économiques, sociaux et culturels. Pour tous les autres instruments ratifiés, les dates d’échéance des rapports périodiques sont largement dépassées. En l’occurrence le Tchad accuse un retard considérable dans la soumission des rapports périodiques de mise en œuvre de la Convention relative aux droits de l’enfant au Comité des Droits de l’Enfant avec les 3ème, 4ème et 5ème rapports combinés dus depuis le 31 octobre 2012, celui dans le cadre de la convention sur l’élimination de toutes formes de discrimination à l’égard des femmes dû depuis octobre 2015 et celui de la convention internationale sur l’élimination de toutes les formes de discrimination raciale dû depuis le 16 septembre 2016. </w:t>
      </w:r>
    </w:p>
    <w:p w14:paraId="0916F6F8" w14:textId="77777777" w:rsidR="380E55B3" w:rsidRDefault="380E55B3" w:rsidP="761E5622">
      <w:pPr>
        <w:jc w:val="both"/>
        <w:rPr>
          <w:rFonts w:ascii="Times New Roman" w:eastAsia="Times New Roman" w:hAnsi="Times New Roman"/>
          <w:sz w:val="24"/>
          <w:szCs w:val="24"/>
          <w:lang w:eastAsia="fr-FR"/>
        </w:rPr>
      </w:pPr>
      <w:r w:rsidRPr="761E5622">
        <w:rPr>
          <w:rFonts w:ascii="Times New Roman" w:eastAsia="Times New Roman" w:hAnsi="Times New Roman"/>
          <w:sz w:val="24"/>
          <w:szCs w:val="24"/>
          <w:lang w:eastAsia="fr-FR"/>
        </w:rPr>
        <w:t>La mise en place en 2011 d’un Comité Interministériel par un arrêté Ministériel qui organise le suivi et supervise la rédaction et la soumission des rapports périodiques destinés aux organes de traités sur le plan international et régional est à saluer. Cette mesure a permis la présentation en 2019, après un hiatus de plus de 20 ans, d’un Document de Base Commun (HRI/CORE/TCD/2019), assurée par un comité ad hoc comprenant 7 membres issus du Comité interministériel de rédaction des rapports, de la société civile, du Ministère de la Justice, Chargé des Droits Humains, du Ministère de la Femme et de la Protection de la Petite Enfance et de la Solidarité Nationale, du Ministère de la Santé Publique, de la faculté de droit de l’Université de N’Djaména. Toutefois, malgré l’appui du Bureau Pays du Haut-Commissariat de Droit de l’Homme au Tchad, le Comité manque de moyens financiers de la part de l’Etat pour remplir convenablement sa mission. Les quelques rapports soumis ont été réalisés avec l’appui des partenaires.</w:t>
      </w:r>
    </w:p>
    <w:p w14:paraId="5B3499F5" w14:textId="77777777" w:rsidR="380E55B3" w:rsidRDefault="380E55B3" w:rsidP="761E5622">
      <w:pPr>
        <w:jc w:val="both"/>
        <w:rPr>
          <w:rFonts w:ascii="Times New Roman" w:eastAsia="Times New Roman" w:hAnsi="Times New Roman"/>
          <w:sz w:val="24"/>
          <w:szCs w:val="24"/>
          <w:lang w:eastAsia="fr-FR"/>
        </w:rPr>
      </w:pPr>
      <w:r w:rsidRPr="761E5622">
        <w:rPr>
          <w:rFonts w:ascii="Times New Roman" w:eastAsia="Times New Roman" w:hAnsi="Times New Roman"/>
          <w:sz w:val="24"/>
          <w:szCs w:val="24"/>
          <w:lang w:eastAsia="fr-FR"/>
        </w:rPr>
        <w:t>Au titre de la coopération avec les procédures spéciales, le Tchad leur a adressé une invitation permanente. Le pays a reçu récemment deux visites des groupes de travail, à savoir, le groupe de travail sur la question de la discrimination à l’égard de la femme dans la législation et dans la pratique (4-14 décembre 2017). Le Groupe de travail sur l’utilisation de mercenaires comme moyen de violer les droits de l’Homme et d’empêcher l’exercice du droit des peuples à disposer d’eux-mêmes s’est rendu au Tchad du 16 au 23 avril 2018. Le Tchad s’attèle encore à la mise en œuvre des recommandations des rapports des deux groupes de travail. Les visites d’autres procédures spéciales sont encore en attente de dates précises.</w:t>
      </w:r>
    </w:p>
    <w:p w14:paraId="7BAA3266" w14:textId="77777777" w:rsidR="380E55B3" w:rsidRDefault="380E55B3" w:rsidP="761E5622">
      <w:pPr>
        <w:jc w:val="both"/>
        <w:rPr>
          <w:rFonts w:ascii="Times New Roman" w:eastAsia="Times New Roman" w:hAnsi="Times New Roman"/>
          <w:sz w:val="24"/>
          <w:szCs w:val="24"/>
          <w:lang w:eastAsia="fr-FR"/>
        </w:rPr>
      </w:pPr>
      <w:r w:rsidRPr="761E5622">
        <w:rPr>
          <w:rFonts w:ascii="Times New Roman" w:eastAsia="Times New Roman" w:hAnsi="Times New Roman"/>
          <w:sz w:val="24"/>
          <w:szCs w:val="24"/>
          <w:lang w:eastAsia="fr-FR"/>
        </w:rPr>
        <w:t xml:space="preserve">Une analyse des différentes sources légales et des documents sur les droits humains présentés lors des Examens Périodiques Universels démontre que le Gouvernement n’a pas entièrement mis en œuvre toutes les recommandations. Relativement au troisième passage du Tchad à l’Examen Périodique Universel en fin 2018, au total 204 recommandations ont été adressées aux autorités tchadiennes, dont 195 acceptées et les 9 autres notées. Les recommandations des Etats Membres se focalisent en particulier sur l’accès à la santé et à l’éducation, ainsi que sur la situation des femmes (en termes de discrimination et de participation), la jouissance des libertés fondamentales (en particulier de la liberté d’expression et de réunion), le cadre législatif et le système de justice afin de diminuer l’impunité et augmenter la redevabilité des agents de l’Etat. </w:t>
      </w:r>
    </w:p>
    <w:p w14:paraId="2AE73FC3" w14:textId="4072DB31" w:rsidR="380E55B3" w:rsidRDefault="380E55B3" w:rsidP="1E2F3CE4">
      <w:pPr>
        <w:jc w:val="both"/>
        <w:rPr>
          <w:rFonts w:ascii="Times New Roman" w:eastAsia="Times New Roman" w:hAnsi="Times New Roman"/>
          <w:sz w:val="24"/>
          <w:szCs w:val="24"/>
          <w:lang w:eastAsia="fr-FR"/>
        </w:rPr>
      </w:pPr>
      <w:r w:rsidRPr="1E2F3CE4">
        <w:rPr>
          <w:rFonts w:ascii="Times New Roman" w:eastAsia="Times New Roman" w:hAnsi="Times New Roman"/>
          <w:sz w:val="24"/>
          <w:szCs w:val="24"/>
          <w:lang w:eastAsia="fr-FR"/>
        </w:rPr>
        <w:lastRenderedPageBreak/>
        <w:t xml:space="preserve">Au moins dix (10) sites web et blogs critiques à l’égard du gouvernement ont été bloqués au Tchad en 2018 et plus de dix presses écrites ont été suspendues pour trois mois d’exercice en 2020 sur décision N°026 du 7 septembre 2020 de la Haute Autorité des Médias et de l’Audiovisuel. </w:t>
      </w:r>
    </w:p>
    <w:p w14:paraId="4EA8D5B8" w14:textId="72353417" w:rsidR="380E55B3" w:rsidRDefault="380E55B3" w:rsidP="1E2F3CE4">
      <w:pPr>
        <w:jc w:val="both"/>
        <w:rPr>
          <w:rFonts w:ascii="Times New Roman" w:eastAsia="Times New Roman" w:hAnsi="Times New Roman"/>
          <w:sz w:val="24"/>
          <w:szCs w:val="24"/>
          <w:lang w:eastAsia="fr-FR"/>
        </w:rPr>
      </w:pPr>
      <w:r w:rsidRPr="1E2F3CE4">
        <w:rPr>
          <w:rFonts w:ascii="Times New Roman" w:eastAsia="Times New Roman" w:hAnsi="Times New Roman"/>
          <w:sz w:val="24"/>
          <w:szCs w:val="24"/>
          <w:lang w:eastAsia="fr-FR"/>
        </w:rPr>
        <w:t xml:space="preserve">Par rapport à la liberté d’expression </w:t>
      </w:r>
      <w:r w:rsidR="10658685" w:rsidRPr="1E2F3CE4">
        <w:rPr>
          <w:rFonts w:ascii="Times New Roman" w:eastAsia="Times New Roman" w:hAnsi="Times New Roman"/>
          <w:sz w:val="24"/>
          <w:szCs w:val="24"/>
          <w:lang w:eastAsia="fr-FR"/>
        </w:rPr>
        <w:t>et d’opinion, à la liberté de réunion pacifique et d’association</w:t>
      </w:r>
      <w:r w:rsidRPr="1E2F3CE4">
        <w:rPr>
          <w:rFonts w:ascii="Times New Roman" w:eastAsia="Times New Roman" w:hAnsi="Times New Roman"/>
          <w:sz w:val="24"/>
          <w:szCs w:val="24"/>
          <w:lang w:eastAsia="fr-FR"/>
        </w:rPr>
        <w:t>,</w:t>
      </w:r>
      <w:r w:rsidR="7268E96A" w:rsidRPr="1E2F3CE4">
        <w:rPr>
          <w:rFonts w:ascii="Times New Roman" w:eastAsia="Times New Roman" w:hAnsi="Times New Roman"/>
          <w:sz w:val="24"/>
          <w:szCs w:val="24"/>
          <w:lang w:eastAsia="fr-FR"/>
        </w:rPr>
        <w:t xml:space="preserve"> le Tchad a</w:t>
      </w:r>
      <w:r w:rsidR="04FD4B7A" w:rsidRPr="1E2F3CE4">
        <w:rPr>
          <w:rFonts w:ascii="Times New Roman" w:eastAsia="Times New Roman" w:hAnsi="Times New Roman"/>
          <w:sz w:val="24"/>
          <w:szCs w:val="24"/>
          <w:lang w:eastAsia="fr-FR"/>
        </w:rPr>
        <w:t xml:space="preserve"> récemment</w:t>
      </w:r>
      <w:r w:rsidR="7268E96A" w:rsidRPr="1E2F3CE4">
        <w:rPr>
          <w:rFonts w:ascii="Times New Roman" w:eastAsia="Times New Roman" w:hAnsi="Times New Roman"/>
          <w:sz w:val="24"/>
          <w:szCs w:val="24"/>
          <w:lang w:eastAsia="fr-FR"/>
        </w:rPr>
        <w:t xml:space="preserve"> fait un pas important qui mérite d’être mentionné. </w:t>
      </w:r>
      <w:r w:rsidR="6C80BFA5" w:rsidRPr="1E2F3CE4">
        <w:rPr>
          <w:rFonts w:ascii="Times New Roman" w:eastAsia="Times New Roman" w:hAnsi="Times New Roman"/>
          <w:sz w:val="24"/>
          <w:szCs w:val="24"/>
          <w:lang w:eastAsia="fr-FR"/>
        </w:rPr>
        <w:t xml:space="preserve">Si pendant les dernières </w:t>
      </w:r>
      <w:r w:rsidR="7B71B6CE" w:rsidRPr="1E2F3CE4">
        <w:rPr>
          <w:rFonts w:ascii="Times New Roman" w:eastAsia="Times New Roman" w:hAnsi="Times New Roman"/>
          <w:sz w:val="24"/>
          <w:szCs w:val="24"/>
          <w:lang w:eastAsia="fr-FR"/>
        </w:rPr>
        <w:t>décennies</w:t>
      </w:r>
      <w:r w:rsidR="6C80BFA5" w:rsidRPr="1E2F3CE4">
        <w:rPr>
          <w:rFonts w:ascii="Times New Roman" w:eastAsia="Times New Roman" w:hAnsi="Times New Roman"/>
          <w:sz w:val="24"/>
          <w:szCs w:val="24"/>
          <w:lang w:eastAsia="fr-FR"/>
        </w:rPr>
        <w:t xml:space="preserve">, les manifestations publiques étaient </w:t>
      </w:r>
      <w:r w:rsidR="3E5ECF67" w:rsidRPr="1E2F3CE4">
        <w:rPr>
          <w:rFonts w:ascii="Times New Roman" w:eastAsia="Times New Roman" w:hAnsi="Times New Roman"/>
          <w:sz w:val="24"/>
          <w:szCs w:val="24"/>
          <w:lang w:eastAsia="fr-FR"/>
        </w:rPr>
        <w:t>systématiquement</w:t>
      </w:r>
      <w:r w:rsidR="6C80BFA5" w:rsidRPr="1E2F3CE4">
        <w:rPr>
          <w:rFonts w:ascii="Times New Roman" w:eastAsia="Times New Roman" w:hAnsi="Times New Roman"/>
          <w:sz w:val="24"/>
          <w:szCs w:val="24"/>
          <w:lang w:eastAsia="fr-FR"/>
        </w:rPr>
        <w:t xml:space="preserve"> interdites et </w:t>
      </w:r>
      <w:r w:rsidR="3D9D1944" w:rsidRPr="1E2F3CE4">
        <w:rPr>
          <w:rFonts w:ascii="Times New Roman" w:eastAsia="Times New Roman" w:hAnsi="Times New Roman"/>
          <w:sz w:val="24"/>
          <w:szCs w:val="24"/>
          <w:lang w:eastAsia="fr-FR"/>
        </w:rPr>
        <w:t>réprimées</w:t>
      </w:r>
      <w:r w:rsidR="6C80BFA5" w:rsidRPr="1E2F3CE4">
        <w:rPr>
          <w:rFonts w:ascii="Times New Roman" w:eastAsia="Times New Roman" w:hAnsi="Times New Roman"/>
          <w:sz w:val="24"/>
          <w:szCs w:val="24"/>
          <w:lang w:eastAsia="fr-FR"/>
        </w:rPr>
        <w:t xml:space="preserve"> violemment lorsque les organisateurs tentent de se regrouper </w:t>
      </w:r>
      <w:r w:rsidR="4E7B2EC1" w:rsidRPr="1E2F3CE4">
        <w:rPr>
          <w:rFonts w:ascii="Times New Roman" w:eastAsia="Times New Roman" w:hAnsi="Times New Roman"/>
          <w:sz w:val="24"/>
          <w:szCs w:val="24"/>
          <w:lang w:eastAsia="fr-FR"/>
        </w:rPr>
        <w:t>malgré</w:t>
      </w:r>
      <w:r w:rsidR="6C80BFA5" w:rsidRPr="1E2F3CE4">
        <w:rPr>
          <w:rFonts w:ascii="Times New Roman" w:eastAsia="Times New Roman" w:hAnsi="Times New Roman"/>
          <w:sz w:val="24"/>
          <w:szCs w:val="24"/>
          <w:lang w:eastAsia="fr-FR"/>
        </w:rPr>
        <w:t xml:space="preserve"> </w:t>
      </w:r>
      <w:r w:rsidR="2B4C18A8" w:rsidRPr="1E2F3CE4">
        <w:rPr>
          <w:rFonts w:ascii="Times New Roman" w:eastAsia="Times New Roman" w:hAnsi="Times New Roman"/>
          <w:sz w:val="24"/>
          <w:szCs w:val="24"/>
          <w:lang w:eastAsia="fr-FR"/>
        </w:rPr>
        <w:t xml:space="preserve">l’interdiction, on note que depuis le mois de mai 2021, les autorités tchadiennes ont pris un </w:t>
      </w:r>
      <w:r w:rsidR="42B6663D" w:rsidRPr="1E2F3CE4">
        <w:rPr>
          <w:rFonts w:ascii="Times New Roman" w:eastAsia="Times New Roman" w:hAnsi="Times New Roman"/>
          <w:sz w:val="24"/>
          <w:szCs w:val="24"/>
          <w:lang w:eastAsia="fr-FR"/>
        </w:rPr>
        <w:t>arrêté</w:t>
      </w:r>
      <w:r w:rsidR="2B4C18A8" w:rsidRPr="1E2F3CE4">
        <w:rPr>
          <w:rFonts w:ascii="Times New Roman" w:eastAsia="Times New Roman" w:hAnsi="Times New Roman"/>
          <w:sz w:val="24"/>
          <w:szCs w:val="24"/>
          <w:lang w:eastAsia="fr-FR"/>
        </w:rPr>
        <w:t xml:space="preserve"> pour autoriser les manifestations publiques désormais </w:t>
      </w:r>
      <w:r w:rsidR="6FACEE4A" w:rsidRPr="1E2F3CE4">
        <w:rPr>
          <w:rFonts w:ascii="Times New Roman" w:eastAsia="Times New Roman" w:hAnsi="Times New Roman"/>
          <w:sz w:val="24"/>
          <w:szCs w:val="24"/>
          <w:lang w:eastAsia="fr-FR"/>
        </w:rPr>
        <w:t>sous certaines conditions.</w:t>
      </w:r>
      <w:r w:rsidR="2B4C18A8" w:rsidRPr="1E2F3CE4">
        <w:rPr>
          <w:rFonts w:ascii="Times New Roman" w:eastAsia="Times New Roman" w:hAnsi="Times New Roman"/>
          <w:sz w:val="24"/>
          <w:szCs w:val="24"/>
          <w:lang w:eastAsia="fr-FR"/>
        </w:rPr>
        <w:t xml:space="preserve"> </w:t>
      </w:r>
      <w:r w:rsidR="5618A333" w:rsidRPr="1E2F3CE4">
        <w:rPr>
          <w:rFonts w:ascii="Times New Roman" w:eastAsia="Times New Roman" w:hAnsi="Times New Roman"/>
          <w:sz w:val="24"/>
          <w:szCs w:val="24"/>
          <w:lang w:eastAsia="fr-FR"/>
        </w:rPr>
        <w:t>Il s’agit d’un pas important à encourager en attendant que les conditions de jouissance de la liberté d’expression et de manifestation pacifique devien</w:t>
      </w:r>
      <w:r w:rsidR="5A4727A3" w:rsidRPr="1E2F3CE4">
        <w:rPr>
          <w:rFonts w:ascii="Times New Roman" w:eastAsia="Times New Roman" w:hAnsi="Times New Roman"/>
          <w:sz w:val="24"/>
          <w:szCs w:val="24"/>
          <w:lang w:eastAsia="fr-FR"/>
        </w:rPr>
        <w:t>ne</w:t>
      </w:r>
      <w:r w:rsidR="424B9FAA" w:rsidRPr="1E2F3CE4">
        <w:rPr>
          <w:rFonts w:ascii="Times New Roman" w:eastAsia="Times New Roman" w:hAnsi="Times New Roman"/>
          <w:sz w:val="24"/>
          <w:szCs w:val="24"/>
          <w:lang w:eastAsia="fr-FR"/>
        </w:rPr>
        <w:t>nt</w:t>
      </w:r>
      <w:r w:rsidR="5A4727A3" w:rsidRPr="1E2F3CE4">
        <w:rPr>
          <w:rFonts w:ascii="Times New Roman" w:eastAsia="Times New Roman" w:hAnsi="Times New Roman"/>
          <w:sz w:val="24"/>
          <w:szCs w:val="24"/>
          <w:lang w:eastAsia="fr-FR"/>
        </w:rPr>
        <w:t xml:space="preserve"> plus conforme</w:t>
      </w:r>
      <w:r w:rsidR="05C2A763" w:rsidRPr="1E2F3CE4">
        <w:rPr>
          <w:rFonts w:ascii="Times New Roman" w:eastAsia="Times New Roman" w:hAnsi="Times New Roman"/>
          <w:sz w:val="24"/>
          <w:szCs w:val="24"/>
          <w:lang w:eastAsia="fr-FR"/>
        </w:rPr>
        <w:t>s</w:t>
      </w:r>
      <w:r w:rsidR="5A4727A3" w:rsidRPr="1E2F3CE4">
        <w:rPr>
          <w:rFonts w:ascii="Times New Roman" w:eastAsia="Times New Roman" w:hAnsi="Times New Roman"/>
          <w:sz w:val="24"/>
          <w:szCs w:val="24"/>
          <w:lang w:eastAsia="fr-FR"/>
        </w:rPr>
        <w:t xml:space="preserve"> aux standards internationaux </w:t>
      </w:r>
      <w:r w:rsidR="39999A3C" w:rsidRPr="1E2F3CE4">
        <w:rPr>
          <w:rFonts w:ascii="Times New Roman" w:eastAsia="Times New Roman" w:hAnsi="Times New Roman"/>
          <w:sz w:val="24"/>
          <w:szCs w:val="24"/>
          <w:lang w:eastAsia="fr-FR"/>
        </w:rPr>
        <w:t xml:space="preserve">décrits dans les </w:t>
      </w:r>
      <w:r w:rsidR="4D17D7AA" w:rsidRPr="1E2F3CE4">
        <w:rPr>
          <w:rFonts w:ascii="Times New Roman" w:eastAsia="Times New Roman" w:hAnsi="Times New Roman"/>
          <w:sz w:val="24"/>
          <w:szCs w:val="24"/>
          <w:lang w:eastAsia="fr-FR"/>
        </w:rPr>
        <w:t>O</w:t>
      </w:r>
      <w:r w:rsidR="39999A3C" w:rsidRPr="1E2F3CE4">
        <w:rPr>
          <w:rFonts w:ascii="Times New Roman" w:eastAsia="Times New Roman" w:hAnsi="Times New Roman"/>
          <w:sz w:val="24"/>
          <w:szCs w:val="24"/>
          <w:lang w:eastAsia="fr-FR"/>
        </w:rPr>
        <w:t>bservations générales n°37 du Comité des droits de l’homme.</w:t>
      </w:r>
      <w:r w:rsidR="5618A333" w:rsidRPr="1E2F3CE4">
        <w:rPr>
          <w:rFonts w:ascii="Times New Roman" w:eastAsia="Times New Roman" w:hAnsi="Times New Roman"/>
          <w:sz w:val="24"/>
          <w:szCs w:val="24"/>
          <w:lang w:eastAsia="fr-FR"/>
        </w:rPr>
        <w:t xml:space="preserve"> </w:t>
      </w:r>
    </w:p>
    <w:p w14:paraId="2C87FBFA" w14:textId="1B033745" w:rsidR="380E55B3" w:rsidRDefault="380E55B3" w:rsidP="761E5622">
      <w:pPr>
        <w:jc w:val="both"/>
        <w:rPr>
          <w:rFonts w:ascii="Times New Roman" w:eastAsia="Times New Roman" w:hAnsi="Times New Roman"/>
          <w:sz w:val="24"/>
          <w:szCs w:val="24"/>
          <w:lang w:eastAsia="fr-FR"/>
        </w:rPr>
      </w:pPr>
      <w:r w:rsidRPr="1E2F3CE4">
        <w:rPr>
          <w:rFonts w:ascii="Times New Roman" w:eastAsia="Times New Roman" w:hAnsi="Times New Roman"/>
          <w:sz w:val="24"/>
          <w:szCs w:val="24"/>
          <w:lang w:eastAsia="fr-FR"/>
        </w:rPr>
        <w:t xml:space="preserve">De nombreuses dispositions constitutionnelles demeurent sans lois organiques, ni textes d’application. A la dernière nomination des membres du Gouvernement, seules 9 femmes ont été nommées sur les 35 membres Ministres, soit 26%. Aucune femme ne siège au bureau exécutif de la Commission Electorale Nationale Indépendante (CENI) bien que cette institution compte 02 femmes. Le projet de code des personnes et de la famille transmis à l’Assemblée </w:t>
      </w:r>
      <w:r w:rsidR="259101E2" w:rsidRPr="1E2F3CE4">
        <w:rPr>
          <w:rFonts w:ascii="Times New Roman" w:eastAsia="Times New Roman" w:hAnsi="Times New Roman"/>
          <w:sz w:val="24"/>
          <w:szCs w:val="24"/>
          <w:lang w:eastAsia="fr-FR"/>
        </w:rPr>
        <w:t>nationale</w:t>
      </w:r>
      <w:r w:rsidRPr="1E2F3CE4">
        <w:rPr>
          <w:rFonts w:ascii="Times New Roman" w:eastAsia="Times New Roman" w:hAnsi="Times New Roman"/>
          <w:sz w:val="24"/>
          <w:szCs w:val="24"/>
          <w:lang w:eastAsia="fr-FR"/>
        </w:rPr>
        <w:t xml:space="preserve"> du Tchad n’est jusque-là pas adopté.</w:t>
      </w:r>
    </w:p>
    <w:p w14:paraId="546F8127" w14:textId="621F4728" w:rsidR="380E55B3" w:rsidRDefault="380E55B3" w:rsidP="761E5622">
      <w:pPr>
        <w:jc w:val="both"/>
        <w:rPr>
          <w:rFonts w:ascii="Times New Roman" w:eastAsia="Times New Roman" w:hAnsi="Times New Roman"/>
          <w:sz w:val="24"/>
          <w:szCs w:val="24"/>
          <w:lang w:eastAsia="fr-FR"/>
        </w:rPr>
      </w:pPr>
      <w:r w:rsidRPr="761E5622">
        <w:rPr>
          <w:rFonts w:ascii="Times New Roman" w:eastAsia="Times New Roman" w:hAnsi="Times New Roman"/>
          <w:sz w:val="24"/>
          <w:szCs w:val="24"/>
          <w:lang w:eastAsia="fr-FR"/>
        </w:rPr>
        <w:t xml:space="preserve">Par ailleurs, les citoyens continuent de subir des abus de la part de certains agents de l’Etat, le non-respect du délai de garde à vue concernant les adultes comme les mineurs. Les lieux et conditions de détention ne respectent pas les règles minimales de détention définies par les Nations Unies. Le problème de l’indépendance du pouvoir judiciaire reste préoccupant. Plusieurs recommandations, acceptées par le Gouvernement du Tchad pendant le 3ème cycle de l’Examen Périodique Universel en 2018, ont souligné la nécessite de garantir une plus grande jouissance des libertés fondamentales.  Dans le contexte du nouveau cycle électoral en perspective pour conduire la transition à terme, grâce à des élections plus libres, démocratiques et transparentes, les libertés d’expression, d’association et de réunion pacifique restent des points de vigilance. Il est à noter la volonté politique affichée du gouvernement de Transition d’ouvrir l’espace démocratique à travers l’autorisation des manifestations pacifiques, sous certaines conditions. </w:t>
      </w:r>
      <w:r w:rsidR="12577011" w:rsidRPr="424D9326">
        <w:rPr>
          <w:rFonts w:ascii="Times New Roman" w:hAnsi="Times New Roman"/>
          <w:sz w:val="24"/>
          <w:szCs w:val="24"/>
        </w:rPr>
        <w:t xml:space="preserve">En 2019, le Tchad a </w:t>
      </w:r>
      <w:proofErr w:type="spellStart"/>
      <w:r w:rsidR="12577011" w:rsidRPr="424D9326">
        <w:rPr>
          <w:rFonts w:ascii="Times New Roman" w:hAnsi="Times New Roman"/>
          <w:sz w:val="24"/>
          <w:szCs w:val="24"/>
        </w:rPr>
        <w:t>preparé</w:t>
      </w:r>
      <w:proofErr w:type="spellEnd"/>
      <w:r w:rsidR="12577011" w:rsidRPr="424D9326">
        <w:rPr>
          <w:rFonts w:ascii="Times New Roman" w:hAnsi="Times New Roman"/>
          <w:sz w:val="24"/>
          <w:szCs w:val="24"/>
        </w:rPr>
        <w:t xml:space="preserve"> un plan d'action national pour traduire les objectifs du Pacte pour le niveau </w:t>
      </w:r>
      <w:proofErr w:type="spellStart"/>
      <w:proofErr w:type="gramStart"/>
      <w:r w:rsidR="12577011" w:rsidRPr="424D9326">
        <w:rPr>
          <w:rFonts w:ascii="Times New Roman" w:hAnsi="Times New Roman"/>
          <w:sz w:val="24"/>
          <w:szCs w:val="24"/>
        </w:rPr>
        <w:t>national.Le</w:t>
      </w:r>
      <w:proofErr w:type="spellEnd"/>
      <w:proofErr w:type="gramEnd"/>
      <w:r w:rsidR="12577011" w:rsidRPr="424D9326">
        <w:rPr>
          <w:rFonts w:ascii="Times New Roman" w:hAnsi="Times New Roman"/>
          <w:sz w:val="24"/>
          <w:szCs w:val="24"/>
        </w:rPr>
        <w:t xml:space="preserve"> Pacte </w:t>
      </w:r>
      <w:r w:rsidR="03BD0D12" w:rsidRPr="424D9326">
        <w:rPr>
          <w:rFonts w:ascii="Times New Roman" w:hAnsi="Times New Roman"/>
          <w:sz w:val="24"/>
          <w:szCs w:val="24"/>
        </w:rPr>
        <w:t>M</w:t>
      </w:r>
      <w:r w:rsidR="12577011" w:rsidRPr="424D9326">
        <w:rPr>
          <w:rFonts w:ascii="Times New Roman" w:hAnsi="Times New Roman"/>
          <w:sz w:val="24"/>
          <w:szCs w:val="24"/>
        </w:rPr>
        <w:t xml:space="preserve">ondial </w:t>
      </w:r>
      <w:r w:rsidR="7B2CC950" w:rsidRPr="424D9326">
        <w:rPr>
          <w:rFonts w:ascii="Times New Roman" w:hAnsi="Times New Roman"/>
          <w:sz w:val="24"/>
          <w:szCs w:val="24"/>
        </w:rPr>
        <w:t xml:space="preserve">pour </w:t>
      </w:r>
      <w:r w:rsidR="12577011" w:rsidRPr="424D9326">
        <w:rPr>
          <w:rFonts w:ascii="Times New Roman" w:hAnsi="Times New Roman"/>
          <w:sz w:val="24"/>
          <w:szCs w:val="24"/>
        </w:rPr>
        <w:t xml:space="preserve">les </w:t>
      </w:r>
      <w:r w:rsidR="14C4CDE2" w:rsidRPr="424D9326">
        <w:rPr>
          <w:rFonts w:ascii="Times New Roman" w:hAnsi="Times New Roman"/>
          <w:sz w:val="24"/>
          <w:szCs w:val="24"/>
        </w:rPr>
        <w:t>M</w:t>
      </w:r>
      <w:r w:rsidR="12577011" w:rsidRPr="424D9326">
        <w:rPr>
          <w:rFonts w:ascii="Times New Roman" w:hAnsi="Times New Roman"/>
          <w:sz w:val="24"/>
          <w:szCs w:val="24"/>
        </w:rPr>
        <w:t xml:space="preserve">igrations n'est pas un accord </w:t>
      </w:r>
      <w:r w:rsidR="10EF3A18" w:rsidRPr="424D9326">
        <w:rPr>
          <w:rFonts w:ascii="Times New Roman" w:hAnsi="Times New Roman"/>
          <w:sz w:val="24"/>
          <w:szCs w:val="24"/>
        </w:rPr>
        <w:t>légalement</w:t>
      </w:r>
      <w:r w:rsidR="12577011" w:rsidRPr="424D9326">
        <w:rPr>
          <w:rFonts w:ascii="Times New Roman" w:hAnsi="Times New Roman"/>
          <w:sz w:val="24"/>
          <w:szCs w:val="24"/>
        </w:rPr>
        <w:t xml:space="preserve"> contr</w:t>
      </w:r>
      <w:r w:rsidR="6927D1FE" w:rsidRPr="424D9326">
        <w:rPr>
          <w:rFonts w:ascii="Times New Roman" w:hAnsi="Times New Roman"/>
          <w:sz w:val="24"/>
          <w:szCs w:val="24"/>
        </w:rPr>
        <w:t>a</w:t>
      </w:r>
      <w:r w:rsidR="12577011" w:rsidRPr="424D9326">
        <w:rPr>
          <w:rFonts w:ascii="Times New Roman" w:hAnsi="Times New Roman"/>
          <w:sz w:val="24"/>
          <w:szCs w:val="24"/>
        </w:rPr>
        <w:t>ignant.</w:t>
      </w:r>
    </w:p>
    <w:p w14:paraId="58F4873A" w14:textId="28B594FF" w:rsidR="7E8D1699" w:rsidRDefault="7E8D1699" w:rsidP="106C3604">
      <w:pPr>
        <w:spacing w:after="0" w:line="240" w:lineRule="auto"/>
        <w:jc w:val="both"/>
        <w:rPr>
          <w:rFonts w:ascii="Times New Roman" w:hAnsi="Times New Roman"/>
        </w:rPr>
      </w:pPr>
      <w:r w:rsidRPr="106C3604">
        <w:rPr>
          <w:rFonts w:ascii="Times New Roman" w:hAnsi="Times New Roman"/>
          <w:sz w:val="24"/>
          <w:szCs w:val="24"/>
        </w:rPr>
        <w:t>En 2019, le Tchad a pr</w:t>
      </w:r>
      <w:r w:rsidR="30E90125" w:rsidRPr="106C3604">
        <w:rPr>
          <w:rFonts w:ascii="Times New Roman" w:hAnsi="Times New Roman"/>
          <w:sz w:val="24"/>
          <w:szCs w:val="24"/>
        </w:rPr>
        <w:t>é</w:t>
      </w:r>
      <w:r w:rsidRPr="106C3604">
        <w:rPr>
          <w:rFonts w:ascii="Times New Roman" w:hAnsi="Times New Roman"/>
          <w:sz w:val="24"/>
          <w:szCs w:val="24"/>
        </w:rPr>
        <w:t>paré un plan d'action national pour traduire les objectifs du Pacte pour le niveau national</w:t>
      </w:r>
      <w:r w:rsidR="2E4104A2" w:rsidRPr="106C3604">
        <w:rPr>
          <w:rFonts w:ascii="Times New Roman" w:hAnsi="Times New Roman"/>
          <w:sz w:val="24"/>
          <w:szCs w:val="24"/>
        </w:rPr>
        <w:t xml:space="preserve">. </w:t>
      </w:r>
      <w:r w:rsidR="2E4104A2" w:rsidRPr="106C3604">
        <w:t>Il est à noter que l</w:t>
      </w:r>
      <w:r w:rsidR="2E4104A2" w:rsidRPr="106C3604">
        <w:rPr>
          <w:rFonts w:ascii="Times New Roman" w:hAnsi="Times New Roman"/>
          <w:sz w:val="24"/>
          <w:szCs w:val="24"/>
        </w:rPr>
        <w:t>e Pacte Mondial pour les Migrations n'est pas un accord légalement contraignant.</w:t>
      </w:r>
    </w:p>
    <w:p w14:paraId="1B885510" w14:textId="77777777" w:rsidR="00763DEB" w:rsidRDefault="00763DEB" w:rsidP="00AC077E">
      <w:pPr>
        <w:spacing w:after="0" w:line="240" w:lineRule="auto"/>
        <w:jc w:val="both"/>
      </w:pPr>
    </w:p>
    <w:p w14:paraId="58121694" w14:textId="0BFD9D4D" w:rsidR="009D5A22" w:rsidRPr="00763DEB" w:rsidRDefault="5DF3ADF5" w:rsidP="00AC077E">
      <w:pPr>
        <w:spacing w:after="0" w:line="240" w:lineRule="auto"/>
        <w:jc w:val="both"/>
        <w:rPr>
          <w:rFonts w:ascii="Times New Roman" w:eastAsia="Times New Roman" w:hAnsi="Times New Roman"/>
          <w:sz w:val="24"/>
          <w:szCs w:val="24"/>
          <w:lang w:eastAsia="fr-FR"/>
        </w:rPr>
      </w:pPr>
      <w:r w:rsidRPr="00763DEB">
        <w:rPr>
          <w:rFonts w:ascii="Times New Roman" w:eastAsia="Times New Roman" w:hAnsi="Times New Roman"/>
          <w:sz w:val="24"/>
          <w:szCs w:val="24"/>
          <w:lang w:eastAsia="fr-FR"/>
        </w:rPr>
        <w:t>Avec l’appui du Haut-Commissariat des Nations unies aux droits de l’homme, l</w:t>
      </w:r>
      <w:r w:rsidR="2E3FBFED" w:rsidRPr="00763DEB">
        <w:rPr>
          <w:rFonts w:ascii="Times New Roman" w:eastAsia="Times New Roman" w:hAnsi="Times New Roman"/>
          <w:sz w:val="24"/>
          <w:szCs w:val="24"/>
          <w:lang w:eastAsia="fr-FR"/>
        </w:rPr>
        <w:t>e Tchad a également préparé au cours de l’</w:t>
      </w:r>
      <w:r w:rsidR="52E526A7" w:rsidRPr="00763DEB">
        <w:rPr>
          <w:rFonts w:ascii="Times New Roman" w:eastAsia="Times New Roman" w:hAnsi="Times New Roman"/>
          <w:sz w:val="24"/>
          <w:szCs w:val="24"/>
          <w:lang w:eastAsia="fr-FR"/>
        </w:rPr>
        <w:t>'année 2021 un plan global de mise en œuvre des recommandation</w:t>
      </w:r>
      <w:r w:rsidR="498F1B34" w:rsidRPr="00763DEB">
        <w:rPr>
          <w:rFonts w:ascii="Times New Roman" w:eastAsia="Times New Roman" w:hAnsi="Times New Roman"/>
          <w:sz w:val="24"/>
          <w:szCs w:val="24"/>
          <w:lang w:eastAsia="fr-FR"/>
        </w:rPr>
        <w:t>s</w:t>
      </w:r>
      <w:r w:rsidR="52E526A7" w:rsidRPr="00763DEB">
        <w:rPr>
          <w:rFonts w:ascii="Times New Roman" w:eastAsia="Times New Roman" w:hAnsi="Times New Roman"/>
          <w:sz w:val="24"/>
          <w:szCs w:val="24"/>
          <w:lang w:eastAsia="fr-FR"/>
        </w:rPr>
        <w:t xml:space="preserve"> de </w:t>
      </w:r>
      <w:r w:rsidR="662AAD37" w:rsidRPr="00763DEB">
        <w:rPr>
          <w:rFonts w:ascii="Times New Roman" w:eastAsia="Times New Roman" w:hAnsi="Times New Roman"/>
          <w:sz w:val="24"/>
          <w:szCs w:val="24"/>
          <w:lang w:eastAsia="fr-FR"/>
        </w:rPr>
        <w:t xml:space="preserve">l’Examen périodique </w:t>
      </w:r>
      <w:r w:rsidR="1BBE2D69" w:rsidRPr="00763DEB">
        <w:rPr>
          <w:rFonts w:ascii="Times New Roman" w:eastAsia="Times New Roman" w:hAnsi="Times New Roman"/>
          <w:sz w:val="24"/>
          <w:szCs w:val="24"/>
          <w:lang w:eastAsia="fr-FR"/>
        </w:rPr>
        <w:t>universel réalisé</w:t>
      </w:r>
      <w:r w:rsidR="38C3D772" w:rsidRPr="00763DEB">
        <w:rPr>
          <w:rFonts w:ascii="Times New Roman" w:eastAsia="Times New Roman" w:hAnsi="Times New Roman"/>
          <w:sz w:val="24"/>
          <w:szCs w:val="24"/>
          <w:lang w:eastAsia="fr-FR"/>
        </w:rPr>
        <w:t xml:space="preserve"> en 2018.</w:t>
      </w:r>
    </w:p>
    <w:p w14:paraId="69CA2BC2" w14:textId="77777777" w:rsidR="00763DEB" w:rsidRDefault="00763DEB" w:rsidP="00AC077E">
      <w:pPr>
        <w:spacing w:after="0" w:line="240" w:lineRule="auto"/>
        <w:jc w:val="both"/>
        <w:rPr>
          <w:rFonts w:ascii="Times New Roman" w:hAnsi="Times New Roman"/>
          <w:sz w:val="24"/>
          <w:szCs w:val="24"/>
        </w:rPr>
      </w:pPr>
    </w:p>
    <w:p w14:paraId="6C56F2F6" w14:textId="3BEEA7B3" w:rsidR="00AC077E" w:rsidRPr="007F038C" w:rsidRDefault="089EA3E6" w:rsidP="00BC1AE3">
      <w:pPr>
        <w:pStyle w:val="Paragraphedeliste"/>
        <w:numPr>
          <w:ilvl w:val="0"/>
          <w:numId w:val="15"/>
        </w:numPr>
        <w:spacing w:after="0" w:line="240" w:lineRule="auto"/>
        <w:jc w:val="both"/>
        <w:rPr>
          <w:rFonts w:ascii="Times New Roman" w:eastAsia="Times New Roman" w:hAnsi="Times New Roman"/>
          <w:sz w:val="24"/>
          <w:szCs w:val="24"/>
          <w:lang w:val="fr"/>
        </w:rPr>
      </w:pPr>
      <w:r w:rsidRPr="38CF240D">
        <w:rPr>
          <w:rFonts w:cs="Calibri"/>
          <w:b/>
          <w:bCs/>
          <w:lang w:val="fr"/>
        </w:rPr>
        <w:t>Etat de leur mise en œuvre</w:t>
      </w:r>
    </w:p>
    <w:p w14:paraId="1B80A174" w14:textId="501FB641" w:rsidR="00AC077E" w:rsidRPr="007F038C" w:rsidRDefault="00AC077E" w:rsidP="00763DEB">
      <w:pPr>
        <w:pStyle w:val="Paragraphedeliste"/>
        <w:spacing w:after="0" w:line="240" w:lineRule="auto"/>
        <w:rPr>
          <w:rFonts w:cs="Calibri"/>
          <w:lang w:val="fr"/>
        </w:rPr>
      </w:pPr>
    </w:p>
    <w:p w14:paraId="009B5BD7" w14:textId="452D6BE1" w:rsidR="00AC077E" w:rsidRDefault="089EA3E6" w:rsidP="00BC1AE3">
      <w:pPr>
        <w:pStyle w:val="Paragraphedeliste"/>
        <w:numPr>
          <w:ilvl w:val="0"/>
          <w:numId w:val="15"/>
        </w:numPr>
        <w:tabs>
          <w:tab w:val="center" w:pos="1664"/>
        </w:tabs>
        <w:spacing w:after="0" w:line="257" w:lineRule="auto"/>
        <w:jc w:val="both"/>
        <w:rPr>
          <w:rFonts w:ascii="Times New Roman" w:hAnsi="Times New Roman"/>
          <w:sz w:val="24"/>
          <w:szCs w:val="24"/>
          <w:lang w:val="fr"/>
        </w:rPr>
      </w:pPr>
      <w:r w:rsidRPr="00763DEB">
        <w:rPr>
          <w:rFonts w:ascii="Times New Roman" w:hAnsi="Times New Roman"/>
          <w:sz w:val="24"/>
          <w:szCs w:val="24"/>
          <w:lang w:val="fr"/>
        </w:rPr>
        <w:lastRenderedPageBreak/>
        <w:t>Parmi les actions prises par le gouvernement tchadien pour mettre en œuvre les 119</w:t>
      </w:r>
      <w:r w:rsidR="00763DEB" w:rsidRPr="00763DEB">
        <w:rPr>
          <w:rFonts w:ascii="Times New Roman" w:hAnsi="Times New Roman"/>
          <w:sz w:val="24"/>
          <w:szCs w:val="24"/>
          <w:lang w:val="fr"/>
        </w:rPr>
        <w:t xml:space="preserve">. </w:t>
      </w:r>
      <w:r w:rsidRPr="00763DEB">
        <w:rPr>
          <w:rFonts w:ascii="Times New Roman" w:hAnsi="Times New Roman"/>
          <w:sz w:val="24"/>
          <w:szCs w:val="24"/>
          <w:lang w:val="fr"/>
        </w:rPr>
        <w:t xml:space="preserve">Mais plusieurs domaines couverts par les </w:t>
      </w:r>
      <w:r w:rsidR="56B7459E" w:rsidRPr="00763DEB">
        <w:rPr>
          <w:rFonts w:ascii="Times New Roman" w:hAnsi="Times New Roman"/>
          <w:sz w:val="24"/>
          <w:szCs w:val="24"/>
          <w:lang w:val="fr"/>
        </w:rPr>
        <w:t>204</w:t>
      </w:r>
      <w:r w:rsidRPr="00763DEB">
        <w:rPr>
          <w:rFonts w:ascii="Times New Roman" w:hAnsi="Times New Roman"/>
          <w:sz w:val="24"/>
          <w:szCs w:val="24"/>
          <w:lang w:val="fr"/>
        </w:rPr>
        <w:t xml:space="preserve"> recommandations acceptées lors du deuxième cycle de l'examen</w:t>
      </w:r>
      <w:r w:rsidR="00763DEB">
        <w:rPr>
          <w:rFonts w:ascii="Times New Roman" w:hAnsi="Times New Roman"/>
          <w:sz w:val="24"/>
          <w:szCs w:val="24"/>
          <w:lang w:val="fr"/>
        </w:rPr>
        <w:t xml:space="preserve"> </w:t>
      </w:r>
      <w:r w:rsidR="0150122C" w:rsidRPr="00763DEB">
        <w:rPr>
          <w:rFonts w:ascii="Times New Roman" w:hAnsi="Times New Roman"/>
          <w:sz w:val="24"/>
          <w:szCs w:val="24"/>
          <w:lang w:val="fr"/>
        </w:rPr>
        <w:t xml:space="preserve">de l’Examen périodique universel </w:t>
      </w:r>
      <w:r w:rsidRPr="00763DEB">
        <w:rPr>
          <w:rFonts w:ascii="Times New Roman" w:hAnsi="Times New Roman"/>
          <w:sz w:val="24"/>
          <w:szCs w:val="24"/>
          <w:lang w:val="fr"/>
        </w:rPr>
        <w:t xml:space="preserve">(EPU) du Tchad, l’on peut noter, les mesures ci-après prises, dans le domaine législatif, afin de mettre en cohérence les pratiques du pays avec ses engagements internationaux. : L’adoption du nouveau Code pénal (Loi n° 001/PR du 8 mai 2017) qui introduit le crime de torture dont la définition retenue est conforme à celle de la Convention contre la torture et qui abolit la peine de mort avec comme conséquence la révision de la loi n° 034/PR/2015 du 5 août 2015 portant répression des actes de terrorisme pour se conformer à ce code pénal dont plusieurs dispositions de celui-ci sanctionnent par ailleurs les auteurs de violences basées sur le genre ; la réforme (loi du 29 octobre </w:t>
      </w:r>
      <w:r w:rsidR="0150122C" w:rsidRPr="00763DEB">
        <w:rPr>
          <w:rFonts w:ascii="Times New Roman" w:hAnsi="Times New Roman"/>
          <w:sz w:val="24"/>
          <w:szCs w:val="24"/>
          <w:lang w:val="fr"/>
        </w:rPr>
        <w:t>de 2018</w:t>
      </w:r>
      <w:r w:rsidRPr="00763DEB">
        <w:rPr>
          <w:rFonts w:ascii="Times New Roman" w:hAnsi="Times New Roman"/>
          <w:sz w:val="24"/>
          <w:szCs w:val="24"/>
          <w:lang w:val="fr"/>
        </w:rPr>
        <w:t xml:space="preserve">) de la Commission nationale des droits de l'homme (CNDH) </w:t>
      </w:r>
      <w:r w:rsidRPr="00763DEB">
        <w:rPr>
          <w:rFonts w:ascii="Times New Roman" w:eastAsia="Times New Roman" w:hAnsi="Times New Roman"/>
          <w:sz w:val="24"/>
          <w:szCs w:val="24"/>
          <w:lang w:val="fr"/>
        </w:rPr>
        <w:t>conformément aux Principes de Paris</w:t>
      </w:r>
      <w:r w:rsidRPr="00763DEB">
        <w:rPr>
          <w:rFonts w:ascii="Times New Roman" w:hAnsi="Times New Roman"/>
          <w:sz w:val="24"/>
          <w:szCs w:val="24"/>
          <w:lang w:val="fr"/>
        </w:rPr>
        <w:t xml:space="preserve"> et sa constitutionnalisation à travers la constitution de la 4</w:t>
      </w:r>
      <w:r w:rsidRPr="00763DEB">
        <w:rPr>
          <w:rFonts w:ascii="Times New Roman" w:hAnsi="Times New Roman"/>
          <w:sz w:val="24"/>
          <w:szCs w:val="24"/>
          <w:vertAlign w:val="superscript"/>
          <w:lang w:val="fr"/>
        </w:rPr>
        <w:t>ème</w:t>
      </w:r>
      <w:r w:rsidRPr="00763DEB">
        <w:rPr>
          <w:rFonts w:ascii="Times New Roman" w:hAnsi="Times New Roman"/>
          <w:sz w:val="24"/>
          <w:szCs w:val="24"/>
          <w:lang w:val="fr"/>
        </w:rPr>
        <w:t xml:space="preserve"> République (promulguée le 04 mai 2018, articles 170-173) lui conférant ainsi une plus grande visibilité et respectabilité ; la Loi n° 006/PR du 8 mai 2017 ; la loi n° </w:t>
      </w:r>
      <w:r w:rsidRPr="00763DEB">
        <w:rPr>
          <w:rFonts w:ascii="Times New Roman" w:eastAsia="Times New Roman" w:hAnsi="Times New Roman"/>
          <w:sz w:val="24"/>
          <w:szCs w:val="24"/>
          <w:lang w:val="fr"/>
        </w:rPr>
        <w:t>22 portant ratification de l’ordonnance 012/PR/2018 du 22 mai 2018</w:t>
      </w:r>
      <w:r w:rsidRPr="00763DEB">
        <w:rPr>
          <w:rFonts w:ascii="Times New Roman" w:hAnsi="Times New Roman"/>
          <w:sz w:val="24"/>
          <w:szCs w:val="24"/>
          <w:lang w:val="fr"/>
        </w:rPr>
        <w:t xml:space="preserve"> instituant </w:t>
      </w:r>
      <w:r w:rsidRPr="00763DEB">
        <w:rPr>
          <w:rFonts w:ascii="Times New Roman" w:eastAsia="Times New Roman" w:hAnsi="Times New Roman"/>
          <w:sz w:val="24"/>
          <w:szCs w:val="24"/>
          <w:lang w:val="fr"/>
        </w:rPr>
        <w:t>la parité dans les fonctions électives et nominatives</w:t>
      </w:r>
      <w:r w:rsidRPr="00763DEB">
        <w:rPr>
          <w:rFonts w:ascii="Times New Roman" w:hAnsi="Times New Roman"/>
          <w:sz w:val="24"/>
          <w:szCs w:val="24"/>
          <w:lang w:val="fr"/>
        </w:rPr>
        <w:t xml:space="preserve"> en République du Tchad réduisant ainsi le nombre de pratiques discriminatoires ; la loi n° 0024/PR/2018 du 9 novembre 2018 ratifiant la Convention relative aux Droits des Personnes Handicapées.</w:t>
      </w:r>
    </w:p>
    <w:p w14:paraId="393519D9" w14:textId="77777777" w:rsidR="00763DEB" w:rsidRPr="00763DEB" w:rsidRDefault="00763DEB" w:rsidP="00763DEB">
      <w:pPr>
        <w:pStyle w:val="Paragraphedeliste"/>
        <w:tabs>
          <w:tab w:val="center" w:pos="1664"/>
        </w:tabs>
        <w:spacing w:after="0" w:line="257" w:lineRule="auto"/>
        <w:jc w:val="both"/>
        <w:rPr>
          <w:rFonts w:ascii="Times New Roman" w:hAnsi="Times New Roman"/>
          <w:sz w:val="24"/>
          <w:szCs w:val="24"/>
          <w:lang w:val="fr"/>
        </w:rPr>
      </w:pPr>
    </w:p>
    <w:p w14:paraId="1F756D5F" w14:textId="15246F59" w:rsidR="00AC077E" w:rsidRPr="00763DEB" w:rsidRDefault="089EA3E6" w:rsidP="00BC1AE3">
      <w:pPr>
        <w:pStyle w:val="Paragraphedeliste"/>
        <w:numPr>
          <w:ilvl w:val="0"/>
          <w:numId w:val="15"/>
        </w:numPr>
        <w:spacing w:after="0" w:line="257" w:lineRule="auto"/>
        <w:jc w:val="both"/>
        <w:rPr>
          <w:rFonts w:ascii="Times New Roman" w:hAnsi="Times New Roman"/>
          <w:sz w:val="24"/>
          <w:szCs w:val="24"/>
          <w:lang w:val="fr"/>
        </w:rPr>
      </w:pPr>
      <w:r w:rsidRPr="00763DEB">
        <w:rPr>
          <w:rFonts w:ascii="Times New Roman" w:hAnsi="Times New Roman"/>
          <w:sz w:val="24"/>
          <w:szCs w:val="24"/>
          <w:lang w:val="fr"/>
        </w:rPr>
        <w:t>Mais plusieurs domaines couverts par les 119 recommandations</w:t>
      </w:r>
      <w:r w:rsidR="1D4841B6" w:rsidRPr="00763DEB">
        <w:rPr>
          <w:rFonts w:ascii="Times New Roman" w:hAnsi="Times New Roman"/>
          <w:sz w:val="24"/>
          <w:szCs w:val="24"/>
          <w:lang w:val="fr"/>
        </w:rPr>
        <w:t xml:space="preserve"> </w:t>
      </w:r>
      <w:r w:rsidRPr="00763DEB">
        <w:rPr>
          <w:rFonts w:ascii="Times New Roman" w:hAnsi="Times New Roman"/>
          <w:sz w:val="24"/>
          <w:szCs w:val="24"/>
          <w:lang w:val="fr"/>
        </w:rPr>
        <w:t>restent sans mesure, notamment ceux-</w:t>
      </w:r>
      <w:r w:rsidR="511ABC65" w:rsidRPr="00763DEB">
        <w:rPr>
          <w:rFonts w:ascii="Times New Roman" w:hAnsi="Times New Roman"/>
          <w:sz w:val="24"/>
          <w:szCs w:val="24"/>
          <w:lang w:val="fr"/>
        </w:rPr>
        <w:t xml:space="preserve"> –</w:t>
      </w:r>
      <w:r w:rsidRPr="00763DEB">
        <w:rPr>
          <w:rFonts w:ascii="Times New Roman" w:hAnsi="Times New Roman"/>
          <w:sz w:val="24"/>
          <w:szCs w:val="24"/>
          <w:lang w:val="fr"/>
        </w:rPr>
        <w:t xml:space="preserve">ci </w:t>
      </w:r>
      <w:r w:rsidR="511ABC65" w:rsidRPr="00763DEB">
        <w:rPr>
          <w:rFonts w:ascii="Times New Roman" w:hAnsi="Times New Roman"/>
          <w:sz w:val="24"/>
          <w:szCs w:val="24"/>
          <w:lang w:val="fr"/>
        </w:rPr>
        <w:t>-</w:t>
      </w:r>
      <w:r w:rsidRPr="00763DEB">
        <w:rPr>
          <w:rFonts w:ascii="Times New Roman" w:hAnsi="Times New Roman"/>
          <w:sz w:val="24"/>
          <w:szCs w:val="24"/>
          <w:lang w:val="fr"/>
        </w:rPr>
        <w:t xml:space="preserve">après : </w:t>
      </w:r>
      <w:r w:rsidRPr="00763DEB">
        <w:rPr>
          <w:rFonts w:ascii="Times New Roman" w:eastAsia="Times New Roman" w:hAnsi="Times New Roman"/>
          <w:sz w:val="24"/>
          <w:szCs w:val="24"/>
          <w:lang w:val="fr"/>
        </w:rPr>
        <w:t>Egalité</w:t>
      </w:r>
      <w:r w:rsidRPr="00763DEB">
        <w:rPr>
          <w:rFonts w:ascii="Times New Roman" w:hAnsi="Times New Roman"/>
          <w:sz w:val="24"/>
          <w:szCs w:val="24"/>
          <w:lang w:val="fr"/>
        </w:rPr>
        <w:t>,</w:t>
      </w:r>
      <w:r w:rsidRPr="00763DEB">
        <w:rPr>
          <w:rFonts w:ascii="Times New Roman" w:eastAsia="Times New Roman" w:hAnsi="Times New Roman"/>
          <w:sz w:val="24"/>
          <w:szCs w:val="24"/>
          <w:lang w:val="fr"/>
        </w:rPr>
        <w:t xml:space="preserve"> </w:t>
      </w:r>
      <w:r w:rsidRPr="00763DEB">
        <w:rPr>
          <w:rFonts w:ascii="Times New Roman" w:hAnsi="Times New Roman"/>
          <w:sz w:val="24"/>
          <w:szCs w:val="24"/>
          <w:lang w:val="fr"/>
        </w:rPr>
        <w:t xml:space="preserve">non-discrimination </w:t>
      </w:r>
      <w:r w:rsidRPr="00763DEB">
        <w:rPr>
          <w:rFonts w:ascii="Times New Roman" w:eastAsia="Times New Roman" w:hAnsi="Times New Roman"/>
          <w:sz w:val="24"/>
          <w:szCs w:val="24"/>
          <w:lang w:val="fr"/>
        </w:rPr>
        <w:t>et</w:t>
      </w:r>
      <w:r w:rsidRPr="00763DEB">
        <w:rPr>
          <w:rFonts w:ascii="Times New Roman" w:hAnsi="Times New Roman"/>
          <w:sz w:val="24"/>
          <w:szCs w:val="24"/>
          <w:lang w:val="fr"/>
        </w:rPr>
        <w:t xml:space="preserve"> </w:t>
      </w:r>
      <w:r w:rsidRPr="00763DEB">
        <w:rPr>
          <w:rFonts w:ascii="Times New Roman" w:eastAsia="Times New Roman" w:hAnsi="Times New Roman"/>
          <w:sz w:val="24"/>
          <w:szCs w:val="24"/>
          <w:lang w:val="fr"/>
        </w:rPr>
        <w:t>Droit au respect de la vie de famille</w:t>
      </w:r>
      <w:r w:rsidRPr="00763DEB">
        <w:rPr>
          <w:rFonts w:ascii="Times New Roman" w:hAnsi="Times New Roman"/>
          <w:sz w:val="24"/>
          <w:szCs w:val="24"/>
          <w:lang w:val="fr"/>
        </w:rPr>
        <w:t xml:space="preserve"> (</w:t>
      </w:r>
      <w:r w:rsidRPr="00763DEB">
        <w:rPr>
          <w:rFonts w:ascii="Times New Roman" w:eastAsia="Times New Roman" w:hAnsi="Times New Roman"/>
          <w:sz w:val="24"/>
          <w:szCs w:val="24"/>
          <w:lang w:val="fr"/>
        </w:rPr>
        <w:t>Accélération de l'a</w:t>
      </w:r>
      <w:r w:rsidRPr="00763DEB">
        <w:rPr>
          <w:rFonts w:ascii="Times New Roman" w:hAnsi="Times New Roman"/>
          <w:sz w:val="24"/>
          <w:szCs w:val="24"/>
          <w:lang w:val="fr"/>
        </w:rPr>
        <w:t>doption</w:t>
      </w:r>
      <w:r w:rsidRPr="00763DEB">
        <w:rPr>
          <w:rFonts w:ascii="Times New Roman" w:eastAsia="Times New Roman" w:hAnsi="Times New Roman"/>
          <w:sz w:val="24"/>
          <w:szCs w:val="24"/>
          <w:lang w:val="fr"/>
        </w:rPr>
        <w:t xml:space="preserve"> du projet de Code des personnes et de la famille conforme </w:t>
      </w:r>
      <w:r w:rsidRPr="00763DEB">
        <w:rPr>
          <w:rFonts w:ascii="Times New Roman" w:hAnsi="Times New Roman"/>
          <w:sz w:val="24"/>
          <w:szCs w:val="24"/>
          <w:lang w:val="fr"/>
        </w:rPr>
        <w:t xml:space="preserve">à la </w:t>
      </w:r>
      <w:r w:rsidRPr="00763DEB">
        <w:rPr>
          <w:rFonts w:ascii="Times New Roman" w:eastAsia="Times New Roman" w:hAnsi="Times New Roman"/>
          <w:sz w:val="24"/>
          <w:szCs w:val="24"/>
          <w:lang w:val="fr"/>
        </w:rPr>
        <w:t>Convention sur l'élimination de toutes les formes de discrimination à l'égard des femmes</w:t>
      </w:r>
      <w:r w:rsidRPr="00763DEB">
        <w:rPr>
          <w:rFonts w:ascii="Times New Roman" w:hAnsi="Times New Roman"/>
          <w:sz w:val="24"/>
          <w:szCs w:val="24"/>
          <w:lang w:val="fr"/>
        </w:rPr>
        <w:t xml:space="preserve"> et </w:t>
      </w:r>
      <w:r w:rsidRPr="00763DEB">
        <w:rPr>
          <w:rFonts w:ascii="Times New Roman" w:eastAsia="Times New Roman" w:hAnsi="Times New Roman"/>
          <w:sz w:val="24"/>
          <w:szCs w:val="24"/>
          <w:lang w:val="fr"/>
        </w:rPr>
        <w:t>au Pacte international relatif aux droits civils et politiques</w:t>
      </w:r>
      <w:r w:rsidRPr="00763DEB">
        <w:rPr>
          <w:rFonts w:ascii="Times New Roman" w:hAnsi="Times New Roman"/>
          <w:sz w:val="24"/>
          <w:szCs w:val="24"/>
          <w:lang w:val="fr"/>
        </w:rPr>
        <w:t xml:space="preserve">) ; </w:t>
      </w:r>
      <w:r w:rsidRPr="00763DEB">
        <w:rPr>
          <w:rFonts w:ascii="Times New Roman" w:eastAsia="Times New Roman" w:hAnsi="Times New Roman"/>
          <w:sz w:val="24"/>
          <w:szCs w:val="24"/>
          <w:lang w:val="fr"/>
        </w:rPr>
        <w:t>Administration de la justice</w:t>
      </w:r>
      <w:r w:rsidRPr="00763DEB">
        <w:rPr>
          <w:rFonts w:ascii="Times New Roman" w:hAnsi="Times New Roman"/>
          <w:sz w:val="24"/>
          <w:szCs w:val="24"/>
          <w:lang w:val="fr"/>
        </w:rPr>
        <w:t xml:space="preserve"> ; </w:t>
      </w:r>
      <w:r w:rsidRPr="00763DEB">
        <w:rPr>
          <w:rFonts w:ascii="Times New Roman" w:eastAsia="Times New Roman" w:hAnsi="Times New Roman"/>
          <w:sz w:val="24"/>
          <w:szCs w:val="24"/>
          <w:lang w:val="fr"/>
        </w:rPr>
        <w:t>Libertés</w:t>
      </w:r>
      <w:r w:rsidRPr="00763DEB">
        <w:rPr>
          <w:rFonts w:ascii="Times New Roman" w:hAnsi="Times New Roman"/>
          <w:sz w:val="24"/>
          <w:szCs w:val="24"/>
          <w:lang w:val="fr"/>
        </w:rPr>
        <w:t xml:space="preserve"> </w:t>
      </w:r>
      <w:r w:rsidRPr="00763DEB">
        <w:rPr>
          <w:rFonts w:ascii="Times New Roman" w:eastAsia="Times New Roman" w:hAnsi="Times New Roman"/>
          <w:sz w:val="24"/>
          <w:szCs w:val="24"/>
          <w:lang w:val="fr"/>
        </w:rPr>
        <w:t>fondamentales</w:t>
      </w:r>
      <w:r w:rsidRPr="00763DEB">
        <w:rPr>
          <w:rFonts w:ascii="Times New Roman" w:hAnsi="Times New Roman"/>
          <w:sz w:val="24"/>
          <w:szCs w:val="24"/>
          <w:lang w:val="fr"/>
        </w:rPr>
        <w:t xml:space="preserve"> ; </w:t>
      </w:r>
      <w:r w:rsidRPr="00763DEB">
        <w:rPr>
          <w:rFonts w:ascii="Times New Roman" w:eastAsia="Times New Roman" w:hAnsi="Times New Roman"/>
          <w:sz w:val="24"/>
          <w:szCs w:val="24"/>
          <w:lang w:val="fr"/>
        </w:rPr>
        <w:t>Droits économiques, sociaux et culturels</w:t>
      </w:r>
      <w:r w:rsidRPr="00763DEB">
        <w:rPr>
          <w:rFonts w:ascii="Times New Roman" w:hAnsi="Times New Roman"/>
          <w:sz w:val="24"/>
          <w:szCs w:val="24"/>
          <w:lang w:val="fr"/>
        </w:rPr>
        <w:t xml:space="preserve"> (</w:t>
      </w:r>
      <w:r w:rsidRPr="00763DEB">
        <w:rPr>
          <w:rFonts w:ascii="Times New Roman" w:eastAsia="Times New Roman" w:hAnsi="Times New Roman"/>
          <w:sz w:val="24"/>
          <w:szCs w:val="24"/>
          <w:lang w:val="fr"/>
        </w:rPr>
        <w:t>Droit à un niveau de vie suffisant</w:t>
      </w:r>
      <w:r w:rsidRPr="00763DEB">
        <w:rPr>
          <w:rFonts w:ascii="Times New Roman" w:hAnsi="Times New Roman"/>
          <w:sz w:val="24"/>
          <w:szCs w:val="24"/>
          <w:lang w:val="fr"/>
        </w:rPr>
        <w:t xml:space="preserve">, </w:t>
      </w:r>
      <w:r w:rsidRPr="00763DEB">
        <w:rPr>
          <w:rFonts w:ascii="Times New Roman" w:eastAsia="Times New Roman" w:hAnsi="Times New Roman"/>
          <w:sz w:val="24"/>
          <w:szCs w:val="24"/>
          <w:lang w:val="fr"/>
        </w:rPr>
        <w:t>Droit à la santé</w:t>
      </w:r>
      <w:r w:rsidRPr="00763DEB">
        <w:rPr>
          <w:rFonts w:ascii="Times New Roman" w:hAnsi="Times New Roman"/>
          <w:sz w:val="24"/>
          <w:szCs w:val="24"/>
          <w:lang w:val="fr"/>
        </w:rPr>
        <w:t xml:space="preserve">, </w:t>
      </w:r>
      <w:r w:rsidRPr="00763DEB">
        <w:rPr>
          <w:rFonts w:ascii="Times New Roman" w:eastAsia="Times New Roman" w:hAnsi="Times New Roman"/>
          <w:sz w:val="24"/>
          <w:szCs w:val="24"/>
          <w:lang w:val="fr"/>
        </w:rPr>
        <w:t>Droit à l'éducation</w:t>
      </w:r>
      <w:r w:rsidRPr="00763DEB">
        <w:rPr>
          <w:rFonts w:ascii="Times New Roman" w:hAnsi="Times New Roman"/>
          <w:sz w:val="24"/>
          <w:szCs w:val="24"/>
          <w:lang w:val="fr"/>
        </w:rPr>
        <w:t xml:space="preserve">) ; </w:t>
      </w:r>
      <w:r w:rsidRPr="00763DEB">
        <w:rPr>
          <w:rFonts w:ascii="Times New Roman" w:eastAsia="Times New Roman" w:hAnsi="Times New Roman"/>
          <w:sz w:val="24"/>
          <w:szCs w:val="24"/>
          <w:lang w:val="fr"/>
        </w:rPr>
        <w:t>Droits de groupes ou de personnes spécifiques</w:t>
      </w:r>
      <w:r w:rsidRPr="00763DEB">
        <w:rPr>
          <w:rFonts w:ascii="Times New Roman" w:hAnsi="Times New Roman"/>
          <w:sz w:val="24"/>
          <w:szCs w:val="24"/>
          <w:lang w:val="fr"/>
        </w:rPr>
        <w:t xml:space="preserve"> : femmes (</w:t>
      </w:r>
      <w:r w:rsidRPr="00763DEB">
        <w:rPr>
          <w:rFonts w:ascii="Times New Roman" w:eastAsia="Times New Roman" w:hAnsi="Times New Roman"/>
          <w:sz w:val="24"/>
          <w:szCs w:val="24"/>
          <w:lang w:val="fr"/>
        </w:rPr>
        <w:t>mesures pour faire face à la persistance de stéréotypes traditionnels susceptibles de porter atteinte à la dignité des femmes</w:t>
      </w:r>
      <w:r w:rsidRPr="00763DEB">
        <w:rPr>
          <w:rFonts w:ascii="Times New Roman" w:hAnsi="Times New Roman"/>
          <w:sz w:val="24"/>
          <w:szCs w:val="24"/>
          <w:lang w:val="fr"/>
        </w:rPr>
        <w:t xml:space="preserve">) ; </w:t>
      </w:r>
      <w:r w:rsidRPr="00763DEB">
        <w:rPr>
          <w:rFonts w:ascii="Times New Roman" w:eastAsia="Times New Roman" w:hAnsi="Times New Roman"/>
          <w:sz w:val="24"/>
          <w:szCs w:val="24"/>
          <w:lang w:val="fr"/>
        </w:rPr>
        <w:t>Enfants</w:t>
      </w:r>
      <w:r w:rsidRPr="00763DEB">
        <w:rPr>
          <w:rFonts w:ascii="Times New Roman" w:hAnsi="Times New Roman"/>
          <w:sz w:val="24"/>
          <w:szCs w:val="24"/>
          <w:lang w:val="fr"/>
        </w:rPr>
        <w:t xml:space="preserve"> (adoption du Code protection de l’enfance) ; </w:t>
      </w:r>
      <w:r w:rsidRPr="00763DEB">
        <w:rPr>
          <w:rFonts w:ascii="Times New Roman" w:eastAsia="Times New Roman" w:hAnsi="Times New Roman"/>
          <w:sz w:val="24"/>
          <w:szCs w:val="24"/>
          <w:lang w:val="fr"/>
        </w:rPr>
        <w:t>Personnes handicapées</w:t>
      </w:r>
      <w:r w:rsidRPr="00763DEB">
        <w:rPr>
          <w:rFonts w:ascii="Times New Roman" w:hAnsi="Times New Roman"/>
          <w:sz w:val="24"/>
          <w:szCs w:val="24"/>
          <w:lang w:val="fr"/>
        </w:rPr>
        <w:t xml:space="preserve"> (Loi portant </w:t>
      </w:r>
      <w:r w:rsidRPr="00763DEB">
        <w:rPr>
          <w:rFonts w:ascii="Times New Roman" w:eastAsia="Times New Roman" w:hAnsi="Times New Roman"/>
          <w:sz w:val="24"/>
          <w:szCs w:val="24"/>
          <w:lang w:val="fr"/>
        </w:rPr>
        <w:t>renforce</w:t>
      </w:r>
      <w:r w:rsidRPr="00763DEB">
        <w:rPr>
          <w:rFonts w:ascii="Times New Roman" w:hAnsi="Times New Roman"/>
          <w:sz w:val="24"/>
          <w:szCs w:val="24"/>
          <w:lang w:val="fr"/>
        </w:rPr>
        <w:t>ment</w:t>
      </w:r>
      <w:r w:rsidRPr="00763DEB">
        <w:rPr>
          <w:rFonts w:ascii="Times New Roman" w:eastAsia="Times New Roman" w:hAnsi="Times New Roman"/>
          <w:sz w:val="24"/>
          <w:szCs w:val="24"/>
          <w:lang w:val="fr"/>
        </w:rPr>
        <w:t xml:space="preserve"> </w:t>
      </w:r>
      <w:r w:rsidRPr="00763DEB">
        <w:rPr>
          <w:rFonts w:ascii="Times New Roman" w:hAnsi="Times New Roman"/>
          <w:sz w:val="24"/>
          <w:szCs w:val="24"/>
          <w:lang w:val="fr"/>
        </w:rPr>
        <w:t>d</w:t>
      </w:r>
      <w:r w:rsidRPr="00763DEB">
        <w:rPr>
          <w:rFonts w:ascii="Times New Roman" w:eastAsia="Times New Roman" w:hAnsi="Times New Roman"/>
          <w:sz w:val="24"/>
          <w:szCs w:val="24"/>
          <w:lang w:val="fr"/>
        </w:rPr>
        <w:t>es droits des personnes handicapées</w:t>
      </w:r>
      <w:r w:rsidRPr="00763DEB">
        <w:rPr>
          <w:rFonts w:ascii="Times New Roman" w:hAnsi="Times New Roman"/>
          <w:sz w:val="24"/>
          <w:szCs w:val="24"/>
          <w:lang w:val="fr"/>
        </w:rPr>
        <w:t xml:space="preserve"> </w:t>
      </w:r>
      <w:r w:rsidRPr="00763DEB">
        <w:rPr>
          <w:rFonts w:ascii="Times New Roman" w:eastAsia="Times New Roman" w:hAnsi="Times New Roman"/>
          <w:sz w:val="24"/>
          <w:szCs w:val="24"/>
          <w:lang w:val="fr"/>
        </w:rPr>
        <w:t>conformément aux dispositions de la Convention relative aux droits des personnes handicapées</w:t>
      </w:r>
      <w:r w:rsidRPr="00763DEB">
        <w:rPr>
          <w:rFonts w:ascii="Times New Roman" w:hAnsi="Times New Roman"/>
          <w:sz w:val="24"/>
          <w:szCs w:val="24"/>
          <w:lang w:val="fr"/>
        </w:rPr>
        <w:t>).</w:t>
      </w:r>
    </w:p>
    <w:p w14:paraId="11A3564B" w14:textId="77777777" w:rsidR="00763DEB" w:rsidRDefault="00763DEB" w:rsidP="00763DEB">
      <w:pPr>
        <w:pStyle w:val="Paragraphedeliste"/>
        <w:spacing w:after="0" w:line="257" w:lineRule="auto"/>
        <w:jc w:val="both"/>
        <w:rPr>
          <w:rFonts w:ascii="Times New Roman" w:hAnsi="Times New Roman"/>
          <w:sz w:val="24"/>
          <w:szCs w:val="24"/>
          <w:lang w:val="fr"/>
        </w:rPr>
      </w:pPr>
    </w:p>
    <w:p w14:paraId="419BD831" w14:textId="7A906C9A" w:rsidR="00AC077E" w:rsidRPr="00763DEB" w:rsidRDefault="089EA3E6" w:rsidP="00763DEB">
      <w:pPr>
        <w:pStyle w:val="Paragraphedeliste"/>
        <w:spacing w:after="0" w:line="257" w:lineRule="auto"/>
        <w:jc w:val="both"/>
        <w:rPr>
          <w:rFonts w:ascii="Times New Roman" w:hAnsi="Times New Roman"/>
          <w:b/>
          <w:bCs/>
          <w:sz w:val="24"/>
          <w:szCs w:val="24"/>
          <w:lang w:val="fr"/>
        </w:rPr>
      </w:pPr>
      <w:r w:rsidRPr="00763DEB">
        <w:rPr>
          <w:rFonts w:ascii="Times New Roman" w:hAnsi="Times New Roman"/>
          <w:b/>
          <w:bCs/>
          <w:sz w:val="24"/>
          <w:szCs w:val="24"/>
          <w:lang w:val="fr"/>
        </w:rPr>
        <w:t>Lacunes, y compris les lacunes en matière de capacités</w:t>
      </w:r>
    </w:p>
    <w:p w14:paraId="548E37A8" w14:textId="13FF0DCF" w:rsidR="00AC077E" w:rsidRPr="00763DEB" w:rsidRDefault="089EA3E6" w:rsidP="00BC1AE3">
      <w:pPr>
        <w:pStyle w:val="Paragraphedeliste"/>
        <w:numPr>
          <w:ilvl w:val="0"/>
          <w:numId w:val="15"/>
        </w:numPr>
        <w:spacing w:after="0" w:line="257" w:lineRule="auto"/>
        <w:jc w:val="both"/>
        <w:rPr>
          <w:rFonts w:ascii="Times New Roman" w:hAnsi="Times New Roman"/>
          <w:sz w:val="24"/>
          <w:szCs w:val="24"/>
          <w:lang w:val="fr"/>
        </w:rPr>
      </w:pPr>
      <w:r w:rsidRPr="00763DEB">
        <w:rPr>
          <w:rFonts w:ascii="Times New Roman" w:hAnsi="Times New Roman"/>
          <w:sz w:val="24"/>
          <w:szCs w:val="24"/>
          <w:lang w:val="fr"/>
        </w:rPr>
        <w:t xml:space="preserve">Les lacunes et faiblesses dans la mise mettre en œuvre des recommandations sont due à l’incapacité du </w:t>
      </w:r>
      <w:r w:rsidRPr="00763DEB">
        <w:rPr>
          <w:rFonts w:ascii="Times New Roman" w:eastAsia="Times New Roman" w:hAnsi="Times New Roman"/>
          <w:sz w:val="24"/>
          <w:szCs w:val="24"/>
          <w:lang w:val="fr"/>
        </w:rPr>
        <w:t>Comité Interministériel de Suivi des Instruments Internationaux en matière des Droits de l'Homme</w:t>
      </w:r>
      <w:r w:rsidRPr="00763DEB">
        <w:rPr>
          <w:rFonts w:ascii="Times New Roman" w:hAnsi="Times New Roman"/>
          <w:sz w:val="24"/>
          <w:szCs w:val="24"/>
          <w:lang w:val="fr"/>
        </w:rPr>
        <w:t xml:space="preserve"> qui doit être renforcé</w:t>
      </w:r>
      <w:r w:rsidRPr="00763DEB">
        <w:rPr>
          <w:rFonts w:ascii="Times New Roman" w:eastAsia="Times New Roman" w:hAnsi="Times New Roman"/>
          <w:sz w:val="24"/>
          <w:szCs w:val="24"/>
          <w:lang w:val="fr"/>
        </w:rPr>
        <w:t xml:space="preserve"> en vue de l'élaboration des rapports exhaustifs et de suivi des recommandations reçues de tous les mécanismes internationaux et régionaux relatifs aux droits de l'homme et des obligations conventionnelles.</w:t>
      </w:r>
    </w:p>
    <w:p w14:paraId="38ED7F81" w14:textId="2676C1C0" w:rsidR="00AC077E" w:rsidRPr="00A8375B" w:rsidRDefault="3FFCFEDB" w:rsidP="00BC1AE3">
      <w:pPr>
        <w:pStyle w:val="Paragraphedeliste"/>
        <w:numPr>
          <w:ilvl w:val="0"/>
          <w:numId w:val="15"/>
        </w:numPr>
        <w:spacing w:after="0" w:line="240" w:lineRule="auto"/>
        <w:jc w:val="both"/>
        <w:rPr>
          <w:sz w:val="24"/>
        </w:rPr>
      </w:pPr>
      <w:r w:rsidRPr="106C3604">
        <w:rPr>
          <w:rFonts w:ascii="Times New Roman" w:hAnsi="Times New Roman"/>
          <w:sz w:val="24"/>
          <w:szCs w:val="24"/>
        </w:rPr>
        <w:t>.</w:t>
      </w:r>
    </w:p>
    <w:p w14:paraId="0A4149FD" w14:textId="77777777" w:rsidR="00AC077E" w:rsidRPr="007F038C" w:rsidRDefault="00AC077E" w:rsidP="00AC077E">
      <w:pPr>
        <w:spacing w:after="0" w:line="240" w:lineRule="auto"/>
        <w:jc w:val="both"/>
        <w:rPr>
          <w:rFonts w:ascii="Times New Roman" w:eastAsia="Times New Roman" w:hAnsi="Times New Roman"/>
          <w:bCs/>
          <w:sz w:val="24"/>
          <w:szCs w:val="24"/>
          <w:lang w:eastAsia="fr-FR"/>
        </w:rPr>
      </w:pPr>
    </w:p>
    <w:p w14:paraId="6B83D7AA" w14:textId="77777777" w:rsidR="00AC077E" w:rsidRPr="00F52473" w:rsidRDefault="00AC077E" w:rsidP="00AC077E">
      <w:pPr>
        <w:spacing w:after="0" w:line="240" w:lineRule="auto"/>
        <w:jc w:val="both"/>
        <w:rPr>
          <w:rFonts w:ascii="Times New Roman" w:hAnsi="Times New Roman"/>
          <w:sz w:val="24"/>
        </w:rPr>
      </w:pPr>
    </w:p>
    <w:p w14:paraId="3F12701A" w14:textId="77777777" w:rsidR="00AC077E" w:rsidRPr="007F038C" w:rsidRDefault="00AC077E" w:rsidP="00AC077E">
      <w:pPr>
        <w:spacing w:after="0" w:line="240" w:lineRule="auto"/>
        <w:jc w:val="both"/>
        <w:rPr>
          <w:rFonts w:ascii="Times New Roman" w:eastAsia="Times New Roman" w:hAnsi="Times New Roman"/>
          <w:bCs/>
          <w:sz w:val="24"/>
          <w:szCs w:val="24"/>
          <w:lang w:eastAsia="fr-FR"/>
        </w:rPr>
      </w:pPr>
      <w:bookmarkStart w:id="110" w:name="_Toc55922212"/>
      <w:bookmarkStart w:id="111" w:name="_Toc56001509"/>
      <w:bookmarkStart w:id="112" w:name="_Toc56003344"/>
      <w:bookmarkStart w:id="113" w:name="_Toc56003545"/>
      <w:bookmarkStart w:id="114" w:name="_Toc56004288"/>
      <w:bookmarkStart w:id="115" w:name="_Toc61523582"/>
      <w:bookmarkStart w:id="116" w:name="_Toc89948905"/>
      <w:bookmarkStart w:id="117" w:name="_Toc89949071"/>
      <w:bookmarkStart w:id="118" w:name="_Toc89949225"/>
      <w:bookmarkStart w:id="119" w:name="_Toc55922213"/>
      <w:bookmarkStart w:id="120" w:name="_Toc56001510"/>
      <w:bookmarkStart w:id="121" w:name="_Toc56003345"/>
      <w:bookmarkStart w:id="122" w:name="_Toc56003546"/>
      <w:bookmarkStart w:id="123" w:name="_Toc56004289"/>
      <w:bookmarkStart w:id="124" w:name="_Toc61523583"/>
      <w:bookmarkStart w:id="125" w:name="_Toc89948906"/>
      <w:bookmarkStart w:id="126" w:name="_Toc89949072"/>
      <w:bookmarkStart w:id="127" w:name="_Toc89949226"/>
      <w:bookmarkStart w:id="128" w:name="_Toc55922214"/>
      <w:bookmarkStart w:id="129" w:name="_Toc56001511"/>
      <w:bookmarkStart w:id="130" w:name="_Toc56003346"/>
      <w:bookmarkStart w:id="131" w:name="_Toc56003547"/>
      <w:bookmarkStart w:id="132" w:name="_Toc56004290"/>
      <w:bookmarkStart w:id="133" w:name="_Toc61523584"/>
      <w:bookmarkStart w:id="134" w:name="_Toc89948907"/>
      <w:bookmarkStart w:id="135" w:name="_Toc89949073"/>
      <w:bookmarkStart w:id="136" w:name="_Toc89949227"/>
      <w:bookmarkStart w:id="137" w:name="_Toc55922215"/>
      <w:bookmarkStart w:id="138" w:name="_Toc56001512"/>
      <w:bookmarkStart w:id="139" w:name="_Toc56003347"/>
      <w:bookmarkStart w:id="140" w:name="_Toc56003548"/>
      <w:bookmarkStart w:id="141" w:name="_Toc56004291"/>
      <w:bookmarkStart w:id="142" w:name="_Toc61523585"/>
      <w:bookmarkStart w:id="143" w:name="_Toc89948908"/>
      <w:bookmarkStart w:id="144" w:name="_Toc89949074"/>
      <w:bookmarkStart w:id="145" w:name="_Toc89949228"/>
      <w:bookmarkStart w:id="146" w:name="_Toc55922216"/>
      <w:bookmarkStart w:id="147" w:name="_Toc56001513"/>
      <w:bookmarkStart w:id="148" w:name="_Toc56003348"/>
      <w:bookmarkStart w:id="149" w:name="_Toc56003549"/>
      <w:bookmarkStart w:id="150" w:name="_Toc56004292"/>
      <w:bookmarkStart w:id="151" w:name="_Toc61523586"/>
      <w:bookmarkStart w:id="152" w:name="_Toc89948909"/>
      <w:bookmarkStart w:id="153" w:name="_Toc89949075"/>
      <w:bookmarkStart w:id="154" w:name="_Toc8994922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3F9608CF" w14:textId="77777777" w:rsidR="00075B81" w:rsidRPr="007F038C" w:rsidRDefault="00075B81" w:rsidP="004C6F4C">
      <w:pPr>
        <w:spacing w:after="0" w:line="240" w:lineRule="auto"/>
        <w:jc w:val="both"/>
        <w:rPr>
          <w:rFonts w:ascii="Times New Roman" w:eastAsia="Times New Roman" w:hAnsi="Times New Roman"/>
          <w:bCs/>
          <w:sz w:val="24"/>
          <w:szCs w:val="24"/>
          <w:lang w:eastAsia="fr-FR"/>
        </w:rPr>
      </w:pPr>
    </w:p>
    <w:p w14:paraId="3065F515" w14:textId="2D31F6EB" w:rsidR="00996574" w:rsidRDefault="00996574" w:rsidP="00D34A39">
      <w:pPr>
        <w:spacing w:after="0" w:line="240" w:lineRule="auto"/>
        <w:rPr>
          <w:b/>
          <w:bCs/>
        </w:rPr>
      </w:pPr>
      <w:r>
        <w:rPr>
          <w:b/>
          <w:bCs/>
        </w:rPr>
        <w:br w:type="page"/>
      </w:r>
    </w:p>
    <w:p w14:paraId="5B9A8BDD" w14:textId="30997D73" w:rsidR="000369E6" w:rsidRPr="0095279A" w:rsidRDefault="00001EE5" w:rsidP="00BC1AE3">
      <w:pPr>
        <w:pStyle w:val="Titre1"/>
        <w:numPr>
          <w:ilvl w:val="0"/>
          <w:numId w:val="23"/>
        </w:numPr>
        <w:rPr>
          <w:rFonts w:ascii="Times New Roman" w:hAnsi="Times New Roman"/>
          <w:b/>
          <w:bCs/>
        </w:rPr>
      </w:pPr>
      <w:bookmarkStart w:id="155" w:name="_Toc51745209"/>
      <w:bookmarkStart w:id="156" w:name="_Toc55372910"/>
      <w:bookmarkStart w:id="157" w:name="_Toc55539111"/>
      <w:bookmarkStart w:id="158" w:name="_Toc61523587"/>
      <w:bookmarkStart w:id="159" w:name="_Toc90910798"/>
      <w:bookmarkStart w:id="160" w:name="_Hlk50990081"/>
      <w:r w:rsidRPr="0095279A">
        <w:rPr>
          <w:rFonts w:ascii="Times New Roman" w:hAnsi="Times New Roman"/>
          <w:b/>
          <w:bCs/>
        </w:rPr>
        <w:lastRenderedPageBreak/>
        <w:t>PERSPECTIVES EN CE QUI CONCERNE LES PAYS VOISINS, LA REGION ET LA SOUS-REGION</w:t>
      </w:r>
      <w:bookmarkEnd w:id="155"/>
      <w:bookmarkEnd w:id="156"/>
      <w:bookmarkEnd w:id="157"/>
      <w:bookmarkEnd w:id="158"/>
      <w:bookmarkEnd w:id="159"/>
      <w:r w:rsidRPr="0095279A">
        <w:rPr>
          <w:rFonts w:ascii="Times New Roman" w:hAnsi="Times New Roman"/>
          <w:b/>
          <w:bCs/>
        </w:rPr>
        <w:t xml:space="preserve"> </w:t>
      </w:r>
    </w:p>
    <w:bookmarkEnd w:id="160"/>
    <w:p w14:paraId="19942009" w14:textId="77777777" w:rsidR="000369E6" w:rsidRDefault="000369E6" w:rsidP="000369E6">
      <w:pPr>
        <w:spacing w:after="0"/>
        <w:jc w:val="both"/>
        <w:rPr>
          <w:b/>
          <w:bCs/>
        </w:rPr>
      </w:pPr>
    </w:p>
    <w:p w14:paraId="0F404632" w14:textId="47E86EDD" w:rsidR="00AC5BFE" w:rsidRDefault="00AC5BFE" w:rsidP="003F03F6">
      <w:pPr>
        <w:spacing w:after="0"/>
        <w:jc w:val="both"/>
        <w:rPr>
          <w:rFonts w:ascii="Times New Roman" w:hAnsi="Times New Roman"/>
          <w:b/>
          <w:bCs/>
          <w:sz w:val="24"/>
          <w:szCs w:val="24"/>
        </w:rPr>
      </w:pPr>
    </w:p>
    <w:p w14:paraId="5A13E0E1" w14:textId="77777777" w:rsidR="00DA6E2C" w:rsidRPr="00DA6E2C" w:rsidRDefault="00DA6E2C" w:rsidP="00DA6E2C">
      <w:pPr>
        <w:spacing w:after="0"/>
        <w:jc w:val="both"/>
        <w:rPr>
          <w:rFonts w:ascii="Times New Roman" w:hAnsi="Times New Roman"/>
          <w:bCs/>
          <w:sz w:val="24"/>
        </w:rPr>
      </w:pPr>
      <w:r w:rsidRPr="00DA6E2C">
        <w:rPr>
          <w:rFonts w:ascii="Times New Roman" w:hAnsi="Times New Roman"/>
          <w:sz w:val="24"/>
          <w:szCs w:val="24"/>
        </w:rPr>
        <w:t xml:space="preserve">Le Tchad, tout comme les autres pays du Sahel, fait face à des défis de développement complexes et multidimensionnels y compris la mise en œuvre des engagements pris en termes de droits de l’homme, une insécurité grandissante causée par les groupes armés non-étatiques, la variabilité du climat, un seuil de pauvreté très élevé, un accès limité aux services sociaux et un secteur public sous-performant. </w:t>
      </w:r>
      <w:r w:rsidRPr="00DA6E2C">
        <w:rPr>
          <w:rFonts w:ascii="Times New Roman" w:hAnsi="Times New Roman"/>
          <w:bCs/>
          <w:sz w:val="24"/>
        </w:rPr>
        <w:t xml:space="preserve">Pays enclavé, la sécurité, la stabilité et l’essor socioéconomique du Tchad sont influencés par les dynamiques dans les pays voisins du Soudan, de la République Centrafricaine, la Libye, du Cameroun, du Niger, et du Nigeria. Avec ces pays, le Tchad maintien des relations étroites, notamment dans les domaines économiques et sécuritaires. </w:t>
      </w:r>
    </w:p>
    <w:p w14:paraId="47A70A01" w14:textId="77777777" w:rsidR="00DA6E2C" w:rsidRPr="00DA6E2C" w:rsidRDefault="00DA6E2C" w:rsidP="00DA6E2C">
      <w:pPr>
        <w:spacing w:after="0"/>
        <w:jc w:val="both"/>
        <w:rPr>
          <w:rFonts w:ascii="Times New Roman" w:hAnsi="Times New Roman"/>
          <w:bCs/>
          <w:sz w:val="24"/>
        </w:rPr>
      </w:pPr>
    </w:p>
    <w:p w14:paraId="6E37A246" w14:textId="77777777" w:rsidR="00DA6E2C" w:rsidRPr="00DA6E2C" w:rsidRDefault="00DA6E2C" w:rsidP="00DA6E2C">
      <w:pPr>
        <w:spacing w:after="0"/>
        <w:jc w:val="both"/>
        <w:rPr>
          <w:rFonts w:ascii="Times New Roman" w:hAnsi="Times New Roman"/>
          <w:b/>
          <w:sz w:val="24"/>
        </w:rPr>
      </w:pPr>
      <w:r w:rsidRPr="6BC40FD5">
        <w:rPr>
          <w:rFonts w:ascii="Times New Roman" w:hAnsi="Times New Roman"/>
          <w:sz w:val="24"/>
          <w:szCs w:val="24"/>
        </w:rPr>
        <w:t>Partageant une frontière de plus 1 000 kilomètres, le Tchad et le Cameroun entretiennent une relation diversifiée, tant sur le plan économique que militaire. Les corridors Douala-N’Djamena et Kribi-N’Djamena jouent un rôle majeur dans le transit des marchandises entre les deux pays. Aussi le Cameroun et le Tchad sont-ils liés par un protocole d’accord en matière d’assistance administrative mutuelle. Sur le plan universitaire, de nombreux étudiants tchadiens se forment dans les universités camerounaises. A propos des échanges, le Cameroun exporte vers le Tchad pour l’essentiel des denrées alimentaires. Entre autres, les bananes, riz, pomme de terre, avocat et des produits de première nécessité tels que les matériels de construction et les détergents. Quant au Tchad, il exporte au Cameroun du bétail et d’autres alimentaires comme les arachides. Des échanges qui s’opèrent en toute quiétude grâce au concours des forces de l’ordre et de sécurité en poste le long de la frontière. Par ailleurs, sur le plan universitaire, de nombreux étudiants tchadiens se forment dans les universités camerounaises.</w:t>
      </w:r>
      <w:r w:rsidRPr="6BC40FD5">
        <w:rPr>
          <w:rFonts w:ascii="Times New Roman" w:hAnsi="Times New Roman"/>
          <w:sz w:val="16"/>
          <w:szCs w:val="16"/>
        </w:rPr>
        <w:footnoteReference w:id="28"/>
      </w:r>
    </w:p>
    <w:p w14:paraId="6759566E" w14:textId="77777777" w:rsidR="00DA6E2C" w:rsidRPr="00DA6E2C" w:rsidRDefault="00DA6E2C" w:rsidP="00DA6E2C">
      <w:pPr>
        <w:spacing w:after="0"/>
        <w:jc w:val="both"/>
        <w:rPr>
          <w:rFonts w:ascii="Times New Roman" w:hAnsi="Times New Roman"/>
          <w:sz w:val="24"/>
          <w:szCs w:val="24"/>
        </w:rPr>
      </w:pPr>
    </w:p>
    <w:p w14:paraId="6955B5AA"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La guerre civile libyenne et la chute de Mouammar Kadhafi en 2011 ont fait du sud de la Libye une zone d’insécurité pour les autorités tchadiennes en raison de son impact déstabilisateur potentiel sur le nord du Tchad. A son déclenchement, la crise avait occasionné le retour au Tchad de près de 150 000 tchadiens établis en Libye</w:t>
      </w:r>
      <w:r w:rsidRPr="00DA6E2C">
        <w:rPr>
          <w:rFonts w:ascii="Times New Roman" w:hAnsi="Times New Roman"/>
          <w:sz w:val="16"/>
          <w:szCs w:val="16"/>
          <w:vertAlign w:val="superscript"/>
        </w:rPr>
        <w:footnoteReference w:id="29"/>
      </w:r>
      <w:r w:rsidRPr="00DA6E2C">
        <w:rPr>
          <w:rFonts w:ascii="Times New Roman" w:hAnsi="Times New Roman"/>
          <w:sz w:val="24"/>
          <w:szCs w:val="24"/>
        </w:rPr>
        <w:t>.</w:t>
      </w:r>
      <w:r w:rsidRPr="00DA6E2C">
        <w:rPr>
          <w:rFonts w:ascii="Times New Roman" w:hAnsi="Times New Roman"/>
          <w:sz w:val="36"/>
          <w:szCs w:val="36"/>
          <w:vertAlign w:val="superscript"/>
        </w:rPr>
        <w:t xml:space="preserve"> </w:t>
      </w:r>
      <w:r w:rsidRPr="00DA6E2C">
        <w:rPr>
          <w:rFonts w:ascii="Times New Roman" w:hAnsi="Times New Roman"/>
          <w:sz w:val="24"/>
          <w:szCs w:val="24"/>
        </w:rPr>
        <w:t>Par ailleurs, de plus en plus de migrants, principalement Tchadiens, mais aussi des migrants d’autres nationalités se dirigent vers le Nord du Tchad, en particulier vers les zones aurifères qui attirent de plus en plus de travailleurs, et donnant naissance parfois à des réseaux de traite de personnes et d’exploitation</w:t>
      </w:r>
      <w:r w:rsidRPr="00DA6E2C">
        <w:rPr>
          <w:rFonts w:ascii="Times New Roman" w:hAnsi="Times New Roman"/>
          <w:sz w:val="24"/>
          <w:szCs w:val="24"/>
          <w:vertAlign w:val="superscript"/>
        </w:rPr>
        <w:footnoteReference w:id="30"/>
      </w:r>
      <w:r w:rsidRPr="00DA6E2C">
        <w:rPr>
          <w:rFonts w:ascii="Times New Roman" w:hAnsi="Times New Roman"/>
          <w:sz w:val="24"/>
          <w:szCs w:val="24"/>
        </w:rPr>
        <w:t>.</w:t>
      </w:r>
    </w:p>
    <w:p w14:paraId="182736B1" w14:textId="77777777" w:rsidR="00DA6E2C" w:rsidRPr="00DA6E2C" w:rsidRDefault="00DA6E2C" w:rsidP="00DA6E2C">
      <w:pPr>
        <w:spacing w:after="0"/>
        <w:jc w:val="both"/>
        <w:rPr>
          <w:rFonts w:ascii="Times New Roman" w:hAnsi="Times New Roman"/>
          <w:sz w:val="24"/>
          <w:szCs w:val="24"/>
        </w:rPr>
      </w:pPr>
    </w:p>
    <w:p w14:paraId="3369E869"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lastRenderedPageBreak/>
        <w:t>A l’Est du pays, l’instabilité socio-politico-sécuritaire au Soudan voisin a forcé plus de 370 000</w:t>
      </w:r>
      <w:r w:rsidRPr="00DA6E2C">
        <w:rPr>
          <w:rFonts w:ascii="Times New Roman" w:hAnsi="Times New Roman"/>
          <w:sz w:val="24"/>
          <w:szCs w:val="24"/>
          <w:vertAlign w:val="superscript"/>
        </w:rPr>
        <w:footnoteReference w:id="31"/>
      </w:r>
      <w:r w:rsidRPr="00DA6E2C">
        <w:rPr>
          <w:rFonts w:ascii="Times New Roman" w:hAnsi="Times New Roman"/>
          <w:sz w:val="40"/>
          <w:szCs w:val="40"/>
          <w:vertAlign w:val="superscript"/>
        </w:rPr>
        <w:t xml:space="preserve"> </w:t>
      </w:r>
      <w:r w:rsidRPr="00DA6E2C">
        <w:rPr>
          <w:rFonts w:ascii="Times New Roman" w:hAnsi="Times New Roman"/>
          <w:sz w:val="24"/>
          <w:szCs w:val="24"/>
        </w:rPr>
        <w:t xml:space="preserve">soudanais à se réfugier dans les provinces de Ennedi Est, Ouaddaï, Wadi </w:t>
      </w:r>
      <w:proofErr w:type="spellStart"/>
      <w:r w:rsidRPr="00DA6E2C">
        <w:rPr>
          <w:rFonts w:ascii="Times New Roman" w:hAnsi="Times New Roman"/>
          <w:sz w:val="24"/>
          <w:szCs w:val="24"/>
        </w:rPr>
        <w:t>Fira</w:t>
      </w:r>
      <w:proofErr w:type="spellEnd"/>
      <w:r w:rsidRPr="00DA6E2C">
        <w:rPr>
          <w:rFonts w:ascii="Times New Roman" w:hAnsi="Times New Roman"/>
          <w:sz w:val="24"/>
          <w:szCs w:val="24"/>
        </w:rPr>
        <w:t xml:space="preserve"> et Sila. Depuis 2018, plus de 1 760 réfugiés sont retournés volontairement au Soudan mais les besoins d’intégration socioéconomiques au Tchad restent importants et en attente. </w:t>
      </w:r>
    </w:p>
    <w:p w14:paraId="0105E242" w14:textId="77777777" w:rsidR="00DA6E2C" w:rsidRPr="00DA6E2C" w:rsidRDefault="00DA6E2C" w:rsidP="00DA6E2C">
      <w:pPr>
        <w:spacing w:after="0"/>
        <w:jc w:val="both"/>
        <w:rPr>
          <w:rFonts w:ascii="Times New Roman" w:hAnsi="Times New Roman"/>
          <w:sz w:val="24"/>
          <w:szCs w:val="24"/>
        </w:rPr>
      </w:pPr>
    </w:p>
    <w:p w14:paraId="59C5B6D9" w14:textId="2A1083AE" w:rsidR="00DA6E2C" w:rsidRPr="00DA6E2C" w:rsidRDefault="6CA548FF" w:rsidP="00DA6E2C">
      <w:pPr>
        <w:spacing w:after="0"/>
        <w:jc w:val="both"/>
        <w:rPr>
          <w:rFonts w:ascii="Times New Roman" w:hAnsi="Times New Roman"/>
          <w:sz w:val="24"/>
          <w:szCs w:val="24"/>
        </w:rPr>
      </w:pPr>
      <w:r w:rsidRPr="581E4654">
        <w:rPr>
          <w:rFonts w:ascii="Times New Roman" w:hAnsi="Times New Roman"/>
          <w:sz w:val="24"/>
          <w:szCs w:val="24"/>
        </w:rPr>
        <w:t xml:space="preserve">Le processus de dialogue inclusif initié dans le cadre de la transition a </w:t>
      </w:r>
      <w:r w:rsidR="38619F64" w:rsidRPr="581E4654">
        <w:rPr>
          <w:rFonts w:ascii="Times New Roman" w:hAnsi="Times New Roman"/>
          <w:sz w:val="24"/>
          <w:szCs w:val="24"/>
        </w:rPr>
        <w:t>donné lieu à</w:t>
      </w:r>
      <w:r w:rsidRPr="581E4654">
        <w:rPr>
          <w:rFonts w:ascii="Times New Roman" w:hAnsi="Times New Roman"/>
          <w:sz w:val="24"/>
          <w:szCs w:val="24"/>
        </w:rPr>
        <w:t xml:space="preserve"> des discussions avec les mouvements politico-militaires notamment établis à l’étranger et opérant à partir du Sud de la Lybie et à l’Est du Tchad à la frontière avec le Soudan. Les perspectives optimistes du dialogue ont amené les autorités à envisager la mise en œuvre de programme de désarmement, démobilisation et réintégration des membres de ces mouvements politico-militaires.</w:t>
      </w:r>
      <w:r w:rsidR="3F2A8ED0" w:rsidRPr="581E4654">
        <w:rPr>
          <w:rFonts w:ascii="Times New Roman" w:hAnsi="Times New Roman"/>
          <w:sz w:val="24"/>
          <w:szCs w:val="24"/>
        </w:rPr>
        <w:t xml:space="preserve"> A cet effet avec l’appui de DPO/OROLSI un expert a été déployé pour appuyer les autorités nationales </w:t>
      </w:r>
      <w:proofErr w:type="spellStart"/>
      <w:proofErr w:type="gramStart"/>
      <w:r w:rsidR="29E86ABB" w:rsidRPr="581E4654">
        <w:rPr>
          <w:rFonts w:ascii="Times New Roman" w:hAnsi="Times New Roman"/>
          <w:sz w:val="24"/>
          <w:szCs w:val="24"/>
        </w:rPr>
        <w:t>a</w:t>
      </w:r>
      <w:proofErr w:type="spellEnd"/>
      <w:proofErr w:type="gramEnd"/>
      <w:r w:rsidR="29E86ABB" w:rsidRPr="581E4654">
        <w:rPr>
          <w:rFonts w:ascii="Times New Roman" w:hAnsi="Times New Roman"/>
          <w:sz w:val="24"/>
          <w:szCs w:val="24"/>
        </w:rPr>
        <w:t xml:space="preserve"> développer une stratégie et un programme DDR.</w:t>
      </w:r>
    </w:p>
    <w:p w14:paraId="11047781" w14:textId="77777777" w:rsidR="00DA6E2C" w:rsidRPr="00DA6E2C" w:rsidRDefault="00DA6E2C" w:rsidP="00DA6E2C">
      <w:pPr>
        <w:spacing w:after="0"/>
        <w:jc w:val="both"/>
        <w:rPr>
          <w:rFonts w:ascii="Times New Roman" w:hAnsi="Times New Roman"/>
          <w:sz w:val="24"/>
          <w:szCs w:val="24"/>
        </w:rPr>
      </w:pPr>
    </w:p>
    <w:p w14:paraId="7369588A" w14:textId="732E269D"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Dans la région du bassin du Lac Tchad qui comprend le Cameroun, le Nigeria et le Niger voisins, l’instabilité li</w:t>
      </w:r>
      <w:r w:rsidR="00D22090">
        <w:rPr>
          <w:rFonts w:ascii="Times New Roman" w:hAnsi="Times New Roman"/>
          <w:sz w:val="24"/>
          <w:szCs w:val="24"/>
        </w:rPr>
        <w:t>é</w:t>
      </w:r>
      <w:r w:rsidRPr="00DA6E2C">
        <w:rPr>
          <w:rFonts w:ascii="Times New Roman" w:hAnsi="Times New Roman"/>
          <w:sz w:val="24"/>
          <w:szCs w:val="24"/>
        </w:rPr>
        <w:t>e à l’insurrection de Boko Haram a causé le déplacement de plus de 5 millions de personnes, y compris au moins 400 000 personnes affectées au Tchad</w:t>
      </w:r>
      <w:r w:rsidRPr="00DA6E2C">
        <w:rPr>
          <w:rFonts w:ascii="Times New Roman" w:hAnsi="Times New Roman"/>
          <w:sz w:val="24"/>
          <w:szCs w:val="24"/>
          <w:vertAlign w:val="superscript"/>
        </w:rPr>
        <w:footnoteReference w:id="32"/>
      </w:r>
      <w:r w:rsidRPr="00DA6E2C">
        <w:rPr>
          <w:rFonts w:ascii="Times New Roman" w:hAnsi="Times New Roman"/>
          <w:sz w:val="24"/>
          <w:szCs w:val="24"/>
        </w:rPr>
        <w:t>.</w:t>
      </w:r>
    </w:p>
    <w:p w14:paraId="2B76ADAE" w14:textId="77777777" w:rsidR="00DA6E2C" w:rsidRPr="00DA6E2C" w:rsidRDefault="00DA6E2C" w:rsidP="00DA6E2C">
      <w:pPr>
        <w:spacing w:after="0"/>
        <w:jc w:val="both"/>
        <w:rPr>
          <w:rFonts w:ascii="Times New Roman" w:hAnsi="Times New Roman"/>
          <w:sz w:val="24"/>
          <w:szCs w:val="24"/>
        </w:rPr>
      </w:pPr>
    </w:p>
    <w:p w14:paraId="02F1B652" w14:textId="4C8C3BB0"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 xml:space="preserve">La situation socio-politique en République centrafricaine continue d'être suivie de près </w:t>
      </w:r>
      <w:r w:rsidR="00F60FE1" w:rsidRPr="00DA6E2C">
        <w:rPr>
          <w:rFonts w:ascii="Times New Roman" w:hAnsi="Times New Roman"/>
          <w:sz w:val="24"/>
          <w:szCs w:val="24"/>
        </w:rPr>
        <w:t>à la suite de</w:t>
      </w:r>
      <w:r w:rsidRPr="00DA6E2C">
        <w:rPr>
          <w:rFonts w:ascii="Times New Roman" w:hAnsi="Times New Roman"/>
          <w:sz w:val="24"/>
          <w:szCs w:val="24"/>
        </w:rPr>
        <w:t xml:space="preserve"> la signature de l’accord de paix de Khartoum entre le Gouvernement de la République Centrafricaine et les groupes rebelles en février 2019.</w:t>
      </w:r>
    </w:p>
    <w:p w14:paraId="0DEC0D8E" w14:textId="0CAF8C6F" w:rsidR="00DA6E2C" w:rsidRPr="00DA6E2C" w:rsidRDefault="007B60CA" w:rsidP="00DA6E2C">
      <w:pPr>
        <w:spacing w:after="0"/>
        <w:jc w:val="both"/>
        <w:rPr>
          <w:rFonts w:ascii="Times New Roman" w:hAnsi="Times New Roman"/>
          <w:sz w:val="24"/>
          <w:szCs w:val="24"/>
        </w:rPr>
      </w:pPr>
      <w:r>
        <w:rPr>
          <w:rFonts w:ascii="Times New Roman" w:hAnsi="Times New Roman"/>
          <w:sz w:val="24"/>
          <w:szCs w:val="24"/>
        </w:rPr>
        <w:t xml:space="preserve"> </w:t>
      </w:r>
      <w:r w:rsidRPr="00DA6E2C">
        <w:rPr>
          <w:rFonts w:ascii="Times New Roman" w:hAnsi="Times New Roman"/>
          <w:sz w:val="24"/>
          <w:szCs w:val="24"/>
        </w:rPr>
        <w:t xml:space="preserve"> </w:t>
      </w:r>
      <w:r w:rsidR="00DA6E2C" w:rsidRPr="00DA6E2C">
        <w:rPr>
          <w:rFonts w:ascii="Times New Roman" w:hAnsi="Times New Roman"/>
          <w:sz w:val="24"/>
          <w:szCs w:val="24"/>
        </w:rPr>
        <w:t>77 650 tchadiens retournés de la République Centrafricaine (RCA)</w:t>
      </w:r>
      <w:r w:rsidR="00DA6E2C" w:rsidRPr="00DA6E2C">
        <w:rPr>
          <w:rFonts w:ascii="Times New Roman" w:hAnsi="Times New Roman"/>
          <w:sz w:val="24"/>
          <w:szCs w:val="24"/>
          <w:vertAlign w:val="superscript"/>
        </w:rPr>
        <w:footnoteReference w:id="33"/>
      </w:r>
      <w:r w:rsidR="00DA6E2C" w:rsidRPr="00DA6E2C">
        <w:rPr>
          <w:rFonts w:ascii="Times New Roman" w:hAnsi="Times New Roman"/>
          <w:sz w:val="24"/>
          <w:szCs w:val="24"/>
        </w:rPr>
        <w:t xml:space="preserve"> </w:t>
      </w:r>
      <w:r w:rsidRPr="00DA6E2C">
        <w:rPr>
          <w:rFonts w:ascii="Times New Roman" w:hAnsi="Times New Roman"/>
          <w:sz w:val="24"/>
          <w:szCs w:val="24"/>
        </w:rPr>
        <w:t xml:space="preserve"> </w:t>
      </w:r>
      <w:r w:rsidR="00DA6E2C" w:rsidRPr="00DA6E2C">
        <w:rPr>
          <w:rFonts w:ascii="Times New Roman" w:hAnsi="Times New Roman"/>
          <w:sz w:val="24"/>
          <w:szCs w:val="24"/>
        </w:rPr>
        <w:t xml:space="preserve">ainsi que </w:t>
      </w:r>
      <w:r w:rsidRPr="007B60CA">
        <w:rPr>
          <w:rFonts w:ascii="Times New Roman" w:hAnsi="Times New Roman"/>
          <w:sz w:val="24"/>
          <w:szCs w:val="24"/>
        </w:rPr>
        <w:t>123,501</w:t>
      </w:r>
      <w:r w:rsidR="00DA6E2C" w:rsidRPr="00DA6E2C">
        <w:rPr>
          <w:rFonts w:ascii="Times New Roman" w:hAnsi="Times New Roman"/>
          <w:sz w:val="24"/>
          <w:szCs w:val="24"/>
        </w:rPr>
        <w:t xml:space="preserve"> réfugiés centrafricains</w:t>
      </w:r>
      <w:r>
        <w:rPr>
          <w:rFonts w:ascii="Times New Roman" w:hAnsi="Times New Roman"/>
          <w:sz w:val="24"/>
          <w:szCs w:val="24"/>
        </w:rPr>
        <w:t>,</w:t>
      </w:r>
      <w:r w:rsidR="00DA6E2C" w:rsidRPr="00DA6E2C">
        <w:rPr>
          <w:rFonts w:ascii="Times New Roman" w:hAnsi="Times New Roman"/>
          <w:sz w:val="24"/>
          <w:szCs w:val="24"/>
        </w:rPr>
        <w:t xml:space="preserve"> arrivés par vagues successives depuis 2003</w:t>
      </w:r>
      <w:r>
        <w:rPr>
          <w:rFonts w:ascii="Times New Roman" w:hAnsi="Times New Roman"/>
          <w:sz w:val="24"/>
          <w:szCs w:val="24"/>
        </w:rPr>
        <w:t>,</w:t>
      </w:r>
      <w:r w:rsidR="00DA6E2C" w:rsidRPr="00DA6E2C">
        <w:rPr>
          <w:rFonts w:ascii="Times New Roman" w:hAnsi="Times New Roman"/>
          <w:sz w:val="24"/>
          <w:szCs w:val="24"/>
        </w:rPr>
        <w:t xml:space="preserve"> sont actuellement installés au Tchad.</w:t>
      </w:r>
      <w:r w:rsidR="00DA6E2C" w:rsidRPr="00DA6E2C">
        <w:rPr>
          <w:rFonts w:ascii="Times New Roman" w:hAnsi="Times New Roman"/>
          <w:sz w:val="16"/>
          <w:szCs w:val="16"/>
        </w:rPr>
        <w:footnoteReference w:id="34"/>
      </w:r>
      <w:r w:rsidR="00DA6E2C" w:rsidRPr="00DA6E2C">
        <w:rPr>
          <w:rFonts w:ascii="Times New Roman" w:hAnsi="Times New Roman"/>
          <w:sz w:val="24"/>
          <w:szCs w:val="24"/>
        </w:rPr>
        <w:t xml:space="preserve"> En avril 2021, près de 12 000 ressortissants tchadiens et centrafricains ont traversé la frontière à la suite d’affrontements armés pour se réfugier dans la ville de Sido au Sud du Tchad. </w:t>
      </w:r>
      <w:r>
        <w:rPr>
          <w:rFonts w:ascii="Times New Roman" w:hAnsi="Times New Roman"/>
          <w:sz w:val="24"/>
          <w:szCs w:val="24"/>
        </w:rPr>
        <w:t xml:space="preserve"> </w:t>
      </w:r>
    </w:p>
    <w:p w14:paraId="33D0C90C" w14:textId="77777777" w:rsidR="00DA6E2C" w:rsidRPr="00DA6E2C" w:rsidRDefault="00DA6E2C" w:rsidP="00DA6E2C">
      <w:pPr>
        <w:spacing w:after="0"/>
        <w:jc w:val="both"/>
        <w:rPr>
          <w:rFonts w:ascii="Times New Roman" w:hAnsi="Times New Roman"/>
          <w:sz w:val="24"/>
          <w:szCs w:val="24"/>
        </w:rPr>
      </w:pPr>
    </w:p>
    <w:p w14:paraId="6BBD8E46" w14:textId="1E4E3682" w:rsidR="00DA6E2C" w:rsidRPr="00DA6E2C" w:rsidRDefault="7DDDAD1B" w:rsidP="00DA6E2C">
      <w:pPr>
        <w:spacing w:after="0"/>
        <w:jc w:val="both"/>
        <w:rPr>
          <w:rFonts w:ascii="Times New Roman" w:hAnsi="Times New Roman"/>
          <w:sz w:val="24"/>
          <w:szCs w:val="24"/>
        </w:rPr>
      </w:pPr>
      <w:r w:rsidRPr="581E4654">
        <w:rPr>
          <w:rFonts w:ascii="Times New Roman" w:hAnsi="Times New Roman"/>
          <w:sz w:val="24"/>
          <w:szCs w:val="24"/>
        </w:rPr>
        <w:t xml:space="preserve">La multiplication de conflits </w:t>
      </w:r>
      <w:r w:rsidR="005C0FDC" w:rsidRPr="581E4654">
        <w:rPr>
          <w:rFonts w:ascii="Times New Roman" w:hAnsi="Times New Roman"/>
          <w:sz w:val="24"/>
          <w:szCs w:val="24"/>
        </w:rPr>
        <w:t>intercommunautaires</w:t>
      </w:r>
      <w:r w:rsidRPr="581E4654">
        <w:rPr>
          <w:rFonts w:ascii="Times New Roman" w:hAnsi="Times New Roman"/>
          <w:sz w:val="24"/>
          <w:szCs w:val="24"/>
        </w:rPr>
        <w:t xml:space="preserve"> au Nord du Cameroun, à la frontière avec le T</w:t>
      </w:r>
      <w:r w:rsidR="09A275A0" w:rsidRPr="581E4654">
        <w:rPr>
          <w:rFonts w:ascii="Times New Roman" w:hAnsi="Times New Roman"/>
          <w:sz w:val="24"/>
          <w:szCs w:val="24"/>
        </w:rPr>
        <w:t xml:space="preserve">chad, l’instabilité qui prévaut au Soudan ont créé un afflux massif de </w:t>
      </w:r>
      <w:r w:rsidR="65C8B993" w:rsidRPr="581E4654">
        <w:rPr>
          <w:rFonts w:ascii="Times New Roman" w:hAnsi="Times New Roman"/>
          <w:sz w:val="24"/>
          <w:szCs w:val="24"/>
        </w:rPr>
        <w:t>réfugiés</w:t>
      </w:r>
      <w:r w:rsidR="09A275A0" w:rsidRPr="581E4654">
        <w:rPr>
          <w:rFonts w:ascii="Times New Roman" w:hAnsi="Times New Roman"/>
          <w:sz w:val="24"/>
          <w:szCs w:val="24"/>
        </w:rPr>
        <w:t xml:space="preserve"> </w:t>
      </w:r>
      <w:r w:rsidR="6870B616" w:rsidRPr="581E4654">
        <w:rPr>
          <w:rFonts w:ascii="Times New Roman" w:hAnsi="Times New Roman"/>
          <w:sz w:val="24"/>
          <w:szCs w:val="24"/>
        </w:rPr>
        <w:t>au Tchad.</w:t>
      </w:r>
      <w:r w:rsidR="09A275A0" w:rsidRPr="581E4654">
        <w:rPr>
          <w:rFonts w:ascii="Times New Roman" w:hAnsi="Times New Roman"/>
          <w:sz w:val="24"/>
          <w:szCs w:val="24"/>
        </w:rPr>
        <w:t xml:space="preserve"> </w:t>
      </w:r>
      <w:r w:rsidR="4EB4FFF7" w:rsidRPr="581E4654">
        <w:rPr>
          <w:rFonts w:ascii="Times New Roman" w:hAnsi="Times New Roman"/>
          <w:sz w:val="24"/>
          <w:szCs w:val="24"/>
        </w:rPr>
        <w:t xml:space="preserve"> </w:t>
      </w:r>
      <w:r w:rsidR="6CA548FF" w:rsidRPr="581E4654">
        <w:rPr>
          <w:rFonts w:ascii="Times New Roman" w:hAnsi="Times New Roman"/>
          <w:sz w:val="24"/>
          <w:szCs w:val="24"/>
        </w:rPr>
        <w:t xml:space="preserve">Cet afflux de populations entraine une pression accrue sur les ressources déjà affectées par le changement climatique et les faibles infrastructures de base, détériorant ainsi les conditions de vie et moyens d’existence pour les communautés hôtes déjà vulnérables. </w:t>
      </w:r>
    </w:p>
    <w:p w14:paraId="6208071E" w14:textId="77777777" w:rsidR="00DA6E2C" w:rsidRPr="00DA6E2C" w:rsidRDefault="00DA6E2C" w:rsidP="00DA6E2C">
      <w:pPr>
        <w:spacing w:after="0"/>
        <w:jc w:val="both"/>
        <w:rPr>
          <w:rFonts w:ascii="Times New Roman" w:hAnsi="Times New Roman"/>
          <w:sz w:val="24"/>
          <w:szCs w:val="24"/>
        </w:rPr>
      </w:pPr>
    </w:p>
    <w:p w14:paraId="6905F51E" w14:textId="77777777" w:rsidR="00DA6E2C" w:rsidRPr="00DA6E2C" w:rsidRDefault="00DA6E2C" w:rsidP="00DA6E2C">
      <w:pPr>
        <w:spacing w:after="0"/>
        <w:jc w:val="both"/>
        <w:rPr>
          <w:rFonts w:ascii="Times New Roman" w:hAnsi="Times New Roman"/>
          <w:b/>
          <w:bCs/>
          <w:color w:val="0000FF"/>
          <w:sz w:val="24"/>
          <w:szCs w:val="24"/>
        </w:rPr>
      </w:pPr>
      <w:r w:rsidRPr="00DA6E2C">
        <w:rPr>
          <w:rFonts w:ascii="Times New Roman" w:hAnsi="Times New Roman"/>
          <w:sz w:val="24"/>
          <w:szCs w:val="24"/>
        </w:rPr>
        <w:lastRenderedPageBreak/>
        <w:t>Dans les zones frontalières, l’insécurité est aussi due au vol de bétail et à l’évolution des schémas de transhumance qui parfois forcent les éleveurs à conduire leur bétail sur les terres des agriculteurs plus tôt. De même, les agriculteurs ont souvent tendance à s'installer sur des couloirs de transhumance qui sont utilisés par les pasteurs, obligeant ainsi les pasteurs à emprunter d'autres routes.</w:t>
      </w:r>
    </w:p>
    <w:p w14:paraId="24997D55" w14:textId="77777777" w:rsidR="00DA6E2C" w:rsidRPr="00DA6E2C" w:rsidRDefault="00DA6E2C" w:rsidP="00DA6E2C">
      <w:pPr>
        <w:spacing w:after="0"/>
        <w:jc w:val="both"/>
        <w:rPr>
          <w:rFonts w:ascii="Times New Roman" w:hAnsi="Times New Roman"/>
          <w:b/>
          <w:bCs/>
          <w:color w:val="0000FF"/>
          <w:sz w:val="24"/>
          <w:szCs w:val="24"/>
        </w:rPr>
      </w:pPr>
    </w:p>
    <w:p w14:paraId="2F69DBE7" w14:textId="33D25B1D" w:rsidR="00DA6E2C" w:rsidRPr="00DA6E2C" w:rsidRDefault="6CA548FF" w:rsidP="00DA6E2C">
      <w:pPr>
        <w:spacing w:after="0"/>
        <w:jc w:val="both"/>
        <w:rPr>
          <w:rFonts w:ascii="Times New Roman" w:hAnsi="Times New Roman"/>
          <w:sz w:val="24"/>
          <w:szCs w:val="24"/>
        </w:rPr>
      </w:pPr>
      <w:r w:rsidRPr="581E4654">
        <w:rPr>
          <w:rFonts w:ascii="Times New Roman" w:hAnsi="Times New Roman"/>
          <w:sz w:val="24"/>
          <w:szCs w:val="24"/>
        </w:rPr>
        <w:t xml:space="preserve">La mort de feu Président Idriss Deby </w:t>
      </w:r>
      <w:proofErr w:type="spellStart"/>
      <w:r w:rsidRPr="581E4654">
        <w:rPr>
          <w:rFonts w:ascii="Times New Roman" w:hAnsi="Times New Roman"/>
          <w:sz w:val="24"/>
          <w:szCs w:val="24"/>
        </w:rPr>
        <w:t>Itno</w:t>
      </w:r>
      <w:proofErr w:type="spellEnd"/>
      <w:r w:rsidRPr="581E4654">
        <w:rPr>
          <w:rFonts w:ascii="Times New Roman" w:hAnsi="Times New Roman"/>
          <w:sz w:val="24"/>
          <w:szCs w:val="24"/>
        </w:rPr>
        <w:t xml:space="preserve"> en avril 2021 et la prise de pouvoir du Conseil Militaire de Transition</w:t>
      </w:r>
      <w:r w:rsidR="21417020" w:rsidRPr="581E4654">
        <w:rPr>
          <w:rFonts w:ascii="Times New Roman" w:hAnsi="Times New Roman"/>
          <w:sz w:val="24"/>
          <w:szCs w:val="24"/>
        </w:rPr>
        <w:t xml:space="preserve"> </w:t>
      </w:r>
      <w:r w:rsidR="1F15834E" w:rsidRPr="581E4654">
        <w:rPr>
          <w:rFonts w:ascii="Times New Roman" w:hAnsi="Times New Roman"/>
          <w:sz w:val="24"/>
          <w:szCs w:val="24"/>
        </w:rPr>
        <w:t>ont</w:t>
      </w:r>
      <w:r w:rsidRPr="581E4654">
        <w:rPr>
          <w:rFonts w:ascii="Times New Roman" w:hAnsi="Times New Roman"/>
          <w:sz w:val="24"/>
          <w:szCs w:val="24"/>
        </w:rPr>
        <w:t xml:space="preserve"> eu </w:t>
      </w:r>
      <w:r w:rsidR="53CA1CD8" w:rsidRPr="581E4654">
        <w:rPr>
          <w:rFonts w:ascii="Times New Roman" w:hAnsi="Times New Roman"/>
          <w:sz w:val="24"/>
          <w:szCs w:val="24"/>
        </w:rPr>
        <w:t>un</w:t>
      </w:r>
      <w:r w:rsidRPr="581E4654">
        <w:rPr>
          <w:rFonts w:ascii="Times New Roman" w:hAnsi="Times New Roman"/>
          <w:sz w:val="24"/>
          <w:szCs w:val="24"/>
        </w:rPr>
        <w:t xml:space="preserve"> impact sur </w:t>
      </w:r>
      <w:r w:rsidR="24F2EC07" w:rsidRPr="581E4654">
        <w:rPr>
          <w:rFonts w:ascii="Times New Roman" w:hAnsi="Times New Roman"/>
          <w:sz w:val="24"/>
          <w:szCs w:val="24"/>
        </w:rPr>
        <w:t>le positionnement géostratégique</w:t>
      </w:r>
      <w:r w:rsidRPr="581E4654">
        <w:rPr>
          <w:rFonts w:ascii="Times New Roman" w:hAnsi="Times New Roman"/>
          <w:sz w:val="24"/>
          <w:szCs w:val="24"/>
        </w:rPr>
        <w:t xml:space="preserve"> du </w:t>
      </w:r>
      <w:proofErr w:type="gramStart"/>
      <w:r w:rsidRPr="581E4654">
        <w:rPr>
          <w:rFonts w:ascii="Times New Roman" w:hAnsi="Times New Roman"/>
          <w:sz w:val="24"/>
          <w:szCs w:val="24"/>
        </w:rPr>
        <w:t>Tchad ,</w:t>
      </w:r>
      <w:proofErr w:type="gramEnd"/>
      <w:r w:rsidRPr="581E4654">
        <w:rPr>
          <w:rFonts w:ascii="Times New Roman" w:hAnsi="Times New Roman"/>
          <w:sz w:val="24"/>
          <w:szCs w:val="24"/>
        </w:rPr>
        <w:t xml:space="preserve"> notamment sur le plan sécuritaire. En aout 2021, le Tchad a retiré 600 de ses 1 200 soldats déployés dans le cadre de la force du G5 Sahel</w:t>
      </w:r>
      <w:r w:rsidR="23DD73C2" w:rsidRPr="581E4654">
        <w:rPr>
          <w:rFonts w:ascii="Times New Roman" w:hAnsi="Times New Roman"/>
          <w:sz w:val="24"/>
          <w:szCs w:val="24"/>
        </w:rPr>
        <w:t xml:space="preserve"> pour </w:t>
      </w:r>
      <w:r w:rsidR="0FEF1A87" w:rsidRPr="581E4654">
        <w:rPr>
          <w:rFonts w:ascii="Times New Roman" w:hAnsi="Times New Roman"/>
          <w:sz w:val="24"/>
          <w:szCs w:val="24"/>
        </w:rPr>
        <w:t>renforcer la sécurité autour du lac Tcha</w:t>
      </w:r>
      <w:r w:rsidR="21417020" w:rsidRPr="581E4654">
        <w:rPr>
          <w:rFonts w:ascii="Times New Roman" w:hAnsi="Times New Roman"/>
          <w:sz w:val="24"/>
          <w:szCs w:val="24"/>
        </w:rPr>
        <w:t>d</w:t>
      </w:r>
      <w:r w:rsidRPr="581E4654">
        <w:rPr>
          <w:rFonts w:ascii="Times New Roman" w:hAnsi="Times New Roman"/>
          <w:sz w:val="24"/>
          <w:szCs w:val="24"/>
        </w:rPr>
        <w:t xml:space="preserve">, marquant ainsi un tournant important dans ses relations avec les pays voisins. </w:t>
      </w:r>
    </w:p>
    <w:p w14:paraId="0B260556" w14:textId="77777777" w:rsidR="00DA6E2C" w:rsidRPr="00DA6E2C" w:rsidRDefault="00DA6E2C" w:rsidP="00DA6E2C">
      <w:pPr>
        <w:spacing w:after="0"/>
        <w:jc w:val="both"/>
        <w:rPr>
          <w:rFonts w:ascii="Times New Roman" w:hAnsi="Times New Roman"/>
          <w:b/>
          <w:bCs/>
          <w:color w:val="0000FF"/>
          <w:sz w:val="24"/>
          <w:szCs w:val="24"/>
        </w:rPr>
      </w:pPr>
    </w:p>
    <w:p w14:paraId="4CA7749B"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b/>
          <w:bCs/>
          <w:sz w:val="24"/>
          <w:szCs w:val="24"/>
        </w:rPr>
        <w:t>Aux questions sécuritaires s’ajoutent des préoccupations climatiques</w:t>
      </w:r>
      <w:r w:rsidRPr="00DA6E2C">
        <w:rPr>
          <w:rFonts w:ascii="Times New Roman" w:hAnsi="Times New Roman"/>
          <w:sz w:val="24"/>
          <w:szCs w:val="24"/>
        </w:rPr>
        <w:t xml:space="preserve"> qui affectent les secteurs économiques clés tels que l’agriculture, l’élevage, la pêche l’aquaculture, augmentant ainsi la vulnérabilité des personnes. Il s’agit principalement de (i) la baisse et la variabilité accrue de la pluviométrie et des ressources en eau ; (ii) l’accroissement continu des températures observées depuis les années 90 ; (iii) la recrudescence des phénomènes météorologiques extrêmes (sécheresses, inondations, canicules) qui deviendront de plus en plus fréquents. </w:t>
      </w:r>
    </w:p>
    <w:p w14:paraId="4F313945" w14:textId="77777777" w:rsidR="00DA6E2C" w:rsidRPr="00DA6E2C" w:rsidRDefault="00DA6E2C" w:rsidP="00DA6E2C">
      <w:pPr>
        <w:spacing w:after="0"/>
        <w:jc w:val="both"/>
        <w:rPr>
          <w:rFonts w:ascii="Times New Roman" w:hAnsi="Times New Roman"/>
          <w:sz w:val="24"/>
          <w:szCs w:val="24"/>
        </w:rPr>
      </w:pPr>
    </w:p>
    <w:p w14:paraId="2E6EF98A"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 xml:space="preserve">Dans le bassin du Lac Tchad, la diminution de la superficie du Lac exacerbe les conditions de vie déjà précaires des populations, et donne naissance à de nouvelles situations de déplacement et parfois des conflits. </w:t>
      </w:r>
    </w:p>
    <w:p w14:paraId="7267E511" w14:textId="77777777" w:rsidR="00DA6E2C" w:rsidRPr="00DA6E2C" w:rsidRDefault="00DA6E2C" w:rsidP="00DA6E2C">
      <w:pPr>
        <w:spacing w:after="0"/>
        <w:jc w:val="both"/>
        <w:rPr>
          <w:rFonts w:ascii="Times New Roman" w:hAnsi="Times New Roman"/>
          <w:sz w:val="24"/>
          <w:szCs w:val="24"/>
        </w:rPr>
      </w:pPr>
    </w:p>
    <w:p w14:paraId="16CBB763"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 xml:space="preserve">Il est de plus en plus évident que le changement climatique et la dégradation de l'environnement ont des effets transformateurs sur la paix et la sécurité dans le monde. Dans une sous-région déjà en proie à des structures de gouvernance fragiles couplées à un certain nombre de défis politiques et sécuritaires (crise en République centrafricaine, l'insécurité dans le Sud libyen, insurrection de Boko Haram et ISWAP dans le bassin du lac Tchad) l’impact des changement climatiques introduit une couche supplémentaire d'incertitude qui menace de submerger la capacité des gouvernements et des communautés à faire face à ces multiples crises, avec des conséquences potentiellement dévastatrices pour la paix et la sécurité. </w:t>
      </w:r>
    </w:p>
    <w:p w14:paraId="20470E55" w14:textId="77777777" w:rsidR="00DA6E2C" w:rsidRPr="00DA6E2C" w:rsidRDefault="00DA6E2C" w:rsidP="00DA6E2C">
      <w:pPr>
        <w:spacing w:after="0"/>
        <w:jc w:val="both"/>
        <w:rPr>
          <w:rFonts w:ascii="Times New Roman" w:hAnsi="Times New Roman"/>
          <w:sz w:val="24"/>
          <w:szCs w:val="24"/>
        </w:rPr>
      </w:pPr>
    </w:p>
    <w:p w14:paraId="60FDA3A6"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 xml:space="preserve">Le 29 novembre 2019, les 11 États membres de la Communauté économique des États de l'Afrique centrale (CEEAC) ont adopté une déclaration ministérielle lors de la 49e réunion du Comité consultatif permanent des Nations Unies sur les questions de sécurité en Afrique centrale (UNSAC) tenue à Luanda, en Angola, appelant à l'UNOCA, aux côtés du Programme des Nations Unies pour l'environnement (PNUE), à coopérer avec d'autres partenaires du système des Nations Unies pour « renforcer leur engagement dans le cadre du Comité à l'appui des efforts des États membres pour lutter contre les effets des changements climatiques sur paix et sécurité en Afrique centrale ». Cette initiative de la sous-région de l'Afrique centrale est en réponse aux appels lancés par le Conseil de sécurité dans deux déclarations présidentielles d'août 2018 (S/PRST/2018/17) et de septembre 2019 (S/PRST/2019/10), respectivement, dans lequel le Conseil de sécurité a demandé à l'UNOCA de prendre en considération le changement </w:t>
      </w:r>
      <w:r w:rsidRPr="00DA6E2C">
        <w:rPr>
          <w:rFonts w:ascii="Times New Roman" w:hAnsi="Times New Roman"/>
          <w:sz w:val="24"/>
          <w:szCs w:val="24"/>
        </w:rPr>
        <w:lastRenderedPageBreak/>
        <w:t xml:space="preserve">climatique, les changements écologiques et les catastrophes naturelles, entre autres facteurs affectant la stabilité de la sous-région d'Afrique centrale. </w:t>
      </w:r>
    </w:p>
    <w:p w14:paraId="7D7C1029" w14:textId="77777777" w:rsidR="00DA6E2C" w:rsidRPr="00DA6E2C" w:rsidRDefault="00DA6E2C" w:rsidP="00DA6E2C">
      <w:pPr>
        <w:spacing w:after="0"/>
        <w:jc w:val="both"/>
        <w:rPr>
          <w:rFonts w:ascii="Times New Roman" w:hAnsi="Times New Roman"/>
          <w:sz w:val="24"/>
          <w:szCs w:val="24"/>
        </w:rPr>
      </w:pPr>
    </w:p>
    <w:p w14:paraId="1B84F493"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 xml:space="preserve">Dans le cadre de la réponse régionale pilotée UNOCA, le Tchad est engagé à conduire les politiques tenant en compte les implications de cette confluence du changement climatique et des risques de sécurité en Afrique centrale au cours de la prochaine décennie. </w:t>
      </w:r>
    </w:p>
    <w:p w14:paraId="56A772A8" w14:textId="77777777" w:rsidR="00DA6E2C" w:rsidRPr="00DA6E2C" w:rsidRDefault="00DA6E2C" w:rsidP="00DA6E2C">
      <w:pPr>
        <w:spacing w:after="0"/>
        <w:jc w:val="both"/>
        <w:rPr>
          <w:rFonts w:ascii="Times New Roman" w:hAnsi="Times New Roman"/>
          <w:sz w:val="24"/>
          <w:szCs w:val="24"/>
          <w:highlight w:val="yellow"/>
        </w:rPr>
      </w:pPr>
    </w:p>
    <w:p w14:paraId="70E68D44" w14:textId="65371560" w:rsidR="00DA6E2C" w:rsidRPr="00DA6E2C" w:rsidRDefault="00DA6E2C" w:rsidP="00DA6E2C">
      <w:pPr>
        <w:spacing w:after="0"/>
        <w:jc w:val="both"/>
        <w:rPr>
          <w:rFonts w:ascii="Times New Roman" w:hAnsi="Times New Roman"/>
          <w:sz w:val="24"/>
          <w:szCs w:val="24"/>
        </w:rPr>
      </w:pPr>
      <w:r w:rsidRPr="00DA6E2C">
        <w:rPr>
          <w:rFonts w:ascii="Times New Roman" w:hAnsi="Times New Roman"/>
          <w:b/>
          <w:bCs/>
          <w:sz w:val="24"/>
          <w:szCs w:val="24"/>
        </w:rPr>
        <w:t xml:space="preserve">La pandémie de la COVID-19 a aggravé les vulnérabilités dans le Bassin du Lac Tchad </w:t>
      </w:r>
      <w:r w:rsidRPr="00DA6E2C">
        <w:rPr>
          <w:rFonts w:ascii="Times New Roman" w:hAnsi="Times New Roman"/>
          <w:sz w:val="24"/>
          <w:szCs w:val="24"/>
        </w:rPr>
        <w:t>mais aussi dans d’autres zones du pays</w:t>
      </w:r>
      <w:r w:rsidR="00D75231">
        <w:rPr>
          <w:rFonts w:ascii="Times New Roman" w:hAnsi="Times New Roman"/>
          <w:sz w:val="24"/>
          <w:szCs w:val="24"/>
        </w:rPr>
        <w:t>,</w:t>
      </w:r>
      <w:r w:rsidRPr="00DA6E2C">
        <w:rPr>
          <w:rFonts w:ascii="Times New Roman" w:hAnsi="Times New Roman"/>
          <w:sz w:val="24"/>
          <w:szCs w:val="24"/>
        </w:rPr>
        <w:t xml:space="preserve"> car la fermeture des marchés, des frontières et l'imposition de mesures telles que les couvre-feux ont un impact supplémentaire sur les moyens de subsistance et l'accès des personnes vulnérables, y compris les migrants, réfugiés et personnes déplacées, et en particulier les femmes et les jeunes, aux services sociaux et sanitaires de base.</w:t>
      </w:r>
    </w:p>
    <w:p w14:paraId="57C65BAB" w14:textId="77777777" w:rsidR="00DA6E2C" w:rsidRPr="00DA6E2C" w:rsidRDefault="00DA6E2C" w:rsidP="00DA6E2C">
      <w:pPr>
        <w:spacing w:after="0"/>
        <w:jc w:val="both"/>
        <w:rPr>
          <w:rFonts w:ascii="Times New Roman" w:hAnsi="Times New Roman"/>
          <w:sz w:val="24"/>
          <w:szCs w:val="24"/>
        </w:rPr>
      </w:pPr>
    </w:p>
    <w:p w14:paraId="6FB79399"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b/>
          <w:bCs/>
          <w:sz w:val="24"/>
          <w:szCs w:val="24"/>
        </w:rPr>
        <w:t>Face à ces défis, le Tchad s’est engagé dans plusieurs processus et accords en vue de renforcer la stabilité et la résilience sous-régionale.</w:t>
      </w:r>
      <w:r w:rsidRPr="00DA6E2C">
        <w:rPr>
          <w:rFonts w:ascii="Times New Roman" w:hAnsi="Times New Roman"/>
          <w:sz w:val="24"/>
          <w:szCs w:val="24"/>
        </w:rPr>
        <w:t xml:space="preserve"> Des accords tripartites entre le Soudan, le Tchad et le Haut-Commissariat des Nations Unies pour les Réfugiés ont été signés le 31 mai 2017 pour le rapatriement librement consenti des réfugiés soudanais vivants au Tchad d’une part, et des réfugiés tchadiens résidant au Soudan d’autre part. Selon les données de la situation journalière du Haut-Commissariat des Nations Unies pour les Réfugiés de novembre 2020, depuis 2018 à nos jours 1 760 soudanais qui sont ainsi rentrés volontairement dans leur pays, tandis qu’au total 99 804 tchadiens sont de retours au pays, dont 289 tchadiens retournés volontairement du Soudan en 2019, ce qui porte le nombre total de retournés du Soudan à 5 093 (rapport du Haut-Commissariat des Nations Unies pour les Réfugiés d’octobre 2019). </w:t>
      </w:r>
    </w:p>
    <w:p w14:paraId="70A644AC" w14:textId="77777777" w:rsidR="00DA6E2C" w:rsidRPr="00DA6E2C" w:rsidRDefault="00DA6E2C" w:rsidP="00DA6E2C">
      <w:pPr>
        <w:spacing w:after="0" w:line="240" w:lineRule="auto"/>
        <w:jc w:val="both"/>
        <w:rPr>
          <w:rFonts w:ascii="Times New Roman" w:eastAsia="Times New Roman" w:hAnsi="Times New Roman"/>
          <w:sz w:val="24"/>
          <w:szCs w:val="24"/>
        </w:rPr>
      </w:pPr>
    </w:p>
    <w:p w14:paraId="35A5707F" w14:textId="77777777" w:rsidR="00DA6E2C" w:rsidRPr="00DA6E2C" w:rsidRDefault="00DA6E2C" w:rsidP="00DA6E2C">
      <w:pPr>
        <w:spacing w:after="0" w:line="240" w:lineRule="auto"/>
        <w:jc w:val="both"/>
        <w:rPr>
          <w:rFonts w:ascii="Times New Roman" w:eastAsia="Times New Roman" w:hAnsi="Times New Roman"/>
          <w:sz w:val="24"/>
          <w:szCs w:val="24"/>
        </w:rPr>
      </w:pPr>
      <w:r w:rsidRPr="00DA6E2C">
        <w:rPr>
          <w:rFonts w:ascii="Times New Roman" w:eastAsia="Times New Roman" w:hAnsi="Times New Roman"/>
          <w:sz w:val="24"/>
          <w:szCs w:val="24"/>
        </w:rPr>
        <w:t>Le Tchad soutient l'initiative de relance de l'accord quadripartite entre la Libye, le Soudan, le Niger et le Tchad signé en mai 2018 qui prévoit le déploiement de forces conjointes pour sécuriser leurs frontières communes et lutter contre la criminalité transfrontalière et l'immigration illégale.</w:t>
      </w:r>
    </w:p>
    <w:p w14:paraId="26D99546" w14:textId="77777777" w:rsidR="00DA6E2C" w:rsidRPr="00DA6E2C" w:rsidRDefault="00DA6E2C" w:rsidP="00DA6E2C">
      <w:pPr>
        <w:spacing w:after="0" w:line="240" w:lineRule="auto"/>
        <w:jc w:val="both"/>
        <w:rPr>
          <w:rFonts w:ascii="Times New Roman" w:eastAsia="Times New Roman" w:hAnsi="Times New Roman"/>
          <w:sz w:val="24"/>
          <w:szCs w:val="24"/>
        </w:rPr>
      </w:pPr>
    </w:p>
    <w:p w14:paraId="04406FCE" w14:textId="77777777" w:rsidR="00DA6E2C" w:rsidRPr="00DA6E2C" w:rsidRDefault="00DA6E2C" w:rsidP="00DA6E2C">
      <w:pPr>
        <w:spacing w:after="0" w:line="240" w:lineRule="auto"/>
        <w:jc w:val="both"/>
        <w:rPr>
          <w:rFonts w:ascii="Times New Roman" w:hAnsi="Times New Roman"/>
          <w:sz w:val="24"/>
          <w:szCs w:val="24"/>
        </w:rPr>
      </w:pPr>
      <w:r w:rsidRPr="00DA6E2C">
        <w:rPr>
          <w:rFonts w:ascii="Times New Roman" w:hAnsi="Times New Roman"/>
          <w:sz w:val="24"/>
          <w:szCs w:val="24"/>
        </w:rPr>
        <w:t xml:space="preserve">En plus de son engagement militaire, le Tchad participe également à plusieurs mécanismes de coopération pour le développement de la région et la résilience des populations, notamment la stratégie régionale de stabilisation, de redressement et de résilience des zones du Bassin du Lac Tchad affectées par la crise Boko Haram </w:t>
      </w:r>
      <w:r w:rsidRPr="00DA6E2C">
        <w:rPr>
          <w:rFonts w:ascii="Times New Roman" w:hAnsi="Times New Roman"/>
          <w:sz w:val="24"/>
          <w:szCs w:val="24"/>
          <w:vertAlign w:val="superscript"/>
        </w:rPr>
        <w:footnoteReference w:id="35"/>
      </w:r>
      <w:r w:rsidRPr="00DA6E2C">
        <w:rPr>
          <w:rFonts w:ascii="Times New Roman" w:hAnsi="Times New Roman"/>
          <w:sz w:val="24"/>
          <w:szCs w:val="24"/>
        </w:rPr>
        <w:t xml:space="preserve"> élaborée en 2018 par la Commission du Bassin du Lac Tchad avec l’appui de l’Union Africaine, la Stratégie intégrée des Nations Unies pour le Sahel (SINUS) lancée en 2013 par le Secrétaire Général des Nations Unies, et le Plan de soutien pour le Sahel (2018)</w:t>
      </w:r>
      <w:r w:rsidRPr="00DA6E2C">
        <w:rPr>
          <w:rFonts w:ascii="Times New Roman" w:hAnsi="Times New Roman"/>
          <w:sz w:val="24"/>
          <w:szCs w:val="24"/>
          <w:vertAlign w:val="superscript"/>
        </w:rPr>
        <w:footnoteReference w:id="36"/>
      </w:r>
      <w:r w:rsidRPr="00DA6E2C">
        <w:rPr>
          <w:rFonts w:ascii="Times New Roman" w:hAnsi="Times New Roman"/>
          <w:sz w:val="24"/>
          <w:szCs w:val="24"/>
        </w:rPr>
        <w:t xml:space="preserve"> visant à renforcer la gouvernance, la sécurité et la résilience en vue de l’atteinte des objectifs de développement durable par les pays membres. Ainsi, le Tchad recevra dans le cadre de la SINUS les appuis visant à renforcer la coordination des institutions nationales en charge de lutte contre le terrorisme et crime transnational en lien avec les normes internationales en matière des droits de l’homme. En plus, les approches harmonisées seront développées pour combattre les trafics illicites, assurer les contrôles et mouvements </w:t>
      </w:r>
      <w:r w:rsidRPr="00DA6E2C">
        <w:rPr>
          <w:rFonts w:ascii="Times New Roman" w:hAnsi="Times New Roman"/>
          <w:sz w:val="24"/>
          <w:szCs w:val="24"/>
        </w:rPr>
        <w:lastRenderedPageBreak/>
        <w:t xml:space="preserve">des armes et des éléments criminels, y compris terrorismes afin de renforcer l’application de la résolution 1267 sur l’embargo sur les armes. </w:t>
      </w:r>
    </w:p>
    <w:p w14:paraId="370DEF5A" w14:textId="77777777" w:rsidR="00DA6E2C" w:rsidRPr="00DA6E2C" w:rsidRDefault="00DA6E2C" w:rsidP="00DA6E2C">
      <w:pPr>
        <w:spacing w:after="0" w:line="240" w:lineRule="auto"/>
        <w:jc w:val="both"/>
        <w:rPr>
          <w:rFonts w:ascii="Times New Roman" w:hAnsi="Times New Roman"/>
          <w:sz w:val="24"/>
          <w:szCs w:val="24"/>
        </w:rPr>
      </w:pPr>
    </w:p>
    <w:p w14:paraId="2CA42E68" w14:textId="77777777" w:rsidR="00DA6E2C" w:rsidRPr="00DA6E2C" w:rsidRDefault="00DA6E2C" w:rsidP="00DA6E2C">
      <w:pPr>
        <w:spacing w:after="0" w:line="240" w:lineRule="auto"/>
        <w:jc w:val="both"/>
        <w:rPr>
          <w:rFonts w:ascii="Times New Roman" w:hAnsi="Times New Roman"/>
          <w:sz w:val="24"/>
          <w:szCs w:val="24"/>
        </w:rPr>
      </w:pPr>
      <w:r w:rsidRPr="00DA6E2C">
        <w:rPr>
          <w:rFonts w:ascii="Times New Roman" w:hAnsi="Times New Roman"/>
          <w:sz w:val="24"/>
          <w:szCs w:val="24"/>
        </w:rPr>
        <w:t>Le Tchad est un des Etats membres fondateurs de la Communauté des Etats Sahélo-Sahariens (CEN-SAD) à travers laquelle diverses initiatives sont mises en œuvre pour renforcer l’intégration socio-économique des Etats membres. Il s’agit entre autres de la circulation libre des biens et des personnes et du droit d’établissement dans un Etat membre.</w:t>
      </w:r>
    </w:p>
    <w:p w14:paraId="31951609" w14:textId="77777777" w:rsidR="00DA6E2C" w:rsidRPr="00DA6E2C" w:rsidRDefault="00DA6E2C" w:rsidP="00DA6E2C">
      <w:pPr>
        <w:spacing w:after="0"/>
        <w:jc w:val="both"/>
        <w:rPr>
          <w:rFonts w:ascii="Times New Roman" w:hAnsi="Times New Roman"/>
          <w:sz w:val="24"/>
          <w:szCs w:val="24"/>
        </w:rPr>
      </w:pPr>
    </w:p>
    <w:p w14:paraId="3F7B3155" w14:textId="25B9332C" w:rsidR="00DA6E2C" w:rsidRPr="00DA6E2C" w:rsidRDefault="00DA6E2C" w:rsidP="00DA6E2C">
      <w:pPr>
        <w:spacing w:after="0"/>
        <w:jc w:val="both"/>
        <w:rPr>
          <w:rFonts w:ascii="Times New Roman" w:hAnsi="Times New Roman"/>
          <w:sz w:val="24"/>
          <w:szCs w:val="24"/>
        </w:rPr>
      </w:pPr>
      <w:r w:rsidRPr="00DA6E2C">
        <w:rPr>
          <w:rFonts w:ascii="Times New Roman" w:hAnsi="Times New Roman"/>
          <w:sz w:val="24"/>
          <w:szCs w:val="24"/>
        </w:rPr>
        <w:t>Deux autres espaces de coopération sous-régionaux importants dans lesquels le Tchad s’est engagé sont l’Alliance Sahel et l’Alliance Globale pour l’initiative Résilience à travers lesquels le Tchad et ses voisins partagent des expériences et élaborent des programmes de développement et de résilience face aux changements climatiques et à l’insécurité alimentaire</w:t>
      </w:r>
      <w:r w:rsidR="00E3126F">
        <w:rPr>
          <w:rFonts w:ascii="Times New Roman" w:hAnsi="Times New Roman"/>
          <w:sz w:val="24"/>
          <w:szCs w:val="24"/>
        </w:rPr>
        <w:t xml:space="preserve"> notamment dans le cadre du G5 sahel</w:t>
      </w:r>
      <w:r w:rsidRPr="00DA6E2C">
        <w:rPr>
          <w:rFonts w:ascii="Times New Roman" w:hAnsi="Times New Roman"/>
          <w:sz w:val="24"/>
          <w:szCs w:val="24"/>
        </w:rPr>
        <w:t>.</w:t>
      </w:r>
    </w:p>
    <w:p w14:paraId="74207074" w14:textId="77777777" w:rsidR="00DA6E2C" w:rsidRPr="00DA6E2C" w:rsidRDefault="00DA6E2C" w:rsidP="00DA6E2C">
      <w:pPr>
        <w:spacing w:after="0"/>
        <w:jc w:val="both"/>
        <w:rPr>
          <w:rFonts w:ascii="Times New Roman" w:hAnsi="Times New Roman"/>
          <w:sz w:val="24"/>
          <w:szCs w:val="24"/>
        </w:rPr>
      </w:pPr>
    </w:p>
    <w:p w14:paraId="1B870588" w14:textId="77777777" w:rsidR="00DA6E2C" w:rsidRPr="00DA6E2C" w:rsidRDefault="00DA6E2C" w:rsidP="00DA6E2C">
      <w:pPr>
        <w:spacing w:after="0"/>
        <w:jc w:val="both"/>
        <w:rPr>
          <w:rFonts w:ascii="Times New Roman" w:hAnsi="Times New Roman"/>
          <w:sz w:val="24"/>
          <w:szCs w:val="24"/>
        </w:rPr>
      </w:pPr>
      <w:r w:rsidRPr="00DA6E2C">
        <w:rPr>
          <w:rFonts w:ascii="Times New Roman" w:hAnsi="Times New Roman"/>
          <w:b/>
          <w:bCs/>
          <w:sz w:val="24"/>
          <w:szCs w:val="24"/>
        </w:rPr>
        <w:t xml:space="preserve">Au niveau mondial, le Tchad s’est engagé dans plusieurs processus de protection des personnes vulnérables, notamment les migrants et les réfugiés. </w:t>
      </w:r>
      <w:r w:rsidRPr="00DA6E2C">
        <w:rPr>
          <w:rFonts w:ascii="Times New Roman" w:hAnsi="Times New Roman"/>
          <w:sz w:val="24"/>
          <w:szCs w:val="24"/>
        </w:rPr>
        <w:t>En 2019, le Tchad fut le premier pays au monde à « nationaliser » le Pacte mondial pour des migrations sûres, ordonnées et régulières</w:t>
      </w:r>
      <w:r w:rsidRPr="00DA6E2C">
        <w:rPr>
          <w:rFonts w:ascii="Times New Roman" w:hAnsi="Times New Roman"/>
          <w:b/>
          <w:bCs/>
          <w:sz w:val="16"/>
          <w:szCs w:val="16"/>
        </w:rPr>
        <w:footnoteReference w:id="37"/>
      </w:r>
      <w:r w:rsidRPr="00DA6E2C">
        <w:rPr>
          <w:rFonts w:ascii="Times New Roman" w:hAnsi="Times New Roman"/>
          <w:sz w:val="24"/>
          <w:szCs w:val="24"/>
        </w:rPr>
        <w:t>, réaffirmant ainsi son engagement aux côtés de plus de 160 Etats, pour une meilleure gestion des migrations à travers le monde.</w:t>
      </w:r>
    </w:p>
    <w:p w14:paraId="25EC01C2" w14:textId="77777777" w:rsidR="00DA6E2C" w:rsidRPr="00DA6E2C" w:rsidRDefault="00DA6E2C" w:rsidP="00DA6E2C">
      <w:pPr>
        <w:spacing w:after="0"/>
        <w:jc w:val="both"/>
        <w:rPr>
          <w:rFonts w:ascii="Times New Roman" w:hAnsi="Times New Roman"/>
          <w:sz w:val="24"/>
          <w:szCs w:val="24"/>
        </w:rPr>
      </w:pPr>
    </w:p>
    <w:p w14:paraId="6A0C30A9" w14:textId="77777777" w:rsidR="00DA6E2C" w:rsidRPr="00DA6E2C" w:rsidRDefault="00DA6E2C" w:rsidP="00DA6E2C">
      <w:pPr>
        <w:spacing w:after="0"/>
        <w:jc w:val="both"/>
        <w:rPr>
          <w:rFonts w:ascii="Times New Roman" w:eastAsia="Times New Roman" w:hAnsi="Times New Roman"/>
          <w:sz w:val="24"/>
          <w:szCs w:val="24"/>
        </w:rPr>
      </w:pPr>
      <w:r w:rsidRPr="00DA6E2C">
        <w:rPr>
          <w:rFonts w:ascii="Times New Roman" w:hAnsi="Times New Roman"/>
          <w:sz w:val="24"/>
          <w:szCs w:val="24"/>
        </w:rPr>
        <w:t>E</w:t>
      </w:r>
      <w:r w:rsidRPr="00DA6E2C">
        <w:rPr>
          <w:rFonts w:ascii="Times New Roman" w:eastAsia="Times New Roman" w:hAnsi="Times New Roman"/>
          <w:sz w:val="24"/>
          <w:szCs w:val="24"/>
        </w:rPr>
        <w:t xml:space="preserve">n septembre 2016, le Président de la République du Tchad avait pris part au sommet mondial pour les réfugiés, tenu à New-York au cours duquel a été adoptée la déclaration de New York sur les réfugiés et les migrants. L’Assemblée Générale des Nations-Unies a le 17 décembre 2018 le Pacte Mondial sur les Réfugiés, en incluant le Cadre d’Action Globale pour les Refugies comme partie intégrale. Le 3 mai 2018, la République du Tchad a annoncé sa participation officielle au Cadre d’Action Globale pour les Refugies. </w:t>
      </w:r>
    </w:p>
    <w:p w14:paraId="70B3C4A5" w14:textId="77777777" w:rsidR="00DA6E2C" w:rsidRPr="00DA6E2C" w:rsidRDefault="00DA6E2C" w:rsidP="00DA6E2C">
      <w:pPr>
        <w:spacing w:after="0"/>
        <w:jc w:val="both"/>
        <w:rPr>
          <w:rFonts w:ascii="Times New Roman" w:eastAsia="Times New Roman" w:hAnsi="Times New Roman"/>
          <w:sz w:val="24"/>
          <w:szCs w:val="24"/>
        </w:rPr>
      </w:pPr>
    </w:p>
    <w:p w14:paraId="3B8BD472" w14:textId="77777777" w:rsidR="00DA6E2C" w:rsidRPr="00DA6E2C" w:rsidRDefault="00DA6E2C" w:rsidP="00DA6E2C">
      <w:pPr>
        <w:spacing w:after="0" w:line="240" w:lineRule="auto"/>
        <w:jc w:val="both"/>
        <w:rPr>
          <w:b/>
        </w:rPr>
      </w:pPr>
      <w:r w:rsidRPr="00DA6E2C">
        <w:rPr>
          <w:rFonts w:ascii="Times New Roman" w:hAnsi="Times New Roman"/>
          <w:sz w:val="24"/>
          <w:szCs w:val="24"/>
        </w:rPr>
        <w:t>En plus de l’Agenda 2063 pour lequel le Tchad et ses pays voisins se sont engagés pour la réalisation des objectifs de développement durable (Agenda 2030), le Tchad participe aussi à des accords de partenariats Sud-Sud. En 2019, le Tchad a investi 2,5 millions de dollars pour financer la première phase de Coopération Sud-Sud relative au partage des connaissances, qui fait intervenir des experts et des techniciens vietnamiens à l’appui de la mise en œuvre du Programme national pour la sécurité alimentaire. Aussi, à travers le Centre d’Excellence Régional contre la Faim et la Malnutrition établi en Côte d’Ivoire, le Tchad pourra bénéficier d’un appui spécifique pour l’amélioration de l’accès à la nourriture en milieu scolaire.</w:t>
      </w:r>
    </w:p>
    <w:p w14:paraId="7E61DF78" w14:textId="77777777" w:rsidR="00DA6E2C" w:rsidRPr="00DA6E2C" w:rsidRDefault="00DA6E2C" w:rsidP="00DA6E2C">
      <w:pPr>
        <w:spacing w:after="0" w:line="240" w:lineRule="auto"/>
        <w:jc w:val="both"/>
        <w:rPr>
          <w:rFonts w:ascii="Times New Roman" w:hAnsi="Times New Roman"/>
          <w:sz w:val="24"/>
          <w:szCs w:val="24"/>
        </w:rPr>
      </w:pPr>
    </w:p>
    <w:p w14:paraId="0BC6F86E" w14:textId="77777777" w:rsidR="00DA6E2C" w:rsidRPr="00DA6E2C" w:rsidRDefault="00DA6E2C" w:rsidP="00DA6E2C">
      <w:pPr>
        <w:spacing w:after="0" w:line="240" w:lineRule="auto"/>
        <w:jc w:val="both"/>
        <w:rPr>
          <w:rFonts w:ascii="Times New Roman" w:hAnsi="Times New Roman"/>
          <w:sz w:val="24"/>
          <w:szCs w:val="24"/>
        </w:rPr>
      </w:pPr>
      <w:r w:rsidRPr="00DA6E2C">
        <w:rPr>
          <w:rFonts w:ascii="Times New Roman" w:hAnsi="Times New Roman"/>
          <w:sz w:val="24"/>
          <w:szCs w:val="24"/>
        </w:rPr>
        <w:t xml:space="preserve">La région du Sahel est confrontée à une série de défis persistants, notamment l'insécurité alimentaire et la malnutrition, la croissance démographique, la sécheresse, les inondations et l'épuisement des sols dus au changement climatique, les conflits et l'insécurité à cause des groupes extrémistes et au djihadisme qui menacent la stabilité et la souveraineté des populations et des États. En 2020, la pandémie du COVID-19 ou crise du Coronavirus est venue aggraver la situation déjà difficile. Depuis 2014, les 5 </w:t>
      </w:r>
      <w:r w:rsidRPr="00DA6E2C">
        <w:rPr>
          <w:rFonts w:ascii="Times New Roman" w:hAnsi="Times New Roman"/>
          <w:sz w:val="24"/>
          <w:szCs w:val="24"/>
        </w:rPr>
        <w:lastRenderedPageBreak/>
        <w:t>pays sahéliens (Burkina Faso, Mali, Mauritanie, Niger et Tchad) ont créé le G5 Sahel, un cadre institutionnel pour la coordination de la coopération régionale en matière de politiques de développement et de sécurité.</w:t>
      </w:r>
    </w:p>
    <w:p w14:paraId="6B3554EC" w14:textId="77777777" w:rsidR="00DA6E2C" w:rsidRPr="00DA6E2C" w:rsidRDefault="00DA6E2C" w:rsidP="00DA6E2C">
      <w:pPr>
        <w:spacing w:after="0" w:line="240" w:lineRule="auto"/>
        <w:jc w:val="both"/>
        <w:rPr>
          <w:rFonts w:ascii="Times New Roman" w:hAnsi="Times New Roman"/>
          <w:sz w:val="24"/>
          <w:szCs w:val="24"/>
        </w:rPr>
      </w:pPr>
    </w:p>
    <w:p w14:paraId="7807CE14" w14:textId="27FE2461" w:rsidR="00DA6E2C" w:rsidRPr="00DA6E2C" w:rsidRDefault="00DA6E2C" w:rsidP="00DA6E2C">
      <w:pPr>
        <w:spacing w:after="0" w:line="240" w:lineRule="auto"/>
        <w:jc w:val="both"/>
        <w:rPr>
          <w:rFonts w:ascii="Times New Roman" w:hAnsi="Times New Roman"/>
          <w:sz w:val="24"/>
          <w:szCs w:val="24"/>
        </w:rPr>
      </w:pPr>
      <w:r w:rsidRPr="6BC40FD5">
        <w:rPr>
          <w:rFonts w:ascii="Times New Roman" w:hAnsi="Times New Roman"/>
          <w:sz w:val="24"/>
          <w:szCs w:val="24"/>
        </w:rPr>
        <w:t>Conscient de l’importance de la diaspora, the Tchad a entrepris diverses actions afin de renforcer ses relations avec sa diaspora, notamment dans le domaine des transferts de fonds. Une étude à ce sujet a été réalisée afin de mieux comprendre l’usage des transferts de fonds et capitaliser sur remises migratoires de la diaspora tchadienne pour le développement.</w:t>
      </w:r>
    </w:p>
    <w:p w14:paraId="44647BC8" w14:textId="1CD8BC7E" w:rsidR="00AC5BFE" w:rsidRDefault="00AC5BFE">
      <w:pPr>
        <w:spacing w:after="0" w:line="240" w:lineRule="auto"/>
        <w:rPr>
          <w:rFonts w:ascii="Times New Roman" w:hAnsi="Times New Roman"/>
          <w:b/>
          <w:sz w:val="24"/>
        </w:rPr>
      </w:pPr>
    </w:p>
    <w:p w14:paraId="41C3E24C" w14:textId="77777777" w:rsidR="00DA6E2C" w:rsidRPr="00720B1A" w:rsidRDefault="00DA6E2C">
      <w:pPr>
        <w:spacing w:after="0" w:line="240" w:lineRule="auto"/>
        <w:rPr>
          <w:rFonts w:ascii="Times New Roman" w:hAnsi="Times New Roman"/>
          <w:b/>
          <w:sz w:val="24"/>
        </w:rPr>
      </w:pPr>
    </w:p>
    <w:p w14:paraId="0484AE0F" w14:textId="2DF7D09F" w:rsidR="000369E6" w:rsidRPr="0095279A" w:rsidRDefault="00001EE5" w:rsidP="00BC1AE3">
      <w:pPr>
        <w:pStyle w:val="Titre1"/>
        <w:numPr>
          <w:ilvl w:val="0"/>
          <w:numId w:val="23"/>
        </w:numPr>
        <w:rPr>
          <w:rFonts w:ascii="Times New Roman" w:hAnsi="Times New Roman"/>
          <w:b/>
          <w:bCs/>
        </w:rPr>
      </w:pPr>
      <w:bookmarkStart w:id="161" w:name="_Toc51745210"/>
      <w:bookmarkStart w:id="162" w:name="_Toc55372911"/>
      <w:bookmarkStart w:id="163" w:name="_Toc55539112"/>
      <w:bookmarkStart w:id="164" w:name="_Toc61523588"/>
      <w:bookmarkStart w:id="165" w:name="_Toc90910799"/>
      <w:bookmarkStart w:id="166" w:name="_Hlk55385157"/>
      <w:r w:rsidRPr="0095279A">
        <w:rPr>
          <w:rFonts w:ascii="Times New Roman" w:hAnsi="Times New Roman"/>
          <w:b/>
          <w:bCs/>
        </w:rPr>
        <w:t>FINANCEMENT ET POSSIBILITES DE FINANCEMENT</w:t>
      </w:r>
      <w:bookmarkEnd w:id="161"/>
      <w:bookmarkEnd w:id="162"/>
      <w:bookmarkEnd w:id="163"/>
      <w:bookmarkEnd w:id="164"/>
      <w:bookmarkEnd w:id="165"/>
    </w:p>
    <w:p w14:paraId="2BD27B87" w14:textId="3BEFC4B0" w:rsidR="000369E6" w:rsidRDefault="000369E6" w:rsidP="000369E6">
      <w:pPr>
        <w:spacing w:after="0"/>
        <w:jc w:val="both"/>
        <w:rPr>
          <w:color w:val="000000"/>
        </w:rPr>
      </w:pPr>
    </w:p>
    <w:p w14:paraId="2D1CCD2C" w14:textId="64E7AD8F" w:rsidR="00AC5BFE" w:rsidRPr="00AC5BFE" w:rsidRDefault="00AC5BFE" w:rsidP="00AC5BFE">
      <w:pPr>
        <w:spacing w:after="0"/>
        <w:jc w:val="both"/>
        <w:rPr>
          <w:rFonts w:ascii="Times New Roman" w:hAnsi="Times New Roman"/>
          <w:color w:val="000000"/>
          <w:sz w:val="24"/>
        </w:rPr>
      </w:pPr>
      <w:r w:rsidRPr="00AC5BFE">
        <w:rPr>
          <w:rFonts w:ascii="Times New Roman" w:hAnsi="Times New Roman"/>
          <w:color w:val="000000"/>
          <w:sz w:val="24"/>
        </w:rPr>
        <w:t>Depuis l’adoption des ODD en 2015, le Tchad n’a pas connu une évolution structurelle significative des dépenses en faveur des investissements productifs et sociaux. Les dépenses sécuritaires continuent d’occuper une place prépondérante, en plus des couts importants que font peser l’insécurité et les conflits sur la société. En 2018, les dépenses sociales (éducation, santé et protection sociale) ne représentaient que 16% des dépenses publiques totales, soit 3.3% du PIB. Cette section présente un aperçu du financement de quelques objectifs de développement durable</w:t>
      </w:r>
      <w:r w:rsidR="00463797">
        <w:rPr>
          <w:rFonts w:ascii="Times New Roman" w:hAnsi="Times New Roman"/>
          <w:color w:val="000000"/>
          <w:sz w:val="24"/>
        </w:rPr>
        <w:t xml:space="preserve"> du fait</w:t>
      </w:r>
      <w:r w:rsidRPr="00AC5BFE">
        <w:rPr>
          <w:rFonts w:ascii="Times New Roman" w:hAnsi="Times New Roman"/>
          <w:color w:val="000000"/>
          <w:sz w:val="24"/>
        </w:rPr>
        <w:t xml:space="preserve">, de la disponibilité des données, puis analyse </w:t>
      </w:r>
      <w:r w:rsidR="00463797">
        <w:rPr>
          <w:rFonts w:ascii="Times New Roman" w:hAnsi="Times New Roman"/>
          <w:color w:val="000000"/>
          <w:sz w:val="24"/>
        </w:rPr>
        <w:t xml:space="preserve">les différentes </w:t>
      </w:r>
      <w:r w:rsidRPr="00AC5BFE">
        <w:rPr>
          <w:rFonts w:ascii="Times New Roman" w:hAnsi="Times New Roman"/>
          <w:color w:val="000000"/>
          <w:sz w:val="24"/>
        </w:rPr>
        <w:t>sources potentielles de financement des ODD.</w:t>
      </w:r>
    </w:p>
    <w:p w14:paraId="149ED9F8" w14:textId="77777777" w:rsidR="00AC5BFE" w:rsidRPr="007B01A2" w:rsidRDefault="00AC5BFE" w:rsidP="000369E6">
      <w:pPr>
        <w:spacing w:after="0"/>
        <w:jc w:val="both"/>
        <w:rPr>
          <w:color w:val="000000"/>
        </w:rPr>
      </w:pPr>
    </w:p>
    <w:p w14:paraId="70F407EF" w14:textId="77777777" w:rsidR="0086348B" w:rsidRPr="0086348B" w:rsidRDefault="0086348B" w:rsidP="00BC1AE3">
      <w:pPr>
        <w:pStyle w:val="Paragraphedeliste"/>
        <w:keepNext/>
        <w:keepLines/>
        <w:numPr>
          <w:ilvl w:val="0"/>
          <w:numId w:val="26"/>
        </w:numPr>
        <w:spacing w:after="0" w:line="240" w:lineRule="auto"/>
        <w:contextualSpacing w:val="0"/>
        <w:outlineLvl w:val="1"/>
        <w:rPr>
          <w:rFonts w:ascii="Calibri Light" w:eastAsia="Times New Roman" w:hAnsi="Calibri Light"/>
          <w:b/>
          <w:vanish/>
          <w:color w:val="2F5496"/>
          <w:sz w:val="28"/>
          <w:szCs w:val="28"/>
          <w:lang w:val="fr"/>
        </w:rPr>
      </w:pPr>
      <w:bookmarkStart w:id="167" w:name="_Toc56001517"/>
      <w:bookmarkStart w:id="168" w:name="_Toc56003352"/>
      <w:bookmarkStart w:id="169" w:name="_Toc56003552"/>
      <w:bookmarkStart w:id="170" w:name="_Toc56004295"/>
      <w:bookmarkStart w:id="171" w:name="_Toc61523589"/>
      <w:bookmarkStart w:id="172" w:name="_Toc89948912"/>
      <w:bookmarkStart w:id="173" w:name="_Toc89949078"/>
      <w:bookmarkStart w:id="174" w:name="_Toc89949232"/>
      <w:bookmarkStart w:id="175" w:name="_Toc90910800"/>
      <w:bookmarkEnd w:id="167"/>
      <w:bookmarkEnd w:id="168"/>
      <w:bookmarkEnd w:id="169"/>
      <w:bookmarkEnd w:id="170"/>
      <w:bookmarkEnd w:id="171"/>
      <w:bookmarkEnd w:id="172"/>
      <w:bookmarkEnd w:id="173"/>
      <w:bookmarkEnd w:id="174"/>
      <w:bookmarkEnd w:id="175"/>
    </w:p>
    <w:p w14:paraId="4A3E6530" w14:textId="77777777" w:rsidR="0086348B" w:rsidRPr="0086348B" w:rsidRDefault="0086348B" w:rsidP="00BC1AE3">
      <w:pPr>
        <w:pStyle w:val="Paragraphedeliste"/>
        <w:keepNext/>
        <w:keepLines/>
        <w:numPr>
          <w:ilvl w:val="0"/>
          <w:numId w:val="26"/>
        </w:numPr>
        <w:spacing w:after="0" w:line="240" w:lineRule="auto"/>
        <w:contextualSpacing w:val="0"/>
        <w:outlineLvl w:val="1"/>
        <w:rPr>
          <w:rFonts w:ascii="Calibri Light" w:eastAsia="Times New Roman" w:hAnsi="Calibri Light"/>
          <w:b/>
          <w:vanish/>
          <w:color w:val="2F5496"/>
          <w:sz w:val="28"/>
          <w:szCs w:val="28"/>
          <w:lang w:val="fr"/>
        </w:rPr>
      </w:pPr>
      <w:bookmarkStart w:id="176" w:name="_Toc56001518"/>
      <w:bookmarkStart w:id="177" w:name="_Toc56003353"/>
      <w:bookmarkStart w:id="178" w:name="_Toc56003553"/>
      <w:bookmarkStart w:id="179" w:name="_Toc56004296"/>
      <w:bookmarkStart w:id="180" w:name="_Toc61523590"/>
      <w:bookmarkStart w:id="181" w:name="_Toc89948913"/>
      <w:bookmarkStart w:id="182" w:name="_Toc89949079"/>
      <w:bookmarkStart w:id="183" w:name="_Toc89949233"/>
      <w:bookmarkStart w:id="184" w:name="_Toc90910801"/>
      <w:bookmarkEnd w:id="176"/>
      <w:bookmarkEnd w:id="177"/>
      <w:bookmarkEnd w:id="178"/>
      <w:bookmarkEnd w:id="179"/>
      <w:bookmarkEnd w:id="180"/>
      <w:bookmarkEnd w:id="181"/>
      <w:bookmarkEnd w:id="182"/>
      <w:bookmarkEnd w:id="183"/>
      <w:bookmarkEnd w:id="184"/>
    </w:p>
    <w:p w14:paraId="2483BF74" w14:textId="77777777" w:rsidR="0086348B" w:rsidRPr="0086348B" w:rsidRDefault="0086348B" w:rsidP="00BC1AE3">
      <w:pPr>
        <w:pStyle w:val="Paragraphedeliste"/>
        <w:keepNext/>
        <w:keepLines/>
        <w:numPr>
          <w:ilvl w:val="0"/>
          <w:numId w:val="26"/>
        </w:numPr>
        <w:spacing w:after="0" w:line="240" w:lineRule="auto"/>
        <w:contextualSpacing w:val="0"/>
        <w:outlineLvl w:val="1"/>
        <w:rPr>
          <w:rFonts w:ascii="Calibri Light" w:eastAsia="Times New Roman" w:hAnsi="Calibri Light"/>
          <w:b/>
          <w:vanish/>
          <w:color w:val="2F5496"/>
          <w:sz w:val="28"/>
          <w:szCs w:val="28"/>
          <w:lang w:val="fr"/>
        </w:rPr>
      </w:pPr>
      <w:bookmarkStart w:id="185" w:name="_Toc56001519"/>
      <w:bookmarkStart w:id="186" w:name="_Toc56003354"/>
      <w:bookmarkStart w:id="187" w:name="_Toc56003554"/>
      <w:bookmarkStart w:id="188" w:name="_Toc56004297"/>
      <w:bookmarkStart w:id="189" w:name="_Toc61523591"/>
      <w:bookmarkStart w:id="190" w:name="_Toc89948914"/>
      <w:bookmarkStart w:id="191" w:name="_Toc89949080"/>
      <w:bookmarkStart w:id="192" w:name="_Toc89949234"/>
      <w:bookmarkStart w:id="193" w:name="_Toc90910802"/>
      <w:bookmarkEnd w:id="185"/>
      <w:bookmarkEnd w:id="186"/>
      <w:bookmarkEnd w:id="187"/>
      <w:bookmarkEnd w:id="188"/>
      <w:bookmarkEnd w:id="189"/>
      <w:bookmarkEnd w:id="190"/>
      <w:bookmarkEnd w:id="191"/>
      <w:bookmarkEnd w:id="192"/>
      <w:bookmarkEnd w:id="193"/>
    </w:p>
    <w:p w14:paraId="60DFC650" w14:textId="77777777" w:rsidR="0086348B" w:rsidRPr="0086348B" w:rsidRDefault="0086348B" w:rsidP="00BC1AE3">
      <w:pPr>
        <w:pStyle w:val="Paragraphedeliste"/>
        <w:keepNext/>
        <w:keepLines/>
        <w:numPr>
          <w:ilvl w:val="0"/>
          <w:numId w:val="26"/>
        </w:numPr>
        <w:spacing w:after="0" w:line="240" w:lineRule="auto"/>
        <w:contextualSpacing w:val="0"/>
        <w:outlineLvl w:val="1"/>
        <w:rPr>
          <w:rFonts w:ascii="Calibri Light" w:eastAsia="Times New Roman" w:hAnsi="Calibri Light"/>
          <w:b/>
          <w:vanish/>
          <w:color w:val="2F5496"/>
          <w:sz w:val="28"/>
          <w:szCs w:val="28"/>
          <w:lang w:val="fr"/>
        </w:rPr>
      </w:pPr>
      <w:bookmarkStart w:id="194" w:name="_Toc56001520"/>
      <w:bookmarkStart w:id="195" w:name="_Toc56003355"/>
      <w:bookmarkStart w:id="196" w:name="_Toc56003555"/>
      <w:bookmarkStart w:id="197" w:name="_Toc56004298"/>
      <w:bookmarkStart w:id="198" w:name="_Toc61523592"/>
      <w:bookmarkStart w:id="199" w:name="_Toc89948915"/>
      <w:bookmarkStart w:id="200" w:name="_Toc89949081"/>
      <w:bookmarkStart w:id="201" w:name="_Toc89949235"/>
      <w:bookmarkStart w:id="202" w:name="_Toc90910803"/>
      <w:bookmarkEnd w:id="194"/>
      <w:bookmarkEnd w:id="195"/>
      <w:bookmarkEnd w:id="196"/>
      <w:bookmarkEnd w:id="197"/>
      <w:bookmarkEnd w:id="198"/>
      <w:bookmarkEnd w:id="199"/>
      <w:bookmarkEnd w:id="200"/>
      <w:bookmarkEnd w:id="201"/>
      <w:bookmarkEnd w:id="202"/>
    </w:p>
    <w:p w14:paraId="24AE0300" w14:textId="77777777" w:rsidR="0086348B" w:rsidRPr="0086348B" w:rsidRDefault="0086348B" w:rsidP="00BC1AE3">
      <w:pPr>
        <w:pStyle w:val="Paragraphedeliste"/>
        <w:keepNext/>
        <w:keepLines/>
        <w:numPr>
          <w:ilvl w:val="0"/>
          <w:numId w:val="26"/>
        </w:numPr>
        <w:spacing w:after="0" w:line="240" w:lineRule="auto"/>
        <w:contextualSpacing w:val="0"/>
        <w:outlineLvl w:val="1"/>
        <w:rPr>
          <w:rFonts w:ascii="Calibri Light" w:eastAsia="Times New Roman" w:hAnsi="Calibri Light"/>
          <w:b/>
          <w:vanish/>
          <w:color w:val="2F5496"/>
          <w:sz w:val="28"/>
          <w:szCs w:val="28"/>
          <w:lang w:val="fr"/>
        </w:rPr>
      </w:pPr>
      <w:bookmarkStart w:id="203" w:name="_Toc56001521"/>
      <w:bookmarkStart w:id="204" w:name="_Toc56003356"/>
      <w:bookmarkStart w:id="205" w:name="_Toc56003556"/>
      <w:bookmarkStart w:id="206" w:name="_Toc56004299"/>
      <w:bookmarkStart w:id="207" w:name="_Toc61523593"/>
      <w:bookmarkStart w:id="208" w:name="_Toc89948916"/>
      <w:bookmarkStart w:id="209" w:name="_Toc89949082"/>
      <w:bookmarkStart w:id="210" w:name="_Toc89949236"/>
      <w:bookmarkStart w:id="211" w:name="_Toc90910804"/>
      <w:bookmarkEnd w:id="203"/>
      <w:bookmarkEnd w:id="204"/>
      <w:bookmarkEnd w:id="205"/>
      <w:bookmarkEnd w:id="206"/>
      <w:bookmarkEnd w:id="207"/>
      <w:bookmarkEnd w:id="208"/>
      <w:bookmarkEnd w:id="209"/>
      <w:bookmarkEnd w:id="210"/>
      <w:bookmarkEnd w:id="211"/>
    </w:p>
    <w:p w14:paraId="586C7F35" w14:textId="77777777" w:rsidR="0086348B" w:rsidRPr="0086348B" w:rsidRDefault="0086348B" w:rsidP="00BC1AE3">
      <w:pPr>
        <w:pStyle w:val="Paragraphedeliste"/>
        <w:keepNext/>
        <w:keepLines/>
        <w:numPr>
          <w:ilvl w:val="0"/>
          <w:numId w:val="26"/>
        </w:numPr>
        <w:spacing w:after="0" w:line="240" w:lineRule="auto"/>
        <w:contextualSpacing w:val="0"/>
        <w:outlineLvl w:val="1"/>
        <w:rPr>
          <w:rFonts w:ascii="Calibri Light" w:eastAsia="Times New Roman" w:hAnsi="Calibri Light"/>
          <w:b/>
          <w:vanish/>
          <w:color w:val="2F5496"/>
          <w:sz w:val="28"/>
          <w:szCs w:val="28"/>
          <w:lang w:val="fr"/>
        </w:rPr>
      </w:pPr>
      <w:bookmarkStart w:id="212" w:name="_Toc56001522"/>
      <w:bookmarkStart w:id="213" w:name="_Toc56003357"/>
      <w:bookmarkStart w:id="214" w:name="_Toc56003557"/>
      <w:bookmarkStart w:id="215" w:name="_Toc56004300"/>
      <w:bookmarkStart w:id="216" w:name="_Toc61523594"/>
      <w:bookmarkStart w:id="217" w:name="_Toc89948917"/>
      <w:bookmarkStart w:id="218" w:name="_Toc89949083"/>
      <w:bookmarkStart w:id="219" w:name="_Toc89949237"/>
      <w:bookmarkStart w:id="220" w:name="_Toc90910805"/>
      <w:bookmarkEnd w:id="212"/>
      <w:bookmarkEnd w:id="213"/>
      <w:bookmarkEnd w:id="214"/>
      <w:bookmarkEnd w:id="215"/>
      <w:bookmarkEnd w:id="216"/>
      <w:bookmarkEnd w:id="217"/>
      <w:bookmarkEnd w:id="218"/>
      <w:bookmarkEnd w:id="219"/>
      <w:bookmarkEnd w:id="220"/>
    </w:p>
    <w:p w14:paraId="5292BF48" w14:textId="77777777" w:rsidR="0086348B" w:rsidRPr="0086348B" w:rsidRDefault="0086348B" w:rsidP="00BC1AE3">
      <w:pPr>
        <w:pStyle w:val="Paragraphedeliste"/>
        <w:keepNext/>
        <w:keepLines/>
        <w:numPr>
          <w:ilvl w:val="0"/>
          <w:numId w:val="26"/>
        </w:numPr>
        <w:spacing w:after="0" w:line="240" w:lineRule="auto"/>
        <w:contextualSpacing w:val="0"/>
        <w:outlineLvl w:val="1"/>
        <w:rPr>
          <w:rFonts w:ascii="Calibri Light" w:eastAsia="Times New Roman" w:hAnsi="Calibri Light"/>
          <w:b/>
          <w:vanish/>
          <w:color w:val="2F5496"/>
          <w:sz w:val="28"/>
          <w:szCs w:val="28"/>
          <w:lang w:val="fr"/>
        </w:rPr>
      </w:pPr>
      <w:bookmarkStart w:id="221" w:name="_Toc56001523"/>
      <w:bookmarkStart w:id="222" w:name="_Toc56003358"/>
      <w:bookmarkStart w:id="223" w:name="_Toc56003558"/>
      <w:bookmarkStart w:id="224" w:name="_Toc56004301"/>
      <w:bookmarkStart w:id="225" w:name="_Toc61523595"/>
      <w:bookmarkStart w:id="226" w:name="_Toc89948918"/>
      <w:bookmarkStart w:id="227" w:name="_Toc89949084"/>
      <w:bookmarkStart w:id="228" w:name="_Toc89949238"/>
      <w:bookmarkStart w:id="229" w:name="_Toc90910806"/>
      <w:bookmarkEnd w:id="221"/>
      <w:bookmarkEnd w:id="222"/>
      <w:bookmarkEnd w:id="223"/>
      <w:bookmarkEnd w:id="224"/>
      <w:bookmarkEnd w:id="225"/>
      <w:bookmarkEnd w:id="226"/>
      <w:bookmarkEnd w:id="227"/>
      <w:bookmarkEnd w:id="228"/>
      <w:bookmarkEnd w:id="229"/>
    </w:p>
    <w:p w14:paraId="03F5A7A2" w14:textId="55590146" w:rsidR="0086348B" w:rsidRPr="0086348B" w:rsidRDefault="0086348B" w:rsidP="00BC1AE3">
      <w:pPr>
        <w:keepNext/>
        <w:keepLines/>
        <w:numPr>
          <w:ilvl w:val="1"/>
          <w:numId w:val="26"/>
        </w:numPr>
        <w:spacing w:after="0" w:line="240" w:lineRule="auto"/>
        <w:outlineLvl w:val="1"/>
        <w:rPr>
          <w:rFonts w:ascii="Calibri Light" w:eastAsia="Times New Roman" w:hAnsi="Calibri Light"/>
          <w:b/>
          <w:color w:val="2F5496"/>
          <w:sz w:val="28"/>
          <w:szCs w:val="28"/>
          <w:lang w:val="fr"/>
        </w:rPr>
      </w:pPr>
      <w:bookmarkStart w:id="230" w:name="_Toc61523596"/>
      <w:bookmarkStart w:id="231" w:name="_Toc90910807"/>
      <w:r w:rsidRPr="0086348B">
        <w:rPr>
          <w:rFonts w:ascii="Calibri Light" w:eastAsia="Times New Roman" w:hAnsi="Calibri Light"/>
          <w:b/>
          <w:color w:val="2F5496"/>
          <w:sz w:val="28"/>
          <w:szCs w:val="28"/>
          <w:lang w:val="fr"/>
        </w:rPr>
        <w:t>Financement de quelques objectifs de développement durable</w:t>
      </w:r>
      <w:bookmarkEnd w:id="230"/>
      <w:bookmarkEnd w:id="231"/>
    </w:p>
    <w:p w14:paraId="022CA3FC" w14:textId="77777777" w:rsidR="0086348B" w:rsidRPr="0086348B" w:rsidRDefault="0086348B" w:rsidP="0086348B">
      <w:pPr>
        <w:spacing w:after="0"/>
        <w:jc w:val="both"/>
        <w:rPr>
          <w:rFonts w:ascii="Times New Roman" w:hAnsi="Times New Roman"/>
          <w:b/>
          <w:bCs/>
          <w:color w:val="000000"/>
          <w:sz w:val="24"/>
          <w:szCs w:val="24"/>
        </w:rPr>
      </w:pPr>
    </w:p>
    <w:p w14:paraId="059B9B85" w14:textId="77777777" w:rsidR="0086348B" w:rsidRPr="0086348B" w:rsidRDefault="0086348B" w:rsidP="0086348B">
      <w:pPr>
        <w:jc w:val="both"/>
        <w:rPr>
          <w:rFonts w:ascii="Times New Roman" w:hAnsi="Times New Roman"/>
          <w:b/>
          <w:bCs/>
          <w:color w:val="000000"/>
          <w:sz w:val="24"/>
          <w:szCs w:val="24"/>
        </w:rPr>
      </w:pPr>
      <w:r w:rsidRPr="0086348B">
        <w:rPr>
          <w:rFonts w:ascii="Times New Roman" w:hAnsi="Times New Roman"/>
          <w:b/>
          <w:bCs/>
          <w:color w:val="000000"/>
          <w:sz w:val="24"/>
          <w:szCs w:val="24"/>
        </w:rPr>
        <w:t xml:space="preserve">Secteur Education </w:t>
      </w:r>
    </w:p>
    <w:p w14:paraId="1C3BA23E" w14:textId="77777777" w:rsidR="00AC5BFE" w:rsidRPr="00AC5BFE" w:rsidRDefault="00AC5BFE" w:rsidP="00AC5BFE">
      <w:pPr>
        <w:jc w:val="both"/>
        <w:rPr>
          <w:rFonts w:ascii="Times New Roman" w:hAnsi="Times New Roman"/>
          <w:color w:val="000000"/>
          <w:sz w:val="24"/>
        </w:rPr>
      </w:pPr>
      <w:bookmarkStart w:id="232" w:name="_Toc55922220"/>
      <w:bookmarkStart w:id="233" w:name="_Toc56001526"/>
      <w:bookmarkStart w:id="234" w:name="_Toc56003361"/>
      <w:bookmarkStart w:id="235" w:name="_Toc56003561"/>
      <w:bookmarkStart w:id="236" w:name="_Toc56004304"/>
      <w:bookmarkStart w:id="237" w:name="_Toc61523598"/>
      <w:bookmarkStart w:id="238" w:name="_Toc55539113"/>
      <w:bookmarkEnd w:id="232"/>
      <w:bookmarkEnd w:id="233"/>
      <w:bookmarkEnd w:id="234"/>
      <w:bookmarkEnd w:id="235"/>
      <w:bookmarkEnd w:id="236"/>
      <w:bookmarkEnd w:id="237"/>
      <w:r w:rsidRPr="00AC5BFE">
        <w:rPr>
          <w:rFonts w:ascii="Times New Roman" w:hAnsi="Times New Roman"/>
          <w:color w:val="000000"/>
          <w:sz w:val="24"/>
        </w:rPr>
        <w:t>Les objectifs et cibles retenus en matière d’éducation par le Plan National de Développement 2017-2021 étant aligné à 86% sur l’ODD 4, l’effort budgétaire nécessaire à la réalisation de l’ODD 4 est un bon « indicateur » pour apprécier la pertinence des choix budgétaires en faveur de l’éducation du pays. L’éducation publique est principalement financée par les ressources domestiques mais le financement extérieur a joué également un rôle majeur ces dernières années. En 2017 et 2018, les ressources nationales allouées au secteur de l’éducation pour le fonctionnement représentaient environ 88% du budget de l’éducation et de la formation. Les cotisations des parents constituent la principale source de financement du fonctionnement des établissements scolaires publics et des écoles communautaires.</w:t>
      </w:r>
    </w:p>
    <w:p w14:paraId="36CBEC3B" w14:textId="0BBDA73B"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Une analyse conduite par la Banque Mondiale en 2019 a ressorti que la part des dépenses de l’éducation figurent parmi les plus élevées du budget de l’Etat au Tchad, mais reste erratique et en dessous du niveau minimum de 20% requis par le partenariat mondial pour l’éducation. Le gouvernement du Tchad consacrait près de 21% des dépenses publiques à l’éducation en 2013. Cette part a chuté drastiquement à 8.9% en 2015 avant de remonter à 13% en 2017. Elle a encore chuté de nouveau à 10.6% en 2018. Au titre du budget 2021, les allocations du secteur éducation représentent 12,5% du budget global. L’essentiel de ces dépenses (80%) est consacré aux salaires et dépenses de fonctionnement qui sont aussi essentielles pour la délivrance du service public de l’éducation.</w:t>
      </w:r>
    </w:p>
    <w:p w14:paraId="483266C1" w14:textId="50D57824"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lastRenderedPageBreak/>
        <w:t>Selon une analyse du FMI (Rapport Pays No. 19/259), la réalisation des objectifs cibles en matière d’éducation requiert une augmentation de la dépense par élève de 65%, en le faisant passer de $144 en 2018 à $237 en 2030. En termes d’effort budgétaire, cela reviendra</w:t>
      </w:r>
      <w:r w:rsidR="00650A18">
        <w:rPr>
          <w:rFonts w:ascii="Times New Roman" w:hAnsi="Times New Roman"/>
          <w:color w:val="000000"/>
          <w:sz w:val="24"/>
        </w:rPr>
        <w:t>it</w:t>
      </w:r>
      <w:r w:rsidRPr="00AC5BFE">
        <w:rPr>
          <w:rFonts w:ascii="Times New Roman" w:hAnsi="Times New Roman"/>
          <w:color w:val="000000"/>
          <w:sz w:val="24"/>
        </w:rPr>
        <w:t xml:space="preserve"> à consacrer environ 14% du PIB à l’éducation en 2030 contre 4% en 2018, ce qui f</w:t>
      </w:r>
      <w:r w:rsidR="00650A18">
        <w:rPr>
          <w:rFonts w:ascii="Times New Roman" w:hAnsi="Times New Roman"/>
          <w:color w:val="000000"/>
          <w:sz w:val="24"/>
        </w:rPr>
        <w:t>er</w:t>
      </w:r>
      <w:r w:rsidRPr="00AC5BFE">
        <w:rPr>
          <w:rFonts w:ascii="Times New Roman" w:hAnsi="Times New Roman"/>
          <w:color w:val="000000"/>
          <w:sz w:val="24"/>
        </w:rPr>
        <w:t>ait passer la contribution publique de 2,8% à 10,9%.  Ce niveau de dépenses permettra</w:t>
      </w:r>
      <w:r w:rsidR="00650A18">
        <w:rPr>
          <w:rFonts w:ascii="Times New Roman" w:hAnsi="Times New Roman"/>
          <w:color w:val="000000"/>
          <w:sz w:val="24"/>
        </w:rPr>
        <w:t>it</w:t>
      </w:r>
      <w:r w:rsidRPr="00AC5BFE">
        <w:rPr>
          <w:rFonts w:ascii="Times New Roman" w:hAnsi="Times New Roman"/>
          <w:color w:val="000000"/>
          <w:sz w:val="24"/>
        </w:rPr>
        <w:t xml:space="preserve"> d’atteindre un ratio de 15 élevés par enseignant tout en améliorant l’efficience avec des salaires des enseignants représentant 2.1% du PIB par tête (contre 3.6% actuellement). </w:t>
      </w:r>
    </w:p>
    <w:p w14:paraId="509CD35A" w14:textId="77777777"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Le financement durable du secteur de l’éducation est d’autant plus problématique qu’une part importante de dépenses essentielles comme la couverture des salaires d’enseignants sont prises en charge par des partenaires techniques et financiers. Jusqu’à l’année académique 2019/2020, un financement de la Banque Mondiale, déjà arrivé à terme, permettait de prendre en charge les salaires d’environ 12689 enseignants communautaires et 2985 contractuels. De même l’UNICEF a mobilisé des ressources pour prendre en charge 2290 enseignants. Une bonne partie de ce financement est également clôturée.  En absence d’un effort de budgétisation de ces dépenses par le gouvernement, plus de 800 000 enfants additionnels (avec un ratio de 45 élèves par enseignant) pourraient être laissés pour compte, compromettant significativement l’atteinte de l’ODD 4.</w:t>
      </w:r>
    </w:p>
    <w:p w14:paraId="2B650A59" w14:textId="77777777" w:rsidR="00AC5BFE" w:rsidRPr="00AC5BFE" w:rsidRDefault="00AC5BFE" w:rsidP="00AC5BFE">
      <w:pPr>
        <w:jc w:val="both"/>
        <w:rPr>
          <w:rFonts w:ascii="Times New Roman" w:hAnsi="Times New Roman"/>
          <w:b/>
          <w:bCs/>
          <w:color w:val="000000"/>
          <w:sz w:val="24"/>
        </w:rPr>
      </w:pPr>
      <w:r w:rsidRPr="00AC5BFE">
        <w:rPr>
          <w:rFonts w:ascii="Times New Roman" w:hAnsi="Times New Roman"/>
          <w:b/>
          <w:bCs/>
          <w:color w:val="000000"/>
          <w:sz w:val="24"/>
        </w:rPr>
        <w:t>Secteur Santé</w:t>
      </w:r>
    </w:p>
    <w:p w14:paraId="5E4ACC53" w14:textId="6C68A2AE"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Une revue des dépenses publique conduite par la Banque Mondiale en 201</w:t>
      </w:r>
      <w:r w:rsidR="002D71EA">
        <w:rPr>
          <w:rFonts w:ascii="Times New Roman" w:hAnsi="Times New Roman"/>
          <w:color w:val="000000"/>
          <w:sz w:val="24"/>
        </w:rPr>
        <w:t>9</w:t>
      </w:r>
      <w:r w:rsidRPr="00AC5BFE">
        <w:rPr>
          <w:rFonts w:ascii="Times New Roman" w:hAnsi="Times New Roman"/>
          <w:color w:val="000000"/>
          <w:sz w:val="24"/>
        </w:rPr>
        <w:t xml:space="preserve"> a fait ressortir que la part du budget total de l’Etat consacré à la santé a baissé de 7,5% en 2013 à 4,8% en 2015 avant de remonter à 6,9% en 2019. Les dépenses de santé ont subi une baisse drastique de plus de 50% en passant de de XAF 101 milliards en 2013 à 44 milliards en 2018. Les allocations du Budget 2021 du secteur santé représentent 7,2 % du budget global.</w:t>
      </w:r>
    </w:p>
    <w:p w14:paraId="768D7DBE" w14:textId="66DB2E71"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 xml:space="preserve">Selon une analyse </w:t>
      </w:r>
      <w:r w:rsidR="00BC6FD6">
        <w:rPr>
          <w:rFonts w:ascii="Times New Roman" w:hAnsi="Times New Roman"/>
          <w:color w:val="000000"/>
          <w:sz w:val="24"/>
        </w:rPr>
        <w:t>du</w:t>
      </w:r>
      <w:r w:rsidRPr="00AC5BFE">
        <w:rPr>
          <w:rFonts w:ascii="Times New Roman" w:hAnsi="Times New Roman"/>
          <w:color w:val="000000"/>
          <w:sz w:val="24"/>
        </w:rPr>
        <w:t xml:space="preserve"> FMI </w:t>
      </w:r>
      <w:r w:rsidR="0080692D">
        <w:rPr>
          <w:rFonts w:ascii="Times New Roman" w:hAnsi="Times New Roman"/>
          <w:color w:val="000000"/>
          <w:sz w:val="24"/>
        </w:rPr>
        <w:t>publiée</w:t>
      </w:r>
      <w:r w:rsidR="00BC6FD6">
        <w:rPr>
          <w:rFonts w:ascii="Times New Roman" w:hAnsi="Times New Roman"/>
          <w:color w:val="000000"/>
          <w:sz w:val="24"/>
        </w:rPr>
        <w:t xml:space="preserve"> </w:t>
      </w:r>
      <w:r w:rsidRPr="00AC5BFE">
        <w:rPr>
          <w:rFonts w:ascii="Times New Roman" w:hAnsi="Times New Roman"/>
          <w:color w:val="000000"/>
          <w:sz w:val="24"/>
        </w:rPr>
        <w:t>en jui</w:t>
      </w:r>
      <w:r w:rsidR="00650A18">
        <w:rPr>
          <w:rFonts w:ascii="Times New Roman" w:hAnsi="Times New Roman"/>
          <w:color w:val="000000"/>
          <w:sz w:val="24"/>
        </w:rPr>
        <w:t>llet</w:t>
      </w:r>
      <w:r w:rsidRPr="00AC5BFE">
        <w:rPr>
          <w:rFonts w:ascii="Times New Roman" w:hAnsi="Times New Roman"/>
          <w:color w:val="000000"/>
          <w:sz w:val="24"/>
        </w:rPr>
        <w:t xml:space="preserve"> 2019, les dépenses de santé par tête au Tchad étaient de l’ordre de $130 PPP en 2018, contre $200 pour les pays à faible revenu. Pour réaliser l’ODD 3, il faudrait faire passer les dépenses de santé par tête de 42$ courant en 2018 à 91$ en 2030, soit plus qu’un doublement, ce qui ferait passer l’effort macroéconomique (dépenses de santé dans le PIB) de 4.1% à 10.9% sur la même période, la dépense publique passant elle de 1.9% à 5.6% du PIB. Cet effort permettra</w:t>
      </w:r>
      <w:r w:rsidR="007F3C0D">
        <w:rPr>
          <w:rFonts w:ascii="Times New Roman" w:hAnsi="Times New Roman"/>
          <w:color w:val="000000"/>
          <w:sz w:val="24"/>
        </w:rPr>
        <w:t>it</w:t>
      </w:r>
      <w:r w:rsidRPr="00AC5BFE">
        <w:rPr>
          <w:rFonts w:ascii="Times New Roman" w:hAnsi="Times New Roman"/>
          <w:color w:val="000000"/>
          <w:sz w:val="24"/>
        </w:rPr>
        <w:t xml:space="preserve"> de faire passer le ratio médecins pour 10.000 habitants de 0.4 en 2018 à 9.1 en 2030 et celui des autres professionnels de santé de 5.6 à 42.6 tout en maintenant un niveau efficient de salaire des médecins à 10.4% du PIB par habitant (contre 44% en 2018).</w:t>
      </w:r>
    </w:p>
    <w:p w14:paraId="2D1DC9F3" w14:textId="77777777"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 xml:space="preserve">Le financement extérieur du secteur de la santé représente environ 16% des dépenses de santé et se fait sous forme d’appui (dons et prêts) des Partenaires Techniques et Financiers à travers principalement les projets et programmes. </w:t>
      </w:r>
    </w:p>
    <w:p w14:paraId="6AD946B7" w14:textId="77777777"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 xml:space="preserve">La part du paiement direct des ménages dans la dépense totale de santé n’a pas sensiblement diminué depuis 2000 et est encore très élevée à un niveau de 62% en 2018. Elle est plus de trois fois supérieure à la limite fixée par l’OMS (20%).  </w:t>
      </w:r>
    </w:p>
    <w:p w14:paraId="675F4292" w14:textId="77777777" w:rsidR="003E69EC" w:rsidRDefault="003E69EC" w:rsidP="00AC5BFE">
      <w:pPr>
        <w:jc w:val="both"/>
        <w:rPr>
          <w:rFonts w:ascii="Times New Roman" w:hAnsi="Times New Roman"/>
          <w:color w:val="000000"/>
          <w:sz w:val="24"/>
        </w:rPr>
      </w:pPr>
      <w:r w:rsidRPr="00A8375B">
        <w:rPr>
          <w:rFonts w:ascii="Times New Roman" w:hAnsi="Times New Roman"/>
          <w:noProof/>
          <w:color w:val="000000"/>
          <w:sz w:val="24"/>
          <w:bdr w:val="single" w:sz="4" w:space="0" w:color="auto"/>
        </w:rPr>
        <w:lastRenderedPageBreak/>
        <w:drawing>
          <wp:inline distT="0" distB="0" distL="0" distR="0" wp14:anchorId="294E8648" wp14:editId="448252BF">
            <wp:extent cx="5834380" cy="2743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34380" cy="2743200"/>
                    </a:xfrm>
                    <a:prstGeom prst="rect">
                      <a:avLst/>
                    </a:prstGeom>
                    <a:noFill/>
                  </pic:spPr>
                </pic:pic>
              </a:graphicData>
            </a:graphic>
          </wp:inline>
        </w:drawing>
      </w:r>
    </w:p>
    <w:p w14:paraId="2A583482" w14:textId="77777777" w:rsidR="0055594D" w:rsidRDefault="0055594D" w:rsidP="00AC5BFE">
      <w:pPr>
        <w:jc w:val="both"/>
        <w:rPr>
          <w:rFonts w:ascii="Times New Roman" w:hAnsi="Times New Roman"/>
          <w:color w:val="000000"/>
          <w:sz w:val="24"/>
        </w:rPr>
      </w:pPr>
    </w:p>
    <w:p w14:paraId="532620CC" w14:textId="77777777" w:rsidR="0055594D" w:rsidRPr="0055594D" w:rsidRDefault="0055594D" w:rsidP="0055594D">
      <w:pPr>
        <w:autoSpaceDE w:val="0"/>
        <w:autoSpaceDN w:val="0"/>
        <w:adjustRightInd w:val="0"/>
        <w:spacing w:after="120" w:line="240" w:lineRule="auto"/>
        <w:jc w:val="both"/>
        <w:rPr>
          <w:rFonts w:ascii="Times New Roman" w:hAnsi="Times New Roman" w:cs="Arial"/>
          <w:color w:val="000000"/>
          <w:sz w:val="24"/>
        </w:rPr>
      </w:pPr>
      <w:r w:rsidRPr="0055594D">
        <w:rPr>
          <w:rFonts w:ascii="Times New Roman" w:hAnsi="Times New Roman"/>
          <w:color w:val="000000"/>
          <w:sz w:val="24"/>
        </w:rPr>
        <w:t xml:space="preserve">L’analyse de la situation de financement </w:t>
      </w:r>
      <w:r w:rsidRPr="0055594D">
        <w:rPr>
          <w:rFonts w:ascii="Times New Roman" w:hAnsi="Times New Roman"/>
          <w:color w:val="000000"/>
          <w:sz w:val="24"/>
          <w:szCs w:val="24"/>
        </w:rPr>
        <w:t xml:space="preserve">du secteur de la santé </w:t>
      </w:r>
      <w:r w:rsidRPr="0055594D">
        <w:rPr>
          <w:rFonts w:ascii="Times New Roman" w:hAnsi="Times New Roman"/>
          <w:color w:val="000000"/>
          <w:sz w:val="24"/>
        </w:rPr>
        <w:t>fait ressortir plusieurs problèmes notamment :</w:t>
      </w:r>
    </w:p>
    <w:p w14:paraId="6825DFFB" w14:textId="77777777" w:rsidR="0055594D" w:rsidRDefault="0055594D" w:rsidP="00AC5BFE">
      <w:pPr>
        <w:jc w:val="both"/>
        <w:rPr>
          <w:rFonts w:ascii="Times New Roman" w:hAnsi="Times New Roman"/>
          <w:color w:val="000000"/>
          <w:sz w:val="24"/>
        </w:rPr>
      </w:pPr>
    </w:p>
    <w:p w14:paraId="5355FA50" w14:textId="14E31EEB" w:rsidR="00AC5BFE" w:rsidRPr="0055594D" w:rsidRDefault="00AC5BFE" w:rsidP="00BC1AE3">
      <w:pPr>
        <w:pStyle w:val="Paragraphedeliste"/>
        <w:numPr>
          <w:ilvl w:val="0"/>
          <w:numId w:val="43"/>
        </w:numPr>
        <w:jc w:val="both"/>
        <w:rPr>
          <w:rFonts w:ascii="Times New Roman" w:hAnsi="Times New Roman"/>
          <w:color w:val="000000"/>
          <w:sz w:val="24"/>
        </w:rPr>
      </w:pPr>
      <w:r w:rsidRPr="0055594D">
        <w:rPr>
          <w:rFonts w:ascii="Times New Roman" w:hAnsi="Times New Roman"/>
          <w:color w:val="000000"/>
          <w:sz w:val="24"/>
        </w:rPr>
        <w:t>La faible allocation autour de 7% du budget, par rapport aux engagements internationaux (déclaration d’Abuja d’affectation de 15% du budget général de l’Etat et les objectifs de développement durable) ;</w:t>
      </w:r>
    </w:p>
    <w:p w14:paraId="2470B0FF" w14:textId="77777777" w:rsidR="00AC5BFE" w:rsidRPr="0055594D" w:rsidRDefault="00AC5BFE" w:rsidP="00BC1AE3">
      <w:pPr>
        <w:pStyle w:val="Paragraphedeliste"/>
        <w:numPr>
          <w:ilvl w:val="0"/>
          <w:numId w:val="43"/>
        </w:numPr>
        <w:jc w:val="both"/>
        <w:rPr>
          <w:rFonts w:ascii="Times New Roman" w:hAnsi="Times New Roman"/>
          <w:color w:val="000000"/>
          <w:sz w:val="24"/>
        </w:rPr>
      </w:pPr>
      <w:r w:rsidRPr="0055594D">
        <w:rPr>
          <w:rFonts w:ascii="Times New Roman" w:hAnsi="Times New Roman"/>
          <w:color w:val="000000"/>
          <w:sz w:val="24"/>
        </w:rPr>
        <w:t xml:space="preserve">Il existe un gap de financement significatif dégageant des besoins de financement colossaux ;  </w:t>
      </w:r>
    </w:p>
    <w:p w14:paraId="1242E9A0" w14:textId="77777777" w:rsidR="00AC5BFE" w:rsidRPr="0055594D" w:rsidRDefault="00AC5BFE" w:rsidP="00BC1AE3">
      <w:pPr>
        <w:pStyle w:val="Paragraphedeliste"/>
        <w:numPr>
          <w:ilvl w:val="0"/>
          <w:numId w:val="43"/>
        </w:numPr>
        <w:jc w:val="both"/>
        <w:rPr>
          <w:rFonts w:ascii="Times New Roman" w:hAnsi="Times New Roman"/>
          <w:color w:val="000000"/>
          <w:sz w:val="24"/>
        </w:rPr>
      </w:pPr>
      <w:r w:rsidRPr="0055594D">
        <w:rPr>
          <w:rFonts w:ascii="Times New Roman" w:hAnsi="Times New Roman"/>
          <w:color w:val="000000"/>
          <w:sz w:val="24"/>
        </w:rPr>
        <w:t xml:space="preserve">L’affectation des ressources financières aux provinces et aux districts ne se fait pas de manière équitable. En effet, il n’existe pas de critères ou clé de répartition des ressources (domestiques et extérieures) qui permettraient de favoriser l’équité dans l’offre et l’utilisation des services entre provinces et districts. </w:t>
      </w:r>
    </w:p>
    <w:p w14:paraId="2C096170" w14:textId="4C89BF25" w:rsidR="00AC5BFE" w:rsidRPr="0055594D" w:rsidRDefault="00AC5BFE" w:rsidP="00BC1AE3">
      <w:pPr>
        <w:pStyle w:val="Paragraphedeliste"/>
        <w:numPr>
          <w:ilvl w:val="0"/>
          <w:numId w:val="43"/>
        </w:numPr>
        <w:jc w:val="both"/>
        <w:rPr>
          <w:rFonts w:ascii="Times New Roman" w:hAnsi="Times New Roman"/>
          <w:color w:val="000000"/>
          <w:sz w:val="24"/>
        </w:rPr>
      </w:pPr>
      <w:r w:rsidRPr="0055594D">
        <w:rPr>
          <w:rFonts w:ascii="Times New Roman" w:hAnsi="Times New Roman"/>
          <w:color w:val="000000"/>
          <w:sz w:val="24"/>
        </w:rPr>
        <w:t>Une inefficience dans l’utilisation des ressources avec la part des salaires qui s’élèvent à 44% du PIB par tête contre 10.4% pour les pays à faible revenu qui présent de meilleurs résultats que le Tchad</w:t>
      </w:r>
      <w:r w:rsidR="003E69EC" w:rsidRPr="0055594D">
        <w:rPr>
          <w:rFonts w:ascii="Times New Roman" w:hAnsi="Times New Roman"/>
          <w:color w:val="000000"/>
          <w:sz w:val="24"/>
        </w:rPr>
        <w:t>.</w:t>
      </w:r>
    </w:p>
    <w:p w14:paraId="7EEBD602" w14:textId="77777777" w:rsidR="00AC5BFE" w:rsidRPr="00AC5BFE" w:rsidRDefault="00AC5BFE" w:rsidP="00AC5BFE">
      <w:pPr>
        <w:jc w:val="both"/>
        <w:rPr>
          <w:rFonts w:ascii="Times New Roman" w:hAnsi="Times New Roman"/>
          <w:color w:val="000000"/>
          <w:sz w:val="24"/>
        </w:rPr>
      </w:pPr>
    </w:p>
    <w:p w14:paraId="387E0024" w14:textId="77777777" w:rsidR="00AC5BFE" w:rsidRPr="00AC5BFE" w:rsidRDefault="00AC5BFE" w:rsidP="00AC5BFE">
      <w:pPr>
        <w:jc w:val="both"/>
        <w:rPr>
          <w:rFonts w:ascii="Times New Roman" w:hAnsi="Times New Roman"/>
          <w:b/>
          <w:bCs/>
          <w:color w:val="000000"/>
          <w:sz w:val="24"/>
        </w:rPr>
      </w:pPr>
      <w:r w:rsidRPr="00AC5BFE">
        <w:rPr>
          <w:rFonts w:ascii="Times New Roman" w:hAnsi="Times New Roman"/>
          <w:b/>
          <w:bCs/>
          <w:color w:val="000000"/>
          <w:sz w:val="24"/>
        </w:rPr>
        <w:t>Secteur Agriculture</w:t>
      </w:r>
    </w:p>
    <w:p w14:paraId="54D830D4" w14:textId="77777777"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 xml:space="preserve">Selon le rapport de la revue des dépenses publiques du secteur agricole et alimentaire allégée (RDPAA) 2021, les dépenses publiques en soutien à l’agriculture et l’alimentation (DPAA) financées par l’Etat, sont passées de 25,16 milliards de FCFA en 2017 à 45,47 milliards de FCFA en 2018 avant de se situer à 57,46 milliards de FCFA en 2019, soit un taux de croissance annuel moyen de 51,12%. Quant aux dépenses des PTF (inscrites dans le budget public), elles sont passées de 96,23 milliards de FCFA en 2017 à 68,90 milliards de FCFA en 2018 puis à 64,13 milliards de FCFA en 2019. Elles sont </w:t>
      </w:r>
      <w:r w:rsidRPr="00AC5BFE">
        <w:rPr>
          <w:rFonts w:ascii="Times New Roman" w:hAnsi="Times New Roman"/>
          <w:color w:val="000000"/>
          <w:sz w:val="24"/>
        </w:rPr>
        <w:lastRenderedPageBreak/>
        <w:t xml:space="preserve">essentiellement constituées de dons/projets (52,56%) contre 47,44% de prêts/projets en moyenne sur la période 2017-2019. </w:t>
      </w:r>
    </w:p>
    <w:p w14:paraId="04D6275C" w14:textId="7E1F2B5D" w:rsidR="00AC5BFE" w:rsidRDefault="00AC5BFE" w:rsidP="00AC5BFE">
      <w:pPr>
        <w:jc w:val="both"/>
        <w:rPr>
          <w:rFonts w:ascii="Times New Roman" w:hAnsi="Times New Roman"/>
          <w:color w:val="000000"/>
          <w:sz w:val="24"/>
        </w:rPr>
      </w:pPr>
      <w:r w:rsidRPr="00AC5BFE">
        <w:rPr>
          <w:rFonts w:ascii="Times New Roman" w:hAnsi="Times New Roman"/>
          <w:color w:val="000000"/>
          <w:sz w:val="24"/>
        </w:rPr>
        <w:t xml:space="preserve">L’analyse de perspectives de financement des dépenses identifie plusieurs sources différentes, dont la principale reste la mobilisation des ressources domestiques en faisant appel aux différents secteurs (public, privé), le maintien de l’aide budgétaire et une mobilisation accrue des fonds mondiaux et des partenaires sud-sud.  Cependant, les perspectives du côté des Partenariats Publics-Privés et des autres sources de financement privé sont moins fortes, compte tenu de leurs coûts, risques et autres exigences de forte gestion des projets, selon l’expérience d’autres Pays à Faibles Revenus. </w:t>
      </w:r>
    </w:p>
    <w:p w14:paraId="495D79DE" w14:textId="77777777" w:rsidR="00AC5BFE" w:rsidRDefault="00AC5BFE" w:rsidP="00AC5BFE">
      <w:pPr>
        <w:keepNext/>
        <w:keepLines/>
        <w:spacing w:after="0" w:line="240" w:lineRule="auto"/>
        <w:outlineLvl w:val="1"/>
        <w:rPr>
          <w:rFonts w:ascii="Calibri Light" w:eastAsia="Times New Roman" w:hAnsi="Calibri Light"/>
          <w:b/>
          <w:color w:val="2F5496"/>
          <w:sz w:val="28"/>
          <w:szCs w:val="28"/>
          <w:lang w:val="fr"/>
        </w:rPr>
      </w:pPr>
      <w:bookmarkStart w:id="239" w:name="_Toc55922221"/>
      <w:bookmarkStart w:id="240" w:name="_Toc56001527"/>
      <w:bookmarkStart w:id="241" w:name="_Toc56003362"/>
      <w:bookmarkStart w:id="242" w:name="_Toc56003562"/>
      <w:bookmarkStart w:id="243" w:name="_Toc56004305"/>
      <w:bookmarkStart w:id="244" w:name="_Toc61523599"/>
      <w:bookmarkStart w:id="245" w:name="_Toc55922222"/>
      <w:bookmarkStart w:id="246" w:name="_Toc56001528"/>
      <w:bookmarkStart w:id="247" w:name="_Toc56003363"/>
      <w:bookmarkStart w:id="248" w:name="_Toc56003563"/>
      <w:bookmarkStart w:id="249" w:name="_Toc56004306"/>
      <w:bookmarkStart w:id="250" w:name="_Toc61523600"/>
      <w:bookmarkStart w:id="251" w:name="_Toc55922223"/>
      <w:bookmarkStart w:id="252" w:name="_Toc56001529"/>
      <w:bookmarkStart w:id="253" w:name="_Toc56003364"/>
      <w:bookmarkStart w:id="254" w:name="_Toc56003564"/>
      <w:bookmarkStart w:id="255" w:name="_Toc56004307"/>
      <w:bookmarkStart w:id="256" w:name="_Toc61523601"/>
      <w:bookmarkStart w:id="257" w:name="_Toc55922224"/>
      <w:bookmarkStart w:id="258" w:name="_Toc56001530"/>
      <w:bookmarkStart w:id="259" w:name="_Toc56003365"/>
      <w:bookmarkStart w:id="260" w:name="_Toc56003565"/>
      <w:bookmarkStart w:id="261" w:name="_Toc56004308"/>
      <w:bookmarkStart w:id="262" w:name="_Toc61523602"/>
      <w:bookmarkStart w:id="263" w:name="_Toc55922225"/>
      <w:bookmarkStart w:id="264" w:name="_Toc56001531"/>
      <w:bookmarkStart w:id="265" w:name="_Toc56003366"/>
      <w:bookmarkStart w:id="266" w:name="_Toc56003566"/>
      <w:bookmarkStart w:id="267" w:name="_Toc56004309"/>
      <w:bookmarkStart w:id="268" w:name="_Toc61523603"/>
      <w:bookmarkStart w:id="269" w:name="_Toc55922226"/>
      <w:bookmarkStart w:id="270" w:name="_Toc56001532"/>
      <w:bookmarkStart w:id="271" w:name="_Toc56003367"/>
      <w:bookmarkStart w:id="272" w:name="_Toc56003567"/>
      <w:bookmarkStart w:id="273" w:name="_Toc56004310"/>
      <w:bookmarkStart w:id="274" w:name="_Toc61523604"/>
      <w:bookmarkEnd w:id="166"/>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14:paraId="5680CF4F" w14:textId="30AF1FA3" w:rsidR="00AC5BFE" w:rsidRPr="00AC5BFE" w:rsidRDefault="00AC5BFE" w:rsidP="00AC5BFE">
      <w:pPr>
        <w:keepNext/>
        <w:keepLines/>
        <w:spacing w:after="0" w:line="240" w:lineRule="auto"/>
        <w:outlineLvl w:val="1"/>
        <w:rPr>
          <w:rFonts w:ascii="Calibri Light" w:eastAsia="Times New Roman" w:hAnsi="Calibri Light"/>
          <w:b/>
          <w:color w:val="2F5496"/>
          <w:sz w:val="28"/>
          <w:szCs w:val="28"/>
          <w:lang w:val="fr"/>
        </w:rPr>
      </w:pPr>
      <w:bookmarkStart w:id="275" w:name="_Toc90910808"/>
      <w:r w:rsidRPr="00AC5BFE">
        <w:rPr>
          <w:rFonts w:ascii="Calibri Light" w:eastAsia="Times New Roman" w:hAnsi="Calibri Light"/>
          <w:b/>
          <w:color w:val="2F5496"/>
          <w:sz w:val="28"/>
          <w:szCs w:val="28"/>
          <w:lang w:val="fr"/>
        </w:rPr>
        <w:t>7.2.</w:t>
      </w:r>
      <w:r w:rsidRPr="00AC5BFE">
        <w:rPr>
          <w:rFonts w:ascii="Calibri Light" w:eastAsia="Times New Roman" w:hAnsi="Calibri Light"/>
          <w:b/>
          <w:color w:val="2F5496"/>
          <w:sz w:val="28"/>
          <w:szCs w:val="28"/>
          <w:lang w:val="fr"/>
        </w:rPr>
        <w:tab/>
        <w:t>Sources potentielles de financement des objectifs de développement durable</w:t>
      </w:r>
      <w:bookmarkEnd w:id="275"/>
      <w:r w:rsidRPr="00AC5BFE">
        <w:rPr>
          <w:rFonts w:ascii="Calibri Light" w:eastAsia="Times New Roman" w:hAnsi="Calibri Light"/>
          <w:b/>
          <w:color w:val="2F5496"/>
          <w:sz w:val="28"/>
          <w:szCs w:val="28"/>
          <w:lang w:val="fr"/>
        </w:rPr>
        <w:t xml:space="preserve"> </w:t>
      </w:r>
    </w:p>
    <w:p w14:paraId="269DF765" w14:textId="77777777" w:rsidR="00AC5BFE" w:rsidRPr="00AC5BFE" w:rsidRDefault="00AC5BFE" w:rsidP="00AC5BFE">
      <w:pPr>
        <w:spacing w:after="0" w:line="240" w:lineRule="auto"/>
        <w:rPr>
          <w:rFonts w:ascii="Times New Roman" w:hAnsi="Times New Roman"/>
          <w:color w:val="000000"/>
          <w:sz w:val="24"/>
        </w:rPr>
      </w:pPr>
    </w:p>
    <w:p w14:paraId="335CFB9A" w14:textId="22113DC8" w:rsidR="00127C06" w:rsidRPr="00A8375B" w:rsidRDefault="00127C06" w:rsidP="00A8375B">
      <w:pPr>
        <w:jc w:val="both"/>
        <w:rPr>
          <w:rFonts w:ascii="Times New Roman" w:hAnsi="Times New Roman"/>
          <w:sz w:val="24"/>
        </w:rPr>
      </w:pPr>
      <w:r>
        <w:rPr>
          <w:rFonts w:ascii="Times New Roman" w:hAnsi="Times New Roman"/>
          <w:sz w:val="24"/>
          <w:szCs w:val="24"/>
        </w:rPr>
        <w:t xml:space="preserve">Dans le cadre de la mise en œuvre du Plan </w:t>
      </w:r>
      <w:r w:rsidR="0055740A">
        <w:rPr>
          <w:rFonts w:ascii="Times New Roman" w:hAnsi="Times New Roman"/>
          <w:sz w:val="24"/>
          <w:szCs w:val="24"/>
        </w:rPr>
        <w:t>N</w:t>
      </w:r>
      <w:r>
        <w:rPr>
          <w:rFonts w:ascii="Times New Roman" w:hAnsi="Times New Roman"/>
          <w:sz w:val="24"/>
          <w:szCs w:val="24"/>
        </w:rPr>
        <w:t xml:space="preserve">ational de </w:t>
      </w:r>
      <w:r w:rsidR="0055740A">
        <w:rPr>
          <w:rFonts w:ascii="Times New Roman" w:hAnsi="Times New Roman"/>
          <w:sz w:val="24"/>
          <w:szCs w:val="24"/>
        </w:rPr>
        <w:t>D</w:t>
      </w:r>
      <w:r>
        <w:rPr>
          <w:rFonts w:ascii="Times New Roman" w:hAnsi="Times New Roman"/>
          <w:sz w:val="24"/>
          <w:szCs w:val="24"/>
        </w:rPr>
        <w:t xml:space="preserve">éveloppement (PND) 2017-2021 en lien avec les ODD, la </w:t>
      </w:r>
      <w:r w:rsidRPr="00127C06">
        <w:rPr>
          <w:rFonts w:ascii="Times New Roman" w:hAnsi="Times New Roman"/>
          <w:sz w:val="24"/>
          <w:szCs w:val="24"/>
        </w:rPr>
        <w:t xml:space="preserve">stratégie de mobilisation </w:t>
      </w:r>
      <w:r w:rsidRPr="00A8375B">
        <w:rPr>
          <w:rFonts w:ascii="Times New Roman" w:hAnsi="Times New Roman"/>
          <w:sz w:val="24"/>
        </w:rPr>
        <w:t xml:space="preserve">des </w:t>
      </w:r>
      <w:r w:rsidRPr="00127C06">
        <w:rPr>
          <w:rFonts w:ascii="Times New Roman" w:hAnsi="Times New Roman"/>
          <w:sz w:val="24"/>
          <w:szCs w:val="24"/>
        </w:rPr>
        <w:t xml:space="preserve">ressources pour financer </w:t>
      </w:r>
      <w:r>
        <w:rPr>
          <w:rFonts w:ascii="Times New Roman" w:hAnsi="Times New Roman"/>
          <w:sz w:val="24"/>
          <w:szCs w:val="24"/>
        </w:rPr>
        <w:t xml:space="preserve">les ODD </w:t>
      </w:r>
      <w:r w:rsidRPr="00127C06">
        <w:rPr>
          <w:rFonts w:ascii="Times New Roman" w:hAnsi="Times New Roman"/>
          <w:sz w:val="24"/>
          <w:szCs w:val="24"/>
        </w:rPr>
        <w:t>cible</w:t>
      </w:r>
      <w:r w:rsidRPr="00A8375B">
        <w:rPr>
          <w:rFonts w:ascii="Times New Roman" w:hAnsi="Times New Roman"/>
          <w:sz w:val="24"/>
        </w:rPr>
        <w:t xml:space="preserve"> les ressources </w:t>
      </w:r>
      <w:r w:rsidR="00095E2B">
        <w:rPr>
          <w:rFonts w:ascii="Times New Roman" w:hAnsi="Times New Roman"/>
          <w:sz w:val="24"/>
          <w:szCs w:val="24"/>
        </w:rPr>
        <w:t>domestiques</w:t>
      </w:r>
      <w:r w:rsidRPr="00127C06">
        <w:rPr>
          <w:rFonts w:ascii="Times New Roman" w:hAnsi="Times New Roman"/>
          <w:sz w:val="24"/>
          <w:szCs w:val="24"/>
        </w:rPr>
        <w:t xml:space="preserve"> </w:t>
      </w:r>
      <w:r>
        <w:rPr>
          <w:rFonts w:ascii="Times New Roman" w:hAnsi="Times New Roman"/>
          <w:sz w:val="24"/>
          <w:szCs w:val="24"/>
        </w:rPr>
        <w:t xml:space="preserve">et </w:t>
      </w:r>
      <w:r w:rsidRPr="00A8375B">
        <w:rPr>
          <w:rFonts w:ascii="Times New Roman" w:hAnsi="Times New Roman"/>
          <w:sz w:val="24"/>
        </w:rPr>
        <w:t>ext</w:t>
      </w:r>
      <w:r w:rsidR="00095E2B" w:rsidRPr="00A8375B">
        <w:rPr>
          <w:rFonts w:ascii="Times New Roman" w:hAnsi="Times New Roman"/>
          <w:sz w:val="24"/>
        </w:rPr>
        <w:t>ernes</w:t>
      </w:r>
      <w:r>
        <w:rPr>
          <w:rFonts w:ascii="Times New Roman" w:hAnsi="Times New Roman"/>
          <w:sz w:val="24"/>
          <w:szCs w:val="24"/>
        </w:rPr>
        <w:t xml:space="preserve">. </w:t>
      </w:r>
      <w:r w:rsidRPr="00F125E0">
        <w:rPr>
          <w:rFonts w:ascii="Times New Roman" w:hAnsi="Times New Roman"/>
          <w:sz w:val="24"/>
          <w:szCs w:val="24"/>
        </w:rPr>
        <w:t xml:space="preserve"> </w:t>
      </w:r>
      <w:r w:rsidRPr="00127C06">
        <w:rPr>
          <w:rFonts w:ascii="Times New Roman" w:hAnsi="Times New Roman" w:cs="Calibri"/>
          <w:sz w:val="24"/>
          <w:szCs w:val="24"/>
        </w:rPr>
        <w:t xml:space="preserve">Les ressources </w:t>
      </w:r>
      <w:r w:rsidR="00095E2B">
        <w:rPr>
          <w:rFonts w:ascii="Times New Roman" w:hAnsi="Times New Roman" w:cs="Calibri"/>
          <w:sz w:val="24"/>
          <w:szCs w:val="24"/>
        </w:rPr>
        <w:t>domestiques</w:t>
      </w:r>
      <w:r w:rsidRPr="00127C06">
        <w:rPr>
          <w:rFonts w:ascii="Times New Roman" w:hAnsi="Times New Roman" w:cs="Calibri"/>
          <w:sz w:val="24"/>
          <w:szCs w:val="24"/>
        </w:rPr>
        <w:t xml:space="preserve"> provien</w:t>
      </w:r>
      <w:r>
        <w:rPr>
          <w:rFonts w:ascii="Times New Roman" w:hAnsi="Times New Roman"/>
        </w:rPr>
        <w:t>nent</w:t>
      </w:r>
      <w:r w:rsidRPr="00127C06">
        <w:rPr>
          <w:rFonts w:ascii="Times New Roman" w:hAnsi="Times New Roman" w:cs="Calibri"/>
          <w:sz w:val="24"/>
          <w:szCs w:val="24"/>
        </w:rPr>
        <w:t xml:space="preserve"> des recettes fiscales, des recettes non fiscales et des recettes en capital. </w:t>
      </w:r>
      <w:r>
        <w:rPr>
          <w:rFonts w:ascii="Times New Roman" w:hAnsi="Times New Roman"/>
        </w:rPr>
        <w:t xml:space="preserve">Quant aux </w:t>
      </w:r>
      <w:r w:rsidRPr="00127C06">
        <w:rPr>
          <w:rFonts w:ascii="Times New Roman" w:hAnsi="Times New Roman" w:cs="Calibri"/>
          <w:sz w:val="24"/>
          <w:szCs w:val="24"/>
        </w:rPr>
        <w:t>ressources ext</w:t>
      </w:r>
      <w:r w:rsidR="00095E2B">
        <w:rPr>
          <w:rFonts w:ascii="Times New Roman" w:hAnsi="Times New Roman"/>
        </w:rPr>
        <w:t>ernes</w:t>
      </w:r>
      <w:r>
        <w:rPr>
          <w:rFonts w:ascii="Times New Roman" w:hAnsi="Times New Roman"/>
        </w:rPr>
        <w:t>, elles s</w:t>
      </w:r>
      <w:r w:rsidR="0055740A">
        <w:rPr>
          <w:rFonts w:ascii="Times New Roman" w:hAnsi="Times New Roman"/>
        </w:rPr>
        <w:t>ont</w:t>
      </w:r>
      <w:r>
        <w:rPr>
          <w:rFonts w:ascii="Times New Roman" w:hAnsi="Times New Roman"/>
        </w:rPr>
        <w:t xml:space="preserve"> mobilisées à travers les </w:t>
      </w:r>
      <w:r w:rsidRPr="00127C06">
        <w:rPr>
          <w:rFonts w:ascii="Times New Roman" w:hAnsi="Times New Roman" w:cs="Calibri"/>
          <w:sz w:val="24"/>
          <w:szCs w:val="24"/>
        </w:rPr>
        <w:t>partenaires bilatéraux</w:t>
      </w:r>
      <w:r>
        <w:rPr>
          <w:rFonts w:ascii="Times New Roman" w:hAnsi="Times New Roman"/>
        </w:rPr>
        <w:t xml:space="preserve"> et </w:t>
      </w:r>
      <w:r w:rsidRPr="00127C06">
        <w:rPr>
          <w:rFonts w:ascii="Times New Roman" w:hAnsi="Times New Roman" w:cs="Calibri"/>
          <w:sz w:val="24"/>
          <w:szCs w:val="24"/>
        </w:rPr>
        <w:t xml:space="preserve">multilatéraux </w:t>
      </w:r>
      <w:r>
        <w:rPr>
          <w:rFonts w:ascii="Times New Roman" w:hAnsi="Times New Roman"/>
        </w:rPr>
        <w:t xml:space="preserve">avec une </w:t>
      </w:r>
      <w:r w:rsidRPr="00127C06">
        <w:rPr>
          <w:rFonts w:ascii="Times New Roman" w:hAnsi="Times New Roman" w:cs="Calibri"/>
          <w:sz w:val="24"/>
          <w:szCs w:val="24"/>
        </w:rPr>
        <w:t>priorité</w:t>
      </w:r>
      <w:r w:rsidRPr="00A8375B">
        <w:rPr>
          <w:rFonts w:ascii="Times New Roman" w:hAnsi="Times New Roman"/>
          <w:sz w:val="24"/>
        </w:rPr>
        <w:t xml:space="preserve"> à </w:t>
      </w:r>
      <w:r>
        <w:rPr>
          <w:rFonts w:ascii="Times New Roman" w:hAnsi="Times New Roman"/>
        </w:rPr>
        <w:t>la</w:t>
      </w:r>
      <w:r w:rsidRPr="00127C06">
        <w:rPr>
          <w:rFonts w:ascii="Times New Roman" w:hAnsi="Times New Roman" w:cs="Calibri"/>
          <w:sz w:val="24"/>
          <w:szCs w:val="24"/>
        </w:rPr>
        <w:t xml:space="preserve"> mobilisation accrue de dons</w:t>
      </w:r>
      <w:r w:rsidRPr="00A8375B">
        <w:rPr>
          <w:rFonts w:ascii="Times New Roman" w:hAnsi="Times New Roman"/>
          <w:sz w:val="24"/>
        </w:rPr>
        <w:t xml:space="preserve"> pour financer </w:t>
      </w:r>
      <w:r w:rsidRPr="00127C06">
        <w:rPr>
          <w:rFonts w:ascii="Times New Roman" w:hAnsi="Times New Roman" w:cs="Calibri"/>
          <w:sz w:val="24"/>
          <w:szCs w:val="24"/>
        </w:rPr>
        <w:t>les secteurs à caractère social, entre autres l'éducation et la santé. Les prêts à des conditions concessionnelles orientés vers les secteurs productifs et les infrastructures s</w:t>
      </w:r>
      <w:r w:rsidR="0055740A">
        <w:rPr>
          <w:rFonts w:ascii="Times New Roman" w:hAnsi="Times New Roman" w:cs="Calibri"/>
          <w:sz w:val="24"/>
          <w:szCs w:val="24"/>
        </w:rPr>
        <w:t>ont</w:t>
      </w:r>
      <w:r w:rsidRPr="00127C06">
        <w:rPr>
          <w:rFonts w:ascii="Times New Roman" w:hAnsi="Times New Roman" w:cs="Calibri"/>
          <w:sz w:val="24"/>
          <w:szCs w:val="24"/>
        </w:rPr>
        <w:t xml:space="preserve"> priorisés dans un souci de respect des ratios de viabilité et de soutenabilité de la dette publique.</w:t>
      </w:r>
      <w:r w:rsidR="00095E2B">
        <w:rPr>
          <w:rFonts w:ascii="Times New Roman" w:hAnsi="Times New Roman"/>
        </w:rPr>
        <w:t xml:space="preserve"> </w:t>
      </w:r>
      <w:r w:rsidR="00095E2B">
        <w:rPr>
          <w:rFonts w:ascii="Times New Roman" w:hAnsi="Times New Roman"/>
          <w:sz w:val="24"/>
          <w:szCs w:val="24"/>
        </w:rPr>
        <w:t>Le</w:t>
      </w:r>
      <w:r w:rsidR="00095E2B" w:rsidRPr="00A8375B">
        <w:rPr>
          <w:rFonts w:ascii="Times New Roman" w:hAnsi="Times New Roman"/>
          <w:sz w:val="24"/>
        </w:rPr>
        <w:t xml:space="preserve"> pays peut aussi optimiser l’utilisation des ressources disponibles pour exploiter des gains d’efficience qui permettent de dégager de l’espace budgétaire.</w:t>
      </w:r>
    </w:p>
    <w:p w14:paraId="112D0BB4" w14:textId="591A1A4F" w:rsidR="00127C06" w:rsidRPr="00127C06" w:rsidRDefault="00127C06" w:rsidP="00127C06">
      <w:pPr>
        <w:pStyle w:val="Default"/>
        <w:spacing w:after="197"/>
        <w:jc w:val="both"/>
        <w:rPr>
          <w:rFonts w:ascii="Times New Roman" w:hAnsi="Times New Roman"/>
        </w:rPr>
      </w:pPr>
      <w:r w:rsidRPr="00127C06">
        <w:rPr>
          <w:rFonts w:ascii="Times New Roman" w:hAnsi="Times New Roman"/>
        </w:rPr>
        <w:t xml:space="preserve">Le secteur privé apportera également sa contribution </w:t>
      </w:r>
      <w:r w:rsidR="00242B10">
        <w:rPr>
          <w:rFonts w:ascii="Times New Roman" w:hAnsi="Times New Roman"/>
        </w:rPr>
        <w:t xml:space="preserve">au financement des </w:t>
      </w:r>
      <w:r w:rsidR="00095E2B">
        <w:rPr>
          <w:rFonts w:ascii="Times New Roman" w:hAnsi="Times New Roman"/>
        </w:rPr>
        <w:t>ODD à</w:t>
      </w:r>
      <w:r w:rsidR="00242B10">
        <w:rPr>
          <w:rFonts w:ascii="Times New Roman" w:hAnsi="Times New Roman"/>
        </w:rPr>
        <w:t xml:space="preserve"> travers la </w:t>
      </w:r>
      <w:r w:rsidR="00095E2B">
        <w:rPr>
          <w:rFonts w:ascii="Times New Roman" w:hAnsi="Times New Roman"/>
        </w:rPr>
        <w:t>promotion du</w:t>
      </w:r>
      <w:r w:rsidRPr="00127C06">
        <w:rPr>
          <w:rFonts w:ascii="Times New Roman" w:hAnsi="Times New Roman"/>
        </w:rPr>
        <w:t xml:space="preserve"> Partenariat Public privé (PPP) </w:t>
      </w:r>
      <w:r w:rsidR="00242B10">
        <w:rPr>
          <w:rFonts w:ascii="Times New Roman" w:hAnsi="Times New Roman"/>
        </w:rPr>
        <w:t>en vue de</w:t>
      </w:r>
      <w:r w:rsidRPr="00127C06">
        <w:rPr>
          <w:rFonts w:ascii="Times New Roman" w:hAnsi="Times New Roman"/>
        </w:rPr>
        <w:t xml:space="preserve"> financer </w:t>
      </w:r>
      <w:r w:rsidR="00095E2B" w:rsidRPr="00127C06">
        <w:rPr>
          <w:rFonts w:ascii="Times New Roman" w:hAnsi="Times New Roman"/>
        </w:rPr>
        <w:t>le</w:t>
      </w:r>
      <w:r w:rsidR="00095E2B">
        <w:rPr>
          <w:rFonts w:ascii="Times New Roman" w:hAnsi="Times New Roman"/>
        </w:rPr>
        <w:t>s</w:t>
      </w:r>
      <w:r w:rsidR="00095E2B" w:rsidRPr="00127C06">
        <w:rPr>
          <w:rFonts w:ascii="Times New Roman" w:hAnsi="Times New Roman"/>
        </w:rPr>
        <w:t xml:space="preserve"> secteur</w:t>
      </w:r>
      <w:r w:rsidR="00095E2B">
        <w:rPr>
          <w:rFonts w:ascii="Times New Roman" w:hAnsi="Times New Roman"/>
        </w:rPr>
        <w:t>s</w:t>
      </w:r>
      <w:r w:rsidR="00095E2B" w:rsidRPr="00127C06">
        <w:rPr>
          <w:rFonts w:ascii="Times New Roman" w:hAnsi="Times New Roman"/>
        </w:rPr>
        <w:t xml:space="preserve"> agricoles</w:t>
      </w:r>
      <w:r w:rsidRPr="00127C06">
        <w:rPr>
          <w:rFonts w:ascii="Times New Roman" w:hAnsi="Times New Roman"/>
        </w:rPr>
        <w:t>, des mines, des infrastructures, de l'énergie, du tourisme, de l'artisanat, de l'industrie et des P</w:t>
      </w:r>
      <w:r w:rsidR="00242B10">
        <w:rPr>
          <w:rFonts w:ascii="Times New Roman" w:hAnsi="Times New Roman"/>
        </w:rPr>
        <w:t>ME</w:t>
      </w:r>
      <w:r w:rsidRPr="00127C06">
        <w:rPr>
          <w:rFonts w:ascii="Times New Roman" w:hAnsi="Times New Roman"/>
        </w:rPr>
        <w:t xml:space="preserve">. </w:t>
      </w:r>
    </w:p>
    <w:p w14:paraId="30450B08" w14:textId="77777777" w:rsidR="00D33F7A" w:rsidRPr="00D33F7A" w:rsidRDefault="00D33F7A" w:rsidP="00AC5BFE">
      <w:pPr>
        <w:jc w:val="both"/>
        <w:rPr>
          <w:rFonts w:ascii="Times New Roman" w:hAnsi="Times New Roman"/>
          <w:b/>
          <w:bCs/>
          <w:i/>
          <w:iCs/>
          <w:color w:val="000000"/>
          <w:sz w:val="24"/>
        </w:rPr>
      </w:pPr>
      <w:r w:rsidRPr="00D33F7A">
        <w:rPr>
          <w:rFonts w:ascii="Times New Roman" w:hAnsi="Times New Roman"/>
          <w:b/>
          <w:bCs/>
          <w:i/>
          <w:iCs/>
          <w:color w:val="000000"/>
          <w:sz w:val="24"/>
        </w:rPr>
        <w:t>Ressources Domestiques :</w:t>
      </w:r>
    </w:p>
    <w:p w14:paraId="00EB5C1D" w14:textId="0A7BF85A"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Le Tchad dispose de potentiel fiscal en matière de mobilisation de ressources domestiques. Le secteur pétrolier fournit une part importante des ressources domestiques (9.6% du PIB en 2020) alors que la mobilisation des ressources du secteur non pétrolier demeure encore faible (7.5% en 2020). L’extension de l’assiette fiscale à court terme demeure toutefois contrainte par des perspectives économiques incertaines en raison de la pandémie COVID</w:t>
      </w:r>
      <w:r w:rsidR="00B77A37">
        <w:rPr>
          <w:rFonts w:ascii="Times New Roman" w:hAnsi="Times New Roman"/>
          <w:color w:val="000000"/>
          <w:sz w:val="24"/>
        </w:rPr>
        <w:t>-</w:t>
      </w:r>
      <w:r w:rsidRPr="00AC5BFE">
        <w:rPr>
          <w:rFonts w:ascii="Times New Roman" w:hAnsi="Times New Roman"/>
          <w:color w:val="000000"/>
          <w:sz w:val="24"/>
        </w:rPr>
        <w:t xml:space="preserve">19, mais du potentiel économique inexploité. En 2019, les perspectives nationales avant COVID-19 se situaient à une croissance économique de 3,4%. Cependant, la pandémie du COVID-19 a freiné les efforts de progrès socio-économiques du pays dans le cadre du financement de la mise en œuvre des objectifs de développement durable. Selon les projections nationales la contraction du Produit Intérieur Brut se situerait a 0,4% en 2020 pour un solde budgétaire de 4,2%. Cette récession s'explique par la baisse de l'activité enregistrée dans le secteur pétrolier avec un PIB pétrolier de -4,6% en 2020 contre +12,3% en 2019 en lien avec l'arrêt de la production de la société </w:t>
      </w:r>
      <w:proofErr w:type="spellStart"/>
      <w:r w:rsidRPr="00AC5BFE">
        <w:rPr>
          <w:rFonts w:ascii="Times New Roman" w:hAnsi="Times New Roman"/>
          <w:color w:val="000000"/>
          <w:sz w:val="24"/>
        </w:rPr>
        <w:t>Glencore</w:t>
      </w:r>
      <w:proofErr w:type="spellEnd"/>
      <w:r w:rsidRPr="00AC5BFE">
        <w:rPr>
          <w:rFonts w:ascii="Times New Roman" w:hAnsi="Times New Roman"/>
          <w:color w:val="000000"/>
          <w:sz w:val="24"/>
        </w:rPr>
        <w:t xml:space="preserve"> et la baisse des prix mondiaux du pétrole en 2019 et 2020</w:t>
      </w:r>
      <w:r w:rsidRPr="00AC5BFE">
        <w:rPr>
          <w:sz w:val="23"/>
          <w:szCs w:val="23"/>
        </w:rPr>
        <w:t>.</w:t>
      </w:r>
      <w:r w:rsidRPr="00AC5BFE">
        <w:rPr>
          <w:rFonts w:ascii="Times New Roman" w:hAnsi="Times New Roman"/>
          <w:color w:val="000000"/>
          <w:sz w:val="24"/>
        </w:rPr>
        <w:t xml:space="preserve"> </w:t>
      </w:r>
      <w:r w:rsidRPr="00AC5BFE">
        <w:rPr>
          <w:rFonts w:ascii="Times New Roman" w:hAnsi="Times New Roman"/>
          <w:i/>
          <w:iCs/>
          <w:color w:val="000000"/>
          <w:sz w:val="24"/>
        </w:rPr>
        <w:t>Le tableau 2a</w:t>
      </w:r>
      <w:r w:rsidRPr="00AC5BFE">
        <w:rPr>
          <w:rFonts w:ascii="Times New Roman" w:hAnsi="Times New Roman"/>
          <w:color w:val="000000"/>
          <w:sz w:val="24"/>
        </w:rPr>
        <w:t xml:space="preserve"> résume les prévisions macroéconomiques du Gouvernement pour le Tchad à l’horizon 2022.</w:t>
      </w:r>
    </w:p>
    <w:p w14:paraId="60396BCC" w14:textId="77777777" w:rsidR="00AC5BFE" w:rsidRPr="00AC5BFE" w:rsidRDefault="00AC5BFE" w:rsidP="00AC5BFE">
      <w:pPr>
        <w:keepNext/>
        <w:spacing w:after="0" w:line="240" w:lineRule="auto"/>
        <w:rPr>
          <w:i/>
          <w:iCs/>
          <w:color w:val="44546A"/>
          <w:sz w:val="24"/>
          <w:szCs w:val="24"/>
        </w:rPr>
      </w:pPr>
      <w:bookmarkStart w:id="276" w:name="_Hlk85015267"/>
      <w:r w:rsidRPr="00AC5BFE">
        <w:rPr>
          <w:i/>
          <w:iCs/>
          <w:color w:val="44546A"/>
          <w:sz w:val="24"/>
          <w:szCs w:val="24"/>
        </w:rPr>
        <w:lastRenderedPageBreak/>
        <w:t>Tableau 2a : Prévisions Macroéconomiques pour le Tchad – Gouvernement du Tchad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3"/>
        <w:gridCol w:w="745"/>
        <w:gridCol w:w="1013"/>
        <w:gridCol w:w="1225"/>
        <w:gridCol w:w="1225"/>
      </w:tblGrid>
      <w:tr w:rsidR="00A16466" w:rsidRPr="00AC5BFE" w14:paraId="186B8ED2" w14:textId="77777777" w:rsidTr="000D27A0">
        <w:tc>
          <w:tcPr>
            <w:tcW w:w="2876" w:type="pct"/>
            <w:tcBorders>
              <w:top w:val="single" w:sz="4" w:space="0" w:color="auto"/>
              <w:left w:val="single" w:sz="4" w:space="0" w:color="auto"/>
              <w:bottom w:val="single" w:sz="4" w:space="0" w:color="auto"/>
              <w:right w:val="single" w:sz="4" w:space="0" w:color="auto"/>
            </w:tcBorders>
            <w:shd w:val="clear" w:color="auto" w:fill="D9E2F3"/>
            <w:hideMark/>
          </w:tcPr>
          <w:p w14:paraId="15E951D9" w14:textId="77777777" w:rsidR="00AC5BFE" w:rsidRPr="00AC5BFE" w:rsidRDefault="00AC5BFE" w:rsidP="00AC5BFE">
            <w:pPr>
              <w:spacing w:after="0" w:line="240" w:lineRule="auto"/>
              <w:jc w:val="both"/>
              <w:rPr>
                <w:b/>
                <w:color w:val="000000"/>
                <w:sz w:val="24"/>
              </w:rPr>
            </w:pPr>
            <w:r w:rsidRPr="00AC5BFE">
              <w:rPr>
                <w:b/>
                <w:color w:val="000000"/>
                <w:sz w:val="24"/>
              </w:rPr>
              <w:t xml:space="preserve">Variable/année </w:t>
            </w:r>
          </w:p>
        </w:tc>
        <w:tc>
          <w:tcPr>
            <w:tcW w:w="376" w:type="pct"/>
            <w:tcBorders>
              <w:top w:val="single" w:sz="4" w:space="0" w:color="auto"/>
              <w:left w:val="single" w:sz="4" w:space="0" w:color="auto"/>
              <w:bottom w:val="single" w:sz="4" w:space="0" w:color="auto"/>
              <w:right w:val="single" w:sz="4" w:space="0" w:color="auto"/>
            </w:tcBorders>
            <w:shd w:val="clear" w:color="auto" w:fill="D9E2F3"/>
            <w:hideMark/>
          </w:tcPr>
          <w:p w14:paraId="32F59D84" w14:textId="77777777" w:rsidR="00AC5BFE" w:rsidRPr="00AC5BFE" w:rsidRDefault="00AC5BFE" w:rsidP="00AC5BFE">
            <w:pPr>
              <w:spacing w:after="0" w:line="240" w:lineRule="auto"/>
              <w:jc w:val="both"/>
              <w:rPr>
                <w:b/>
                <w:color w:val="000000"/>
                <w:sz w:val="24"/>
              </w:rPr>
            </w:pPr>
            <w:r w:rsidRPr="00AC5BFE">
              <w:rPr>
                <w:b/>
                <w:color w:val="000000"/>
                <w:sz w:val="24"/>
              </w:rPr>
              <w:t>2019</w:t>
            </w:r>
          </w:p>
        </w:tc>
        <w:tc>
          <w:tcPr>
            <w:tcW w:w="511" w:type="pct"/>
            <w:tcBorders>
              <w:top w:val="single" w:sz="4" w:space="0" w:color="auto"/>
              <w:left w:val="single" w:sz="4" w:space="0" w:color="auto"/>
              <w:bottom w:val="single" w:sz="4" w:space="0" w:color="auto"/>
              <w:right w:val="single" w:sz="4" w:space="0" w:color="auto"/>
            </w:tcBorders>
            <w:shd w:val="clear" w:color="auto" w:fill="D9E2F3"/>
            <w:hideMark/>
          </w:tcPr>
          <w:p w14:paraId="13A8A6D3" w14:textId="77777777" w:rsidR="00AC5BFE" w:rsidRPr="00AC5BFE" w:rsidRDefault="00AC5BFE" w:rsidP="00AC5BFE">
            <w:pPr>
              <w:spacing w:after="0" w:line="240" w:lineRule="auto"/>
              <w:jc w:val="both"/>
              <w:rPr>
                <w:b/>
                <w:color w:val="000000"/>
                <w:sz w:val="24"/>
              </w:rPr>
            </w:pPr>
            <w:r w:rsidRPr="00AC5BFE">
              <w:rPr>
                <w:b/>
                <w:color w:val="000000"/>
                <w:sz w:val="24"/>
              </w:rPr>
              <w:t>2020</w:t>
            </w:r>
          </w:p>
        </w:tc>
        <w:tc>
          <w:tcPr>
            <w:tcW w:w="618" w:type="pct"/>
            <w:tcBorders>
              <w:top w:val="single" w:sz="4" w:space="0" w:color="auto"/>
              <w:left w:val="single" w:sz="4" w:space="0" w:color="auto"/>
              <w:bottom w:val="single" w:sz="4" w:space="0" w:color="auto"/>
              <w:right w:val="single" w:sz="4" w:space="0" w:color="auto"/>
            </w:tcBorders>
            <w:shd w:val="clear" w:color="auto" w:fill="D9E2F3"/>
            <w:hideMark/>
          </w:tcPr>
          <w:p w14:paraId="4814A646" w14:textId="77777777" w:rsidR="00AC5BFE" w:rsidRPr="00AC5BFE" w:rsidRDefault="00AC5BFE" w:rsidP="00AC5BFE">
            <w:pPr>
              <w:spacing w:after="0" w:line="240" w:lineRule="auto"/>
              <w:jc w:val="both"/>
              <w:rPr>
                <w:b/>
                <w:color w:val="000000"/>
                <w:sz w:val="24"/>
              </w:rPr>
            </w:pPr>
            <w:r w:rsidRPr="00AC5BFE">
              <w:rPr>
                <w:b/>
                <w:color w:val="000000"/>
                <w:sz w:val="24"/>
              </w:rPr>
              <w:t>2021</w:t>
            </w:r>
            <w:r w:rsidRPr="00AC5BFE">
              <w:rPr>
                <w:rFonts w:cs="Calibri"/>
                <w:b/>
                <w:color w:val="000000"/>
                <w:sz w:val="24"/>
              </w:rPr>
              <w:t>*</w:t>
            </w:r>
          </w:p>
        </w:tc>
        <w:tc>
          <w:tcPr>
            <w:tcW w:w="618" w:type="pct"/>
            <w:tcBorders>
              <w:top w:val="single" w:sz="4" w:space="0" w:color="auto"/>
              <w:left w:val="single" w:sz="4" w:space="0" w:color="auto"/>
              <w:bottom w:val="single" w:sz="4" w:space="0" w:color="auto"/>
              <w:right w:val="single" w:sz="4" w:space="0" w:color="auto"/>
            </w:tcBorders>
            <w:shd w:val="clear" w:color="auto" w:fill="D9E2F3"/>
          </w:tcPr>
          <w:p w14:paraId="5B3B990E" w14:textId="77777777" w:rsidR="00AC5BFE" w:rsidRPr="00AC5BFE" w:rsidRDefault="00AC5BFE" w:rsidP="00AC5BFE">
            <w:pPr>
              <w:spacing w:after="0" w:line="240" w:lineRule="auto"/>
              <w:jc w:val="both"/>
              <w:rPr>
                <w:b/>
                <w:color w:val="000000"/>
                <w:sz w:val="24"/>
              </w:rPr>
            </w:pPr>
            <w:r w:rsidRPr="00AC5BFE">
              <w:rPr>
                <w:b/>
                <w:color w:val="000000"/>
                <w:sz w:val="24"/>
              </w:rPr>
              <w:t>2022</w:t>
            </w:r>
            <w:r w:rsidRPr="00AC5BFE">
              <w:rPr>
                <w:rFonts w:cs="Calibri"/>
                <w:b/>
                <w:color w:val="000000"/>
                <w:sz w:val="24"/>
              </w:rPr>
              <w:t>*</w:t>
            </w:r>
          </w:p>
        </w:tc>
      </w:tr>
      <w:tr w:rsidR="00AC5BFE" w:rsidRPr="00AC5BFE" w14:paraId="25A63CCE" w14:textId="77777777" w:rsidTr="008676C5">
        <w:tc>
          <w:tcPr>
            <w:tcW w:w="2876" w:type="pct"/>
            <w:tcBorders>
              <w:top w:val="single" w:sz="4" w:space="0" w:color="auto"/>
              <w:left w:val="single" w:sz="4" w:space="0" w:color="auto"/>
              <w:bottom w:val="single" w:sz="4" w:space="0" w:color="auto"/>
              <w:right w:val="single" w:sz="4" w:space="0" w:color="auto"/>
            </w:tcBorders>
            <w:hideMark/>
          </w:tcPr>
          <w:p w14:paraId="7152D4DE" w14:textId="77777777" w:rsidR="00AC5BFE" w:rsidRPr="00AC5BFE" w:rsidRDefault="00AC5BFE" w:rsidP="00AC5BFE">
            <w:pPr>
              <w:spacing w:after="0" w:line="240" w:lineRule="auto"/>
              <w:jc w:val="both"/>
              <w:rPr>
                <w:color w:val="000000"/>
                <w:sz w:val="24"/>
              </w:rPr>
            </w:pPr>
            <w:r w:rsidRPr="00AC5BFE">
              <w:rPr>
                <w:color w:val="000000"/>
                <w:sz w:val="24"/>
              </w:rPr>
              <w:t>Croissance du PIB réel (Variation annuelle en</w:t>
            </w:r>
            <w:r w:rsidRPr="00AC5BFE">
              <w:rPr>
                <w:color w:val="000000"/>
                <w:sz w:val="24"/>
                <w:szCs w:val="24"/>
              </w:rPr>
              <w:t xml:space="preserve"> </w:t>
            </w:r>
            <w:r w:rsidRPr="00AC5BFE">
              <w:rPr>
                <w:rFonts w:cs="Calibri"/>
                <w:color w:val="000000"/>
                <w:sz w:val="24"/>
                <w:szCs w:val="24"/>
              </w:rPr>
              <w:t>%)</w:t>
            </w:r>
          </w:p>
        </w:tc>
        <w:tc>
          <w:tcPr>
            <w:tcW w:w="376" w:type="pct"/>
            <w:tcBorders>
              <w:top w:val="single" w:sz="4" w:space="0" w:color="auto"/>
              <w:left w:val="single" w:sz="4" w:space="0" w:color="auto"/>
              <w:bottom w:val="single" w:sz="4" w:space="0" w:color="auto"/>
              <w:right w:val="single" w:sz="4" w:space="0" w:color="auto"/>
            </w:tcBorders>
            <w:hideMark/>
          </w:tcPr>
          <w:p w14:paraId="11BD4CE6" w14:textId="77777777" w:rsidR="00AC5BFE" w:rsidRPr="00AC5BFE" w:rsidRDefault="00AC5BFE" w:rsidP="00AC5BFE">
            <w:pPr>
              <w:spacing w:after="0" w:line="240" w:lineRule="auto"/>
              <w:jc w:val="both"/>
              <w:rPr>
                <w:color w:val="000000"/>
                <w:sz w:val="24"/>
              </w:rPr>
            </w:pPr>
            <w:r w:rsidRPr="00AC5BFE">
              <w:rPr>
                <w:color w:val="000000"/>
                <w:sz w:val="24"/>
              </w:rPr>
              <w:t>2,5</w:t>
            </w:r>
          </w:p>
        </w:tc>
        <w:tc>
          <w:tcPr>
            <w:tcW w:w="511" w:type="pct"/>
            <w:tcBorders>
              <w:top w:val="single" w:sz="4" w:space="0" w:color="auto"/>
              <w:left w:val="single" w:sz="4" w:space="0" w:color="auto"/>
              <w:bottom w:val="single" w:sz="4" w:space="0" w:color="auto"/>
              <w:right w:val="single" w:sz="4" w:space="0" w:color="auto"/>
            </w:tcBorders>
            <w:hideMark/>
          </w:tcPr>
          <w:p w14:paraId="263BDDF6" w14:textId="77777777" w:rsidR="00AC5BFE" w:rsidRPr="00AC5BFE" w:rsidRDefault="00AC5BFE" w:rsidP="00AC5BFE">
            <w:pPr>
              <w:spacing w:after="0" w:line="240" w:lineRule="auto"/>
              <w:jc w:val="both"/>
              <w:rPr>
                <w:color w:val="000000"/>
                <w:sz w:val="24"/>
              </w:rPr>
            </w:pPr>
            <w:r w:rsidRPr="00AC5BFE">
              <w:rPr>
                <w:color w:val="000000"/>
                <w:sz w:val="24"/>
              </w:rPr>
              <w:t>-0,4</w:t>
            </w:r>
          </w:p>
        </w:tc>
        <w:tc>
          <w:tcPr>
            <w:tcW w:w="618" w:type="pct"/>
            <w:tcBorders>
              <w:top w:val="single" w:sz="4" w:space="0" w:color="auto"/>
              <w:left w:val="single" w:sz="4" w:space="0" w:color="auto"/>
              <w:bottom w:val="single" w:sz="4" w:space="0" w:color="auto"/>
              <w:right w:val="single" w:sz="4" w:space="0" w:color="auto"/>
            </w:tcBorders>
            <w:hideMark/>
          </w:tcPr>
          <w:p w14:paraId="61BEE801" w14:textId="77777777" w:rsidR="00AC5BFE" w:rsidRPr="00AC5BFE" w:rsidRDefault="00AC5BFE" w:rsidP="00AC5BFE">
            <w:pPr>
              <w:spacing w:after="0" w:line="240" w:lineRule="auto"/>
              <w:jc w:val="both"/>
              <w:rPr>
                <w:color w:val="000000"/>
                <w:sz w:val="24"/>
              </w:rPr>
            </w:pPr>
            <w:r w:rsidRPr="00AC5BFE">
              <w:rPr>
                <w:color w:val="000000"/>
                <w:sz w:val="24"/>
              </w:rPr>
              <w:t>3,7</w:t>
            </w:r>
          </w:p>
        </w:tc>
        <w:tc>
          <w:tcPr>
            <w:tcW w:w="618" w:type="pct"/>
            <w:tcBorders>
              <w:top w:val="single" w:sz="4" w:space="0" w:color="auto"/>
              <w:left w:val="single" w:sz="4" w:space="0" w:color="auto"/>
              <w:bottom w:val="single" w:sz="4" w:space="0" w:color="auto"/>
              <w:right w:val="single" w:sz="4" w:space="0" w:color="auto"/>
            </w:tcBorders>
          </w:tcPr>
          <w:p w14:paraId="73D74CB2" w14:textId="77777777" w:rsidR="00AC5BFE" w:rsidRPr="00AC5BFE" w:rsidRDefault="00AC5BFE" w:rsidP="00AC5BFE">
            <w:pPr>
              <w:spacing w:after="0" w:line="240" w:lineRule="auto"/>
              <w:jc w:val="both"/>
              <w:rPr>
                <w:color w:val="000000"/>
                <w:sz w:val="24"/>
              </w:rPr>
            </w:pPr>
            <w:r w:rsidRPr="00AC5BFE">
              <w:rPr>
                <w:color w:val="000000"/>
                <w:sz w:val="24"/>
              </w:rPr>
              <w:t>4,1</w:t>
            </w:r>
          </w:p>
        </w:tc>
      </w:tr>
      <w:tr w:rsidR="00AC5BFE" w:rsidRPr="00AC5BFE" w14:paraId="6A654B92" w14:textId="77777777" w:rsidTr="008676C5">
        <w:tc>
          <w:tcPr>
            <w:tcW w:w="2876" w:type="pct"/>
            <w:tcBorders>
              <w:top w:val="single" w:sz="4" w:space="0" w:color="auto"/>
              <w:left w:val="single" w:sz="4" w:space="0" w:color="auto"/>
              <w:bottom w:val="single" w:sz="4" w:space="0" w:color="auto"/>
              <w:right w:val="single" w:sz="4" w:space="0" w:color="auto"/>
            </w:tcBorders>
            <w:hideMark/>
          </w:tcPr>
          <w:p w14:paraId="7577734A" w14:textId="77777777" w:rsidR="00AC5BFE" w:rsidRPr="00AC5BFE" w:rsidRDefault="00AC5BFE" w:rsidP="00AC5BFE">
            <w:pPr>
              <w:spacing w:after="0" w:line="240" w:lineRule="auto"/>
              <w:jc w:val="both"/>
              <w:rPr>
                <w:color w:val="000000"/>
                <w:sz w:val="24"/>
              </w:rPr>
            </w:pPr>
            <w:r w:rsidRPr="00AC5BFE">
              <w:rPr>
                <w:color w:val="000000"/>
                <w:sz w:val="24"/>
              </w:rPr>
              <w:t xml:space="preserve">Prix à la Consommation (Variation annuelle en </w:t>
            </w:r>
            <w:r w:rsidRPr="00AC5BFE">
              <w:rPr>
                <w:rFonts w:cs="Calibri"/>
                <w:color w:val="000000"/>
                <w:sz w:val="24"/>
                <w:szCs w:val="24"/>
              </w:rPr>
              <w:t>%)</w:t>
            </w:r>
          </w:p>
        </w:tc>
        <w:tc>
          <w:tcPr>
            <w:tcW w:w="376" w:type="pct"/>
            <w:tcBorders>
              <w:top w:val="single" w:sz="4" w:space="0" w:color="auto"/>
              <w:left w:val="single" w:sz="4" w:space="0" w:color="auto"/>
              <w:bottom w:val="single" w:sz="4" w:space="0" w:color="auto"/>
              <w:right w:val="single" w:sz="4" w:space="0" w:color="auto"/>
            </w:tcBorders>
            <w:hideMark/>
          </w:tcPr>
          <w:p w14:paraId="028ED087" w14:textId="77777777" w:rsidR="00AC5BFE" w:rsidRPr="00AC5BFE" w:rsidRDefault="00AC5BFE" w:rsidP="00AC5BFE">
            <w:pPr>
              <w:spacing w:after="0" w:line="240" w:lineRule="auto"/>
              <w:jc w:val="both"/>
              <w:rPr>
                <w:color w:val="000000"/>
                <w:sz w:val="24"/>
              </w:rPr>
            </w:pPr>
            <w:r w:rsidRPr="00AC5BFE">
              <w:rPr>
                <w:color w:val="000000"/>
                <w:sz w:val="24"/>
              </w:rPr>
              <w:t>-0,9</w:t>
            </w:r>
          </w:p>
        </w:tc>
        <w:tc>
          <w:tcPr>
            <w:tcW w:w="511" w:type="pct"/>
            <w:tcBorders>
              <w:top w:val="single" w:sz="4" w:space="0" w:color="auto"/>
              <w:left w:val="single" w:sz="4" w:space="0" w:color="auto"/>
              <w:bottom w:val="single" w:sz="4" w:space="0" w:color="auto"/>
              <w:right w:val="single" w:sz="4" w:space="0" w:color="auto"/>
            </w:tcBorders>
            <w:hideMark/>
          </w:tcPr>
          <w:p w14:paraId="3BE27B39" w14:textId="77777777" w:rsidR="00AC5BFE" w:rsidRPr="00AC5BFE" w:rsidRDefault="00AC5BFE" w:rsidP="00AC5BFE">
            <w:pPr>
              <w:spacing w:after="0" w:line="240" w:lineRule="auto"/>
              <w:jc w:val="both"/>
              <w:rPr>
                <w:color w:val="000000"/>
                <w:sz w:val="24"/>
              </w:rPr>
            </w:pPr>
            <w:r w:rsidRPr="00AC5BFE">
              <w:rPr>
                <w:color w:val="000000"/>
                <w:sz w:val="24"/>
              </w:rPr>
              <w:t>4,5</w:t>
            </w:r>
          </w:p>
        </w:tc>
        <w:tc>
          <w:tcPr>
            <w:tcW w:w="618" w:type="pct"/>
            <w:tcBorders>
              <w:top w:val="single" w:sz="4" w:space="0" w:color="auto"/>
              <w:left w:val="single" w:sz="4" w:space="0" w:color="auto"/>
              <w:bottom w:val="single" w:sz="4" w:space="0" w:color="auto"/>
              <w:right w:val="single" w:sz="4" w:space="0" w:color="auto"/>
            </w:tcBorders>
            <w:hideMark/>
          </w:tcPr>
          <w:p w14:paraId="7A9E0BAD" w14:textId="77777777" w:rsidR="00AC5BFE" w:rsidRPr="00AC5BFE" w:rsidRDefault="00AC5BFE" w:rsidP="00AC5BFE">
            <w:pPr>
              <w:spacing w:after="0" w:line="240" w:lineRule="auto"/>
              <w:jc w:val="both"/>
              <w:rPr>
                <w:color w:val="000000"/>
                <w:sz w:val="24"/>
              </w:rPr>
            </w:pPr>
            <w:r w:rsidRPr="00AC5BFE">
              <w:rPr>
                <w:color w:val="000000"/>
                <w:sz w:val="24"/>
              </w:rPr>
              <w:t>3</w:t>
            </w:r>
          </w:p>
        </w:tc>
        <w:tc>
          <w:tcPr>
            <w:tcW w:w="618" w:type="pct"/>
            <w:tcBorders>
              <w:top w:val="single" w:sz="4" w:space="0" w:color="auto"/>
              <w:left w:val="single" w:sz="4" w:space="0" w:color="auto"/>
              <w:bottom w:val="single" w:sz="4" w:space="0" w:color="auto"/>
              <w:right w:val="single" w:sz="4" w:space="0" w:color="auto"/>
            </w:tcBorders>
          </w:tcPr>
          <w:p w14:paraId="1C32F81E" w14:textId="77777777" w:rsidR="00AC5BFE" w:rsidRPr="00AC5BFE" w:rsidRDefault="00AC5BFE" w:rsidP="00AC5BFE">
            <w:pPr>
              <w:spacing w:after="0" w:line="240" w:lineRule="auto"/>
              <w:jc w:val="both"/>
              <w:rPr>
                <w:color w:val="000000"/>
                <w:sz w:val="24"/>
              </w:rPr>
            </w:pPr>
            <w:r w:rsidRPr="00AC5BFE">
              <w:rPr>
                <w:color w:val="000000"/>
                <w:sz w:val="24"/>
              </w:rPr>
              <w:t>3</w:t>
            </w:r>
          </w:p>
        </w:tc>
      </w:tr>
      <w:tr w:rsidR="00AC5BFE" w:rsidRPr="00AC5BFE" w14:paraId="31514E18" w14:textId="77777777" w:rsidTr="008676C5">
        <w:tc>
          <w:tcPr>
            <w:tcW w:w="2876" w:type="pct"/>
            <w:tcBorders>
              <w:top w:val="single" w:sz="4" w:space="0" w:color="auto"/>
              <w:left w:val="single" w:sz="4" w:space="0" w:color="auto"/>
              <w:bottom w:val="single" w:sz="4" w:space="0" w:color="auto"/>
              <w:right w:val="single" w:sz="4" w:space="0" w:color="auto"/>
            </w:tcBorders>
            <w:hideMark/>
          </w:tcPr>
          <w:p w14:paraId="4B11147A" w14:textId="77777777" w:rsidR="00AC5BFE" w:rsidRPr="00AC5BFE" w:rsidRDefault="00AC5BFE" w:rsidP="00AC5BFE">
            <w:pPr>
              <w:spacing w:after="0" w:line="240" w:lineRule="auto"/>
              <w:jc w:val="both"/>
              <w:rPr>
                <w:color w:val="000000"/>
                <w:sz w:val="24"/>
              </w:rPr>
            </w:pPr>
            <w:r w:rsidRPr="00AC5BFE">
              <w:rPr>
                <w:color w:val="000000"/>
                <w:sz w:val="24"/>
              </w:rPr>
              <w:t>Solde budgétaire (</w:t>
            </w:r>
            <w:r w:rsidRPr="00AC5BFE">
              <w:rPr>
                <w:color w:val="000000"/>
                <w:sz w:val="24"/>
                <w:szCs w:val="24"/>
              </w:rPr>
              <w:t>en</w:t>
            </w:r>
            <w:r w:rsidRPr="00AC5BFE">
              <w:rPr>
                <w:color w:val="000000"/>
                <w:sz w:val="24"/>
              </w:rPr>
              <w:t xml:space="preserve"> % du PIB)</w:t>
            </w:r>
          </w:p>
        </w:tc>
        <w:tc>
          <w:tcPr>
            <w:tcW w:w="376" w:type="pct"/>
            <w:tcBorders>
              <w:top w:val="single" w:sz="4" w:space="0" w:color="auto"/>
              <w:left w:val="single" w:sz="4" w:space="0" w:color="auto"/>
              <w:bottom w:val="single" w:sz="4" w:space="0" w:color="auto"/>
              <w:right w:val="single" w:sz="4" w:space="0" w:color="auto"/>
            </w:tcBorders>
          </w:tcPr>
          <w:p w14:paraId="694B707F" w14:textId="77777777" w:rsidR="00AC5BFE" w:rsidRPr="00AC5BFE" w:rsidRDefault="00AC5BFE" w:rsidP="00AC5BFE">
            <w:pPr>
              <w:spacing w:after="0" w:line="240" w:lineRule="auto"/>
              <w:jc w:val="both"/>
              <w:rPr>
                <w:color w:val="000000"/>
                <w:sz w:val="24"/>
                <w:highlight w:val="yellow"/>
              </w:rPr>
            </w:pPr>
            <w:r w:rsidRPr="00AC5BFE">
              <w:t>1.8</w:t>
            </w:r>
          </w:p>
        </w:tc>
        <w:tc>
          <w:tcPr>
            <w:tcW w:w="511" w:type="pct"/>
            <w:tcBorders>
              <w:top w:val="single" w:sz="4" w:space="0" w:color="auto"/>
              <w:left w:val="single" w:sz="4" w:space="0" w:color="auto"/>
              <w:bottom w:val="single" w:sz="4" w:space="0" w:color="auto"/>
              <w:right w:val="single" w:sz="4" w:space="0" w:color="auto"/>
            </w:tcBorders>
          </w:tcPr>
          <w:p w14:paraId="0E27B2B9" w14:textId="77777777" w:rsidR="00AC5BFE" w:rsidRPr="00AC5BFE" w:rsidRDefault="00AC5BFE" w:rsidP="00AC5BFE">
            <w:pPr>
              <w:spacing w:after="0" w:line="240" w:lineRule="auto"/>
              <w:jc w:val="both"/>
              <w:rPr>
                <w:color w:val="000000"/>
                <w:sz w:val="24"/>
                <w:highlight w:val="yellow"/>
              </w:rPr>
            </w:pPr>
            <w:r w:rsidRPr="00AC5BFE">
              <w:t>4,2</w:t>
            </w:r>
          </w:p>
        </w:tc>
        <w:tc>
          <w:tcPr>
            <w:tcW w:w="618" w:type="pct"/>
            <w:tcBorders>
              <w:top w:val="single" w:sz="4" w:space="0" w:color="auto"/>
              <w:left w:val="single" w:sz="4" w:space="0" w:color="auto"/>
              <w:bottom w:val="single" w:sz="4" w:space="0" w:color="auto"/>
              <w:right w:val="single" w:sz="4" w:space="0" w:color="auto"/>
            </w:tcBorders>
          </w:tcPr>
          <w:p w14:paraId="24001CFB" w14:textId="77777777" w:rsidR="00AC5BFE" w:rsidRPr="00AC5BFE" w:rsidRDefault="00AC5BFE" w:rsidP="00AC5BFE">
            <w:pPr>
              <w:spacing w:after="0" w:line="240" w:lineRule="auto"/>
              <w:jc w:val="both"/>
              <w:rPr>
                <w:color w:val="000000"/>
                <w:sz w:val="24"/>
                <w:highlight w:val="yellow"/>
              </w:rPr>
            </w:pPr>
            <w:r w:rsidRPr="00AC5BFE">
              <w:t>4,4</w:t>
            </w:r>
          </w:p>
        </w:tc>
        <w:tc>
          <w:tcPr>
            <w:tcW w:w="618" w:type="pct"/>
            <w:tcBorders>
              <w:top w:val="single" w:sz="4" w:space="0" w:color="auto"/>
              <w:left w:val="single" w:sz="4" w:space="0" w:color="auto"/>
              <w:bottom w:val="single" w:sz="4" w:space="0" w:color="auto"/>
              <w:right w:val="single" w:sz="4" w:space="0" w:color="auto"/>
            </w:tcBorders>
          </w:tcPr>
          <w:p w14:paraId="33647E62" w14:textId="77777777" w:rsidR="00AC5BFE" w:rsidRPr="00AC5BFE" w:rsidRDefault="00AC5BFE" w:rsidP="00AC5BFE">
            <w:pPr>
              <w:spacing w:after="0" w:line="240" w:lineRule="auto"/>
              <w:jc w:val="both"/>
            </w:pPr>
            <w:r w:rsidRPr="00AC5BFE">
              <w:t>4,8</w:t>
            </w:r>
          </w:p>
        </w:tc>
      </w:tr>
      <w:tr w:rsidR="00AC5BFE" w:rsidRPr="00AC5BFE" w14:paraId="378F1780" w14:textId="77777777" w:rsidTr="008676C5">
        <w:tc>
          <w:tcPr>
            <w:tcW w:w="2876" w:type="pct"/>
            <w:tcBorders>
              <w:top w:val="single" w:sz="4" w:space="0" w:color="auto"/>
              <w:left w:val="single" w:sz="4" w:space="0" w:color="auto"/>
              <w:bottom w:val="single" w:sz="4" w:space="0" w:color="auto"/>
              <w:right w:val="single" w:sz="4" w:space="0" w:color="auto"/>
            </w:tcBorders>
            <w:hideMark/>
          </w:tcPr>
          <w:p w14:paraId="172DB60E" w14:textId="77777777" w:rsidR="00AC5BFE" w:rsidRPr="00AC5BFE" w:rsidRDefault="00AC5BFE" w:rsidP="00AC5BFE">
            <w:pPr>
              <w:spacing w:after="0" w:line="240" w:lineRule="auto"/>
              <w:jc w:val="both"/>
              <w:rPr>
                <w:color w:val="000000"/>
                <w:sz w:val="24"/>
              </w:rPr>
            </w:pPr>
            <w:r w:rsidRPr="00AC5BFE">
              <w:rPr>
                <w:color w:val="000000"/>
                <w:sz w:val="24"/>
              </w:rPr>
              <w:t>Dette Publique (</w:t>
            </w:r>
            <w:r w:rsidRPr="00AC5BFE">
              <w:rPr>
                <w:color w:val="000000"/>
                <w:sz w:val="24"/>
                <w:szCs w:val="24"/>
              </w:rPr>
              <w:t>en</w:t>
            </w:r>
            <w:r w:rsidRPr="00AC5BFE">
              <w:rPr>
                <w:color w:val="000000"/>
                <w:sz w:val="24"/>
              </w:rPr>
              <w:t xml:space="preserve"> % du PIB)</w:t>
            </w:r>
          </w:p>
        </w:tc>
        <w:tc>
          <w:tcPr>
            <w:tcW w:w="376" w:type="pct"/>
            <w:tcBorders>
              <w:top w:val="single" w:sz="4" w:space="0" w:color="auto"/>
              <w:left w:val="single" w:sz="4" w:space="0" w:color="auto"/>
              <w:bottom w:val="single" w:sz="4" w:space="0" w:color="auto"/>
              <w:right w:val="single" w:sz="4" w:space="0" w:color="auto"/>
            </w:tcBorders>
          </w:tcPr>
          <w:p w14:paraId="4FADE790" w14:textId="77777777" w:rsidR="00AC5BFE" w:rsidRPr="00AC5BFE" w:rsidRDefault="00AC5BFE" w:rsidP="00AC5BFE">
            <w:pPr>
              <w:spacing w:after="0" w:line="240" w:lineRule="auto"/>
              <w:jc w:val="both"/>
              <w:rPr>
                <w:color w:val="000000"/>
                <w:sz w:val="24"/>
                <w:highlight w:val="yellow"/>
              </w:rPr>
            </w:pPr>
            <w:r w:rsidRPr="00AC5BFE">
              <w:t>31,0</w:t>
            </w:r>
          </w:p>
        </w:tc>
        <w:tc>
          <w:tcPr>
            <w:tcW w:w="511" w:type="pct"/>
            <w:tcBorders>
              <w:top w:val="single" w:sz="4" w:space="0" w:color="auto"/>
              <w:left w:val="single" w:sz="4" w:space="0" w:color="auto"/>
              <w:bottom w:val="single" w:sz="4" w:space="0" w:color="auto"/>
              <w:right w:val="single" w:sz="4" w:space="0" w:color="auto"/>
            </w:tcBorders>
          </w:tcPr>
          <w:p w14:paraId="5D996D28" w14:textId="77777777" w:rsidR="00AC5BFE" w:rsidRPr="00AC5BFE" w:rsidRDefault="00AC5BFE" w:rsidP="00AC5BFE">
            <w:pPr>
              <w:spacing w:after="0" w:line="240" w:lineRule="auto"/>
              <w:jc w:val="both"/>
              <w:rPr>
                <w:color w:val="000000"/>
                <w:sz w:val="24"/>
                <w:highlight w:val="yellow"/>
              </w:rPr>
            </w:pPr>
            <w:r w:rsidRPr="00AC5BFE">
              <w:t>35,3</w:t>
            </w:r>
          </w:p>
        </w:tc>
        <w:tc>
          <w:tcPr>
            <w:tcW w:w="618" w:type="pct"/>
            <w:tcBorders>
              <w:top w:val="single" w:sz="4" w:space="0" w:color="auto"/>
              <w:left w:val="single" w:sz="4" w:space="0" w:color="auto"/>
              <w:bottom w:val="single" w:sz="4" w:space="0" w:color="auto"/>
              <w:right w:val="single" w:sz="4" w:space="0" w:color="auto"/>
            </w:tcBorders>
          </w:tcPr>
          <w:p w14:paraId="61FD7C4F" w14:textId="77777777" w:rsidR="00AC5BFE" w:rsidRPr="00AC5BFE" w:rsidRDefault="00AC5BFE" w:rsidP="00AC5BFE">
            <w:pPr>
              <w:spacing w:after="0" w:line="240" w:lineRule="auto"/>
              <w:jc w:val="both"/>
              <w:rPr>
                <w:color w:val="000000"/>
                <w:sz w:val="24"/>
                <w:highlight w:val="yellow"/>
              </w:rPr>
            </w:pPr>
            <w:r w:rsidRPr="00AC5BFE">
              <w:t>38,8</w:t>
            </w:r>
          </w:p>
        </w:tc>
        <w:tc>
          <w:tcPr>
            <w:tcW w:w="618" w:type="pct"/>
            <w:tcBorders>
              <w:top w:val="single" w:sz="4" w:space="0" w:color="auto"/>
              <w:left w:val="single" w:sz="4" w:space="0" w:color="auto"/>
              <w:bottom w:val="single" w:sz="4" w:space="0" w:color="auto"/>
              <w:right w:val="single" w:sz="4" w:space="0" w:color="auto"/>
            </w:tcBorders>
          </w:tcPr>
          <w:p w14:paraId="5496C84D" w14:textId="77777777" w:rsidR="00AC5BFE" w:rsidRPr="00AC5BFE" w:rsidRDefault="00AC5BFE" w:rsidP="00AC5BFE">
            <w:pPr>
              <w:spacing w:after="0" w:line="240" w:lineRule="auto"/>
              <w:jc w:val="both"/>
            </w:pPr>
            <w:r w:rsidRPr="00AC5BFE">
              <w:t>36,8</w:t>
            </w:r>
          </w:p>
        </w:tc>
      </w:tr>
    </w:tbl>
    <w:p w14:paraId="07856810" w14:textId="50F34E3D" w:rsidR="00AC5BFE" w:rsidRPr="00AC5BFE" w:rsidRDefault="00AC5BFE" w:rsidP="00AC5BFE">
      <w:pPr>
        <w:spacing w:after="0" w:line="240" w:lineRule="auto"/>
        <w:jc w:val="both"/>
        <w:rPr>
          <w:color w:val="000000"/>
        </w:rPr>
      </w:pPr>
      <w:r w:rsidRPr="00AC5BFE">
        <w:rPr>
          <w:b/>
          <w:i/>
          <w:color w:val="000000"/>
        </w:rPr>
        <w:t>Source</w:t>
      </w:r>
      <w:r w:rsidRPr="00AC5BFE">
        <w:rPr>
          <w:color w:val="000000"/>
        </w:rPr>
        <w:t xml:space="preserve">.  </w:t>
      </w:r>
      <w:r w:rsidRPr="00AC5BFE">
        <w:rPr>
          <w:rFonts w:cs="Calibri"/>
          <w:color w:val="000000"/>
        </w:rPr>
        <w:t>Direction des Etudes et des Prévisions/ Institut National de la Statistiques et des Etudes Economiques et Démographique du Tchad (INSEED).</w:t>
      </w:r>
    </w:p>
    <w:bookmarkEnd w:id="276"/>
    <w:p w14:paraId="23F5EA22" w14:textId="77777777" w:rsidR="00AC5BFE" w:rsidRPr="00AC5BFE" w:rsidRDefault="00AC5BFE" w:rsidP="00AC5BFE">
      <w:r w:rsidRPr="00AC5BFE">
        <w:t xml:space="preserve">Note de </w:t>
      </w:r>
      <w:proofErr w:type="gramStart"/>
      <w:r w:rsidRPr="00AC5BFE">
        <w:t>lecture:</w:t>
      </w:r>
      <w:proofErr w:type="gramEnd"/>
      <w:r w:rsidRPr="00AC5BFE">
        <w:t xml:space="preserve"> les prévisions de l'inflation pour les années 2021 et 2022 sont projetées à 3% (norme communautaire CEMAC).</w:t>
      </w:r>
    </w:p>
    <w:p w14:paraId="2C23D64C" w14:textId="77777777" w:rsidR="00AC5BFE" w:rsidRPr="00AC5BFE" w:rsidRDefault="00AC5BFE" w:rsidP="00AC5BFE">
      <w:pPr>
        <w:keepNext/>
        <w:spacing w:after="0" w:line="240" w:lineRule="auto"/>
        <w:jc w:val="both"/>
        <w:rPr>
          <w:rFonts w:ascii="Times New Roman" w:hAnsi="Times New Roman"/>
          <w:iCs/>
          <w:color w:val="000000"/>
          <w:sz w:val="24"/>
          <w:szCs w:val="18"/>
        </w:rPr>
      </w:pPr>
      <w:r w:rsidRPr="00AC5BFE">
        <w:rPr>
          <w:rFonts w:ascii="Times New Roman" w:hAnsi="Times New Roman"/>
          <w:iCs/>
          <w:color w:val="000000"/>
          <w:sz w:val="24"/>
          <w:szCs w:val="18"/>
        </w:rPr>
        <w:t>Toutefois, dans cet environnement incertain, le Tchad dispose de marges d’amélioration du rendement fiscal avec la poursuite des diverses réformes initiées pour le renforcement de la simplicité, la lisibilité, la transparence et l’équité du système fiscal. Il est essentiel que les niches d’évasion fiscale soient réduites, et que la progressivité du système de taxation soit renforcée pour éviter de faire peser un fardeau fiscal encore plus important sur les pauvres, qui doivent déjà supporter une part directe importante du service public. De même, il existe encore un potentiel fiscal inexploité au niveau de certains produits comme le tabac (« les sin taxes »). Le Tchad applique actuellement un taux de taxation total sur les cigarettes de 34,5 % du prix de détail de la marque de cigarettes la plus vendue. Ce qui est inférieur aux recommandations de l’OMS qui est d’imposer une part fiscale minimale de 75 % du prix de détail du tabac. Il faudra également initier la diversification économique pour un élargissement durable de l’assiette fiscale. Cette diversification peut partir d’un développement de chaines de valeur de produits comme le bétail ainsi que l’amélioration du climat des affaires pour soutenir le développement du secteur privé.</w:t>
      </w:r>
    </w:p>
    <w:p w14:paraId="3C526E68" w14:textId="77777777" w:rsidR="000C155A" w:rsidRPr="00A8375B" w:rsidRDefault="000C155A" w:rsidP="00A8375B">
      <w:pPr>
        <w:autoSpaceDE w:val="0"/>
        <w:autoSpaceDN w:val="0"/>
        <w:adjustRightInd w:val="0"/>
        <w:spacing w:after="0" w:line="240" w:lineRule="auto"/>
        <w:jc w:val="both"/>
        <w:rPr>
          <w:rFonts w:ascii="Times New Roman" w:hAnsi="Times New Roman"/>
          <w:color w:val="000000"/>
          <w:sz w:val="24"/>
        </w:rPr>
      </w:pPr>
    </w:p>
    <w:p w14:paraId="0A8E731D" w14:textId="15E2E406" w:rsidR="000C155A" w:rsidRPr="00AC5BFE" w:rsidRDefault="000C155A" w:rsidP="000C155A">
      <w:pPr>
        <w:autoSpaceDE w:val="0"/>
        <w:autoSpaceDN w:val="0"/>
        <w:adjustRightInd w:val="0"/>
        <w:spacing w:after="0" w:line="240" w:lineRule="auto"/>
        <w:jc w:val="both"/>
        <w:rPr>
          <w:rFonts w:ascii="Times New Roman" w:hAnsi="Times New Roman" w:cs="Calibri"/>
          <w:color w:val="000000"/>
          <w:sz w:val="24"/>
          <w:szCs w:val="24"/>
        </w:rPr>
      </w:pPr>
      <w:r w:rsidRPr="00AC5BFE">
        <w:rPr>
          <w:rFonts w:ascii="Times New Roman" w:hAnsi="Times New Roman"/>
          <w:color w:val="000000"/>
          <w:sz w:val="24"/>
          <w:szCs w:val="24"/>
        </w:rPr>
        <w:t>Le Tchad peut aussi recourir à une amélioration de l’efficience des dépenses publiques pour financer les ODD. Selon le Plan National de Développement, le Tchad a mis en place plusieurs mesures visant à améliorer la gouvernance et la gestion du secteur public. Parmi les mesures qui ont déjà démontré un impact, il est à noter l’amélioration de la gouvernance économique visant à orienter davantage vers la gestion des ressources publiques. Pour améliorer l’efficacité dans la gestion des finances publiques, le Gouvernement a lancé un ambitieux Plan d’Action pour la Modernisation de la Gestion des Finances Publiques. Les résultats attendus de cette modernisation étaient une fourniture plus performante de services au profit de tous les usagers (opérateurs économiques, administrations, partenaires techniques et financiers, citoyens, etc.). Il s’agissait également d’assurer un meilleur contrôle des dépenses et des recettes ainsi que leur utilisation optimale au profit du développement économique et social. Parmi les résultats obtenus figure l’atteinte du point d’achèvement de l’initiative pays pauvres très endettés en 2015 ayant permis de bénéficier d’un allègement de la dette multilatérale et bilatérale pour un montant de $1,1 milliard, s</w:t>
      </w:r>
      <w:r w:rsidRPr="00AC5BFE">
        <w:rPr>
          <w:rFonts w:ascii="Times New Roman" w:hAnsi="Times New Roman" w:cs="Calibri"/>
          <w:color w:val="000000"/>
          <w:sz w:val="24"/>
          <w:szCs w:val="24"/>
        </w:rPr>
        <w:t>elon le rapport de la Conférence des Nations Unies sur le commerce et le développement.</w:t>
      </w:r>
    </w:p>
    <w:p w14:paraId="3642C066" w14:textId="77777777" w:rsidR="000C155A" w:rsidRDefault="000C155A" w:rsidP="000C155A">
      <w:pPr>
        <w:autoSpaceDE w:val="0"/>
        <w:autoSpaceDN w:val="0"/>
        <w:adjustRightInd w:val="0"/>
        <w:spacing w:after="0" w:line="240" w:lineRule="auto"/>
        <w:jc w:val="both"/>
      </w:pPr>
    </w:p>
    <w:p w14:paraId="67A33EFE" w14:textId="7CB4919A" w:rsidR="000C155A" w:rsidRPr="00AC5BFE" w:rsidRDefault="000C155A" w:rsidP="000C155A">
      <w:pPr>
        <w:autoSpaceDE w:val="0"/>
        <w:autoSpaceDN w:val="0"/>
        <w:adjustRightInd w:val="0"/>
        <w:spacing w:after="0" w:line="240" w:lineRule="auto"/>
        <w:jc w:val="both"/>
        <w:rPr>
          <w:rFonts w:ascii="Times New Roman" w:hAnsi="Times New Roman"/>
          <w:color w:val="000000"/>
          <w:sz w:val="24"/>
          <w:szCs w:val="24"/>
        </w:rPr>
      </w:pPr>
      <w:r w:rsidRPr="00AC5BFE">
        <w:rPr>
          <w:rFonts w:ascii="Times New Roman" w:hAnsi="Times New Roman"/>
          <w:color w:val="000000"/>
          <w:sz w:val="24"/>
          <w:szCs w:val="24"/>
        </w:rPr>
        <w:t xml:space="preserve">Pour renforcer l’efficience des dépenses publiques notamment dans les secteurs sociaux, les autorités Tchadiennes devraient poursuivre les réformes en matière de de planification, budgétisation, mise en œuvre et de transparence des investissements publics, en s’appuyant sur la Commission nationale de gestion des investissements publics (CONAGIP). </w:t>
      </w:r>
    </w:p>
    <w:p w14:paraId="0C9FC05C" w14:textId="77777777" w:rsidR="000C155A" w:rsidRDefault="000C155A" w:rsidP="00AC5BFE"/>
    <w:p w14:paraId="11718E7C" w14:textId="732343A8" w:rsidR="00AC5BFE" w:rsidRPr="00AC5BFE" w:rsidRDefault="00D33F7A" w:rsidP="00AC5BFE">
      <w:pPr>
        <w:autoSpaceDE w:val="0"/>
        <w:autoSpaceDN w:val="0"/>
        <w:adjustRightInd w:val="0"/>
        <w:spacing w:after="0" w:line="240" w:lineRule="auto"/>
        <w:jc w:val="both"/>
        <w:rPr>
          <w:rFonts w:ascii="Times New Roman" w:hAnsi="Times New Roman"/>
          <w:color w:val="000000"/>
          <w:sz w:val="24"/>
          <w:szCs w:val="24"/>
        </w:rPr>
      </w:pPr>
      <w:r w:rsidRPr="00542689">
        <w:rPr>
          <w:b/>
          <w:bCs/>
          <w:i/>
          <w:iCs/>
        </w:rPr>
        <w:t>Ressources externes</w:t>
      </w:r>
    </w:p>
    <w:p w14:paraId="10918B68" w14:textId="77777777" w:rsidR="00AE612A" w:rsidRDefault="00AE612A" w:rsidP="00AC5BFE">
      <w:pPr>
        <w:autoSpaceDE w:val="0"/>
        <w:autoSpaceDN w:val="0"/>
        <w:adjustRightInd w:val="0"/>
        <w:spacing w:after="0" w:line="240" w:lineRule="auto"/>
        <w:jc w:val="both"/>
        <w:rPr>
          <w:rFonts w:ascii="Times New Roman" w:hAnsi="Times New Roman" w:cs="Calibri"/>
          <w:color w:val="000000"/>
          <w:sz w:val="24"/>
          <w:szCs w:val="24"/>
        </w:rPr>
      </w:pPr>
    </w:p>
    <w:p w14:paraId="4C73D3CF" w14:textId="5B596C03" w:rsidR="00AC5BFE" w:rsidRPr="00AC5BFE" w:rsidRDefault="00AC5BFE" w:rsidP="00AC5BFE">
      <w:pPr>
        <w:autoSpaceDE w:val="0"/>
        <w:autoSpaceDN w:val="0"/>
        <w:adjustRightInd w:val="0"/>
        <w:spacing w:after="0" w:line="240" w:lineRule="auto"/>
        <w:jc w:val="both"/>
        <w:rPr>
          <w:rFonts w:ascii="Times New Roman" w:hAnsi="Times New Roman" w:cs="Calibri"/>
          <w:color w:val="000000"/>
          <w:sz w:val="24"/>
          <w:szCs w:val="24"/>
        </w:rPr>
      </w:pPr>
      <w:r w:rsidRPr="00AC5BFE">
        <w:rPr>
          <w:rFonts w:ascii="Times New Roman" w:hAnsi="Times New Roman" w:cs="Calibri"/>
          <w:color w:val="000000"/>
          <w:sz w:val="24"/>
          <w:szCs w:val="24"/>
        </w:rPr>
        <w:t>En termes d’appuis extérieurs, le Tchad bénéficie de l’aide de plusieurs partenaires pour couvrir les dépenses liées aux ODD. Les dons représentaient 20% des revenus du gouvernement sur la période 2016-2020. Les principales sources de financement extérieurs des ODD au Tchad sont les suivantes :</w:t>
      </w:r>
    </w:p>
    <w:p w14:paraId="129195DA" w14:textId="77777777" w:rsidR="00AC5BFE" w:rsidRPr="00AC5BFE" w:rsidRDefault="00AC5BFE" w:rsidP="00AC5BFE">
      <w:pPr>
        <w:autoSpaceDE w:val="0"/>
        <w:autoSpaceDN w:val="0"/>
        <w:adjustRightInd w:val="0"/>
        <w:spacing w:after="0" w:line="240" w:lineRule="auto"/>
        <w:rPr>
          <w:rFonts w:ascii="Times New Roman" w:hAnsi="Times New Roman" w:cs="Calibri"/>
          <w:color w:val="000000"/>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9600"/>
      </w:tblGrid>
      <w:tr w:rsidR="00AC5BFE" w:rsidRPr="00AC5BFE" w14:paraId="718B73A7" w14:textId="77777777" w:rsidTr="008676C5">
        <w:trPr>
          <w:trHeight w:val="435"/>
        </w:trPr>
        <w:tc>
          <w:tcPr>
            <w:tcW w:w="9600" w:type="dxa"/>
            <w:shd w:val="clear" w:color="auto" w:fill="5B9BD5"/>
            <w:tcMar>
              <w:top w:w="54" w:type="dxa"/>
              <w:left w:w="131" w:type="dxa"/>
              <w:bottom w:w="54" w:type="dxa"/>
              <w:right w:w="131" w:type="dxa"/>
            </w:tcMar>
            <w:hideMark/>
          </w:tcPr>
          <w:p w14:paraId="762E8404" w14:textId="77777777" w:rsidR="00AC5BFE" w:rsidRPr="00AC5BFE" w:rsidRDefault="00AC5BFE" w:rsidP="00AC5BFE">
            <w:pPr>
              <w:autoSpaceDE w:val="0"/>
              <w:autoSpaceDN w:val="0"/>
              <w:adjustRightInd w:val="0"/>
              <w:spacing w:after="0" w:line="240" w:lineRule="auto"/>
              <w:rPr>
                <w:rFonts w:ascii="Times New Roman" w:hAnsi="Times New Roman" w:cs="Calibri"/>
                <w:color w:val="000000"/>
                <w:sz w:val="24"/>
                <w:szCs w:val="24"/>
                <w:lang w:val="en-US"/>
              </w:rPr>
            </w:pPr>
            <w:r w:rsidRPr="00AC5BFE">
              <w:rPr>
                <w:rFonts w:ascii="Times New Roman" w:hAnsi="Times New Roman" w:cs="Calibri"/>
                <w:b/>
                <w:bCs/>
                <w:color w:val="000000"/>
                <w:sz w:val="24"/>
                <w:szCs w:val="24"/>
              </w:rPr>
              <w:t>1.  Principaux bailleurs au Tchad</w:t>
            </w:r>
          </w:p>
        </w:tc>
      </w:tr>
      <w:tr w:rsidR="00AC5BFE" w:rsidRPr="00AC5BFE" w14:paraId="3D9C6965" w14:textId="77777777" w:rsidTr="008676C5">
        <w:trPr>
          <w:trHeight w:val="872"/>
        </w:trPr>
        <w:tc>
          <w:tcPr>
            <w:tcW w:w="9600" w:type="dxa"/>
            <w:shd w:val="clear" w:color="auto" w:fill="D2DEEF"/>
            <w:tcMar>
              <w:top w:w="54" w:type="dxa"/>
              <w:left w:w="131" w:type="dxa"/>
              <w:bottom w:w="54" w:type="dxa"/>
              <w:right w:w="131" w:type="dxa"/>
            </w:tcMar>
            <w:hideMark/>
          </w:tcPr>
          <w:p w14:paraId="0DE0C495" w14:textId="77777777" w:rsidR="00AC5BFE" w:rsidRPr="00AC5BFE" w:rsidRDefault="00AC5BFE" w:rsidP="00BC1AE3">
            <w:pPr>
              <w:numPr>
                <w:ilvl w:val="0"/>
                <w:numId w:val="34"/>
              </w:numPr>
              <w:autoSpaceDE w:val="0"/>
              <w:autoSpaceDN w:val="0"/>
              <w:adjustRightInd w:val="0"/>
              <w:spacing w:after="0" w:line="240" w:lineRule="auto"/>
              <w:rPr>
                <w:rFonts w:ascii="Times New Roman" w:hAnsi="Times New Roman" w:cs="Calibri"/>
                <w:color w:val="000000"/>
                <w:sz w:val="24"/>
                <w:szCs w:val="24"/>
              </w:rPr>
            </w:pPr>
            <w:r w:rsidRPr="00AC5BFE">
              <w:rPr>
                <w:rFonts w:ascii="Times New Roman" w:hAnsi="Times New Roman" w:cs="Calibri"/>
                <w:b/>
                <w:bCs/>
                <w:color w:val="000000"/>
                <w:sz w:val="24"/>
                <w:szCs w:val="24"/>
              </w:rPr>
              <w:t xml:space="preserve">Banque </w:t>
            </w:r>
            <w:proofErr w:type="gramStart"/>
            <w:r w:rsidRPr="00AC5BFE">
              <w:rPr>
                <w:rFonts w:ascii="Times New Roman" w:hAnsi="Times New Roman" w:cs="Calibri"/>
                <w:b/>
                <w:bCs/>
                <w:color w:val="000000"/>
                <w:sz w:val="24"/>
                <w:szCs w:val="24"/>
              </w:rPr>
              <w:t>Mondiale</w:t>
            </w:r>
            <w:r w:rsidRPr="00AC5BFE">
              <w:rPr>
                <w:rFonts w:ascii="Times New Roman" w:hAnsi="Times New Roman" w:cs="Calibri"/>
                <w:color w:val="000000"/>
                <w:sz w:val="24"/>
                <w:szCs w:val="24"/>
              </w:rPr>
              <w:t>:</w:t>
            </w:r>
            <w:proofErr w:type="gramEnd"/>
            <w:r w:rsidRPr="00AC5BFE">
              <w:rPr>
                <w:rFonts w:ascii="Times New Roman" w:hAnsi="Times New Roman" w:cs="Calibri"/>
                <w:color w:val="000000"/>
                <w:sz w:val="24"/>
                <w:szCs w:val="24"/>
              </w:rPr>
              <w:t xml:space="preserve"> </w:t>
            </w:r>
            <w:r w:rsidRPr="00AC5BFE">
              <w:rPr>
                <w:rFonts w:ascii="Times New Roman" w:hAnsi="Times New Roman" w:cs="Calibri"/>
                <w:b/>
                <w:bCs/>
                <w:color w:val="000000"/>
                <w:sz w:val="24"/>
                <w:szCs w:val="24"/>
              </w:rPr>
              <w:t xml:space="preserve">529,4 millions de dollars </w:t>
            </w:r>
            <w:r w:rsidRPr="00AC5BFE">
              <w:rPr>
                <w:rFonts w:ascii="Times New Roman" w:hAnsi="Times New Roman" w:cs="Calibri"/>
                <w:color w:val="000000"/>
                <w:sz w:val="24"/>
                <w:szCs w:val="24"/>
              </w:rPr>
              <w:t>(projets nationaux) et  </w:t>
            </w:r>
            <w:r w:rsidRPr="00AC5BFE">
              <w:rPr>
                <w:rFonts w:ascii="Times New Roman" w:hAnsi="Times New Roman" w:cs="Calibri"/>
                <w:b/>
                <w:bCs/>
                <w:color w:val="000000"/>
                <w:sz w:val="24"/>
                <w:szCs w:val="24"/>
              </w:rPr>
              <w:t xml:space="preserve">336,7 millions de dollar </w:t>
            </w:r>
            <w:r w:rsidRPr="00AC5BFE">
              <w:rPr>
                <w:rFonts w:ascii="Times New Roman" w:hAnsi="Times New Roman" w:cs="Calibri"/>
                <w:color w:val="000000"/>
                <w:sz w:val="24"/>
                <w:szCs w:val="24"/>
              </w:rPr>
              <w:t xml:space="preserve">(projets régionaux) + Financement d’urgence de </w:t>
            </w:r>
            <w:r w:rsidRPr="00AC5BFE">
              <w:rPr>
                <w:rFonts w:ascii="Times New Roman" w:hAnsi="Times New Roman" w:cs="Calibri"/>
                <w:b/>
                <w:bCs/>
                <w:color w:val="000000"/>
                <w:sz w:val="24"/>
                <w:szCs w:val="24"/>
              </w:rPr>
              <w:t xml:space="preserve">16,9 millions US </w:t>
            </w:r>
            <w:r w:rsidRPr="00AC5BFE">
              <w:rPr>
                <w:rFonts w:ascii="Times New Roman" w:hAnsi="Times New Roman" w:cs="Calibri"/>
                <w:color w:val="000000"/>
                <w:sz w:val="24"/>
                <w:szCs w:val="24"/>
              </w:rPr>
              <w:t>en 2020</w:t>
            </w:r>
          </w:p>
          <w:p w14:paraId="02E245CD" w14:textId="77777777" w:rsidR="00AC5BFE" w:rsidRPr="00AC5BFE" w:rsidRDefault="00AC5BFE" w:rsidP="00BC1AE3">
            <w:pPr>
              <w:numPr>
                <w:ilvl w:val="0"/>
                <w:numId w:val="35"/>
              </w:numPr>
              <w:autoSpaceDE w:val="0"/>
              <w:autoSpaceDN w:val="0"/>
              <w:adjustRightInd w:val="0"/>
              <w:spacing w:after="0" w:line="240" w:lineRule="auto"/>
              <w:rPr>
                <w:rFonts w:ascii="Times New Roman" w:hAnsi="Times New Roman" w:cs="Calibri"/>
                <w:color w:val="000000"/>
                <w:sz w:val="24"/>
                <w:szCs w:val="24"/>
              </w:rPr>
            </w:pPr>
            <w:proofErr w:type="gramStart"/>
            <w:r w:rsidRPr="00AC5BFE">
              <w:rPr>
                <w:rFonts w:ascii="Times New Roman" w:hAnsi="Times New Roman" w:cs="Calibri"/>
                <w:b/>
                <w:bCs/>
                <w:color w:val="000000"/>
                <w:sz w:val="24"/>
                <w:szCs w:val="24"/>
              </w:rPr>
              <w:t>Domaines:</w:t>
            </w:r>
            <w:proofErr w:type="gramEnd"/>
            <w:r w:rsidRPr="00AC5BFE">
              <w:rPr>
                <w:rFonts w:ascii="Times New Roman" w:hAnsi="Times New Roman" w:cs="Calibri"/>
                <w:b/>
                <w:bCs/>
                <w:color w:val="000000"/>
                <w:sz w:val="24"/>
                <w:szCs w:val="24"/>
              </w:rPr>
              <w:t xml:space="preserve"> </w:t>
            </w:r>
            <w:r w:rsidRPr="00AC5BFE">
              <w:rPr>
                <w:rFonts w:ascii="Times New Roman" w:hAnsi="Times New Roman" w:cs="Calibri"/>
                <w:color w:val="000000"/>
                <w:sz w:val="24"/>
                <w:szCs w:val="24"/>
              </w:rPr>
              <w:t xml:space="preserve">gouvernance, agriculture et capital humain </w:t>
            </w:r>
            <w:r w:rsidRPr="00AC5BFE">
              <w:rPr>
                <w:rFonts w:ascii="Times New Roman" w:hAnsi="Times New Roman" w:cs="Calibri"/>
                <w:b/>
                <w:bCs/>
                <w:color w:val="000000"/>
                <w:sz w:val="24"/>
                <w:szCs w:val="24"/>
              </w:rPr>
              <w:t>(éducation, santé et nutrition)</w:t>
            </w:r>
          </w:p>
        </w:tc>
      </w:tr>
      <w:tr w:rsidR="00AC5BFE" w:rsidRPr="00AC5BFE" w14:paraId="52C737B8" w14:textId="77777777" w:rsidTr="008676C5">
        <w:trPr>
          <w:trHeight w:val="512"/>
        </w:trPr>
        <w:tc>
          <w:tcPr>
            <w:tcW w:w="9600" w:type="dxa"/>
            <w:shd w:val="clear" w:color="auto" w:fill="EAEFF7"/>
            <w:tcMar>
              <w:top w:w="54" w:type="dxa"/>
              <w:left w:w="131" w:type="dxa"/>
              <w:bottom w:w="54" w:type="dxa"/>
              <w:right w:w="131" w:type="dxa"/>
            </w:tcMar>
            <w:hideMark/>
          </w:tcPr>
          <w:p w14:paraId="348409B5" w14:textId="77777777" w:rsidR="00AC5BFE" w:rsidRPr="00AC5BFE" w:rsidRDefault="00AC5BFE" w:rsidP="00BC1AE3">
            <w:pPr>
              <w:numPr>
                <w:ilvl w:val="0"/>
                <w:numId w:val="36"/>
              </w:numPr>
              <w:autoSpaceDE w:val="0"/>
              <w:autoSpaceDN w:val="0"/>
              <w:adjustRightInd w:val="0"/>
              <w:spacing w:after="0" w:line="240" w:lineRule="auto"/>
              <w:rPr>
                <w:rFonts w:ascii="Times New Roman" w:hAnsi="Times New Roman" w:cs="Calibri"/>
                <w:color w:val="000000"/>
                <w:sz w:val="24"/>
                <w:szCs w:val="24"/>
              </w:rPr>
            </w:pPr>
            <w:r w:rsidRPr="00AC5BFE">
              <w:rPr>
                <w:rFonts w:ascii="Times New Roman" w:hAnsi="Times New Roman" w:cs="Calibri"/>
                <w:b/>
                <w:bCs/>
                <w:color w:val="000000"/>
                <w:sz w:val="24"/>
                <w:szCs w:val="24"/>
              </w:rPr>
              <w:t>Banque Africaine de Développement</w:t>
            </w:r>
            <w:r w:rsidRPr="00AC5BFE">
              <w:rPr>
                <w:rFonts w:ascii="Times New Roman" w:hAnsi="Times New Roman" w:cs="Calibri"/>
                <w:color w:val="000000"/>
                <w:sz w:val="24"/>
                <w:szCs w:val="24"/>
              </w:rPr>
              <w:t xml:space="preserve"> : </w:t>
            </w:r>
            <w:r w:rsidRPr="00AC5BFE">
              <w:rPr>
                <w:rFonts w:ascii="Times New Roman" w:hAnsi="Times New Roman" w:cs="Calibri"/>
                <w:b/>
                <w:bCs/>
                <w:color w:val="000000"/>
                <w:sz w:val="24"/>
                <w:szCs w:val="24"/>
              </w:rPr>
              <w:t xml:space="preserve">183 millions US </w:t>
            </w:r>
            <w:r w:rsidRPr="00AC5BFE">
              <w:rPr>
                <w:rFonts w:ascii="Times New Roman" w:hAnsi="Times New Roman" w:cs="Calibri"/>
                <w:color w:val="000000"/>
                <w:sz w:val="24"/>
                <w:szCs w:val="24"/>
              </w:rPr>
              <w:t>sur 2016-2020</w:t>
            </w:r>
          </w:p>
          <w:p w14:paraId="48753035" w14:textId="77777777" w:rsidR="00AC5BFE" w:rsidRPr="00AC5BFE" w:rsidRDefault="00AC5BFE" w:rsidP="00BC1AE3">
            <w:pPr>
              <w:numPr>
                <w:ilvl w:val="0"/>
                <w:numId w:val="37"/>
              </w:numPr>
              <w:autoSpaceDE w:val="0"/>
              <w:autoSpaceDN w:val="0"/>
              <w:adjustRightInd w:val="0"/>
              <w:spacing w:after="0" w:line="240" w:lineRule="auto"/>
              <w:rPr>
                <w:rFonts w:ascii="Times New Roman" w:hAnsi="Times New Roman" w:cs="Calibri"/>
                <w:color w:val="000000"/>
                <w:sz w:val="24"/>
                <w:szCs w:val="24"/>
              </w:rPr>
            </w:pPr>
            <w:proofErr w:type="gramStart"/>
            <w:r w:rsidRPr="00AC5BFE">
              <w:rPr>
                <w:rFonts w:ascii="Times New Roman" w:hAnsi="Times New Roman" w:cs="Calibri"/>
                <w:b/>
                <w:bCs/>
                <w:color w:val="000000"/>
                <w:sz w:val="24"/>
                <w:szCs w:val="24"/>
              </w:rPr>
              <w:t>Domaines</w:t>
            </w:r>
            <w:r w:rsidRPr="00AC5BFE">
              <w:rPr>
                <w:rFonts w:ascii="Times New Roman" w:hAnsi="Times New Roman" w:cs="Calibri"/>
                <w:color w:val="000000"/>
                <w:sz w:val="24"/>
                <w:szCs w:val="24"/>
              </w:rPr>
              <w:t>:</w:t>
            </w:r>
            <w:proofErr w:type="gramEnd"/>
            <w:r w:rsidRPr="00AC5BFE">
              <w:rPr>
                <w:rFonts w:ascii="Times New Roman" w:hAnsi="Times New Roman" w:cs="Calibri"/>
                <w:color w:val="000000"/>
                <w:sz w:val="24"/>
                <w:szCs w:val="24"/>
              </w:rPr>
              <w:t xml:space="preserve"> Transport, énergie, gouvernance économique, </w:t>
            </w:r>
            <w:r w:rsidRPr="00AC5BFE">
              <w:rPr>
                <w:rFonts w:ascii="Times New Roman" w:hAnsi="Times New Roman" w:cs="Calibri"/>
                <w:b/>
                <w:bCs/>
                <w:color w:val="000000"/>
                <w:sz w:val="24"/>
                <w:szCs w:val="24"/>
              </w:rPr>
              <w:t>éducation</w:t>
            </w:r>
            <w:r w:rsidRPr="00AC5BFE">
              <w:rPr>
                <w:rFonts w:ascii="Times New Roman" w:hAnsi="Times New Roman" w:cs="Calibri"/>
                <w:color w:val="000000"/>
                <w:sz w:val="24"/>
                <w:szCs w:val="24"/>
              </w:rPr>
              <w:t>, agriculture</w:t>
            </w:r>
          </w:p>
        </w:tc>
      </w:tr>
      <w:tr w:rsidR="00AC5BFE" w:rsidRPr="00AC5BFE" w14:paraId="5A9A09F1" w14:textId="77777777" w:rsidTr="008676C5">
        <w:trPr>
          <w:trHeight w:val="566"/>
        </w:trPr>
        <w:tc>
          <w:tcPr>
            <w:tcW w:w="9600" w:type="dxa"/>
            <w:shd w:val="clear" w:color="auto" w:fill="D2DEEF"/>
            <w:tcMar>
              <w:top w:w="54" w:type="dxa"/>
              <w:left w:w="131" w:type="dxa"/>
              <w:bottom w:w="54" w:type="dxa"/>
              <w:right w:w="131" w:type="dxa"/>
            </w:tcMar>
            <w:hideMark/>
          </w:tcPr>
          <w:p w14:paraId="3FB17F36" w14:textId="77777777" w:rsidR="00AC5BFE" w:rsidRPr="00AC5BFE" w:rsidRDefault="00AC5BFE" w:rsidP="00BC1AE3">
            <w:pPr>
              <w:numPr>
                <w:ilvl w:val="0"/>
                <w:numId w:val="38"/>
              </w:numPr>
              <w:autoSpaceDE w:val="0"/>
              <w:autoSpaceDN w:val="0"/>
              <w:adjustRightInd w:val="0"/>
              <w:spacing w:after="0" w:line="240" w:lineRule="auto"/>
              <w:rPr>
                <w:rFonts w:ascii="Times New Roman" w:hAnsi="Times New Roman" w:cs="Calibri"/>
                <w:color w:val="000000"/>
                <w:sz w:val="24"/>
                <w:szCs w:val="24"/>
              </w:rPr>
            </w:pPr>
            <w:r w:rsidRPr="00AC5BFE">
              <w:rPr>
                <w:rFonts w:ascii="Times New Roman" w:hAnsi="Times New Roman" w:cs="Calibri"/>
                <w:b/>
                <w:bCs/>
                <w:color w:val="000000"/>
                <w:sz w:val="24"/>
                <w:szCs w:val="24"/>
              </w:rPr>
              <w:t>Banque Islamique de développement</w:t>
            </w:r>
            <w:r w:rsidRPr="00AC5BFE">
              <w:rPr>
                <w:rFonts w:ascii="Times New Roman" w:hAnsi="Times New Roman" w:cs="Calibri"/>
                <w:color w:val="000000"/>
                <w:sz w:val="24"/>
                <w:szCs w:val="24"/>
              </w:rPr>
              <w:t xml:space="preserve"> : Portefeuille actif de </w:t>
            </w:r>
            <w:r w:rsidRPr="00AC5BFE">
              <w:rPr>
                <w:rFonts w:ascii="Times New Roman" w:hAnsi="Times New Roman" w:cs="Calibri"/>
                <w:b/>
                <w:bCs/>
                <w:color w:val="000000"/>
                <w:sz w:val="24"/>
                <w:szCs w:val="24"/>
              </w:rPr>
              <w:t xml:space="preserve">598 millions US </w:t>
            </w:r>
          </w:p>
          <w:p w14:paraId="176A0DA4" w14:textId="77777777" w:rsidR="00AC5BFE" w:rsidRPr="00AC5BFE" w:rsidRDefault="00AC5BFE" w:rsidP="00BC1AE3">
            <w:pPr>
              <w:numPr>
                <w:ilvl w:val="0"/>
                <w:numId w:val="39"/>
              </w:numPr>
              <w:autoSpaceDE w:val="0"/>
              <w:autoSpaceDN w:val="0"/>
              <w:adjustRightInd w:val="0"/>
              <w:spacing w:after="0" w:line="240" w:lineRule="auto"/>
              <w:rPr>
                <w:rFonts w:ascii="Times New Roman" w:hAnsi="Times New Roman" w:cs="Calibri"/>
                <w:color w:val="000000"/>
                <w:sz w:val="24"/>
                <w:szCs w:val="24"/>
              </w:rPr>
            </w:pPr>
            <w:proofErr w:type="gramStart"/>
            <w:r w:rsidRPr="00AC5BFE">
              <w:rPr>
                <w:rFonts w:ascii="Times New Roman" w:hAnsi="Times New Roman" w:cs="Calibri"/>
                <w:b/>
                <w:bCs/>
                <w:color w:val="000000"/>
                <w:sz w:val="24"/>
                <w:szCs w:val="24"/>
              </w:rPr>
              <w:t>Domaines:</w:t>
            </w:r>
            <w:proofErr w:type="gramEnd"/>
            <w:r w:rsidRPr="00AC5BFE">
              <w:rPr>
                <w:rFonts w:ascii="Times New Roman" w:hAnsi="Times New Roman" w:cs="Calibri"/>
                <w:b/>
                <w:bCs/>
                <w:color w:val="000000"/>
                <w:sz w:val="24"/>
                <w:szCs w:val="24"/>
              </w:rPr>
              <w:t xml:space="preserve"> </w:t>
            </w:r>
            <w:r w:rsidRPr="00AC5BFE">
              <w:rPr>
                <w:rFonts w:ascii="Times New Roman" w:hAnsi="Times New Roman" w:cs="Calibri"/>
                <w:color w:val="000000"/>
                <w:sz w:val="24"/>
                <w:szCs w:val="24"/>
              </w:rPr>
              <w:t>Transport, Agriculture</w:t>
            </w:r>
            <w:r w:rsidRPr="00AC5BFE">
              <w:rPr>
                <w:rFonts w:ascii="Times New Roman" w:hAnsi="Times New Roman" w:cs="Calibri"/>
                <w:b/>
                <w:bCs/>
                <w:color w:val="000000"/>
                <w:sz w:val="24"/>
                <w:szCs w:val="24"/>
              </w:rPr>
              <w:t>, éducation, santé</w:t>
            </w:r>
          </w:p>
        </w:tc>
      </w:tr>
      <w:tr w:rsidR="00AC5BFE" w:rsidRPr="00AC5BFE" w14:paraId="521D86A3" w14:textId="77777777" w:rsidTr="008676C5">
        <w:trPr>
          <w:trHeight w:val="741"/>
        </w:trPr>
        <w:tc>
          <w:tcPr>
            <w:tcW w:w="9600" w:type="dxa"/>
            <w:shd w:val="clear" w:color="auto" w:fill="EAEFF7"/>
            <w:tcMar>
              <w:top w:w="54" w:type="dxa"/>
              <w:left w:w="131" w:type="dxa"/>
              <w:bottom w:w="54" w:type="dxa"/>
              <w:right w:w="131" w:type="dxa"/>
            </w:tcMar>
            <w:hideMark/>
          </w:tcPr>
          <w:p w14:paraId="627C59AF" w14:textId="77777777" w:rsidR="00AC5BFE" w:rsidRPr="00AC5BFE" w:rsidRDefault="00AC5BFE" w:rsidP="00BC1AE3">
            <w:pPr>
              <w:numPr>
                <w:ilvl w:val="0"/>
                <w:numId w:val="40"/>
              </w:numPr>
              <w:autoSpaceDE w:val="0"/>
              <w:autoSpaceDN w:val="0"/>
              <w:adjustRightInd w:val="0"/>
              <w:spacing w:after="0" w:line="240" w:lineRule="auto"/>
              <w:rPr>
                <w:rFonts w:ascii="Times New Roman" w:hAnsi="Times New Roman" w:cs="Calibri"/>
                <w:color w:val="000000"/>
                <w:sz w:val="24"/>
                <w:szCs w:val="24"/>
              </w:rPr>
            </w:pPr>
            <w:r w:rsidRPr="00AC5BFE">
              <w:rPr>
                <w:rFonts w:ascii="Times New Roman" w:hAnsi="Times New Roman" w:cs="Calibri"/>
                <w:b/>
                <w:bCs/>
                <w:color w:val="000000"/>
                <w:sz w:val="24"/>
                <w:szCs w:val="24"/>
              </w:rPr>
              <w:t xml:space="preserve">Union Européenne : </w:t>
            </w:r>
            <w:r w:rsidRPr="00AC5BFE">
              <w:rPr>
                <w:rFonts w:ascii="Times New Roman" w:hAnsi="Times New Roman" w:cs="Calibri"/>
                <w:color w:val="000000"/>
                <w:sz w:val="24"/>
                <w:szCs w:val="24"/>
              </w:rPr>
              <w:t>Montant indicatif de 552 millions d'euros sur 2014-2020</w:t>
            </w:r>
          </w:p>
          <w:p w14:paraId="5789876F" w14:textId="77777777" w:rsidR="00AC5BFE" w:rsidRPr="00AC5BFE" w:rsidRDefault="00AC5BFE" w:rsidP="00BC1AE3">
            <w:pPr>
              <w:numPr>
                <w:ilvl w:val="0"/>
                <w:numId w:val="41"/>
              </w:numPr>
              <w:autoSpaceDE w:val="0"/>
              <w:autoSpaceDN w:val="0"/>
              <w:adjustRightInd w:val="0"/>
              <w:spacing w:after="0" w:line="240" w:lineRule="auto"/>
              <w:rPr>
                <w:rFonts w:ascii="Times New Roman" w:hAnsi="Times New Roman" w:cs="Calibri"/>
                <w:color w:val="000000"/>
                <w:sz w:val="24"/>
                <w:szCs w:val="24"/>
              </w:rPr>
            </w:pPr>
            <w:proofErr w:type="gramStart"/>
            <w:r w:rsidRPr="00AC5BFE">
              <w:rPr>
                <w:rFonts w:ascii="Times New Roman" w:hAnsi="Times New Roman" w:cs="Calibri"/>
                <w:b/>
                <w:bCs/>
                <w:color w:val="000000"/>
                <w:sz w:val="24"/>
                <w:szCs w:val="24"/>
              </w:rPr>
              <w:t>Domaines:</w:t>
            </w:r>
            <w:proofErr w:type="gramEnd"/>
            <w:r w:rsidRPr="00AC5BFE">
              <w:rPr>
                <w:rFonts w:ascii="Times New Roman" w:hAnsi="Times New Roman" w:cs="Calibri"/>
                <w:b/>
                <w:bCs/>
                <w:color w:val="000000"/>
                <w:sz w:val="24"/>
                <w:szCs w:val="24"/>
              </w:rPr>
              <w:t xml:space="preserve"> </w:t>
            </w:r>
            <w:r w:rsidRPr="00AC5BFE">
              <w:rPr>
                <w:rFonts w:ascii="Times New Roman" w:hAnsi="Times New Roman" w:cs="Calibri"/>
                <w:color w:val="000000"/>
                <w:sz w:val="24"/>
                <w:szCs w:val="24"/>
              </w:rPr>
              <w:t xml:space="preserve">sécurité alimentaire, </w:t>
            </w:r>
            <w:r w:rsidRPr="00AC5BFE">
              <w:rPr>
                <w:rFonts w:ascii="Times New Roman" w:hAnsi="Times New Roman" w:cs="Calibri"/>
                <w:b/>
                <w:bCs/>
                <w:color w:val="000000"/>
                <w:sz w:val="24"/>
                <w:szCs w:val="24"/>
              </w:rPr>
              <w:t>nutrition</w:t>
            </w:r>
            <w:r w:rsidRPr="00AC5BFE">
              <w:rPr>
                <w:rFonts w:ascii="Times New Roman" w:hAnsi="Times New Roman" w:cs="Calibri"/>
                <w:color w:val="000000"/>
                <w:sz w:val="24"/>
                <w:szCs w:val="24"/>
              </w:rPr>
              <w:t xml:space="preserve">, développement rural, gouvernance politique, </w:t>
            </w:r>
            <w:r w:rsidRPr="00AC5BFE">
              <w:rPr>
                <w:rFonts w:ascii="Times New Roman" w:hAnsi="Times New Roman" w:cs="Calibri"/>
                <w:b/>
                <w:bCs/>
                <w:color w:val="000000"/>
                <w:sz w:val="24"/>
                <w:szCs w:val="24"/>
              </w:rPr>
              <w:t>genre</w:t>
            </w:r>
            <w:r w:rsidRPr="00AC5BFE">
              <w:rPr>
                <w:rFonts w:ascii="Times New Roman" w:hAnsi="Times New Roman" w:cs="Calibri"/>
                <w:color w:val="000000"/>
                <w:sz w:val="24"/>
                <w:szCs w:val="24"/>
              </w:rPr>
              <w:t>, environnement</w:t>
            </w:r>
          </w:p>
        </w:tc>
      </w:tr>
      <w:tr w:rsidR="00AC5BFE" w:rsidRPr="00AC5BFE" w14:paraId="4236C99E" w14:textId="77777777" w:rsidTr="008676C5">
        <w:trPr>
          <w:trHeight w:val="287"/>
        </w:trPr>
        <w:tc>
          <w:tcPr>
            <w:tcW w:w="9600" w:type="dxa"/>
            <w:shd w:val="clear" w:color="auto" w:fill="D2DEEF"/>
            <w:tcMar>
              <w:top w:w="54" w:type="dxa"/>
              <w:left w:w="131" w:type="dxa"/>
              <w:bottom w:w="54" w:type="dxa"/>
              <w:right w:w="131" w:type="dxa"/>
            </w:tcMar>
            <w:hideMark/>
          </w:tcPr>
          <w:p w14:paraId="51C308D6" w14:textId="77777777" w:rsidR="00AC5BFE" w:rsidRPr="00AC5BFE" w:rsidRDefault="00AC5BFE" w:rsidP="00BC1AE3">
            <w:pPr>
              <w:numPr>
                <w:ilvl w:val="1"/>
                <w:numId w:val="41"/>
              </w:numPr>
              <w:autoSpaceDE w:val="0"/>
              <w:autoSpaceDN w:val="0"/>
              <w:adjustRightInd w:val="0"/>
              <w:spacing w:after="0" w:line="240" w:lineRule="auto"/>
              <w:rPr>
                <w:rFonts w:ascii="Times New Roman" w:hAnsi="Times New Roman" w:cs="Calibri"/>
                <w:color w:val="000000"/>
                <w:sz w:val="24"/>
                <w:szCs w:val="24"/>
              </w:rPr>
            </w:pPr>
            <w:r w:rsidRPr="00AC5BFE">
              <w:rPr>
                <w:rFonts w:ascii="Times New Roman" w:hAnsi="Times New Roman" w:cs="Calibri"/>
                <w:b/>
                <w:bCs/>
                <w:color w:val="000000"/>
                <w:sz w:val="24"/>
                <w:szCs w:val="24"/>
              </w:rPr>
              <w:t xml:space="preserve">Autres </w:t>
            </w:r>
            <w:proofErr w:type="gramStart"/>
            <w:r w:rsidRPr="00AC5BFE">
              <w:rPr>
                <w:rFonts w:ascii="Times New Roman" w:hAnsi="Times New Roman" w:cs="Calibri"/>
                <w:b/>
                <w:bCs/>
                <w:color w:val="000000"/>
                <w:sz w:val="24"/>
                <w:szCs w:val="24"/>
              </w:rPr>
              <w:t>bilatéraux:</w:t>
            </w:r>
            <w:proofErr w:type="gramEnd"/>
            <w:r w:rsidRPr="00AC5BFE">
              <w:rPr>
                <w:rFonts w:ascii="Times New Roman" w:hAnsi="Times New Roman" w:cs="Calibri"/>
                <w:b/>
                <w:bCs/>
                <w:color w:val="000000"/>
                <w:sz w:val="24"/>
                <w:szCs w:val="24"/>
              </w:rPr>
              <w:t xml:space="preserve"> Allemagne (KFW et BMZ), Japon, France/AFD, Chine, UK/FCDO, Etats Unis, Italie, Norvège, Suisse, Canada, Danemark, Suède, Hollande, Australie, Corée du Sud, Qatar, Espagne, Inde, Autrice, Azerbaïdjan</w:t>
            </w:r>
          </w:p>
        </w:tc>
      </w:tr>
    </w:tbl>
    <w:p w14:paraId="4AE17E00" w14:textId="77777777" w:rsidR="00AC5BFE" w:rsidRPr="00AC5BFE" w:rsidRDefault="00AC5BFE" w:rsidP="00AC5BFE">
      <w:pPr>
        <w:autoSpaceDE w:val="0"/>
        <w:autoSpaceDN w:val="0"/>
        <w:adjustRightInd w:val="0"/>
        <w:spacing w:after="0" w:line="240" w:lineRule="auto"/>
        <w:rPr>
          <w:rFonts w:ascii="Times New Roman" w:hAnsi="Times New Roman" w:cs="Calibri"/>
          <w:color w:val="000000"/>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9600"/>
      </w:tblGrid>
      <w:tr w:rsidR="00AC5BFE" w:rsidRPr="00AC5BFE" w14:paraId="1FB51A8B" w14:textId="77777777" w:rsidTr="008676C5">
        <w:trPr>
          <w:trHeight w:val="386"/>
        </w:trPr>
        <w:tc>
          <w:tcPr>
            <w:tcW w:w="9600" w:type="dxa"/>
            <w:shd w:val="clear" w:color="auto" w:fill="5B9BD5"/>
            <w:tcMar>
              <w:top w:w="54" w:type="dxa"/>
              <w:left w:w="131" w:type="dxa"/>
              <w:bottom w:w="54" w:type="dxa"/>
              <w:right w:w="131" w:type="dxa"/>
            </w:tcMar>
            <w:hideMark/>
          </w:tcPr>
          <w:p w14:paraId="47ABAA67" w14:textId="77777777" w:rsidR="00AC5BFE" w:rsidRPr="00AC5BFE" w:rsidRDefault="00AC5BFE" w:rsidP="00AC5BFE">
            <w:pPr>
              <w:autoSpaceDE w:val="0"/>
              <w:autoSpaceDN w:val="0"/>
              <w:adjustRightInd w:val="0"/>
              <w:spacing w:after="0" w:line="240" w:lineRule="auto"/>
              <w:rPr>
                <w:rFonts w:ascii="Times New Roman" w:hAnsi="Times New Roman" w:cs="Calibri"/>
                <w:color w:val="000000"/>
                <w:sz w:val="24"/>
                <w:szCs w:val="24"/>
                <w:lang w:val="en-US"/>
              </w:rPr>
            </w:pPr>
            <w:r w:rsidRPr="00AC5BFE">
              <w:rPr>
                <w:rFonts w:ascii="Times New Roman" w:hAnsi="Times New Roman" w:cs="Calibri"/>
                <w:b/>
                <w:bCs/>
                <w:color w:val="000000"/>
                <w:sz w:val="24"/>
                <w:szCs w:val="24"/>
              </w:rPr>
              <w:t>2.  Système des Nations Unies</w:t>
            </w:r>
          </w:p>
        </w:tc>
      </w:tr>
      <w:tr w:rsidR="00AC5BFE" w:rsidRPr="00AC5BFE" w14:paraId="74A47F63" w14:textId="77777777" w:rsidTr="008676C5">
        <w:trPr>
          <w:trHeight w:val="1103"/>
        </w:trPr>
        <w:tc>
          <w:tcPr>
            <w:tcW w:w="9600" w:type="dxa"/>
            <w:shd w:val="clear" w:color="auto" w:fill="D2DEEF"/>
            <w:tcMar>
              <w:top w:w="54" w:type="dxa"/>
              <w:left w:w="131" w:type="dxa"/>
              <w:bottom w:w="54" w:type="dxa"/>
              <w:right w:w="131" w:type="dxa"/>
            </w:tcMar>
            <w:hideMark/>
          </w:tcPr>
          <w:p w14:paraId="01C81A45" w14:textId="77777777" w:rsidR="00AC5BFE" w:rsidRPr="00AC5BFE" w:rsidRDefault="00AC5BFE" w:rsidP="00BC1AE3">
            <w:pPr>
              <w:numPr>
                <w:ilvl w:val="0"/>
                <w:numId w:val="42"/>
              </w:numPr>
              <w:autoSpaceDE w:val="0"/>
              <w:autoSpaceDN w:val="0"/>
              <w:adjustRightInd w:val="0"/>
              <w:spacing w:after="0" w:line="240" w:lineRule="auto"/>
              <w:rPr>
                <w:rFonts w:ascii="Times New Roman" w:hAnsi="Times New Roman" w:cs="Calibri"/>
                <w:color w:val="000000"/>
                <w:sz w:val="24"/>
                <w:szCs w:val="24"/>
              </w:rPr>
            </w:pPr>
            <w:r w:rsidRPr="00AC5BFE">
              <w:rPr>
                <w:rFonts w:ascii="Times New Roman" w:hAnsi="Times New Roman" w:cs="Calibri"/>
                <w:color w:val="000000"/>
                <w:sz w:val="24"/>
                <w:szCs w:val="24"/>
              </w:rPr>
              <w:t xml:space="preserve">Plan de Travail Conjoints 2021 : </w:t>
            </w:r>
            <w:r w:rsidRPr="00AC5BFE">
              <w:rPr>
                <w:rFonts w:ascii="Times New Roman" w:hAnsi="Times New Roman" w:cs="Calibri"/>
                <w:b/>
                <w:bCs/>
                <w:color w:val="000000"/>
                <w:sz w:val="24"/>
                <w:szCs w:val="24"/>
              </w:rPr>
              <w:t xml:space="preserve">154,8 millions US </w:t>
            </w:r>
            <w:r w:rsidRPr="00AC5BFE">
              <w:rPr>
                <w:rFonts w:ascii="Times New Roman" w:hAnsi="Times New Roman" w:cs="Calibri"/>
                <w:color w:val="000000"/>
                <w:sz w:val="24"/>
                <w:szCs w:val="24"/>
              </w:rPr>
              <w:t>(disponibles pour les 3 groupes de résultats- 1) Développement du capital humain, 2) Protection sociale, gestion des crises et durabilité et 3) Gouvernance, paix et sécurité.</w:t>
            </w:r>
            <w:r w:rsidRPr="00AC5BFE">
              <w:rPr>
                <w:rFonts w:ascii="Times New Roman" w:hAnsi="Times New Roman"/>
                <w:color w:val="000000"/>
                <w:sz w:val="24"/>
                <w:szCs w:val="24"/>
                <w:lang w:val="fr-BE"/>
              </w:rPr>
              <w:t xml:space="preserve"> </w:t>
            </w:r>
            <w:r w:rsidRPr="00AC5BFE">
              <w:rPr>
                <w:rFonts w:ascii="Times New Roman" w:hAnsi="Times New Roman" w:cs="Calibri"/>
                <w:color w:val="000000"/>
                <w:sz w:val="24"/>
                <w:szCs w:val="24"/>
              </w:rPr>
              <w:t xml:space="preserve"> )</w:t>
            </w:r>
          </w:p>
        </w:tc>
      </w:tr>
    </w:tbl>
    <w:p w14:paraId="65B7ED41" w14:textId="77777777" w:rsidR="00AC5BFE" w:rsidRPr="00AC5BFE" w:rsidRDefault="00AC5BFE" w:rsidP="00AC5BFE">
      <w:pPr>
        <w:jc w:val="both"/>
        <w:rPr>
          <w:rFonts w:ascii="Times New Roman" w:hAnsi="Times New Roman"/>
          <w:iCs/>
          <w:color w:val="000000"/>
          <w:sz w:val="24"/>
          <w:szCs w:val="18"/>
        </w:rPr>
      </w:pPr>
    </w:p>
    <w:p w14:paraId="5C15C3EF" w14:textId="65F2CB50" w:rsidR="00AC5BFE" w:rsidRPr="00AC5BFE" w:rsidRDefault="00AC5BFE" w:rsidP="00AC5BFE">
      <w:pPr>
        <w:jc w:val="both"/>
        <w:rPr>
          <w:rFonts w:ascii="Times New Roman" w:hAnsi="Times New Roman"/>
          <w:iCs/>
          <w:color w:val="000000"/>
          <w:sz w:val="24"/>
          <w:szCs w:val="18"/>
        </w:rPr>
      </w:pPr>
      <w:r w:rsidRPr="00AC5BFE">
        <w:rPr>
          <w:rFonts w:ascii="Times New Roman" w:hAnsi="Times New Roman"/>
          <w:iCs/>
          <w:color w:val="000000"/>
          <w:sz w:val="24"/>
          <w:szCs w:val="18"/>
        </w:rPr>
        <w:t xml:space="preserve">Toutefois, l’aide reste imprévisible et les évolutions politiques du pays tendent à créer une certaine fatigue de l’aide. Entre 2017 et 2020, les subventions reçues par le Tchad sont passées de 3.5% du PIB à 2.8% en 2018 puis 1.2% en 2019 avant de remonter à 4.8% en 2020. En 2021, plusieurs partenaires tels que la Banque Mondiale, la Banque Africaine de Développement et certains bilatéraux ont dû temporairement geler leurs financements à la suite des évènements politiques, qui ont suivi le décès de l’ancien président. Ce tempérament de l’aide n’est pas de nature à assurer une progression soutenue vers les ODD en ce qu’elle diffère plusieurs investissements et peut occasionner des régressions significatives dans certains ODD. Il y a aussi la tendance à une réorientation de l’aide des structures étatiques vers la société civile. Si cette option permet de maintenir des services minimaux en direction des plus démunis, elle peut aussi occasionner une fragmentation de l’aide qui peut être source d’inefficacité. Des efforts </w:t>
      </w:r>
      <w:r w:rsidRPr="00AC5BFE">
        <w:rPr>
          <w:rFonts w:ascii="Times New Roman" w:hAnsi="Times New Roman"/>
          <w:iCs/>
          <w:color w:val="000000"/>
          <w:sz w:val="24"/>
          <w:szCs w:val="18"/>
        </w:rPr>
        <w:lastRenderedPageBreak/>
        <w:t>d’amélioration de la coordination de l’aide et les approches programmatiques devront être privilégiées pour renforcer l’efficacité des appuis.</w:t>
      </w:r>
    </w:p>
    <w:p w14:paraId="0FF6B5D1" w14:textId="38B796A8" w:rsidR="00631A70" w:rsidRPr="00AC5BFE" w:rsidRDefault="00631A70" w:rsidP="00631A70">
      <w:pPr>
        <w:autoSpaceDE w:val="0"/>
        <w:autoSpaceDN w:val="0"/>
        <w:adjustRightInd w:val="0"/>
        <w:spacing w:after="0" w:line="240" w:lineRule="auto"/>
        <w:jc w:val="both"/>
        <w:rPr>
          <w:rFonts w:ascii="Times New Roman" w:hAnsi="Times New Roman"/>
          <w:sz w:val="24"/>
          <w:szCs w:val="24"/>
        </w:rPr>
      </w:pPr>
      <w:r w:rsidRPr="00AC5BFE">
        <w:rPr>
          <w:rFonts w:ascii="Times New Roman" w:hAnsi="Times New Roman"/>
          <w:sz w:val="24"/>
          <w:szCs w:val="24"/>
        </w:rPr>
        <w:t>En dépit de la rente pétrolière, le Tchad continue de faire face à des besoins de financement liés au déficit budgétaire (11.1% en 2019 et 2.2% en 2020). Le pays a recours à l’endettement interne (20.8% du PIB</w:t>
      </w:r>
      <w:r>
        <w:rPr>
          <w:rFonts w:ascii="Times New Roman" w:hAnsi="Times New Roman"/>
          <w:sz w:val="24"/>
          <w:szCs w:val="24"/>
        </w:rPr>
        <w:t xml:space="preserve"> hors pétrole</w:t>
      </w:r>
      <w:r w:rsidRPr="00AC5BFE">
        <w:rPr>
          <w:rFonts w:ascii="Times New Roman" w:hAnsi="Times New Roman"/>
          <w:sz w:val="24"/>
          <w:szCs w:val="24"/>
        </w:rPr>
        <w:t>) et externe (26.5% du PIB</w:t>
      </w:r>
      <w:r>
        <w:rPr>
          <w:rFonts w:ascii="Times New Roman" w:hAnsi="Times New Roman"/>
          <w:sz w:val="24"/>
          <w:szCs w:val="24"/>
        </w:rPr>
        <w:t xml:space="preserve"> hors pétrole</w:t>
      </w:r>
      <w:r w:rsidRPr="00AC5BFE">
        <w:rPr>
          <w:rFonts w:ascii="Times New Roman" w:hAnsi="Times New Roman"/>
          <w:sz w:val="24"/>
          <w:szCs w:val="24"/>
        </w:rPr>
        <w:t>) pour couvrir ses besoins de financements</w:t>
      </w:r>
      <w:r w:rsidRPr="00AC5BFE">
        <w:rPr>
          <w:rFonts w:ascii="Times New Roman" w:hAnsi="Times New Roman"/>
          <w:color w:val="000000"/>
          <w:sz w:val="24"/>
          <w:szCs w:val="24"/>
        </w:rPr>
        <w:t xml:space="preserve">. </w:t>
      </w:r>
      <w:r w:rsidRPr="00AC5BFE">
        <w:rPr>
          <w:rFonts w:ascii="Times New Roman" w:hAnsi="Times New Roman"/>
          <w:sz w:val="24"/>
          <w:szCs w:val="24"/>
        </w:rPr>
        <w:t xml:space="preserve">Bien que le taux d’endettement soit estimé à 47.3% du PIB </w:t>
      </w:r>
      <w:r>
        <w:rPr>
          <w:rFonts w:ascii="Times New Roman" w:hAnsi="Times New Roman"/>
          <w:sz w:val="24"/>
          <w:szCs w:val="24"/>
        </w:rPr>
        <w:t>hors pétrole</w:t>
      </w:r>
      <w:r w:rsidRPr="00AC5BFE">
        <w:rPr>
          <w:rFonts w:ascii="Times New Roman" w:hAnsi="Times New Roman"/>
          <w:sz w:val="24"/>
          <w:szCs w:val="24"/>
        </w:rPr>
        <w:t xml:space="preserve"> en 2020, le pays fait face à un surendettement en raison des difficultés à assurer le service de la dette. Le Tchad devra consacrer une part importante de ces revenus (plus de 14%) au service de la dette, ce qui représente une part plus importante que celles allouées aux secteurs de l’éducation et de la santé. </w:t>
      </w:r>
      <w:r w:rsidRPr="00AC5BFE">
        <w:rPr>
          <w:rFonts w:ascii="Times New Roman" w:hAnsi="Times New Roman"/>
          <w:color w:val="000000"/>
          <w:sz w:val="24"/>
          <w:szCs w:val="24"/>
        </w:rPr>
        <w:t>Le Fonds Monétaire International a accordé au Tchad en 2020 un financement de 183 millions de dollars Américains au titre de la Facilité Rapide de Crédit (FRC) afin d’aider le Gouvernement à couvrir d’importants besoins budgétaires.</w:t>
      </w:r>
      <w:r w:rsidRPr="00AC5BFE">
        <w:rPr>
          <w:rFonts w:ascii="Times New Roman" w:hAnsi="Times New Roman"/>
          <w:sz w:val="24"/>
          <w:szCs w:val="24"/>
        </w:rPr>
        <w:t xml:space="preserve"> </w:t>
      </w:r>
      <w:r>
        <w:rPr>
          <w:rFonts w:ascii="Times New Roman" w:hAnsi="Times New Roman"/>
          <w:sz w:val="24"/>
          <w:szCs w:val="24"/>
        </w:rPr>
        <w:t xml:space="preserve">Un </w:t>
      </w:r>
      <w:r>
        <w:rPr>
          <w:rFonts w:ascii="Times New Roman" w:hAnsi="Times New Roman"/>
          <w:color w:val="000000"/>
          <w:sz w:val="24"/>
          <w:szCs w:val="24"/>
        </w:rPr>
        <w:t>n</w:t>
      </w:r>
      <w:r w:rsidRPr="00631A70">
        <w:rPr>
          <w:rFonts w:ascii="Times New Roman" w:hAnsi="Times New Roman"/>
          <w:color w:val="000000"/>
          <w:sz w:val="24"/>
          <w:szCs w:val="24"/>
        </w:rPr>
        <w:t xml:space="preserve">ouveau programme de 570. 75 millions $ </w:t>
      </w:r>
      <w:r>
        <w:rPr>
          <w:rFonts w:ascii="Times New Roman" w:hAnsi="Times New Roman"/>
          <w:color w:val="000000"/>
          <w:sz w:val="24"/>
          <w:szCs w:val="24"/>
        </w:rPr>
        <w:t xml:space="preserve">a été </w:t>
      </w:r>
      <w:r w:rsidRPr="00631A70">
        <w:rPr>
          <w:rFonts w:ascii="Times New Roman" w:hAnsi="Times New Roman"/>
          <w:color w:val="000000"/>
          <w:sz w:val="24"/>
          <w:szCs w:val="24"/>
        </w:rPr>
        <w:t>approuvé par le FMI le 10 décembre 2021 avec un décaissement immédiat de 78,8 millions $,</w:t>
      </w:r>
      <w:r>
        <w:rPr>
          <w:rFonts w:ascii="Times New Roman" w:hAnsi="Times New Roman"/>
          <w:color w:val="000000"/>
          <w:sz w:val="24"/>
          <w:szCs w:val="24"/>
        </w:rPr>
        <w:t xml:space="preserve"> </w:t>
      </w:r>
      <w:r w:rsidRPr="00AC5BFE">
        <w:rPr>
          <w:rFonts w:ascii="Times New Roman" w:hAnsi="Times New Roman"/>
          <w:sz w:val="24"/>
          <w:szCs w:val="24"/>
        </w:rPr>
        <w:t xml:space="preserve">Le Tchad a initié des négociations avec ces créanciers pour une restructuration de leur dette dans le cadre commun du G20. Les autorités travaillent également à un reprofilage de la dette interne. </w:t>
      </w:r>
    </w:p>
    <w:p w14:paraId="5E39559E" w14:textId="77777777" w:rsidR="00631A70" w:rsidRDefault="00631A70" w:rsidP="00AC5BFE">
      <w:pPr>
        <w:jc w:val="both"/>
        <w:rPr>
          <w:rFonts w:ascii="Times New Roman" w:hAnsi="Times New Roman"/>
          <w:iCs/>
          <w:color w:val="000000"/>
          <w:sz w:val="24"/>
          <w:szCs w:val="18"/>
        </w:rPr>
      </w:pPr>
    </w:p>
    <w:p w14:paraId="14E0D071" w14:textId="426BD71A" w:rsidR="00D33F7A" w:rsidRPr="00542689" w:rsidRDefault="00D33F7A" w:rsidP="00D33F7A">
      <w:pPr>
        <w:rPr>
          <w:rFonts w:ascii="Times New Roman" w:hAnsi="Times New Roman"/>
          <w:b/>
          <w:bCs/>
          <w:i/>
          <w:iCs/>
        </w:rPr>
      </w:pPr>
      <w:r w:rsidRPr="00542689">
        <w:rPr>
          <w:rFonts w:ascii="Times New Roman" w:hAnsi="Times New Roman"/>
          <w:b/>
          <w:bCs/>
          <w:i/>
          <w:iCs/>
        </w:rPr>
        <w:t>Secteur privé</w:t>
      </w:r>
    </w:p>
    <w:p w14:paraId="0FA92977" w14:textId="5B056F40" w:rsidR="00D33F7A" w:rsidRDefault="00D33F7A" w:rsidP="00D33F7A">
      <w:pPr>
        <w:autoSpaceDE w:val="0"/>
        <w:autoSpaceDN w:val="0"/>
        <w:adjustRightInd w:val="0"/>
        <w:spacing w:after="0" w:line="240" w:lineRule="auto"/>
        <w:jc w:val="both"/>
        <w:rPr>
          <w:rFonts w:ascii="Times New Roman" w:hAnsi="Times New Roman" w:cs="Calibri"/>
          <w:color w:val="000000"/>
          <w:sz w:val="24"/>
          <w:szCs w:val="24"/>
        </w:rPr>
      </w:pPr>
      <w:r w:rsidRPr="00AC5BFE">
        <w:rPr>
          <w:rFonts w:ascii="Times New Roman" w:hAnsi="Times New Roman"/>
          <w:iCs/>
          <w:color w:val="000000"/>
          <w:sz w:val="24"/>
          <w:szCs w:val="18"/>
        </w:rPr>
        <w:t xml:space="preserve">Le cadre des ODD prévoit une implication importante du secteur privé pour leur réalisation. La facilitation du développement du secteur privé passe aussi par l’instauration d’un climat de concurrence saine. </w:t>
      </w:r>
      <w:r w:rsidRPr="00AC5BFE">
        <w:rPr>
          <w:rFonts w:ascii="Times New Roman" w:hAnsi="Times New Roman" w:cs="Calibri"/>
          <w:color w:val="000000"/>
          <w:sz w:val="24"/>
          <w:szCs w:val="24"/>
        </w:rPr>
        <w:t xml:space="preserve">L’application effective de la Loi 43/PR/2014 est essentielle. Cette loi a pour objectif d’organiser et promouvoir la libre concurrence, définir ses règles et créer le Conseil National de la Concurrence.  La Loi comprend des dispositions sur les pratiques anti-concurrentielles comme les conventions, les ententes, les collusions, les abus de position dominante et les concentrations, ainsi que les atteintes à la transparence des prix et les pratiques restrictives de prix, comme la vente à perte ou les ventes liées. </w:t>
      </w:r>
    </w:p>
    <w:p w14:paraId="7A89DE3C" w14:textId="77777777" w:rsidR="00542689" w:rsidRPr="00A8375B" w:rsidRDefault="00542689" w:rsidP="00D33F7A">
      <w:pPr>
        <w:autoSpaceDE w:val="0"/>
        <w:autoSpaceDN w:val="0"/>
        <w:adjustRightInd w:val="0"/>
        <w:spacing w:after="0" w:line="240" w:lineRule="auto"/>
        <w:jc w:val="both"/>
        <w:rPr>
          <w:rFonts w:ascii="Times New Roman" w:hAnsi="Times New Roman"/>
          <w:color w:val="000000"/>
          <w:sz w:val="24"/>
        </w:rPr>
      </w:pPr>
    </w:p>
    <w:p w14:paraId="4A0A8230" w14:textId="77777777"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 xml:space="preserve">L’examen de la politique d’investissement au Tchad lors de la </w:t>
      </w:r>
      <w:r w:rsidRPr="00AC5BFE">
        <w:rPr>
          <w:rFonts w:ascii="Times New Roman" w:hAnsi="Times New Roman"/>
          <w:color w:val="000000"/>
          <w:sz w:val="24"/>
          <w:szCs w:val="24"/>
        </w:rPr>
        <w:t xml:space="preserve">Conférence des Nations Unies sur le Commerce et le Développement </w:t>
      </w:r>
      <w:r w:rsidRPr="00AC5BFE">
        <w:rPr>
          <w:rFonts w:ascii="Times New Roman" w:hAnsi="Times New Roman"/>
          <w:color w:val="000000"/>
          <w:sz w:val="24"/>
        </w:rPr>
        <w:t xml:space="preserve">de 2019 fait ressortir que le secteur pétrolier reçoit l'essentiel des flux d'investissements étrangers directs. </w:t>
      </w:r>
    </w:p>
    <w:p w14:paraId="10314787" w14:textId="77777777" w:rsidR="00AC5BFE" w:rsidRPr="00AC5BFE" w:rsidRDefault="00AC5BFE" w:rsidP="00AC5BFE">
      <w:pPr>
        <w:spacing w:after="0"/>
        <w:jc w:val="both"/>
        <w:rPr>
          <w:rFonts w:cs="Calibri"/>
          <w:color w:val="000000"/>
        </w:rPr>
      </w:pPr>
      <w:r w:rsidRPr="00AC5BFE">
        <w:rPr>
          <w:rFonts w:cs="Calibri"/>
          <w:color w:val="000000"/>
        </w:rPr>
        <w:t>Figue 1 : Flux d'investissements étrangers directs au Tchad, 2000–2019 (millions de dollars)</w:t>
      </w:r>
    </w:p>
    <w:p w14:paraId="4D91C296" w14:textId="77777777" w:rsidR="00AC5BFE" w:rsidRPr="00AC5BFE" w:rsidRDefault="00AC5BFE" w:rsidP="00AC5BFE">
      <w:pPr>
        <w:spacing w:after="0"/>
        <w:jc w:val="both"/>
        <w:rPr>
          <w:rFonts w:cs="Calibri"/>
          <w:color w:val="000000"/>
        </w:rPr>
      </w:pPr>
      <w:r w:rsidRPr="00A8375B">
        <w:rPr>
          <w:noProof/>
          <w:color w:val="000000"/>
        </w:rPr>
        <w:lastRenderedPageBreak/>
        <w:drawing>
          <wp:inline distT="0" distB="0" distL="0" distR="0" wp14:anchorId="27C217EA" wp14:editId="5C1C3776">
            <wp:extent cx="6254750" cy="27559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54750" cy="2755900"/>
                    </a:xfrm>
                    <a:prstGeom prst="rect">
                      <a:avLst/>
                    </a:prstGeom>
                    <a:noFill/>
                  </pic:spPr>
                </pic:pic>
              </a:graphicData>
            </a:graphic>
          </wp:inline>
        </w:drawing>
      </w:r>
    </w:p>
    <w:p w14:paraId="6BE2C556" w14:textId="77777777" w:rsidR="00AC5BFE" w:rsidRPr="00AC5BFE" w:rsidRDefault="00AC5BFE" w:rsidP="00AC5BFE">
      <w:pPr>
        <w:spacing w:after="0"/>
        <w:jc w:val="both"/>
        <w:rPr>
          <w:rFonts w:cs="Calibri"/>
          <w:color w:val="000000"/>
        </w:rPr>
      </w:pPr>
    </w:p>
    <w:p w14:paraId="75B97411" w14:textId="77777777" w:rsidR="00AC5BFE" w:rsidRPr="00AC5BFE" w:rsidRDefault="00AC5BFE" w:rsidP="00AC5BFE">
      <w:pPr>
        <w:jc w:val="both"/>
        <w:rPr>
          <w:color w:val="000000"/>
        </w:rPr>
      </w:pPr>
    </w:p>
    <w:p w14:paraId="66A6ABE1" w14:textId="77777777" w:rsidR="00AC5BFE" w:rsidRPr="00AC5BFE" w:rsidRDefault="00AC5BFE" w:rsidP="00AC5BFE">
      <w:pPr>
        <w:jc w:val="both"/>
        <w:rPr>
          <w:rFonts w:ascii="Times New Roman" w:hAnsi="Times New Roman"/>
          <w:color w:val="000000"/>
          <w:sz w:val="24"/>
        </w:rPr>
      </w:pPr>
      <w:r w:rsidRPr="00AC5BFE">
        <w:rPr>
          <w:rFonts w:ascii="Times New Roman" w:hAnsi="Times New Roman"/>
          <w:color w:val="000000"/>
          <w:sz w:val="24"/>
        </w:rPr>
        <w:t xml:space="preserve">Bien que les investissements étrangers directs aient un effet de levier significatif pour atteindre les objectifs de développement du pays, le Plan National de Développement ainsi qu’autres stratégies sectorielles ne précisent pas le rôle que les investissements étrangers directs pourraient jouer. De plus, ces documents ne fournissent pas d’indications sur des cibles spécifiques en termes des flux espérés d'investissements étrangers directs ni des secteurs vers lesquels ils pourront être dirigés. </w:t>
      </w:r>
    </w:p>
    <w:p w14:paraId="231CD2BF" w14:textId="77777777" w:rsidR="00AC5BFE" w:rsidRPr="00AC5BFE" w:rsidRDefault="00AC5BFE" w:rsidP="00AC5BFE">
      <w:pPr>
        <w:spacing w:after="0" w:line="240" w:lineRule="auto"/>
        <w:jc w:val="both"/>
        <w:rPr>
          <w:rFonts w:ascii="Times New Roman" w:hAnsi="Times New Roman" w:cs="Arial"/>
          <w:color w:val="000000"/>
          <w:sz w:val="24"/>
        </w:rPr>
      </w:pPr>
      <w:r w:rsidRPr="00AC5BFE">
        <w:rPr>
          <w:rFonts w:ascii="Times New Roman" w:hAnsi="Times New Roman"/>
          <w:color w:val="000000"/>
          <w:sz w:val="24"/>
        </w:rPr>
        <w:t xml:space="preserve">Le stock total d'investissements étrangers directs entrants au Tchad continue d’augmenter en dépit d’une conjoncture difficile consécutive à la baisse des cours de pétrole et à la pandémie de la COVID-19. Il est estimé par la Conférence des Nations Unies sur le commerce et le développement à $5,4 milliards ; $5.9 milliards ; $6,4 milliards ; $ 7 milliards en 2017, 2018,2019 et 2020 respectivement.  </w:t>
      </w:r>
    </w:p>
    <w:p w14:paraId="23CDB478" w14:textId="77777777" w:rsidR="00AC5BFE" w:rsidRPr="00AC5BFE" w:rsidRDefault="00AC5BFE" w:rsidP="00AC5BFE">
      <w:pPr>
        <w:spacing w:after="0" w:line="240" w:lineRule="auto"/>
        <w:rPr>
          <w:color w:val="000000"/>
        </w:rPr>
      </w:pPr>
    </w:p>
    <w:p w14:paraId="25911339" w14:textId="77777777" w:rsidR="00AC5BFE" w:rsidRPr="00AC5BFE" w:rsidRDefault="00AC5BFE" w:rsidP="00AC5BFE">
      <w:pPr>
        <w:keepNext/>
        <w:spacing w:after="0" w:line="240" w:lineRule="auto"/>
        <w:rPr>
          <w:i/>
          <w:iCs/>
          <w:color w:val="44546A"/>
          <w:sz w:val="24"/>
          <w:szCs w:val="24"/>
        </w:rPr>
      </w:pPr>
      <w:r w:rsidRPr="00AC5BFE">
        <w:rPr>
          <w:i/>
          <w:iCs/>
          <w:color w:val="44546A"/>
          <w:sz w:val="24"/>
          <w:szCs w:val="24"/>
        </w:rPr>
        <w:t>Tableau3a</w:t>
      </w:r>
      <w:r w:rsidRPr="00AC5BFE">
        <w:rPr>
          <w:i/>
          <w:iCs/>
          <w:color w:val="44546A"/>
          <w:sz w:val="24"/>
          <w:szCs w:val="24"/>
        </w:rPr>
        <w:fldChar w:fldCharType="begin"/>
      </w:r>
      <w:r w:rsidRPr="00AC5BFE">
        <w:rPr>
          <w:i/>
          <w:iCs/>
          <w:color w:val="44546A"/>
          <w:sz w:val="24"/>
          <w:szCs w:val="24"/>
        </w:rPr>
        <w:instrText xml:space="preserve"> SEQ Tableau \* ARABIC </w:instrText>
      </w:r>
      <w:r w:rsidRPr="00AC5BFE">
        <w:rPr>
          <w:i/>
          <w:iCs/>
          <w:color w:val="44546A"/>
          <w:sz w:val="24"/>
          <w:szCs w:val="24"/>
        </w:rPr>
        <w:fldChar w:fldCharType="separate"/>
      </w:r>
      <w:r w:rsidRPr="00AC5BFE">
        <w:rPr>
          <w:i/>
          <w:iCs/>
          <w:noProof/>
          <w:color w:val="44546A"/>
          <w:sz w:val="24"/>
          <w:szCs w:val="24"/>
        </w:rPr>
        <w:t>1</w:t>
      </w:r>
      <w:r w:rsidRPr="00AC5BFE">
        <w:rPr>
          <w:i/>
          <w:iCs/>
          <w:color w:val="44546A"/>
          <w:sz w:val="24"/>
          <w:szCs w:val="24"/>
        </w:rPr>
        <w:fldChar w:fldCharType="end"/>
      </w:r>
      <w:r w:rsidRPr="00AC5BFE">
        <w:rPr>
          <w:i/>
          <w:iCs/>
          <w:color w:val="44546A"/>
          <w:sz w:val="24"/>
          <w:szCs w:val="24"/>
        </w:rPr>
        <w:t> : Flux et Stock d'investissements étrangers directs entrants</w:t>
      </w:r>
    </w:p>
    <w:tbl>
      <w:tblPr>
        <w:tblW w:w="5000" w:type="pct"/>
        <w:tblCellSpacing w:w="15" w:type="dxa"/>
        <w:tblLook w:val="04A0" w:firstRow="1" w:lastRow="0" w:firstColumn="1" w:lastColumn="0" w:noHBand="0" w:noVBand="1"/>
      </w:tblPr>
      <w:tblGrid>
        <w:gridCol w:w="6228"/>
        <w:gridCol w:w="768"/>
        <w:gridCol w:w="888"/>
        <w:gridCol w:w="1013"/>
        <w:gridCol w:w="1014"/>
      </w:tblGrid>
      <w:tr w:rsidR="00AC5BFE" w:rsidRPr="00AC5BFE" w14:paraId="6D02E52E" w14:textId="77777777" w:rsidTr="008676C5">
        <w:trPr>
          <w:tblHeader/>
          <w:tblCellSpacing w:w="15" w:type="dxa"/>
        </w:trPr>
        <w:tc>
          <w:tcPr>
            <w:tcW w:w="3116" w:type="pct"/>
            <w:tcBorders>
              <w:top w:val="single" w:sz="4" w:space="0" w:color="auto"/>
              <w:left w:val="single" w:sz="4" w:space="0" w:color="auto"/>
              <w:bottom w:val="single" w:sz="4" w:space="0" w:color="auto"/>
              <w:right w:val="single" w:sz="4" w:space="0" w:color="auto"/>
            </w:tcBorders>
            <w:shd w:val="clear" w:color="auto" w:fill="D9E2F3"/>
            <w:tcMar>
              <w:top w:w="15" w:type="dxa"/>
              <w:left w:w="15" w:type="dxa"/>
              <w:bottom w:w="15" w:type="dxa"/>
              <w:right w:w="15" w:type="dxa"/>
            </w:tcMar>
            <w:vAlign w:val="center"/>
            <w:hideMark/>
          </w:tcPr>
          <w:p w14:paraId="499B2AF4" w14:textId="77777777" w:rsidR="00AC5BFE" w:rsidRPr="00AC5BFE" w:rsidRDefault="00AC5BFE" w:rsidP="00AC5BFE">
            <w:pPr>
              <w:spacing w:after="0" w:line="240" w:lineRule="auto"/>
              <w:rPr>
                <w:b/>
                <w:color w:val="000000"/>
              </w:rPr>
            </w:pPr>
            <w:r w:rsidRPr="00AC5BFE">
              <w:rPr>
                <w:b/>
                <w:color w:val="000000"/>
              </w:rPr>
              <w:t>Investissement Direct Etranger</w:t>
            </w:r>
          </w:p>
        </w:tc>
        <w:tc>
          <w:tcPr>
            <w:tcW w:w="372" w:type="pct"/>
            <w:tcBorders>
              <w:top w:val="single" w:sz="4" w:space="0" w:color="auto"/>
              <w:left w:val="single" w:sz="4" w:space="0" w:color="auto"/>
              <w:bottom w:val="single" w:sz="4" w:space="0" w:color="auto"/>
              <w:right w:val="single" w:sz="4" w:space="0" w:color="auto"/>
            </w:tcBorders>
            <w:shd w:val="clear" w:color="auto" w:fill="D9E2F3"/>
            <w:tcMar>
              <w:top w:w="15" w:type="dxa"/>
              <w:left w:w="15" w:type="dxa"/>
              <w:bottom w:w="15" w:type="dxa"/>
              <w:right w:w="15" w:type="dxa"/>
            </w:tcMar>
            <w:vAlign w:val="center"/>
            <w:hideMark/>
          </w:tcPr>
          <w:p w14:paraId="60CBA3C9" w14:textId="77777777" w:rsidR="00AC5BFE" w:rsidRPr="00AC5BFE" w:rsidRDefault="00AC5BFE" w:rsidP="00AC5BFE">
            <w:pPr>
              <w:spacing w:after="0" w:line="240" w:lineRule="auto"/>
              <w:rPr>
                <w:b/>
                <w:color w:val="000000"/>
              </w:rPr>
            </w:pPr>
            <w:r w:rsidRPr="00AC5BFE">
              <w:rPr>
                <w:b/>
                <w:color w:val="000000"/>
              </w:rPr>
              <w:t>2017</w:t>
            </w:r>
          </w:p>
        </w:tc>
        <w:tc>
          <w:tcPr>
            <w:tcW w:w="433" w:type="pct"/>
            <w:tcBorders>
              <w:top w:val="single" w:sz="4" w:space="0" w:color="auto"/>
              <w:left w:val="single" w:sz="4" w:space="0" w:color="auto"/>
              <w:bottom w:val="single" w:sz="4" w:space="0" w:color="auto"/>
              <w:right w:val="single" w:sz="4" w:space="0" w:color="auto"/>
            </w:tcBorders>
            <w:shd w:val="clear" w:color="auto" w:fill="D9E2F3"/>
            <w:tcMar>
              <w:top w:w="15" w:type="dxa"/>
              <w:left w:w="15" w:type="dxa"/>
              <w:bottom w:w="15" w:type="dxa"/>
              <w:right w:w="15" w:type="dxa"/>
            </w:tcMar>
            <w:vAlign w:val="center"/>
            <w:hideMark/>
          </w:tcPr>
          <w:p w14:paraId="7F574B5B" w14:textId="77777777" w:rsidR="00AC5BFE" w:rsidRPr="00AC5BFE" w:rsidRDefault="00AC5BFE" w:rsidP="00AC5BFE">
            <w:pPr>
              <w:spacing w:after="0" w:line="240" w:lineRule="auto"/>
              <w:rPr>
                <w:b/>
                <w:color w:val="000000"/>
              </w:rPr>
            </w:pPr>
            <w:r w:rsidRPr="00AC5BFE">
              <w:rPr>
                <w:b/>
                <w:color w:val="000000"/>
              </w:rPr>
              <w:t>2018</w:t>
            </w:r>
          </w:p>
        </w:tc>
        <w:tc>
          <w:tcPr>
            <w:tcW w:w="495" w:type="pct"/>
            <w:tcBorders>
              <w:top w:val="single" w:sz="4" w:space="0" w:color="auto"/>
              <w:left w:val="single" w:sz="4" w:space="0" w:color="auto"/>
              <w:bottom w:val="single" w:sz="4" w:space="0" w:color="auto"/>
              <w:right w:val="single" w:sz="4" w:space="0" w:color="auto"/>
            </w:tcBorders>
            <w:shd w:val="clear" w:color="auto" w:fill="D9E2F3"/>
            <w:tcMar>
              <w:top w:w="15" w:type="dxa"/>
              <w:left w:w="15" w:type="dxa"/>
              <w:bottom w:w="15" w:type="dxa"/>
              <w:right w:w="15" w:type="dxa"/>
            </w:tcMar>
            <w:vAlign w:val="center"/>
            <w:hideMark/>
          </w:tcPr>
          <w:p w14:paraId="52F2CD21" w14:textId="77777777" w:rsidR="00AC5BFE" w:rsidRPr="00AC5BFE" w:rsidRDefault="00AC5BFE" w:rsidP="00AC5BFE">
            <w:pPr>
              <w:spacing w:after="0" w:line="240" w:lineRule="auto"/>
              <w:rPr>
                <w:b/>
                <w:color w:val="000000"/>
              </w:rPr>
            </w:pPr>
            <w:r w:rsidRPr="00AC5BFE">
              <w:rPr>
                <w:b/>
                <w:color w:val="000000"/>
              </w:rPr>
              <w:t>2019</w:t>
            </w:r>
          </w:p>
        </w:tc>
        <w:tc>
          <w:tcPr>
            <w:tcW w:w="488" w:type="pct"/>
            <w:tcBorders>
              <w:top w:val="single" w:sz="4" w:space="0" w:color="auto"/>
              <w:left w:val="single" w:sz="4" w:space="0" w:color="auto"/>
              <w:bottom w:val="single" w:sz="4" w:space="0" w:color="auto"/>
              <w:right w:val="single" w:sz="4" w:space="0" w:color="auto"/>
            </w:tcBorders>
            <w:shd w:val="clear" w:color="auto" w:fill="D9E2F3"/>
          </w:tcPr>
          <w:p w14:paraId="47B45A8E" w14:textId="77777777" w:rsidR="00AC5BFE" w:rsidRPr="00AC5BFE" w:rsidRDefault="00AC5BFE" w:rsidP="00AC5BFE">
            <w:pPr>
              <w:spacing w:after="0" w:line="240" w:lineRule="auto"/>
              <w:rPr>
                <w:b/>
                <w:color w:val="000000"/>
              </w:rPr>
            </w:pPr>
            <w:r w:rsidRPr="00AC5BFE">
              <w:rPr>
                <w:b/>
                <w:color w:val="000000"/>
              </w:rPr>
              <w:t>2020</w:t>
            </w:r>
          </w:p>
        </w:tc>
      </w:tr>
      <w:tr w:rsidR="00AC5BFE" w:rsidRPr="00AC5BFE" w14:paraId="25E6CDA6" w14:textId="77777777" w:rsidTr="008676C5">
        <w:trPr>
          <w:tblCellSpacing w:w="15" w:type="dxa"/>
        </w:trPr>
        <w:tc>
          <w:tcPr>
            <w:tcW w:w="31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31F0F9F" w14:textId="77777777" w:rsidR="00AC5BFE" w:rsidRPr="00AC5BFE" w:rsidRDefault="00AC5BFE" w:rsidP="00AC5BFE">
            <w:pPr>
              <w:spacing w:after="0" w:line="240" w:lineRule="auto"/>
              <w:rPr>
                <w:color w:val="000000"/>
              </w:rPr>
            </w:pPr>
            <w:r w:rsidRPr="00AC5BFE">
              <w:rPr>
                <w:color w:val="000000"/>
              </w:rPr>
              <w:t>Flux d'investissements étrangers directs (millions USD)</w:t>
            </w:r>
          </w:p>
        </w:tc>
        <w:tc>
          <w:tcPr>
            <w:tcW w:w="37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9A70E9D" w14:textId="77777777" w:rsidR="00AC5BFE" w:rsidRPr="00AC5BFE" w:rsidRDefault="00AC5BFE" w:rsidP="00AC5BFE">
            <w:pPr>
              <w:spacing w:after="0" w:line="240" w:lineRule="auto"/>
              <w:rPr>
                <w:color w:val="000000"/>
              </w:rPr>
            </w:pPr>
            <w:r w:rsidRPr="00AC5BFE">
              <w:rPr>
                <w:color w:val="000000"/>
              </w:rPr>
              <w:t>363</w:t>
            </w:r>
          </w:p>
        </w:tc>
        <w:tc>
          <w:tcPr>
            <w:tcW w:w="43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8E8A4A8" w14:textId="77777777" w:rsidR="00AC5BFE" w:rsidRPr="00AC5BFE" w:rsidRDefault="00AC5BFE" w:rsidP="00AC5BFE">
            <w:pPr>
              <w:spacing w:after="0" w:line="240" w:lineRule="auto"/>
              <w:rPr>
                <w:color w:val="000000"/>
              </w:rPr>
            </w:pPr>
            <w:r w:rsidRPr="00AC5BFE">
              <w:rPr>
                <w:color w:val="000000"/>
              </w:rPr>
              <w:t>461</w:t>
            </w:r>
          </w:p>
        </w:tc>
        <w:tc>
          <w:tcPr>
            <w:tcW w:w="495"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001922E" w14:textId="77777777" w:rsidR="00AC5BFE" w:rsidRPr="00AC5BFE" w:rsidRDefault="00AC5BFE" w:rsidP="00AC5BFE">
            <w:pPr>
              <w:spacing w:after="0" w:line="240" w:lineRule="auto"/>
              <w:rPr>
                <w:color w:val="000000"/>
              </w:rPr>
            </w:pPr>
            <w:r w:rsidRPr="00AC5BFE">
              <w:rPr>
                <w:color w:val="000000"/>
              </w:rPr>
              <w:t>567</w:t>
            </w:r>
          </w:p>
        </w:tc>
        <w:tc>
          <w:tcPr>
            <w:tcW w:w="488" w:type="pct"/>
            <w:tcBorders>
              <w:top w:val="single" w:sz="4" w:space="0" w:color="auto"/>
              <w:left w:val="single" w:sz="4" w:space="0" w:color="auto"/>
              <w:bottom w:val="single" w:sz="4" w:space="0" w:color="auto"/>
              <w:right w:val="single" w:sz="4" w:space="0" w:color="auto"/>
            </w:tcBorders>
          </w:tcPr>
          <w:p w14:paraId="4751BDAF" w14:textId="77777777" w:rsidR="00AC5BFE" w:rsidRPr="00AC5BFE" w:rsidRDefault="00AC5BFE" w:rsidP="00AC5BFE">
            <w:pPr>
              <w:spacing w:after="0" w:line="240" w:lineRule="auto"/>
              <w:rPr>
                <w:color w:val="000000"/>
              </w:rPr>
            </w:pPr>
            <w:r w:rsidRPr="00AC5BFE">
              <w:rPr>
                <w:color w:val="000000"/>
              </w:rPr>
              <w:t>558</w:t>
            </w:r>
          </w:p>
        </w:tc>
      </w:tr>
      <w:tr w:rsidR="00AC5BFE" w:rsidRPr="00AC5BFE" w14:paraId="4828321F" w14:textId="77777777" w:rsidTr="008676C5">
        <w:trPr>
          <w:tblCellSpacing w:w="15" w:type="dxa"/>
        </w:trPr>
        <w:tc>
          <w:tcPr>
            <w:tcW w:w="31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26C2270" w14:textId="77777777" w:rsidR="00AC5BFE" w:rsidRPr="00AC5BFE" w:rsidRDefault="00AC5BFE" w:rsidP="00AC5BFE">
            <w:pPr>
              <w:spacing w:after="0" w:line="240" w:lineRule="auto"/>
              <w:rPr>
                <w:color w:val="000000"/>
              </w:rPr>
            </w:pPr>
            <w:r w:rsidRPr="00AC5BFE">
              <w:rPr>
                <w:color w:val="000000"/>
              </w:rPr>
              <w:t>Stocks d'investissements étrangers directs (millions USD)</w:t>
            </w:r>
          </w:p>
        </w:tc>
        <w:tc>
          <w:tcPr>
            <w:tcW w:w="372"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971E0F4" w14:textId="77777777" w:rsidR="00AC5BFE" w:rsidRPr="00AC5BFE" w:rsidRDefault="00AC5BFE" w:rsidP="00AC5BFE">
            <w:pPr>
              <w:spacing w:after="0" w:line="240" w:lineRule="auto"/>
              <w:rPr>
                <w:color w:val="000000"/>
              </w:rPr>
            </w:pPr>
            <w:r w:rsidRPr="00AC5BFE">
              <w:rPr>
                <w:color w:val="000000"/>
              </w:rPr>
              <w:t>5 468</w:t>
            </w:r>
          </w:p>
        </w:tc>
        <w:tc>
          <w:tcPr>
            <w:tcW w:w="43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0CFC84F" w14:textId="77777777" w:rsidR="00AC5BFE" w:rsidRPr="00AC5BFE" w:rsidRDefault="00AC5BFE" w:rsidP="00AC5BFE">
            <w:pPr>
              <w:spacing w:after="0" w:line="240" w:lineRule="auto"/>
              <w:rPr>
                <w:color w:val="000000"/>
              </w:rPr>
            </w:pPr>
            <w:r w:rsidRPr="00AC5BFE">
              <w:rPr>
                <w:color w:val="000000"/>
              </w:rPr>
              <w:t>5 928</w:t>
            </w:r>
          </w:p>
        </w:tc>
        <w:tc>
          <w:tcPr>
            <w:tcW w:w="495"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E44461C" w14:textId="77777777" w:rsidR="00AC5BFE" w:rsidRPr="00AC5BFE" w:rsidRDefault="00AC5BFE" w:rsidP="00AC5BFE">
            <w:pPr>
              <w:spacing w:after="0" w:line="240" w:lineRule="auto"/>
              <w:rPr>
                <w:color w:val="000000"/>
              </w:rPr>
            </w:pPr>
            <w:r w:rsidRPr="00AC5BFE">
              <w:rPr>
                <w:color w:val="000000"/>
              </w:rPr>
              <w:t>6 495</w:t>
            </w:r>
          </w:p>
        </w:tc>
        <w:tc>
          <w:tcPr>
            <w:tcW w:w="488" w:type="pct"/>
            <w:tcBorders>
              <w:top w:val="single" w:sz="4" w:space="0" w:color="auto"/>
              <w:left w:val="single" w:sz="4" w:space="0" w:color="auto"/>
              <w:bottom w:val="single" w:sz="4" w:space="0" w:color="auto"/>
              <w:right w:val="single" w:sz="4" w:space="0" w:color="auto"/>
            </w:tcBorders>
          </w:tcPr>
          <w:p w14:paraId="6C42579E" w14:textId="77777777" w:rsidR="00AC5BFE" w:rsidRPr="00AC5BFE" w:rsidRDefault="00AC5BFE" w:rsidP="00AC5BFE">
            <w:pPr>
              <w:spacing w:after="0" w:line="240" w:lineRule="auto"/>
              <w:rPr>
                <w:color w:val="000000"/>
              </w:rPr>
            </w:pPr>
            <w:r w:rsidRPr="00AC5BFE">
              <w:rPr>
                <w:color w:val="000000"/>
              </w:rPr>
              <w:t>7053</w:t>
            </w:r>
          </w:p>
        </w:tc>
      </w:tr>
    </w:tbl>
    <w:p w14:paraId="4917B47D" w14:textId="77777777" w:rsidR="00AC5BFE" w:rsidRPr="00AC5BFE" w:rsidRDefault="00AC5BFE" w:rsidP="00AC5BFE">
      <w:pPr>
        <w:spacing w:after="0" w:line="240" w:lineRule="auto"/>
        <w:rPr>
          <w:color w:val="000000"/>
        </w:rPr>
      </w:pPr>
      <w:r w:rsidRPr="00AC5BFE">
        <w:rPr>
          <w:b/>
          <w:i/>
          <w:color w:val="000000"/>
        </w:rPr>
        <w:t>Source</w:t>
      </w:r>
      <w:r w:rsidRPr="00AC5BFE">
        <w:rPr>
          <w:color w:val="000000"/>
        </w:rPr>
        <w:t xml:space="preserve"> : Conférence des Nations Unies sur le commerce et le développement, Juillet 2020, </w:t>
      </w:r>
      <w:proofErr w:type="gramStart"/>
      <w:r w:rsidRPr="00AC5BFE">
        <w:rPr>
          <w:color w:val="000000"/>
        </w:rPr>
        <w:t>et  World</w:t>
      </w:r>
      <w:proofErr w:type="gramEnd"/>
      <w:r w:rsidRPr="00AC5BFE">
        <w:rPr>
          <w:color w:val="000000"/>
        </w:rPr>
        <w:t xml:space="preserve"> Investment Report 2021 </w:t>
      </w:r>
    </w:p>
    <w:p w14:paraId="2D740876" w14:textId="77777777" w:rsidR="00AC5BFE" w:rsidRPr="00AC5BFE" w:rsidRDefault="00AC5BFE" w:rsidP="00AC5BFE">
      <w:pPr>
        <w:autoSpaceDE w:val="0"/>
        <w:autoSpaceDN w:val="0"/>
        <w:adjustRightInd w:val="0"/>
        <w:spacing w:after="0" w:line="240" w:lineRule="auto"/>
        <w:jc w:val="both"/>
        <w:rPr>
          <w:rFonts w:ascii="Times New Roman" w:hAnsi="Times New Roman"/>
          <w:color w:val="000000"/>
          <w:sz w:val="24"/>
          <w:szCs w:val="24"/>
        </w:rPr>
      </w:pPr>
    </w:p>
    <w:p w14:paraId="577563AB" w14:textId="77777777" w:rsidR="00AC5BFE" w:rsidRPr="00AC5BFE" w:rsidRDefault="00AC5BFE" w:rsidP="00AC5BFE">
      <w:pPr>
        <w:autoSpaceDE w:val="0"/>
        <w:autoSpaceDN w:val="0"/>
        <w:adjustRightInd w:val="0"/>
        <w:spacing w:after="0" w:line="240" w:lineRule="auto"/>
        <w:jc w:val="both"/>
        <w:rPr>
          <w:rFonts w:ascii="Times New Roman" w:hAnsi="Times New Roman"/>
          <w:color w:val="000000"/>
          <w:sz w:val="24"/>
          <w:szCs w:val="24"/>
        </w:rPr>
      </w:pPr>
      <w:r w:rsidRPr="00AC5BFE">
        <w:rPr>
          <w:rFonts w:ascii="Times New Roman" w:hAnsi="Times New Roman"/>
          <w:color w:val="000000"/>
          <w:sz w:val="24"/>
          <w:szCs w:val="24"/>
        </w:rPr>
        <w:t>Cependant, le Tchad demeure le seul pays avec la Guinée Equatoriale n’ayant pas enregistré une performance significative en matière d’attraction des IDE par rapport au groupe de pays comparateurs sélectionnés (voir tableau ci-dessous).</w:t>
      </w:r>
    </w:p>
    <w:p w14:paraId="6ED653DA" w14:textId="77777777" w:rsidR="00AC5BFE" w:rsidRPr="00AC5BFE" w:rsidRDefault="00AC5BFE" w:rsidP="00AC5BFE">
      <w:pPr>
        <w:autoSpaceDE w:val="0"/>
        <w:autoSpaceDN w:val="0"/>
        <w:adjustRightInd w:val="0"/>
        <w:spacing w:after="0" w:line="240" w:lineRule="auto"/>
        <w:rPr>
          <w:rFonts w:ascii="Times New Roman" w:hAnsi="Times New Roman"/>
          <w:color w:val="000000"/>
          <w:sz w:val="24"/>
          <w:szCs w:val="24"/>
        </w:rPr>
      </w:pPr>
    </w:p>
    <w:p w14:paraId="2F5BC343" w14:textId="77777777" w:rsidR="00AC5BFE" w:rsidRPr="00AC5BFE" w:rsidRDefault="00AC5BFE" w:rsidP="00AC5BFE">
      <w:pPr>
        <w:autoSpaceDE w:val="0"/>
        <w:autoSpaceDN w:val="0"/>
        <w:adjustRightInd w:val="0"/>
        <w:spacing w:after="0" w:line="240" w:lineRule="auto"/>
        <w:rPr>
          <w:rFonts w:ascii="HelveticaNeueLTCom-LtCn" w:hAnsi="HelveticaNeueLTCom-LtCn" w:cs="HelveticaNeueLTCom-LtCn"/>
          <w:sz w:val="23"/>
          <w:szCs w:val="23"/>
        </w:rPr>
      </w:pPr>
    </w:p>
    <w:p w14:paraId="43CF5EEB" w14:textId="77777777" w:rsidR="00AC5BFE" w:rsidRPr="00AC5BFE" w:rsidRDefault="00AC5BFE" w:rsidP="00AC5BFE">
      <w:pPr>
        <w:autoSpaceDE w:val="0"/>
        <w:autoSpaceDN w:val="0"/>
        <w:adjustRightInd w:val="0"/>
        <w:spacing w:after="0" w:line="240" w:lineRule="auto"/>
        <w:jc w:val="both"/>
        <w:rPr>
          <w:rFonts w:ascii="Times New Roman" w:hAnsi="Times New Roman"/>
          <w:color w:val="000000"/>
          <w:sz w:val="24"/>
          <w:szCs w:val="24"/>
        </w:rPr>
      </w:pPr>
    </w:p>
    <w:p w14:paraId="249B2F32" w14:textId="77777777" w:rsidR="000C155A" w:rsidRDefault="000C155A" w:rsidP="00AC5BFE">
      <w:pPr>
        <w:autoSpaceDE w:val="0"/>
        <w:autoSpaceDN w:val="0"/>
        <w:adjustRightInd w:val="0"/>
        <w:spacing w:after="0" w:line="240" w:lineRule="auto"/>
        <w:jc w:val="both"/>
        <w:rPr>
          <w:rFonts w:ascii="Times New Roman" w:hAnsi="Times New Roman"/>
          <w:color w:val="000000"/>
          <w:sz w:val="24"/>
          <w:szCs w:val="24"/>
        </w:rPr>
      </w:pPr>
    </w:p>
    <w:p w14:paraId="425C0102" w14:textId="77777777" w:rsidR="004A09B3" w:rsidRPr="00231235" w:rsidRDefault="004A09B3" w:rsidP="00231235">
      <w:pPr>
        <w:spacing w:after="0" w:line="240" w:lineRule="auto"/>
        <w:contextualSpacing/>
        <w:jc w:val="both"/>
        <w:rPr>
          <w:rFonts w:ascii="Times New Roman" w:hAnsi="Times New Roman"/>
          <w:sz w:val="24"/>
        </w:rPr>
      </w:pPr>
    </w:p>
    <w:p w14:paraId="27A12DB2" w14:textId="2BAD77CC" w:rsidR="004A09B3" w:rsidRPr="004A09B3" w:rsidRDefault="004A09B3" w:rsidP="00AC5BFE">
      <w:pPr>
        <w:autoSpaceDE w:val="0"/>
        <w:autoSpaceDN w:val="0"/>
        <w:adjustRightInd w:val="0"/>
        <w:spacing w:after="0" w:line="240" w:lineRule="auto"/>
        <w:jc w:val="both"/>
        <w:rPr>
          <w:rFonts w:ascii="Times New Roman" w:hAnsi="Times New Roman"/>
          <w:color w:val="000000"/>
          <w:sz w:val="24"/>
          <w:szCs w:val="24"/>
        </w:rPr>
      </w:pPr>
      <w:r w:rsidRPr="00231235">
        <w:rPr>
          <w:rFonts w:ascii="Times New Roman" w:hAnsi="Times New Roman"/>
          <w:sz w:val="24"/>
        </w:rPr>
        <w:t xml:space="preserve">Il faut aussi </w:t>
      </w:r>
      <w:r>
        <w:rPr>
          <w:rFonts w:ascii="Times New Roman" w:hAnsi="Times New Roman"/>
          <w:color w:val="000000"/>
          <w:sz w:val="24"/>
          <w:szCs w:val="24"/>
        </w:rPr>
        <w:t>mentionner que la diaspora Tchadienne reste inexploité</w:t>
      </w:r>
      <w:r w:rsidRPr="00F52473">
        <w:rPr>
          <w:rFonts w:ascii="Times New Roman" w:hAnsi="Times New Roman"/>
          <w:color w:val="000000"/>
          <w:sz w:val="24"/>
          <w:szCs w:val="24"/>
        </w:rPr>
        <w:t>e</w:t>
      </w:r>
      <w:r>
        <w:rPr>
          <w:rFonts w:ascii="Times New Roman" w:hAnsi="Times New Roman"/>
          <w:color w:val="000000"/>
          <w:sz w:val="24"/>
          <w:szCs w:val="24"/>
        </w:rPr>
        <w:t xml:space="preserve"> et pourrait devenir une source importante du financement des projets de dé</w:t>
      </w:r>
      <w:r w:rsidRPr="00F52473">
        <w:rPr>
          <w:rFonts w:ascii="Times New Roman" w:hAnsi="Times New Roman"/>
          <w:color w:val="000000"/>
          <w:sz w:val="24"/>
          <w:szCs w:val="24"/>
        </w:rPr>
        <w:t>v</w:t>
      </w:r>
      <w:r>
        <w:rPr>
          <w:rFonts w:ascii="Times New Roman" w:hAnsi="Times New Roman"/>
          <w:color w:val="000000"/>
          <w:sz w:val="24"/>
          <w:szCs w:val="24"/>
        </w:rPr>
        <w:t>eloppement si des mé</w:t>
      </w:r>
      <w:r w:rsidRPr="00F52473">
        <w:rPr>
          <w:rFonts w:ascii="Times New Roman" w:hAnsi="Times New Roman"/>
          <w:color w:val="000000"/>
          <w:sz w:val="24"/>
          <w:szCs w:val="24"/>
        </w:rPr>
        <w:t>ca</w:t>
      </w:r>
      <w:r>
        <w:rPr>
          <w:rFonts w:ascii="Times New Roman" w:hAnsi="Times New Roman"/>
          <w:color w:val="000000"/>
          <w:sz w:val="24"/>
          <w:szCs w:val="24"/>
        </w:rPr>
        <w:t>nismes adapté</w:t>
      </w:r>
      <w:r w:rsidRPr="00F52473">
        <w:rPr>
          <w:rFonts w:ascii="Times New Roman" w:hAnsi="Times New Roman"/>
          <w:color w:val="000000"/>
          <w:sz w:val="24"/>
          <w:szCs w:val="24"/>
        </w:rPr>
        <w:t xml:space="preserve">s </w:t>
      </w:r>
      <w:r>
        <w:rPr>
          <w:rFonts w:ascii="Times New Roman" w:hAnsi="Times New Roman"/>
          <w:color w:val="000000"/>
          <w:sz w:val="24"/>
          <w:szCs w:val="24"/>
        </w:rPr>
        <w:t>sont mis en place pour en tirer profit.</w:t>
      </w:r>
    </w:p>
    <w:p w14:paraId="046BAC9D" w14:textId="2C6DEE96" w:rsidR="006805A9" w:rsidRDefault="006805A9" w:rsidP="00AC5BFE">
      <w:pPr>
        <w:keepNext/>
        <w:keepLines/>
        <w:spacing w:after="0" w:line="240" w:lineRule="auto"/>
        <w:jc w:val="both"/>
        <w:outlineLvl w:val="1"/>
        <w:rPr>
          <w:rFonts w:ascii="Times New Roman" w:hAnsi="Times New Roman"/>
          <w:color w:val="000000"/>
          <w:sz w:val="24"/>
        </w:rPr>
      </w:pPr>
      <w:r>
        <w:rPr>
          <w:rFonts w:ascii="Times New Roman" w:hAnsi="Times New Roman"/>
          <w:color w:val="000000"/>
          <w:sz w:val="24"/>
        </w:rPr>
        <w:br w:type="page"/>
      </w:r>
    </w:p>
    <w:p w14:paraId="17C7B6B3" w14:textId="68F385F5" w:rsidR="00D72F0E" w:rsidRPr="0095279A" w:rsidRDefault="00001EE5" w:rsidP="00BC1AE3">
      <w:pPr>
        <w:pStyle w:val="Titre1"/>
        <w:numPr>
          <w:ilvl w:val="0"/>
          <w:numId w:val="23"/>
        </w:numPr>
        <w:rPr>
          <w:rFonts w:ascii="Times New Roman" w:hAnsi="Times New Roman"/>
          <w:b/>
          <w:bCs/>
        </w:rPr>
      </w:pPr>
      <w:bookmarkStart w:id="277" w:name="_Toc51745211"/>
      <w:bookmarkStart w:id="278" w:name="_Toc55372912"/>
      <w:bookmarkStart w:id="279" w:name="_Toc55539114"/>
      <w:bookmarkStart w:id="280" w:name="_Toc61523605"/>
      <w:bookmarkStart w:id="281" w:name="_Toc90910809"/>
      <w:r w:rsidRPr="0095279A">
        <w:rPr>
          <w:rFonts w:ascii="Times New Roman" w:hAnsi="Times New Roman"/>
          <w:b/>
          <w:bCs/>
        </w:rPr>
        <w:lastRenderedPageBreak/>
        <w:t>ANALYSE DES RISQUES</w:t>
      </w:r>
      <w:bookmarkEnd w:id="277"/>
      <w:bookmarkEnd w:id="278"/>
      <w:bookmarkEnd w:id="279"/>
      <w:bookmarkEnd w:id="280"/>
      <w:bookmarkEnd w:id="281"/>
      <w:r w:rsidRPr="0095279A">
        <w:rPr>
          <w:rFonts w:ascii="Times New Roman" w:hAnsi="Times New Roman"/>
          <w:b/>
          <w:bCs/>
        </w:rPr>
        <w:t xml:space="preserve"> </w:t>
      </w:r>
    </w:p>
    <w:p w14:paraId="410C2E39" w14:textId="24921828" w:rsidR="581E4654" w:rsidRDefault="581E4654" w:rsidP="005B765C">
      <w:pPr>
        <w:pStyle w:val="Titre2"/>
        <w:spacing w:after="0"/>
        <w:jc w:val="both"/>
        <w:rPr>
          <w:b/>
          <w:bCs w:val="0"/>
          <w:color w:val="2F5496" w:themeColor="accent1" w:themeShade="BF"/>
        </w:rPr>
      </w:pPr>
    </w:p>
    <w:p w14:paraId="724C24E4" w14:textId="72D7DC95" w:rsidR="297DCDA1" w:rsidRPr="005B765C" w:rsidRDefault="297DCDA1" w:rsidP="005B765C">
      <w:pPr>
        <w:rPr>
          <w:rFonts w:ascii="Times New Roman" w:hAnsi="Times New Roman"/>
          <w:color w:val="000000" w:themeColor="text1"/>
          <w:sz w:val="24"/>
        </w:rPr>
      </w:pPr>
      <w:r w:rsidRPr="005B765C">
        <w:rPr>
          <w:rFonts w:ascii="Times New Roman" w:hAnsi="Times New Roman"/>
          <w:color w:val="000000" w:themeColor="text1"/>
          <w:sz w:val="24"/>
        </w:rPr>
        <w:t>Analyse des risques multidimensionnelle sur base des ODD</w:t>
      </w:r>
    </w:p>
    <w:tbl>
      <w:tblPr>
        <w:tblW w:w="10055" w:type="dxa"/>
        <w:tblLayout w:type="fixed"/>
        <w:tblLook w:val="04A0" w:firstRow="1" w:lastRow="0" w:firstColumn="1" w:lastColumn="0" w:noHBand="0" w:noVBand="1"/>
      </w:tblPr>
      <w:tblGrid>
        <w:gridCol w:w="1290"/>
        <w:gridCol w:w="3803"/>
        <w:gridCol w:w="4962"/>
      </w:tblGrid>
      <w:tr w:rsidR="581E4654" w14:paraId="2F29DE82" w14:textId="77777777" w:rsidTr="00AE612A">
        <w:trPr>
          <w:trHeight w:val="300"/>
        </w:trPr>
        <w:tc>
          <w:tcPr>
            <w:tcW w:w="1290" w:type="dxa"/>
            <w:tcBorders>
              <w:top w:val="single" w:sz="8" w:space="0" w:color="auto"/>
              <w:left w:val="single" w:sz="8" w:space="0" w:color="auto"/>
              <w:bottom w:val="single" w:sz="8" w:space="0" w:color="auto"/>
              <w:right w:val="single" w:sz="8" w:space="0" w:color="auto"/>
            </w:tcBorders>
            <w:vAlign w:val="center"/>
          </w:tcPr>
          <w:p w14:paraId="09501B8F" w14:textId="598E81C3" w:rsidR="581E4654" w:rsidRDefault="581E4654" w:rsidP="00AE612A">
            <w:pPr>
              <w:spacing w:after="0"/>
            </w:pPr>
            <w:r w:rsidRPr="581E4654">
              <w:rPr>
                <w:rFonts w:ascii="Times New Roman" w:eastAsia="Times New Roman" w:hAnsi="Times New Roman"/>
                <w:b/>
                <w:bCs/>
                <w:color w:val="000000" w:themeColor="text1"/>
                <w:sz w:val="17"/>
                <w:szCs w:val="17"/>
                <w:lang w:val="fr"/>
              </w:rPr>
              <w:t>Secteur de risque</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single" w:sz="8" w:space="0" w:color="auto"/>
              <w:right w:val="single" w:sz="8" w:space="0" w:color="auto"/>
            </w:tcBorders>
            <w:vAlign w:val="center"/>
          </w:tcPr>
          <w:p w14:paraId="667D31A8" w14:textId="543BF037" w:rsidR="581E4654" w:rsidRDefault="581E4654" w:rsidP="00AE612A">
            <w:pPr>
              <w:spacing w:after="0"/>
            </w:pPr>
            <w:r w:rsidRPr="581E4654">
              <w:rPr>
                <w:rFonts w:ascii="Times New Roman" w:eastAsia="Times New Roman" w:hAnsi="Times New Roman"/>
                <w:b/>
                <w:bCs/>
                <w:color w:val="000000" w:themeColor="text1"/>
                <w:sz w:val="17"/>
                <w:szCs w:val="17"/>
                <w:lang w:val="fr"/>
              </w:rPr>
              <w:t>Description</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single" w:sz="8" w:space="0" w:color="auto"/>
              <w:right w:val="single" w:sz="8" w:space="0" w:color="auto"/>
            </w:tcBorders>
          </w:tcPr>
          <w:p w14:paraId="2DBE9D92" w14:textId="74C38B1E" w:rsidR="581E4654" w:rsidRDefault="581E4654" w:rsidP="00AE612A">
            <w:pPr>
              <w:spacing w:after="0"/>
            </w:pPr>
            <w:r w:rsidRPr="581E4654">
              <w:rPr>
                <w:rFonts w:ascii="Times New Roman" w:eastAsia="Times New Roman" w:hAnsi="Times New Roman"/>
                <w:b/>
                <w:bCs/>
                <w:color w:val="000000" w:themeColor="text1"/>
                <w:sz w:val="17"/>
                <w:szCs w:val="17"/>
                <w:lang w:val="fr"/>
              </w:rPr>
              <w:t>Facteurs de risque</w:t>
            </w:r>
            <w:r w:rsidRPr="581E4654">
              <w:rPr>
                <w:rFonts w:ascii="Times New Roman" w:eastAsia="Times New Roman" w:hAnsi="Times New Roman"/>
                <w:color w:val="000000" w:themeColor="text1"/>
                <w:sz w:val="17"/>
                <w:szCs w:val="17"/>
              </w:rPr>
              <w:t xml:space="preserve"> </w:t>
            </w:r>
          </w:p>
        </w:tc>
      </w:tr>
      <w:tr w:rsidR="581E4654" w14:paraId="32EE67E2" w14:textId="77777777" w:rsidTr="00AE612A">
        <w:trPr>
          <w:trHeight w:val="570"/>
        </w:trPr>
        <w:tc>
          <w:tcPr>
            <w:tcW w:w="1290" w:type="dxa"/>
            <w:tcBorders>
              <w:top w:val="single" w:sz="8" w:space="0" w:color="auto"/>
              <w:left w:val="single" w:sz="8" w:space="0" w:color="auto"/>
              <w:bottom w:val="nil"/>
              <w:right w:val="nil"/>
            </w:tcBorders>
          </w:tcPr>
          <w:p w14:paraId="6DB2592C" w14:textId="0F247618" w:rsidR="581E4654" w:rsidRDefault="581E4654" w:rsidP="00AE612A">
            <w:pPr>
              <w:spacing w:after="0"/>
            </w:pPr>
            <w:r w:rsidRPr="581E4654">
              <w:rPr>
                <w:rFonts w:ascii="Times New Roman" w:eastAsia="Times New Roman" w:hAnsi="Times New Roman"/>
                <w:b/>
                <w:bCs/>
                <w:color w:val="000000" w:themeColor="text1"/>
                <w:sz w:val="17"/>
                <w:szCs w:val="17"/>
                <w:lang w:val="fr"/>
              </w:rPr>
              <w:t>Stabilité politique</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nil"/>
              <w:right w:val="nil"/>
            </w:tcBorders>
          </w:tcPr>
          <w:p w14:paraId="6898F7B9" w14:textId="7D035CC4" w:rsidR="581E4654" w:rsidRDefault="581E4654" w:rsidP="00AE612A">
            <w:pPr>
              <w:spacing w:after="0"/>
            </w:pPr>
            <w:r w:rsidRPr="581E4654">
              <w:rPr>
                <w:rFonts w:ascii="Times New Roman" w:eastAsia="Times New Roman" w:hAnsi="Times New Roman"/>
                <w:color w:val="000000" w:themeColor="text1"/>
                <w:sz w:val="17"/>
                <w:szCs w:val="17"/>
                <w:lang w:val="fr"/>
              </w:rPr>
              <w:t>Risques pesant sur la stabilité des structures politiques et gouvernementales établies sur le territoire résultant de facteurs politiques.</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nil"/>
              <w:right w:val="single" w:sz="8" w:space="0" w:color="auto"/>
            </w:tcBorders>
          </w:tcPr>
          <w:p w14:paraId="76C15816" w14:textId="66221DFB" w:rsidR="581E4654" w:rsidRDefault="581E4654" w:rsidP="00BC1AE3">
            <w:pPr>
              <w:pStyle w:val="Paragraphedeliste"/>
              <w:numPr>
                <w:ilvl w:val="0"/>
                <w:numId w:val="12"/>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Offensive de groupes rebelles sur le territoire tchadien </w:t>
            </w:r>
          </w:p>
          <w:p w14:paraId="3124A7B9" w14:textId="104DB02E" w:rsidR="581E4654" w:rsidRDefault="581E4654" w:rsidP="00BC1AE3">
            <w:pPr>
              <w:pStyle w:val="Paragraphedeliste"/>
              <w:numPr>
                <w:ilvl w:val="0"/>
                <w:numId w:val="12"/>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Manifestations / grèves et tensions sociales et politiques </w:t>
            </w:r>
          </w:p>
          <w:p w14:paraId="525BA61A" w14:textId="3A49F9DD" w:rsidR="581E4654" w:rsidRDefault="581E4654" w:rsidP="00BC1AE3">
            <w:pPr>
              <w:pStyle w:val="Paragraphedeliste"/>
              <w:numPr>
                <w:ilvl w:val="0"/>
                <w:numId w:val="12"/>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Rivalités au sein de l’élite politique </w:t>
            </w:r>
          </w:p>
          <w:p w14:paraId="4D983ECC" w14:textId="54DE5F51" w:rsidR="581E4654" w:rsidRDefault="581E4654" w:rsidP="00BC1AE3">
            <w:pPr>
              <w:pStyle w:val="Paragraphedeliste"/>
              <w:numPr>
                <w:ilvl w:val="0"/>
                <w:numId w:val="12"/>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Faible identification avec la nation, surtout dans le nord du pays </w:t>
            </w:r>
          </w:p>
        </w:tc>
      </w:tr>
      <w:tr w:rsidR="581E4654" w14:paraId="7E5201C7" w14:textId="77777777" w:rsidTr="00AE612A">
        <w:trPr>
          <w:trHeight w:val="1050"/>
        </w:trPr>
        <w:tc>
          <w:tcPr>
            <w:tcW w:w="1290" w:type="dxa"/>
            <w:tcBorders>
              <w:top w:val="single" w:sz="8" w:space="0" w:color="auto"/>
              <w:left w:val="single" w:sz="8" w:space="0" w:color="auto"/>
              <w:bottom w:val="nil"/>
              <w:right w:val="nil"/>
            </w:tcBorders>
          </w:tcPr>
          <w:p w14:paraId="4C42ADD3" w14:textId="1A024ED5" w:rsidR="581E4654" w:rsidRDefault="581E4654" w:rsidP="00AE612A">
            <w:pPr>
              <w:spacing w:after="0"/>
            </w:pPr>
            <w:r w:rsidRPr="581E4654">
              <w:rPr>
                <w:rFonts w:ascii="Times New Roman" w:eastAsia="Times New Roman" w:hAnsi="Times New Roman"/>
                <w:b/>
                <w:bCs/>
                <w:color w:val="000000" w:themeColor="text1"/>
                <w:sz w:val="17"/>
                <w:szCs w:val="17"/>
                <w:lang w:val="fr"/>
              </w:rPr>
              <w:t>Espace démocratique</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nil"/>
              <w:right w:val="nil"/>
            </w:tcBorders>
          </w:tcPr>
          <w:p w14:paraId="59A8F141" w14:textId="2E0D589A" w:rsidR="581E4654" w:rsidRDefault="581E4654" w:rsidP="00AE612A">
            <w:pPr>
              <w:spacing w:after="0"/>
            </w:pPr>
            <w:r w:rsidRPr="581E4654">
              <w:rPr>
                <w:rFonts w:ascii="Times New Roman" w:eastAsia="Times New Roman" w:hAnsi="Times New Roman"/>
                <w:color w:val="000000" w:themeColor="text1"/>
                <w:sz w:val="17"/>
                <w:szCs w:val="17"/>
                <w:lang w:val="fr"/>
              </w:rPr>
              <w:t>Risques pour les institutions démocratiques et des droits de l’homme, ainsi que pour les droits civils et politiques résultant du rétrécissement de l’espace civique, de l’exclusion, de la répression et de l’intimidation.</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nil"/>
              <w:right w:val="single" w:sz="8" w:space="0" w:color="auto"/>
            </w:tcBorders>
          </w:tcPr>
          <w:p w14:paraId="763CB38B" w14:textId="490AEA77" w:rsidR="581E4654" w:rsidRDefault="581E4654" w:rsidP="00BC1AE3">
            <w:pPr>
              <w:pStyle w:val="Paragraphedeliste"/>
              <w:numPr>
                <w:ilvl w:val="0"/>
                <w:numId w:val="11"/>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Manifestations / grèves et tensions sociales et politiques </w:t>
            </w:r>
          </w:p>
          <w:p w14:paraId="7A34B2B6" w14:textId="27B83748" w:rsidR="581E4654" w:rsidRDefault="581E4654" w:rsidP="00BC1AE3">
            <w:pPr>
              <w:pStyle w:val="Paragraphedeliste"/>
              <w:numPr>
                <w:ilvl w:val="0"/>
                <w:numId w:val="11"/>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Restrictions des droits de rassemblement et liberté d’expression, y compris en lien avec la pandémie de la COVID-19 </w:t>
            </w:r>
          </w:p>
          <w:p w14:paraId="6B75642F" w14:textId="7B79D00C" w:rsidR="581E4654" w:rsidRDefault="581E4654" w:rsidP="00BC1AE3">
            <w:pPr>
              <w:pStyle w:val="Paragraphedeliste"/>
              <w:numPr>
                <w:ilvl w:val="0"/>
                <w:numId w:val="11"/>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Opposition politique reste marginalisée </w:t>
            </w:r>
          </w:p>
        </w:tc>
      </w:tr>
      <w:tr w:rsidR="581E4654" w14:paraId="28F908C9" w14:textId="77777777" w:rsidTr="00AE612A">
        <w:trPr>
          <w:trHeight w:val="930"/>
        </w:trPr>
        <w:tc>
          <w:tcPr>
            <w:tcW w:w="1290" w:type="dxa"/>
            <w:tcBorders>
              <w:top w:val="single" w:sz="8" w:space="0" w:color="auto"/>
              <w:left w:val="single" w:sz="8" w:space="0" w:color="auto"/>
              <w:bottom w:val="nil"/>
              <w:right w:val="nil"/>
            </w:tcBorders>
          </w:tcPr>
          <w:p w14:paraId="0B34C384" w14:textId="61796D80" w:rsidR="581E4654" w:rsidRDefault="581E4654" w:rsidP="00AE612A">
            <w:pPr>
              <w:spacing w:after="0"/>
            </w:pPr>
            <w:r w:rsidRPr="581E4654">
              <w:rPr>
                <w:rFonts w:ascii="Times New Roman" w:eastAsia="Times New Roman" w:hAnsi="Times New Roman"/>
                <w:b/>
                <w:bCs/>
                <w:color w:val="000000" w:themeColor="text1"/>
                <w:sz w:val="17"/>
                <w:szCs w:val="17"/>
                <w:lang w:val="fr"/>
              </w:rPr>
              <w:t>Cohésion sociale, égalité hommes-femmes et absence de discrimination</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nil"/>
              <w:right w:val="nil"/>
            </w:tcBorders>
          </w:tcPr>
          <w:p w14:paraId="149A66FD" w14:textId="3C09D6F3" w:rsidR="581E4654" w:rsidRDefault="581E4654" w:rsidP="00AE612A">
            <w:pPr>
              <w:spacing w:after="0"/>
            </w:pPr>
            <w:r w:rsidRPr="581E4654">
              <w:rPr>
                <w:rFonts w:ascii="Times New Roman" w:eastAsia="Times New Roman" w:hAnsi="Times New Roman"/>
                <w:color w:val="000000" w:themeColor="text1"/>
                <w:sz w:val="17"/>
                <w:szCs w:val="17"/>
                <w:lang w:val="fr"/>
              </w:rPr>
              <w:t>Risques pour l’unité et l’égalité sociales résultant de la discrimination directe et indirecte, des inégalités horizontales et des tendances démographiques.</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nil"/>
              <w:right w:val="single" w:sz="8" w:space="0" w:color="auto"/>
            </w:tcBorders>
          </w:tcPr>
          <w:p w14:paraId="3BB6363C" w14:textId="77777E8A" w:rsidR="581E4654" w:rsidRDefault="581E4654" w:rsidP="00BC1AE3">
            <w:pPr>
              <w:pStyle w:val="Paragraphedeliste"/>
              <w:numPr>
                <w:ilvl w:val="0"/>
                <w:numId w:val="10"/>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Inégalité de chances entre les sexes </w:t>
            </w:r>
          </w:p>
          <w:p w14:paraId="68792EED" w14:textId="324C16AF" w:rsidR="581E4654" w:rsidRDefault="581E4654" w:rsidP="00BC1AE3">
            <w:pPr>
              <w:pStyle w:val="Paragraphedeliste"/>
              <w:numPr>
                <w:ilvl w:val="0"/>
                <w:numId w:val="10"/>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Mariage précoce </w:t>
            </w:r>
          </w:p>
          <w:p w14:paraId="192B031D" w14:textId="74ECBEDA" w:rsidR="581E4654" w:rsidRDefault="581E4654" w:rsidP="00BC1AE3">
            <w:pPr>
              <w:pStyle w:val="Paragraphedeliste"/>
              <w:numPr>
                <w:ilvl w:val="0"/>
                <w:numId w:val="10"/>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Violence fondée sur le sexe, y compris mutilations génitales </w:t>
            </w:r>
          </w:p>
          <w:p w14:paraId="71B2306D" w14:textId="175F8405" w:rsidR="581E4654" w:rsidRDefault="581E4654" w:rsidP="00BC1AE3">
            <w:pPr>
              <w:pStyle w:val="Paragraphedeliste"/>
              <w:numPr>
                <w:ilvl w:val="0"/>
                <w:numId w:val="10"/>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Discriminations sur base d’appartenance ethnique </w:t>
            </w:r>
          </w:p>
        </w:tc>
      </w:tr>
      <w:tr w:rsidR="581E4654" w14:paraId="001709AE" w14:textId="77777777" w:rsidTr="00AE612A">
        <w:trPr>
          <w:trHeight w:val="870"/>
        </w:trPr>
        <w:tc>
          <w:tcPr>
            <w:tcW w:w="1290" w:type="dxa"/>
            <w:tcBorders>
              <w:top w:val="single" w:sz="8" w:space="0" w:color="auto"/>
              <w:left w:val="single" w:sz="8" w:space="0" w:color="auto"/>
              <w:bottom w:val="nil"/>
              <w:right w:val="nil"/>
            </w:tcBorders>
          </w:tcPr>
          <w:p w14:paraId="50262CBC" w14:textId="6580483A" w:rsidR="581E4654" w:rsidRDefault="581E4654" w:rsidP="00AE612A">
            <w:pPr>
              <w:spacing w:after="0"/>
            </w:pPr>
            <w:r w:rsidRPr="581E4654">
              <w:rPr>
                <w:rFonts w:ascii="Times New Roman" w:eastAsia="Times New Roman" w:hAnsi="Times New Roman"/>
                <w:b/>
                <w:bCs/>
                <w:color w:val="000000" w:themeColor="text1"/>
                <w:sz w:val="17"/>
                <w:szCs w:val="17"/>
                <w:lang w:val="fr"/>
              </w:rPr>
              <w:t>Influences régionales et mondiales</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nil"/>
              <w:right w:val="nil"/>
            </w:tcBorders>
          </w:tcPr>
          <w:p w14:paraId="47B04C70" w14:textId="07704502" w:rsidR="581E4654" w:rsidRDefault="581E4654" w:rsidP="00AE612A">
            <w:pPr>
              <w:spacing w:after="0"/>
            </w:pPr>
            <w:r w:rsidRPr="581E4654">
              <w:rPr>
                <w:rFonts w:ascii="Times New Roman" w:eastAsia="Times New Roman" w:hAnsi="Times New Roman"/>
                <w:color w:val="000000" w:themeColor="text1"/>
                <w:sz w:val="17"/>
                <w:szCs w:val="17"/>
                <w:lang w:val="fr"/>
              </w:rPr>
              <w:t>Risques pour l’intégrité, la stabilité, la sécurité et la prospérité du territoire et de sa population résultant des actions d’acteurs extérieurs ou de l’influence d’événements extérieurs.</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nil"/>
              <w:right w:val="single" w:sz="8" w:space="0" w:color="auto"/>
            </w:tcBorders>
          </w:tcPr>
          <w:p w14:paraId="5633E619" w14:textId="16A1E7E0" w:rsidR="581E4654" w:rsidRDefault="581E4654" w:rsidP="00BC1AE3">
            <w:pPr>
              <w:pStyle w:val="Paragraphedeliste"/>
              <w:numPr>
                <w:ilvl w:val="0"/>
                <w:numId w:val="9"/>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Instabilité dans les pays voisin </w:t>
            </w:r>
          </w:p>
          <w:p w14:paraId="71ABF2FE" w14:textId="0E938642" w:rsidR="581E4654" w:rsidRDefault="581E4654" w:rsidP="00BC1AE3">
            <w:pPr>
              <w:pStyle w:val="Paragraphedeliste"/>
              <w:numPr>
                <w:ilvl w:val="0"/>
                <w:numId w:val="9"/>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Forte dépendance du budget de l’Etat du secteur pétrolier </w:t>
            </w:r>
          </w:p>
          <w:p w14:paraId="14791407" w14:textId="765AB648" w:rsidR="581E4654" w:rsidRDefault="581E4654" w:rsidP="00BC1AE3">
            <w:pPr>
              <w:pStyle w:val="Paragraphedeliste"/>
              <w:numPr>
                <w:ilvl w:val="0"/>
                <w:numId w:val="9"/>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Actions de groupes extrémistes </w:t>
            </w:r>
            <w:r>
              <w:br/>
            </w:r>
            <w:r w:rsidRPr="581E4654">
              <w:rPr>
                <w:rFonts w:ascii="Times New Roman" w:eastAsia="Times New Roman" w:hAnsi="Times New Roman"/>
                <w:sz w:val="17"/>
                <w:szCs w:val="17"/>
              </w:rPr>
              <w:t xml:space="preserve">  </w:t>
            </w:r>
          </w:p>
        </w:tc>
      </w:tr>
      <w:tr w:rsidR="581E4654" w14:paraId="4D8373CB" w14:textId="77777777" w:rsidTr="00AE612A">
        <w:trPr>
          <w:trHeight w:val="1140"/>
        </w:trPr>
        <w:tc>
          <w:tcPr>
            <w:tcW w:w="1290" w:type="dxa"/>
            <w:tcBorders>
              <w:top w:val="single" w:sz="8" w:space="0" w:color="auto"/>
              <w:left w:val="single" w:sz="8" w:space="0" w:color="auto"/>
              <w:bottom w:val="nil"/>
              <w:right w:val="nil"/>
            </w:tcBorders>
          </w:tcPr>
          <w:p w14:paraId="6EA2F3D3" w14:textId="32F09AC5" w:rsidR="581E4654" w:rsidRDefault="581E4654" w:rsidP="00AE612A">
            <w:pPr>
              <w:spacing w:after="0"/>
            </w:pPr>
            <w:r w:rsidRPr="581E4654">
              <w:rPr>
                <w:rFonts w:ascii="Times New Roman" w:eastAsia="Times New Roman" w:hAnsi="Times New Roman"/>
                <w:b/>
                <w:bCs/>
                <w:color w:val="000000" w:themeColor="text1"/>
                <w:sz w:val="17"/>
                <w:szCs w:val="17"/>
                <w:lang w:val="fr"/>
              </w:rPr>
              <w:t>Sécurité interne</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nil"/>
              <w:right w:val="nil"/>
            </w:tcBorders>
          </w:tcPr>
          <w:p w14:paraId="55A9589E" w14:textId="68F85622" w:rsidR="581E4654" w:rsidRDefault="581E4654" w:rsidP="00AE612A">
            <w:pPr>
              <w:spacing w:after="0"/>
            </w:pPr>
            <w:r w:rsidRPr="581E4654">
              <w:rPr>
                <w:rFonts w:ascii="Times New Roman" w:eastAsia="Times New Roman" w:hAnsi="Times New Roman"/>
                <w:color w:val="000000" w:themeColor="text1"/>
                <w:sz w:val="17"/>
                <w:szCs w:val="17"/>
                <w:lang w:val="fr"/>
              </w:rPr>
              <w:t>Risques pour la sécurité du territoire, de sa population et de ses infrastructures, et pour la capacité de la communauté internationale à fonctionner efficacement en raison de problèmes de sécurité.</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nil"/>
              <w:right w:val="single" w:sz="8" w:space="0" w:color="auto"/>
            </w:tcBorders>
          </w:tcPr>
          <w:p w14:paraId="5F1C87EA" w14:textId="128697BF" w:rsidR="581E4654" w:rsidRDefault="581E4654" w:rsidP="00BC1AE3">
            <w:pPr>
              <w:pStyle w:val="Paragraphedeliste"/>
              <w:numPr>
                <w:ilvl w:val="0"/>
                <w:numId w:val="8"/>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Activités illicites de groupes armés, y compris l’exploitation de mines illégales, le trafic d’êtres humains, de drogue et des armes </w:t>
            </w:r>
          </w:p>
          <w:p w14:paraId="3762F0E8" w14:textId="31D1A764" w:rsidR="581E4654" w:rsidRDefault="581E4654" w:rsidP="00BC1AE3">
            <w:pPr>
              <w:pStyle w:val="Paragraphedeliste"/>
              <w:numPr>
                <w:ilvl w:val="0"/>
                <w:numId w:val="8"/>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Conflits entre agriculteurs et éleveurs </w:t>
            </w:r>
          </w:p>
          <w:p w14:paraId="0D52BB2C" w14:textId="73947A3E" w:rsidR="581E4654" w:rsidRDefault="581E4654" w:rsidP="00BC1AE3">
            <w:pPr>
              <w:pStyle w:val="Paragraphedeliste"/>
              <w:numPr>
                <w:ilvl w:val="0"/>
                <w:numId w:val="8"/>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Attaques de groups arme, notamment Boko Haram au Lac et opérations militaires </w:t>
            </w:r>
          </w:p>
        </w:tc>
      </w:tr>
      <w:tr w:rsidR="581E4654" w14:paraId="6164105A" w14:textId="77777777" w:rsidTr="00AE612A">
        <w:trPr>
          <w:trHeight w:val="870"/>
        </w:trPr>
        <w:tc>
          <w:tcPr>
            <w:tcW w:w="1290" w:type="dxa"/>
            <w:tcBorders>
              <w:top w:val="single" w:sz="8" w:space="0" w:color="auto"/>
              <w:left w:val="single" w:sz="8" w:space="0" w:color="auto"/>
              <w:bottom w:val="nil"/>
              <w:right w:val="nil"/>
            </w:tcBorders>
          </w:tcPr>
          <w:p w14:paraId="1DB0CED4" w14:textId="17D3E1DB" w:rsidR="581E4654" w:rsidRDefault="581E4654" w:rsidP="00AE612A">
            <w:pPr>
              <w:spacing w:after="0"/>
            </w:pPr>
            <w:r w:rsidRPr="581E4654">
              <w:rPr>
                <w:rFonts w:ascii="Times New Roman" w:eastAsia="Times New Roman" w:hAnsi="Times New Roman"/>
                <w:b/>
                <w:bCs/>
                <w:color w:val="000000" w:themeColor="text1"/>
                <w:sz w:val="17"/>
                <w:szCs w:val="17"/>
                <w:lang w:val="fr"/>
              </w:rPr>
              <w:t>Justice et État de droit</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nil"/>
              <w:right w:val="nil"/>
            </w:tcBorders>
          </w:tcPr>
          <w:p w14:paraId="556175C3" w14:textId="7426AF92" w:rsidR="581E4654" w:rsidRDefault="581E4654" w:rsidP="00AE612A">
            <w:pPr>
              <w:spacing w:after="0"/>
            </w:pPr>
            <w:r w:rsidRPr="581E4654">
              <w:rPr>
                <w:rFonts w:ascii="Times New Roman" w:eastAsia="Times New Roman" w:hAnsi="Times New Roman"/>
                <w:color w:val="000000" w:themeColor="text1"/>
                <w:sz w:val="17"/>
                <w:szCs w:val="17"/>
                <w:lang w:val="fr"/>
              </w:rPr>
              <w:t>Les problèmes risquent de compromettre la mise en œuvre et l’application équitables, efficaces et complètes des principes de justice, de l’État de droit et de la responsabilité.</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nil"/>
              <w:right w:val="single" w:sz="8" w:space="0" w:color="auto"/>
            </w:tcBorders>
          </w:tcPr>
          <w:p w14:paraId="0CF59CF5" w14:textId="462E1EE7" w:rsidR="581E4654" w:rsidRDefault="581E4654" w:rsidP="00BC1AE3">
            <w:pPr>
              <w:pStyle w:val="Paragraphedeliste"/>
              <w:numPr>
                <w:ilvl w:val="0"/>
                <w:numId w:val="7"/>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Etat de droit fragile </w:t>
            </w:r>
          </w:p>
          <w:p w14:paraId="237FA88A" w14:textId="447EA148" w:rsidR="581E4654" w:rsidRDefault="581E4654" w:rsidP="00BC1AE3">
            <w:pPr>
              <w:pStyle w:val="Paragraphedeliste"/>
              <w:numPr>
                <w:ilvl w:val="0"/>
                <w:numId w:val="7"/>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Proclamation de la loi martiale, ou d’état d’urgence à cause de conflits </w:t>
            </w:r>
          </w:p>
        </w:tc>
      </w:tr>
      <w:tr w:rsidR="581E4654" w14:paraId="51B5C3FB" w14:textId="77777777" w:rsidTr="00AE612A">
        <w:trPr>
          <w:trHeight w:val="945"/>
        </w:trPr>
        <w:tc>
          <w:tcPr>
            <w:tcW w:w="1290" w:type="dxa"/>
            <w:tcBorders>
              <w:top w:val="single" w:sz="8" w:space="0" w:color="auto"/>
              <w:left w:val="single" w:sz="8" w:space="0" w:color="auto"/>
              <w:bottom w:val="nil"/>
              <w:right w:val="nil"/>
            </w:tcBorders>
          </w:tcPr>
          <w:p w14:paraId="43A0BD34" w14:textId="1C5D00A7" w:rsidR="581E4654" w:rsidRDefault="581E4654" w:rsidP="00AE612A">
            <w:pPr>
              <w:spacing w:after="0"/>
            </w:pPr>
            <w:r w:rsidRPr="581E4654">
              <w:rPr>
                <w:rFonts w:ascii="Times New Roman" w:eastAsia="Times New Roman" w:hAnsi="Times New Roman"/>
                <w:b/>
                <w:bCs/>
                <w:color w:val="000000" w:themeColor="text1"/>
                <w:sz w:val="17"/>
                <w:szCs w:val="17"/>
                <w:lang w:val="fr"/>
              </w:rPr>
              <w:t>Infrastructures et accès aux services sociaux</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nil"/>
              <w:right w:val="nil"/>
            </w:tcBorders>
          </w:tcPr>
          <w:p w14:paraId="49ADB401" w14:textId="3B668858" w:rsidR="581E4654" w:rsidRDefault="581E4654" w:rsidP="00AE612A">
            <w:pPr>
              <w:spacing w:after="0"/>
            </w:pPr>
            <w:r w:rsidRPr="581E4654">
              <w:rPr>
                <w:rFonts w:ascii="Times New Roman" w:eastAsia="Times New Roman" w:hAnsi="Times New Roman"/>
                <w:color w:val="000000" w:themeColor="text1"/>
                <w:sz w:val="17"/>
                <w:szCs w:val="17"/>
                <w:lang w:val="fr"/>
              </w:rPr>
              <w:t>Risques pour la société et la population résultant d’un manque de disponibilité ou de limitation de l’accès aux infrastructures physiques et/ou aux services sociaux de base.</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nil"/>
              <w:right w:val="single" w:sz="8" w:space="0" w:color="auto"/>
            </w:tcBorders>
          </w:tcPr>
          <w:p w14:paraId="2618A167" w14:textId="6BD80AC7" w:rsidR="581E4654" w:rsidRDefault="581E4654" w:rsidP="00BC1AE3">
            <w:pPr>
              <w:pStyle w:val="Paragraphedeliste"/>
              <w:numPr>
                <w:ilvl w:val="0"/>
                <w:numId w:val="6"/>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Accès très limite à l’électricité, aux services de santé et éducation, surtout en dehors de la capitale </w:t>
            </w:r>
          </w:p>
        </w:tc>
      </w:tr>
      <w:tr w:rsidR="581E4654" w14:paraId="6B885EB6" w14:textId="77777777" w:rsidTr="00AE612A">
        <w:trPr>
          <w:trHeight w:val="795"/>
        </w:trPr>
        <w:tc>
          <w:tcPr>
            <w:tcW w:w="1290" w:type="dxa"/>
            <w:tcBorders>
              <w:top w:val="single" w:sz="8" w:space="0" w:color="auto"/>
              <w:left w:val="single" w:sz="8" w:space="0" w:color="auto"/>
              <w:bottom w:val="single" w:sz="8" w:space="0" w:color="auto"/>
              <w:right w:val="nil"/>
            </w:tcBorders>
          </w:tcPr>
          <w:p w14:paraId="2302D277" w14:textId="10B08144" w:rsidR="581E4654" w:rsidRDefault="581E4654" w:rsidP="00AE612A">
            <w:pPr>
              <w:spacing w:after="0"/>
            </w:pPr>
            <w:r w:rsidRPr="581E4654">
              <w:rPr>
                <w:rFonts w:ascii="Times New Roman" w:eastAsia="Times New Roman" w:hAnsi="Times New Roman"/>
                <w:b/>
                <w:bCs/>
                <w:color w:val="000000" w:themeColor="text1"/>
                <w:sz w:val="17"/>
                <w:szCs w:val="17"/>
                <w:lang w:val="fr"/>
              </w:rPr>
              <w:t>Déplacement et migration</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single" w:sz="8" w:space="0" w:color="auto"/>
              <w:right w:val="nil"/>
            </w:tcBorders>
          </w:tcPr>
          <w:p w14:paraId="4F6A5FC4" w14:textId="370022B1" w:rsidR="581E4654" w:rsidRDefault="581E4654" w:rsidP="00AE612A">
            <w:pPr>
              <w:spacing w:after="0"/>
            </w:pPr>
            <w:r w:rsidRPr="581E4654">
              <w:rPr>
                <w:rFonts w:ascii="Times New Roman" w:eastAsia="Times New Roman" w:hAnsi="Times New Roman"/>
                <w:color w:val="000000" w:themeColor="text1"/>
                <w:sz w:val="17"/>
                <w:szCs w:val="17"/>
                <w:lang w:val="fr"/>
              </w:rPr>
              <w:t>Risques pour la population et la stabilité du territoire résultant des pressions liées au déplacement et/ou à la migration.</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single" w:sz="8" w:space="0" w:color="auto"/>
              <w:right w:val="single" w:sz="8" w:space="0" w:color="auto"/>
            </w:tcBorders>
          </w:tcPr>
          <w:p w14:paraId="6C5BAFFB" w14:textId="517737E1" w:rsidR="581E4654" w:rsidRDefault="581E4654" w:rsidP="00BC1AE3">
            <w:pPr>
              <w:pStyle w:val="Paragraphedeliste"/>
              <w:numPr>
                <w:ilvl w:val="0"/>
                <w:numId w:val="6"/>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Arrivée spontanée de réfugiés des pays voisins, notamment du Soudan, de la Centrafrique, et les pays voisins limitrophe du Lac Tchad, en fonction de la situation sécuritaire </w:t>
            </w:r>
          </w:p>
          <w:p w14:paraId="0F6631FC" w14:textId="24B03C86" w:rsidR="581E4654" w:rsidRDefault="581E4654" w:rsidP="00BC1AE3">
            <w:pPr>
              <w:pStyle w:val="Paragraphedeliste"/>
              <w:numPr>
                <w:ilvl w:val="0"/>
                <w:numId w:val="6"/>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Arrivée de refugies à cause d’une détérioration du conflit intercommunautaire au Cameroun </w:t>
            </w:r>
          </w:p>
          <w:p w14:paraId="5A96B12F" w14:textId="20F60B7E" w:rsidR="581E4654" w:rsidRDefault="581E4654" w:rsidP="00BC1AE3">
            <w:pPr>
              <w:pStyle w:val="Paragraphedeliste"/>
              <w:numPr>
                <w:ilvl w:val="0"/>
                <w:numId w:val="6"/>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Conflits par rapport aux ressources naturels dans des zones d’accueil, par exemple dans la province du Lac </w:t>
            </w:r>
          </w:p>
          <w:p w14:paraId="58234249" w14:textId="450E89B2" w:rsidR="581E4654" w:rsidRDefault="581E4654" w:rsidP="00BC1AE3">
            <w:pPr>
              <w:pStyle w:val="Paragraphedeliste"/>
              <w:numPr>
                <w:ilvl w:val="0"/>
                <w:numId w:val="6"/>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Exode rural de jeunes vers l’extrême nord, où ils sont absorbés dans des cycles d’exploitation et de violence </w:t>
            </w:r>
          </w:p>
          <w:p w14:paraId="1978FE1B" w14:textId="4A5D0EF2" w:rsidR="581E4654" w:rsidRDefault="581E4654" w:rsidP="00BC1AE3">
            <w:pPr>
              <w:pStyle w:val="Paragraphedeliste"/>
              <w:numPr>
                <w:ilvl w:val="0"/>
                <w:numId w:val="6"/>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Trajectoires perturbées des transhumants en fonction des pluies et de la situation sécuritaire dans la région</w:t>
            </w:r>
            <w:r w:rsidRPr="581E4654">
              <w:rPr>
                <w:sz w:val="17"/>
                <w:szCs w:val="17"/>
              </w:rPr>
              <w:t xml:space="preserve"> </w:t>
            </w:r>
            <w:r>
              <w:br/>
            </w:r>
            <w:r w:rsidRPr="581E4654">
              <w:rPr>
                <w:sz w:val="17"/>
                <w:szCs w:val="17"/>
              </w:rPr>
              <w:t xml:space="preserve"> </w:t>
            </w:r>
            <w:r w:rsidRPr="581E4654">
              <w:rPr>
                <w:rFonts w:ascii="Times New Roman" w:eastAsia="Times New Roman" w:hAnsi="Times New Roman"/>
                <w:sz w:val="17"/>
                <w:szCs w:val="17"/>
              </w:rPr>
              <w:t xml:space="preserve"> </w:t>
            </w:r>
          </w:p>
        </w:tc>
      </w:tr>
      <w:tr w:rsidR="581E4654" w14:paraId="46437AF9" w14:textId="77777777" w:rsidTr="00AE612A">
        <w:trPr>
          <w:trHeight w:val="795"/>
        </w:trPr>
        <w:tc>
          <w:tcPr>
            <w:tcW w:w="1290" w:type="dxa"/>
            <w:tcBorders>
              <w:top w:val="single" w:sz="8" w:space="0" w:color="auto"/>
              <w:left w:val="single" w:sz="8" w:space="0" w:color="auto"/>
              <w:bottom w:val="single" w:sz="8" w:space="0" w:color="auto"/>
              <w:right w:val="nil"/>
            </w:tcBorders>
          </w:tcPr>
          <w:p w14:paraId="7FADD2A5" w14:textId="10CBAF71" w:rsidR="581E4654" w:rsidRDefault="581E4654" w:rsidP="00AE612A">
            <w:pPr>
              <w:spacing w:after="0"/>
            </w:pPr>
            <w:r w:rsidRPr="581E4654">
              <w:rPr>
                <w:rFonts w:ascii="Times New Roman" w:eastAsia="Times New Roman" w:hAnsi="Times New Roman"/>
                <w:b/>
                <w:bCs/>
                <w:color w:val="000000" w:themeColor="text1"/>
                <w:sz w:val="17"/>
                <w:szCs w:val="17"/>
                <w:lang w:val="fr"/>
              </w:rPr>
              <w:lastRenderedPageBreak/>
              <w:t>Santé publique</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single" w:sz="8" w:space="0" w:color="auto"/>
              <w:right w:val="nil"/>
            </w:tcBorders>
          </w:tcPr>
          <w:p w14:paraId="55558DAB" w14:textId="0ECF16C8" w:rsidR="581E4654" w:rsidRDefault="581E4654" w:rsidP="00AE612A">
            <w:pPr>
              <w:spacing w:after="0"/>
            </w:pPr>
            <w:r w:rsidRPr="581E4654">
              <w:rPr>
                <w:rFonts w:ascii="Times New Roman" w:eastAsia="Times New Roman" w:hAnsi="Times New Roman"/>
                <w:color w:val="000000" w:themeColor="text1"/>
                <w:sz w:val="17"/>
                <w:szCs w:val="17"/>
                <w:lang w:val="fr"/>
              </w:rPr>
              <w:t>Risque pour la population, l’économie et la stabilité du territoire résultant des urgences sanitaires actuelles et émergentes.</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single" w:sz="8" w:space="0" w:color="auto"/>
              <w:right w:val="single" w:sz="8" w:space="0" w:color="auto"/>
            </w:tcBorders>
          </w:tcPr>
          <w:p w14:paraId="52A498F5" w14:textId="12265D99" w:rsidR="581E4654" w:rsidRDefault="581E4654" w:rsidP="00BC1AE3">
            <w:pPr>
              <w:pStyle w:val="Paragraphedeliste"/>
              <w:numPr>
                <w:ilvl w:val="0"/>
                <w:numId w:val="5"/>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Accès très limite a des services de qualité, surtout en dehors de la capitale </w:t>
            </w:r>
          </w:p>
          <w:p w14:paraId="01D0ECDB" w14:textId="4311A398" w:rsidR="581E4654" w:rsidRDefault="581E4654" w:rsidP="00BC1AE3">
            <w:pPr>
              <w:pStyle w:val="Paragraphedeliste"/>
              <w:numPr>
                <w:ilvl w:val="0"/>
                <w:numId w:val="5"/>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Résurgence de la pandémie de la COVID-19 </w:t>
            </w:r>
          </w:p>
          <w:p w14:paraId="448DE91E" w14:textId="6B7748D9" w:rsidR="581E4654" w:rsidRDefault="581E4654" w:rsidP="00BC1AE3">
            <w:pPr>
              <w:pStyle w:val="Paragraphedeliste"/>
              <w:numPr>
                <w:ilvl w:val="0"/>
                <w:numId w:val="5"/>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Moyen insuffisant pour le diagnostic et de traitement du paludisme, qui reste la cause plus importante de mortalité des enfants de moins de cinq ans </w:t>
            </w:r>
          </w:p>
        </w:tc>
      </w:tr>
      <w:tr w:rsidR="581E4654" w14:paraId="7B573CAD" w14:textId="77777777" w:rsidTr="00AE612A">
        <w:trPr>
          <w:trHeight w:val="795"/>
        </w:trPr>
        <w:tc>
          <w:tcPr>
            <w:tcW w:w="1290" w:type="dxa"/>
            <w:tcBorders>
              <w:top w:val="single" w:sz="8" w:space="0" w:color="auto"/>
              <w:left w:val="single" w:sz="8" w:space="0" w:color="auto"/>
              <w:bottom w:val="single" w:sz="8" w:space="0" w:color="auto"/>
              <w:right w:val="nil"/>
            </w:tcBorders>
          </w:tcPr>
          <w:p w14:paraId="68018B54" w14:textId="57AB4A2A" w:rsidR="581E4654" w:rsidRDefault="581E4654" w:rsidP="00AE612A">
            <w:pPr>
              <w:spacing w:after="0"/>
            </w:pPr>
            <w:r w:rsidRPr="581E4654">
              <w:rPr>
                <w:rFonts w:ascii="Times New Roman" w:eastAsia="Times New Roman" w:hAnsi="Times New Roman"/>
                <w:b/>
                <w:bCs/>
                <w:color w:val="000000" w:themeColor="text1"/>
                <w:sz w:val="17"/>
                <w:szCs w:val="17"/>
                <w:lang w:val="fr"/>
              </w:rPr>
              <w:t>Sécurité alimentaire, agriculture et terres</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single" w:sz="8" w:space="0" w:color="auto"/>
              <w:right w:val="nil"/>
            </w:tcBorders>
          </w:tcPr>
          <w:p w14:paraId="09ADAFBB" w14:textId="3D1608B7" w:rsidR="581E4654" w:rsidRDefault="581E4654" w:rsidP="00AE612A">
            <w:pPr>
              <w:spacing w:after="0"/>
            </w:pPr>
            <w:r w:rsidRPr="581E4654">
              <w:rPr>
                <w:rFonts w:ascii="Times New Roman" w:eastAsia="Times New Roman" w:hAnsi="Times New Roman"/>
                <w:color w:val="000000" w:themeColor="text1"/>
                <w:sz w:val="17"/>
                <w:szCs w:val="17"/>
                <w:lang w:val="fr"/>
              </w:rPr>
              <w:t>Risque pour les personnes, l’agriculture et/ou la production sur le territoire résultant des cultures, de la production alimentaire, de l’élevage et des questions connexes.</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single" w:sz="8" w:space="0" w:color="auto"/>
              <w:right w:val="single" w:sz="8" w:space="0" w:color="auto"/>
            </w:tcBorders>
          </w:tcPr>
          <w:p w14:paraId="4302E227" w14:textId="601BD38D" w:rsidR="581E4654" w:rsidRDefault="581E4654" w:rsidP="00BC1AE3">
            <w:pPr>
              <w:pStyle w:val="Paragraphedeliste"/>
              <w:numPr>
                <w:ilvl w:val="0"/>
                <w:numId w:val="4"/>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Insécurité alimentaire augmentera en 2021 à cause de faibles précipitations en 2020  </w:t>
            </w:r>
          </w:p>
          <w:p w14:paraId="30528561" w14:textId="0B9736ED" w:rsidR="581E4654" w:rsidRDefault="581E4654" w:rsidP="00BC1AE3">
            <w:pPr>
              <w:pStyle w:val="Paragraphedeliste"/>
              <w:numPr>
                <w:ilvl w:val="0"/>
                <w:numId w:val="4"/>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Taux de malnutrition élevé </w:t>
            </w:r>
          </w:p>
          <w:p w14:paraId="0B9E2C2E" w14:textId="43CAB124" w:rsidR="581E4654" w:rsidRDefault="581E4654" w:rsidP="00BC1AE3">
            <w:pPr>
              <w:pStyle w:val="Paragraphedeliste"/>
              <w:numPr>
                <w:ilvl w:val="0"/>
                <w:numId w:val="4"/>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Manque d’accès à des terres cultivables pour des personnes marginalisées, y compris des réfugiés et des personnes en situation de déplacement interne</w:t>
            </w:r>
            <w:r>
              <w:t xml:space="preserve"> </w:t>
            </w:r>
            <w:r>
              <w:br/>
              <w:t xml:space="preserve"> </w:t>
            </w:r>
            <w:r w:rsidRPr="581E4654">
              <w:rPr>
                <w:rFonts w:ascii="Times New Roman" w:eastAsia="Times New Roman" w:hAnsi="Times New Roman"/>
                <w:sz w:val="17"/>
                <w:szCs w:val="17"/>
              </w:rPr>
              <w:t xml:space="preserve"> </w:t>
            </w:r>
          </w:p>
        </w:tc>
      </w:tr>
      <w:tr w:rsidR="581E4654" w14:paraId="630A5BBC" w14:textId="77777777" w:rsidTr="00AE612A">
        <w:trPr>
          <w:trHeight w:val="795"/>
        </w:trPr>
        <w:tc>
          <w:tcPr>
            <w:tcW w:w="1290" w:type="dxa"/>
            <w:tcBorders>
              <w:top w:val="single" w:sz="8" w:space="0" w:color="auto"/>
              <w:left w:val="single" w:sz="8" w:space="0" w:color="auto"/>
              <w:bottom w:val="single" w:sz="8" w:space="0" w:color="auto"/>
              <w:right w:val="nil"/>
            </w:tcBorders>
          </w:tcPr>
          <w:p w14:paraId="22CF2B81" w14:textId="34E5AC93" w:rsidR="581E4654" w:rsidRDefault="581E4654" w:rsidP="00AE612A">
            <w:pPr>
              <w:spacing w:after="0"/>
            </w:pPr>
            <w:r w:rsidRPr="581E4654">
              <w:rPr>
                <w:rFonts w:ascii="Times New Roman" w:eastAsia="Times New Roman" w:hAnsi="Times New Roman"/>
                <w:b/>
                <w:bCs/>
                <w:color w:val="000000" w:themeColor="text1"/>
                <w:sz w:val="17"/>
                <w:szCs w:val="17"/>
                <w:lang w:val="fr"/>
              </w:rPr>
              <w:t>Environnement et climat</w:t>
            </w:r>
            <w:r w:rsidRPr="581E4654">
              <w:rPr>
                <w:rFonts w:ascii="Times New Roman" w:eastAsia="Times New Roman" w:hAnsi="Times New Roman"/>
                <w:color w:val="000000" w:themeColor="text1"/>
                <w:sz w:val="17"/>
                <w:szCs w:val="17"/>
              </w:rPr>
              <w:t xml:space="preserve"> </w:t>
            </w:r>
          </w:p>
        </w:tc>
        <w:tc>
          <w:tcPr>
            <w:tcW w:w="3803" w:type="dxa"/>
            <w:tcBorders>
              <w:top w:val="single" w:sz="8" w:space="0" w:color="auto"/>
              <w:left w:val="single" w:sz="8" w:space="0" w:color="auto"/>
              <w:bottom w:val="single" w:sz="8" w:space="0" w:color="auto"/>
              <w:right w:val="nil"/>
            </w:tcBorders>
          </w:tcPr>
          <w:p w14:paraId="6FD6084C" w14:textId="0E327A0E" w:rsidR="581E4654" w:rsidRDefault="581E4654" w:rsidP="00AE612A">
            <w:pPr>
              <w:spacing w:after="0"/>
            </w:pPr>
            <w:r w:rsidRPr="581E4654">
              <w:rPr>
                <w:rFonts w:ascii="Times New Roman" w:eastAsia="Times New Roman" w:hAnsi="Times New Roman"/>
                <w:color w:val="000000" w:themeColor="text1"/>
                <w:sz w:val="17"/>
                <w:szCs w:val="17"/>
                <w:lang w:val="fr"/>
              </w:rPr>
              <w:t>Risques pour l’écologie du territoire, son écosystème et sa population résultant des questions liées à l’environnement, au climat et aux ressources naturelles.</w:t>
            </w:r>
            <w:r w:rsidRPr="581E4654">
              <w:rPr>
                <w:rFonts w:ascii="Times New Roman" w:eastAsia="Times New Roman" w:hAnsi="Times New Roman"/>
                <w:color w:val="000000" w:themeColor="text1"/>
                <w:sz w:val="17"/>
                <w:szCs w:val="17"/>
              </w:rPr>
              <w:t xml:space="preserve"> </w:t>
            </w:r>
          </w:p>
        </w:tc>
        <w:tc>
          <w:tcPr>
            <w:tcW w:w="4962" w:type="dxa"/>
            <w:tcBorders>
              <w:top w:val="single" w:sz="8" w:space="0" w:color="auto"/>
              <w:left w:val="single" w:sz="8" w:space="0" w:color="auto"/>
              <w:bottom w:val="single" w:sz="8" w:space="0" w:color="auto"/>
              <w:right w:val="single" w:sz="8" w:space="0" w:color="auto"/>
            </w:tcBorders>
          </w:tcPr>
          <w:p w14:paraId="767C5795" w14:textId="4D5323D5" w:rsidR="581E4654" w:rsidRDefault="581E4654" w:rsidP="00BC1AE3">
            <w:pPr>
              <w:pStyle w:val="Paragraphedeliste"/>
              <w:numPr>
                <w:ilvl w:val="0"/>
                <w:numId w:val="3"/>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Sècheresse et inondations à cause d’une irrégularité dans la répartition des pluies </w:t>
            </w:r>
          </w:p>
          <w:p w14:paraId="04F53A8D" w14:textId="49EA4524" w:rsidR="581E4654" w:rsidRDefault="581E4654" w:rsidP="00BC1AE3">
            <w:pPr>
              <w:pStyle w:val="Paragraphedeliste"/>
              <w:numPr>
                <w:ilvl w:val="0"/>
                <w:numId w:val="3"/>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Désertification </w:t>
            </w:r>
          </w:p>
          <w:p w14:paraId="3689CC67" w14:textId="2CE2022D" w:rsidR="581E4654" w:rsidRDefault="581E4654" w:rsidP="00BC1AE3">
            <w:pPr>
              <w:pStyle w:val="Paragraphedeliste"/>
              <w:numPr>
                <w:ilvl w:val="0"/>
                <w:numId w:val="3"/>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 xml:space="preserve">Dégradation de terres et déforestation </w:t>
            </w:r>
          </w:p>
          <w:p w14:paraId="4DA2174E" w14:textId="626F2E02" w:rsidR="581E4654" w:rsidRDefault="581E4654" w:rsidP="00BC1AE3">
            <w:pPr>
              <w:pStyle w:val="Paragraphedeliste"/>
              <w:numPr>
                <w:ilvl w:val="0"/>
                <w:numId w:val="3"/>
              </w:numPr>
              <w:spacing w:after="0" w:line="257" w:lineRule="auto"/>
              <w:rPr>
                <w:rFonts w:ascii="Times New Roman" w:eastAsia="Times New Roman" w:hAnsi="Times New Roman"/>
                <w:sz w:val="17"/>
                <w:szCs w:val="17"/>
              </w:rPr>
            </w:pPr>
            <w:r w:rsidRPr="581E4654">
              <w:rPr>
                <w:rFonts w:ascii="Times New Roman" w:eastAsia="Times New Roman" w:hAnsi="Times New Roman"/>
                <w:sz w:val="17"/>
                <w:szCs w:val="17"/>
              </w:rPr>
              <w:t>Surutilisation de ressources naturelles par une multiplication de troupeaux de bétail</w:t>
            </w:r>
          </w:p>
        </w:tc>
      </w:tr>
    </w:tbl>
    <w:p w14:paraId="3792F43C" w14:textId="5DF924F3" w:rsidR="581E4654" w:rsidRPr="00A8375B" w:rsidRDefault="581E4654" w:rsidP="00A8375B"/>
    <w:p w14:paraId="4CEE93ED"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282" w:name="_Toc56003369"/>
      <w:bookmarkStart w:id="283" w:name="_Toc56003569"/>
      <w:bookmarkStart w:id="284" w:name="_Toc56004312"/>
      <w:bookmarkStart w:id="285" w:name="_Toc61523606"/>
      <w:bookmarkStart w:id="286" w:name="_Toc89948923"/>
      <w:bookmarkStart w:id="287" w:name="_Toc89949088"/>
      <w:bookmarkStart w:id="288" w:name="_Toc89949242"/>
      <w:bookmarkStart w:id="289" w:name="_Toc90910810"/>
      <w:bookmarkEnd w:id="282"/>
      <w:bookmarkEnd w:id="283"/>
      <w:bookmarkEnd w:id="284"/>
      <w:bookmarkEnd w:id="285"/>
      <w:bookmarkEnd w:id="286"/>
      <w:bookmarkEnd w:id="287"/>
      <w:bookmarkEnd w:id="288"/>
      <w:bookmarkEnd w:id="289"/>
    </w:p>
    <w:p w14:paraId="5E3B55F2"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290" w:name="_Toc56003370"/>
      <w:bookmarkStart w:id="291" w:name="_Toc56003570"/>
      <w:bookmarkStart w:id="292" w:name="_Toc56004313"/>
      <w:bookmarkStart w:id="293" w:name="_Toc61523607"/>
      <w:bookmarkStart w:id="294" w:name="_Toc89948924"/>
      <w:bookmarkStart w:id="295" w:name="_Toc89949089"/>
      <w:bookmarkStart w:id="296" w:name="_Toc89949243"/>
      <w:bookmarkStart w:id="297" w:name="_Toc90910811"/>
      <w:bookmarkEnd w:id="290"/>
      <w:bookmarkEnd w:id="291"/>
      <w:bookmarkEnd w:id="292"/>
      <w:bookmarkEnd w:id="293"/>
      <w:bookmarkEnd w:id="294"/>
      <w:bookmarkEnd w:id="295"/>
      <w:bookmarkEnd w:id="296"/>
      <w:bookmarkEnd w:id="297"/>
    </w:p>
    <w:p w14:paraId="0068CCF5"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298" w:name="_Toc56003371"/>
      <w:bookmarkStart w:id="299" w:name="_Toc56003571"/>
      <w:bookmarkStart w:id="300" w:name="_Toc56004314"/>
      <w:bookmarkStart w:id="301" w:name="_Toc61523608"/>
      <w:bookmarkStart w:id="302" w:name="_Toc89948925"/>
      <w:bookmarkStart w:id="303" w:name="_Toc89949090"/>
      <w:bookmarkStart w:id="304" w:name="_Toc89949244"/>
      <w:bookmarkStart w:id="305" w:name="_Toc90910812"/>
      <w:bookmarkEnd w:id="298"/>
      <w:bookmarkEnd w:id="299"/>
      <w:bookmarkEnd w:id="300"/>
      <w:bookmarkEnd w:id="301"/>
      <w:bookmarkEnd w:id="302"/>
      <w:bookmarkEnd w:id="303"/>
      <w:bookmarkEnd w:id="304"/>
      <w:bookmarkEnd w:id="305"/>
    </w:p>
    <w:p w14:paraId="337CD358"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306" w:name="_Toc56003372"/>
      <w:bookmarkStart w:id="307" w:name="_Toc56003572"/>
      <w:bookmarkStart w:id="308" w:name="_Toc56004315"/>
      <w:bookmarkStart w:id="309" w:name="_Toc61523609"/>
      <w:bookmarkStart w:id="310" w:name="_Toc89948926"/>
      <w:bookmarkStart w:id="311" w:name="_Toc89949091"/>
      <w:bookmarkStart w:id="312" w:name="_Toc89949245"/>
      <w:bookmarkStart w:id="313" w:name="_Toc90910813"/>
      <w:bookmarkEnd w:id="306"/>
      <w:bookmarkEnd w:id="307"/>
      <w:bookmarkEnd w:id="308"/>
      <w:bookmarkEnd w:id="309"/>
      <w:bookmarkEnd w:id="310"/>
      <w:bookmarkEnd w:id="311"/>
      <w:bookmarkEnd w:id="312"/>
      <w:bookmarkEnd w:id="313"/>
    </w:p>
    <w:p w14:paraId="533E412E"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314" w:name="_Toc56003373"/>
      <w:bookmarkStart w:id="315" w:name="_Toc56003573"/>
      <w:bookmarkStart w:id="316" w:name="_Toc56004316"/>
      <w:bookmarkStart w:id="317" w:name="_Toc61523610"/>
      <w:bookmarkStart w:id="318" w:name="_Toc89948927"/>
      <w:bookmarkStart w:id="319" w:name="_Toc89949092"/>
      <w:bookmarkStart w:id="320" w:name="_Toc89949246"/>
      <w:bookmarkStart w:id="321" w:name="_Toc90910814"/>
      <w:bookmarkEnd w:id="314"/>
      <w:bookmarkEnd w:id="315"/>
      <w:bookmarkEnd w:id="316"/>
      <w:bookmarkEnd w:id="317"/>
      <w:bookmarkEnd w:id="318"/>
      <w:bookmarkEnd w:id="319"/>
      <w:bookmarkEnd w:id="320"/>
      <w:bookmarkEnd w:id="321"/>
    </w:p>
    <w:p w14:paraId="31E13091"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322" w:name="_Toc56003374"/>
      <w:bookmarkStart w:id="323" w:name="_Toc56003574"/>
      <w:bookmarkStart w:id="324" w:name="_Toc56004317"/>
      <w:bookmarkStart w:id="325" w:name="_Toc61523611"/>
      <w:bookmarkStart w:id="326" w:name="_Toc89948928"/>
      <w:bookmarkStart w:id="327" w:name="_Toc89949093"/>
      <w:bookmarkStart w:id="328" w:name="_Toc89949247"/>
      <w:bookmarkStart w:id="329" w:name="_Toc90910815"/>
      <w:bookmarkEnd w:id="322"/>
      <w:bookmarkEnd w:id="323"/>
      <w:bookmarkEnd w:id="324"/>
      <w:bookmarkEnd w:id="325"/>
      <w:bookmarkEnd w:id="326"/>
      <w:bookmarkEnd w:id="327"/>
      <w:bookmarkEnd w:id="328"/>
      <w:bookmarkEnd w:id="329"/>
    </w:p>
    <w:p w14:paraId="50912886"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330" w:name="_Toc56003375"/>
      <w:bookmarkStart w:id="331" w:name="_Toc56003575"/>
      <w:bookmarkStart w:id="332" w:name="_Toc56004318"/>
      <w:bookmarkStart w:id="333" w:name="_Toc61523612"/>
      <w:bookmarkStart w:id="334" w:name="_Toc89948929"/>
      <w:bookmarkStart w:id="335" w:name="_Toc89949094"/>
      <w:bookmarkStart w:id="336" w:name="_Toc89949248"/>
      <w:bookmarkStart w:id="337" w:name="_Toc90910816"/>
      <w:bookmarkEnd w:id="330"/>
      <w:bookmarkEnd w:id="331"/>
      <w:bookmarkEnd w:id="332"/>
      <w:bookmarkEnd w:id="333"/>
      <w:bookmarkEnd w:id="334"/>
      <w:bookmarkEnd w:id="335"/>
      <w:bookmarkEnd w:id="336"/>
      <w:bookmarkEnd w:id="337"/>
    </w:p>
    <w:p w14:paraId="1FD44801" w14:textId="77777777" w:rsidR="00146E00" w:rsidRPr="00146E00" w:rsidRDefault="00146E00" w:rsidP="00BC1AE3">
      <w:pPr>
        <w:pStyle w:val="Paragraphedeliste"/>
        <w:keepNext/>
        <w:keepLines/>
        <w:numPr>
          <w:ilvl w:val="0"/>
          <w:numId w:val="27"/>
        </w:numPr>
        <w:spacing w:after="0" w:line="240" w:lineRule="auto"/>
        <w:contextualSpacing w:val="0"/>
        <w:outlineLvl w:val="1"/>
        <w:rPr>
          <w:rFonts w:ascii="Calibri Light" w:eastAsia="Times New Roman" w:hAnsi="Calibri Light"/>
          <w:b/>
          <w:vanish/>
          <w:color w:val="2F5496"/>
          <w:sz w:val="28"/>
          <w:szCs w:val="28"/>
          <w:lang w:val="fr"/>
        </w:rPr>
      </w:pPr>
      <w:bookmarkStart w:id="338" w:name="_Toc56003376"/>
      <w:bookmarkStart w:id="339" w:name="_Toc56003576"/>
      <w:bookmarkStart w:id="340" w:name="_Toc56004319"/>
      <w:bookmarkStart w:id="341" w:name="_Toc61523613"/>
      <w:bookmarkStart w:id="342" w:name="_Toc89948930"/>
      <w:bookmarkStart w:id="343" w:name="_Toc89949095"/>
      <w:bookmarkStart w:id="344" w:name="_Toc89949249"/>
      <w:bookmarkStart w:id="345" w:name="_Toc90910817"/>
      <w:bookmarkEnd w:id="338"/>
      <w:bookmarkEnd w:id="339"/>
      <w:bookmarkEnd w:id="340"/>
      <w:bookmarkEnd w:id="341"/>
      <w:bookmarkEnd w:id="342"/>
      <w:bookmarkEnd w:id="343"/>
      <w:bookmarkEnd w:id="344"/>
      <w:bookmarkEnd w:id="345"/>
    </w:p>
    <w:p w14:paraId="4A507891" w14:textId="70F9AB68" w:rsidR="00146E00" w:rsidRPr="00146E00" w:rsidRDefault="00146E00" w:rsidP="00BC1AE3">
      <w:pPr>
        <w:pStyle w:val="Titre2"/>
        <w:numPr>
          <w:ilvl w:val="1"/>
          <w:numId w:val="27"/>
        </w:numPr>
        <w:spacing w:before="0" w:after="0"/>
        <w:rPr>
          <w:b/>
          <w:bCs w:val="0"/>
          <w:sz w:val="28"/>
          <w:szCs w:val="28"/>
        </w:rPr>
      </w:pPr>
      <w:bookmarkStart w:id="346" w:name="_Toc61523614"/>
      <w:bookmarkStart w:id="347" w:name="_Toc90910818"/>
      <w:r>
        <w:rPr>
          <w:b/>
          <w:bCs w:val="0"/>
          <w:sz w:val="28"/>
          <w:szCs w:val="28"/>
        </w:rPr>
        <w:t xml:space="preserve">Quelques </w:t>
      </w:r>
      <w:r w:rsidRPr="00146E00">
        <w:rPr>
          <w:b/>
          <w:bCs w:val="0"/>
          <w:sz w:val="28"/>
          <w:szCs w:val="28"/>
        </w:rPr>
        <w:t xml:space="preserve">indicateurs d’alerte </w:t>
      </w:r>
      <w:r>
        <w:rPr>
          <w:b/>
          <w:bCs w:val="0"/>
          <w:sz w:val="28"/>
          <w:szCs w:val="28"/>
        </w:rPr>
        <w:t xml:space="preserve">à </w:t>
      </w:r>
      <w:r w:rsidR="00BB3911">
        <w:rPr>
          <w:b/>
          <w:bCs w:val="0"/>
          <w:sz w:val="28"/>
          <w:szCs w:val="28"/>
        </w:rPr>
        <w:t xml:space="preserve">suivre pour </w:t>
      </w:r>
      <w:r w:rsidRPr="00146E00">
        <w:rPr>
          <w:b/>
          <w:bCs w:val="0"/>
          <w:sz w:val="28"/>
          <w:szCs w:val="28"/>
        </w:rPr>
        <w:t>le développement face aux risques</w:t>
      </w:r>
      <w:bookmarkEnd w:id="346"/>
      <w:bookmarkEnd w:id="347"/>
      <w:r w:rsidRPr="00146E00">
        <w:rPr>
          <w:b/>
          <w:bCs w:val="0"/>
          <w:sz w:val="28"/>
          <w:szCs w:val="28"/>
        </w:rPr>
        <w:t xml:space="preserve"> </w:t>
      </w:r>
    </w:p>
    <w:p w14:paraId="5A60C65C" w14:textId="77777777" w:rsidR="00146E00" w:rsidRDefault="00146E00" w:rsidP="000063B5">
      <w:pPr>
        <w:spacing w:after="0" w:line="247" w:lineRule="auto"/>
        <w:ind w:right="288"/>
        <w:jc w:val="both"/>
        <w:rPr>
          <w:rFonts w:ascii="Times New Roman" w:hAnsi="Times New Roman"/>
          <w:sz w:val="24"/>
          <w:szCs w:val="24"/>
        </w:rPr>
      </w:pPr>
    </w:p>
    <w:p w14:paraId="1DDE6B1F" w14:textId="6E84544F" w:rsidR="000063B5" w:rsidRDefault="7EEBE80C" w:rsidP="000063B5">
      <w:pPr>
        <w:spacing w:after="0" w:line="247" w:lineRule="auto"/>
        <w:ind w:right="288"/>
        <w:jc w:val="both"/>
        <w:rPr>
          <w:rFonts w:ascii="Times New Roman" w:hAnsi="Times New Roman"/>
          <w:sz w:val="24"/>
          <w:szCs w:val="24"/>
        </w:rPr>
      </w:pPr>
      <w:r w:rsidRPr="581E4654">
        <w:rPr>
          <w:rFonts w:ascii="Times New Roman" w:hAnsi="Times New Roman"/>
          <w:sz w:val="24"/>
          <w:szCs w:val="24"/>
        </w:rPr>
        <w:t>Le Tchad est exposé à plusieurs risques qui ont un impact significatif sur la population, contribuent à pérenniser les crises humanitaires</w:t>
      </w:r>
      <w:r w:rsidR="54E38593" w:rsidRPr="581E4654">
        <w:rPr>
          <w:rFonts w:ascii="Times New Roman" w:hAnsi="Times New Roman"/>
          <w:sz w:val="24"/>
          <w:szCs w:val="24"/>
        </w:rPr>
        <w:t xml:space="preserve"> et </w:t>
      </w:r>
      <w:r w:rsidRPr="581E4654">
        <w:rPr>
          <w:rFonts w:ascii="Times New Roman" w:hAnsi="Times New Roman"/>
          <w:sz w:val="24"/>
          <w:szCs w:val="24"/>
        </w:rPr>
        <w:t>réduisent les capacités du pays à atteindre ses objectifs de développement. Ces</w:t>
      </w:r>
      <w:r w:rsidR="00AE612A">
        <w:rPr>
          <w:rFonts w:ascii="Times New Roman" w:hAnsi="Times New Roman"/>
          <w:sz w:val="24"/>
          <w:szCs w:val="24"/>
        </w:rPr>
        <w:t xml:space="preserve"> </w:t>
      </w:r>
      <w:r w:rsidR="48B81A42" w:rsidRPr="581E4654">
        <w:rPr>
          <w:rFonts w:ascii="Times New Roman" w:hAnsi="Times New Roman"/>
          <w:sz w:val="24"/>
          <w:szCs w:val="24"/>
        </w:rPr>
        <w:t xml:space="preserve">risques </w:t>
      </w:r>
      <w:r w:rsidRPr="581E4654">
        <w:rPr>
          <w:rFonts w:ascii="Times New Roman" w:hAnsi="Times New Roman"/>
          <w:sz w:val="24"/>
          <w:szCs w:val="24"/>
        </w:rPr>
        <w:t xml:space="preserve">découlent des différents facteurs endogènes et exogènes dont les faibles indicateurs de développement du pays, la fragilité politique et sécuritaire des pays voisins (Libye, Soudan, </w:t>
      </w:r>
      <w:r w:rsidR="1D9E0B12" w:rsidRPr="581E4654">
        <w:rPr>
          <w:rFonts w:ascii="Times New Roman" w:hAnsi="Times New Roman"/>
          <w:sz w:val="24"/>
          <w:szCs w:val="24"/>
        </w:rPr>
        <w:t>République Centrafricaine</w:t>
      </w:r>
      <w:r w:rsidRPr="581E4654">
        <w:rPr>
          <w:rFonts w:ascii="Times New Roman" w:hAnsi="Times New Roman"/>
          <w:sz w:val="24"/>
          <w:szCs w:val="24"/>
        </w:rPr>
        <w:t>,</w:t>
      </w:r>
      <w:r w:rsidR="3EA1457E" w:rsidRPr="581E4654">
        <w:rPr>
          <w:rFonts w:ascii="Times New Roman" w:hAnsi="Times New Roman"/>
          <w:sz w:val="24"/>
          <w:szCs w:val="24"/>
        </w:rPr>
        <w:t xml:space="preserve"> Cameroun,</w:t>
      </w:r>
      <w:r w:rsidRPr="581E4654">
        <w:rPr>
          <w:rFonts w:ascii="Times New Roman" w:hAnsi="Times New Roman"/>
          <w:sz w:val="24"/>
          <w:szCs w:val="24"/>
        </w:rPr>
        <w:t xml:space="preserve"> Nigeria et Niger), les conflits inter communautaires, les effets des changements climatiques, etc. </w:t>
      </w:r>
    </w:p>
    <w:p w14:paraId="0E58EF96" w14:textId="04EBF416" w:rsidR="00D52FEA" w:rsidRPr="000824A6" w:rsidRDefault="00D52FEA" w:rsidP="000824A6">
      <w:pPr>
        <w:spacing w:after="0" w:line="247" w:lineRule="auto"/>
        <w:ind w:right="288"/>
        <w:jc w:val="both"/>
        <w:rPr>
          <w:rFonts w:ascii="Times New Roman" w:hAnsi="Times New Roman"/>
          <w:sz w:val="24"/>
        </w:rPr>
      </w:pPr>
    </w:p>
    <w:p w14:paraId="6AFF9202" w14:textId="2231C60E" w:rsidR="00D52FEA" w:rsidRDefault="00D52FEA" w:rsidP="00D52FEA">
      <w:pPr>
        <w:spacing w:after="0" w:line="247" w:lineRule="auto"/>
        <w:ind w:right="288"/>
        <w:jc w:val="both"/>
        <w:rPr>
          <w:rFonts w:ascii="Times New Roman" w:hAnsi="Times New Roman"/>
          <w:sz w:val="24"/>
          <w:szCs w:val="24"/>
        </w:rPr>
      </w:pPr>
      <w:r w:rsidRPr="00D52FEA">
        <w:rPr>
          <w:rFonts w:ascii="Times New Roman" w:hAnsi="Times New Roman"/>
          <w:sz w:val="24"/>
          <w:szCs w:val="24"/>
        </w:rPr>
        <w:t>L’analyse des causes historiques et actuelles de fragilité et des violences identifient aussi cinq facteurs internes, à savoir, un système de gouvernement centralisé, le sous-développement, le système de gestion du secteur pétrolier</w:t>
      </w:r>
      <w:r w:rsidR="007F2979">
        <w:rPr>
          <w:rFonts w:ascii="Times New Roman" w:hAnsi="Times New Roman"/>
          <w:sz w:val="24"/>
          <w:szCs w:val="24"/>
        </w:rPr>
        <w:t xml:space="preserve"> pas très transparent</w:t>
      </w:r>
      <w:r w:rsidRPr="00D52FEA">
        <w:rPr>
          <w:rFonts w:ascii="Times New Roman" w:hAnsi="Times New Roman"/>
          <w:sz w:val="24"/>
          <w:szCs w:val="24"/>
        </w:rPr>
        <w:t>, un état de droit fragile et les conflits intercommunautaires qui se multiplient.</w:t>
      </w:r>
      <w:r>
        <w:rPr>
          <w:rFonts w:ascii="Times New Roman" w:hAnsi="Times New Roman"/>
          <w:sz w:val="24"/>
          <w:szCs w:val="24"/>
        </w:rPr>
        <w:t xml:space="preserve"> </w:t>
      </w:r>
      <w:r w:rsidRPr="00D52FEA">
        <w:rPr>
          <w:rFonts w:ascii="Times New Roman" w:hAnsi="Times New Roman"/>
          <w:sz w:val="24"/>
          <w:szCs w:val="24"/>
        </w:rPr>
        <w:t>Selon l'indice de risque INFORM</w:t>
      </w:r>
      <w:r w:rsidR="0002105C">
        <w:rPr>
          <w:rFonts w:ascii="Times New Roman" w:hAnsi="Times New Roman"/>
          <w:sz w:val="24"/>
          <w:szCs w:val="24"/>
        </w:rPr>
        <w:t xml:space="preserve"> (Index For Risk Management)</w:t>
      </w:r>
      <w:r w:rsidRPr="00D52FEA">
        <w:rPr>
          <w:rFonts w:ascii="Times New Roman" w:hAnsi="Times New Roman"/>
          <w:sz w:val="24"/>
          <w:szCs w:val="24"/>
        </w:rPr>
        <w:t xml:space="preserve"> pour 2021, le Tchad est le septième pays le plus à risque au monde en raison de son exposition aux aléas d’origine naturel</w:t>
      </w:r>
      <w:r w:rsidR="007F2979">
        <w:rPr>
          <w:rFonts w:ascii="Times New Roman" w:hAnsi="Times New Roman"/>
          <w:sz w:val="24"/>
          <w:szCs w:val="24"/>
        </w:rPr>
        <w:t>le</w:t>
      </w:r>
      <w:r w:rsidRPr="00D52FEA">
        <w:rPr>
          <w:rFonts w:ascii="Times New Roman" w:hAnsi="Times New Roman"/>
          <w:sz w:val="24"/>
          <w:szCs w:val="24"/>
        </w:rPr>
        <w:t xml:space="preserve"> et humaine, de sa vulnérabilité et de son manque de capacité d'adaptation.</w:t>
      </w:r>
    </w:p>
    <w:p w14:paraId="4718689E" w14:textId="77777777" w:rsidR="00012E14" w:rsidRDefault="00012E14" w:rsidP="00012E14">
      <w:pPr>
        <w:spacing w:after="0" w:line="249" w:lineRule="auto"/>
        <w:ind w:right="288"/>
        <w:jc w:val="both"/>
        <w:rPr>
          <w:b/>
          <w:bCs/>
          <w:u w:val="single"/>
        </w:rPr>
      </w:pPr>
    </w:p>
    <w:p w14:paraId="00C06556" w14:textId="006F937F" w:rsidR="00012E14" w:rsidRPr="00012E14" w:rsidRDefault="00012E14" w:rsidP="000824A6">
      <w:pPr>
        <w:spacing w:after="0" w:line="249" w:lineRule="auto"/>
        <w:ind w:right="288"/>
        <w:jc w:val="both"/>
        <w:rPr>
          <w:rFonts w:ascii="Times New Roman" w:hAnsi="Times New Roman"/>
          <w:sz w:val="24"/>
          <w:szCs w:val="24"/>
        </w:rPr>
      </w:pPr>
      <w:r w:rsidRPr="00012E14">
        <w:rPr>
          <w:rFonts w:ascii="Times New Roman" w:hAnsi="Times New Roman"/>
          <w:b/>
          <w:bCs/>
          <w:sz w:val="24"/>
          <w:szCs w:val="24"/>
          <w:u w:val="single"/>
        </w:rPr>
        <w:t>Au niveau mondial</w:t>
      </w:r>
      <w:r w:rsidRPr="00012E14">
        <w:rPr>
          <w:rFonts w:ascii="Times New Roman" w:hAnsi="Times New Roman"/>
          <w:sz w:val="24"/>
          <w:szCs w:val="24"/>
        </w:rPr>
        <w:t xml:space="preserve"> : </w:t>
      </w:r>
      <w:r w:rsidRPr="000824A6">
        <w:rPr>
          <w:rFonts w:ascii="Times New Roman" w:hAnsi="Times New Roman"/>
          <w:b/>
          <w:sz w:val="24"/>
        </w:rPr>
        <w:t>Le Tchad reste exposé aux effets des changements climatiques</w:t>
      </w:r>
      <w:r w:rsidRPr="00012E14">
        <w:rPr>
          <w:rFonts w:ascii="Times New Roman" w:hAnsi="Times New Roman"/>
          <w:sz w:val="24"/>
          <w:szCs w:val="24"/>
        </w:rPr>
        <w:t xml:space="preserve"> : Selon les analyses de l´Indice de vulnérabilité au changement climatique (IVCC), faites par </w:t>
      </w:r>
      <w:proofErr w:type="spellStart"/>
      <w:r w:rsidRPr="00012E14">
        <w:rPr>
          <w:rFonts w:ascii="Times New Roman" w:hAnsi="Times New Roman"/>
          <w:sz w:val="24"/>
          <w:szCs w:val="24"/>
        </w:rPr>
        <w:t>Verisk</w:t>
      </w:r>
      <w:proofErr w:type="spellEnd"/>
      <w:r w:rsidRPr="00012E14">
        <w:rPr>
          <w:rFonts w:ascii="Times New Roman" w:hAnsi="Times New Roman"/>
          <w:sz w:val="24"/>
          <w:szCs w:val="24"/>
        </w:rPr>
        <w:t xml:space="preserve"> </w:t>
      </w:r>
      <w:proofErr w:type="spellStart"/>
      <w:r w:rsidRPr="00012E14">
        <w:rPr>
          <w:rFonts w:ascii="Times New Roman" w:hAnsi="Times New Roman"/>
          <w:sz w:val="24"/>
          <w:szCs w:val="24"/>
        </w:rPr>
        <w:t>Maplecroft</w:t>
      </w:r>
      <w:proofErr w:type="spellEnd"/>
      <w:r w:rsidRPr="00012E14">
        <w:rPr>
          <w:rFonts w:ascii="Times New Roman" w:hAnsi="Times New Roman"/>
          <w:sz w:val="24"/>
          <w:szCs w:val="24"/>
        </w:rPr>
        <w:t xml:space="preserve"> (organisation de monitoring et de conseil sur les risques dans le monde), le Tchad est le pays le plus vulnérable au monde face au changement climatique.</w:t>
      </w:r>
    </w:p>
    <w:p w14:paraId="6FFC4FCF" w14:textId="77777777" w:rsidR="00012E14" w:rsidRPr="00012E14" w:rsidRDefault="00012E14" w:rsidP="00012E14">
      <w:pPr>
        <w:spacing w:after="0" w:line="249" w:lineRule="auto"/>
        <w:ind w:right="288"/>
        <w:jc w:val="both"/>
        <w:rPr>
          <w:rFonts w:ascii="Times New Roman" w:hAnsi="Times New Roman"/>
          <w:sz w:val="24"/>
          <w:szCs w:val="24"/>
        </w:rPr>
      </w:pPr>
    </w:p>
    <w:p w14:paraId="2D6C8E47" w14:textId="65A34E29" w:rsidR="00012E14" w:rsidRDefault="5EDEA2A9" w:rsidP="581E4654">
      <w:pPr>
        <w:spacing w:after="0" w:line="249" w:lineRule="auto"/>
        <w:ind w:right="288"/>
        <w:jc w:val="both"/>
        <w:rPr>
          <w:rFonts w:ascii="Times New Roman" w:hAnsi="Times New Roman"/>
          <w:sz w:val="24"/>
          <w:szCs w:val="24"/>
        </w:rPr>
      </w:pPr>
      <w:r w:rsidRPr="6BC40FD5">
        <w:rPr>
          <w:rFonts w:ascii="Times New Roman" w:hAnsi="Times New Roman"/>
          <w:sz w:val="24"/>
          <w:szCs w:val="24"/>
        </w:rPr>
        <w:t xml:space="preserve">Le Tchad s’étend sur trois zones climatiques et est assujetti à la dégradation des ressources naturelles, la sécheresse, les inondations récurrentes, les infestations </w:t>
      </w:r>
      <w:r w:rsidR="0F88C549" w:rsidRPr="6BC40FD5">
        <w:rPr>
          <w:rFonts w:ascii="Times New Roman" w:hAnsi="Times New Roman"/>
          <w:sz w:val="24"/>
          <w:szCs w:val="24"/>
        </w:rPr>
        <w:t>des ennemis des cultures</w:t>
      </w:r>
      <w:r w:rsidRPr="6BC40FD5">
        <w:rPr>
          <w:rFonts w:ascii="Times New Roman" w:hAnsi="Times New Roman"/>
          <w:sz w:val="24"/>
          <w:szCs w:val="24"/>
        </w:rPr>
        <w:t xml:space="preserve">. Les effets du changement climatique se font sentir en particulier dans le Bassin du Lac Tchad et dans des épisodes climatiques extrêmes (sècheresse, pluies abondantes) qui entrainent des inondations importantes, des </w:t>
      </w:r>
      <w:r w:rsidRPr="6BC40FD5">
        <w:rPr>
          <w:rFonts w:ascii="Times New Roman" w:hAnsi="Times New Roman"/>
          <w:sz w:val="24"/>
          <w:szCs w:val="24"/>
        </w:rPr>
        <w:lastRenderedPageBreak/>
        <w:t xml:space="preserve">pertes de cultures et de bétail et dans certains cas exacerbent la cohésion sociale avec des conflits éleveurs - agriculteurs. </w:t>
      </w:r>
      <w:r w:rsidR="086028A1" w:rsidRPr="6BC40FD5">
        <w:rPr>
          <w:rFonts w:ascii="Times New Roman" w:hAnsi="Times New Roman"/>
          <w:sz w:val="24"/>
          <w:szCs w:val="24"/>
        </w:rPr>
        <w:t xml:space="preserve">Dans le contexte du Lac beaucoup de localités sont en même temps affectées par l’arrivée de réfugiés et personnes en déplacement interne et les effets du changement climatique, ce qui aggrave la concurrence par rapport aux ressources naturelles. </w:t>
      </w:r>
      <w:r w:rsidR="15D0D6DA" w:rsidRPr="6BC40FD5">
        <w:rPr>
          <w:rFonts w:ascii="Times New Roman" w:hAnsi="Times New Roman"/>
          <w:sz w:val="24"/>
          <w:szCs w:val="24"/>
        </w:rPr>
        <w:t>Certains agriculteurs sont poussés à la migration</w:t>
      </w:r>
      <w:r w:rsidR="15D0D6DA" w:rsidRPr="6BC40FD5">
        <w:rPr>
          <w:rFonts w:ascii="Times New Roman" w:hAnsi="Times New Roman"/>
        </w:rPr>
        <w:t xml:space="preserve"> et/ou à changer leurs activités de subsistance.</w:t>
      </w:r>
      <w:r w:rsidR="00012E14" w:rsidRPr="6BC40FD5">
        <w:rPr>
          <w:rFonts w:ascii="Times New Roman" w:hAnsi="Times New Roman"/>
        </w:rPr>
        <w:footnoteReference w:id="38"/>
      </w:r>
      <w:r w:rsidR="15D0D6DA" w:rsidRPr="6BC40FD5">
        <w:rPr>
          <w:rFonts w:ascii="Times New Roman" w:hAnsi="Times New Roman"/>
        </w:rPr>
        <w:t xml:space="preserve"> </w:t>
      </w:r>
      <w:r w:rsidRPr="6BC40FD5">
        <w:rPr>
          <w:rFonts w:ascii="Times New Roman" w:hAnsi="Times New Roman"/>
          <w:sz w:val="24"/>
          <w:szCs w:val="24"/>
        </w:rPr>
        <w:t>Les inondations récurrentes viennent aggraver une situation socio-économique déjà très précaire des populations les plus vulnérables et entrain</w:t>
      </w:r>
      <w:r w:rsidR="7E79522F" w:rsidRPr="6BC40FD5">
        <w:rPr>
          <w:rFonts w:ascii="Times New Roman" w:hAnsi="Times New Roman"/>
          <w:sz w:val="24"/>
          <w:szCs w:val="24"/>
        </w:rPr>
        <w:t>e</w:t>
      </w:r>
      <w:r w:rsidRPr="6BC40FD5">
        <w:rPr>
          <w:rFonts w:ascii="Times New Roman" w:hAnsi="Times New Roman"/>
          <w:sz w:val="24"/>
          <w:szCs w:val="24"/>
        </w:rPr>
        <w:t xml:space="preserve">nt la destruction des moyens de subsistance </w:t>
      </w:r>
    </w:p>
    <w:p w14:paraId="4EB3FBD8" w14:textId="3E304929" w:rsidR="581E4654" w:rsidRDefault="581E4654" w:rsidP="581E4654">
      <w:pPr>
        <w:spacing w:after="0" w:line="249" w:lineRule="auto"/>
        <w:ind w:right="288"/>
        <w:jc w:val="both"/>
        <w:rPr>
          <w:rFonts w:ascii="Times New Roman" w:hAnsi="Times New Roman"/>
        </w:rPr>
      </w:pPr>
    </w:p>
    <w:p w14:paraId="61BF971A" w14:textId="698C7969" w:rsidR="4BBC91F6" w:rsidRPr="00A8375B" w:rsidRDefault="4BBC91F6" w:rsidP="005B765C">
      <w:pPr>
        <w:spacing w:after="0" w:line="249" w:lineRule="auto"/>
        <w:ind w:right="288"/>
        <w:jc w:val="both"/>
        <w:rPr>
          <w:rFonts w:ascii="Times New Roman" w:hAnsi="Times New Roman"/>
          <w:color w:val="000000" w:themeColor="text1"/>
        </w:rPr>
      </w:pPr>
      <w:r w:rsidRPr="106C3604">
        <w:rPr>
          <w:rFonts w:ascii="Times New Roman" w:hAnsi="Times New Roman"/>
          <w:color w:val="000000" w:themeColor="text1"/>
          <w:sz w:val="24"/>
          <w:szCs w:val="24"/>
        </w:rPr>
        <w:t xml:space="preserve">Les effets du changement climatique </w:t>
      </w:r>
      <w:r w:rsidR="2DC825C8" w:rsidRPr="106C3604">
        <w:rPr>
          <w:rFonts w:ascii="Times New Roman" w:hAnsi="Times New Roman"/>
          <w:color w:val="000000" w:themeColor="text1"/>
          <w:sz w:val="24"/>
          <w:szCs w:val="24"/>
        </w:rPr>
        <w:t>engendrent</w:t>
      </w:r>
      <w:r w:rsidR="2DC825C8" w:rsidRPr="00A8375B">
        <w:rPr>
          <w:rFonts w:ascii="Times New Roman" w:hAnsi="Times New Roman"/>
          <w:color w:val="000000" w:themeColor="text1"/>
          <w:sz w:val="24"/>
        </w:rPr>
        <w:t xml:space="preserve"> des </w:t>
      </w:r>
      <w:r w:rsidR="00012E14" w:rsidRPr="00012E14">
        <w:rPr>
          <w:rFonts w:ascii="Times New Roman" w:hAnsi="Times New Roman"/>
          <w:sz w:val="24"/>
          <w:szCs w:val="24"/>
        </w:rPr>
        <w:t>flux de de transhumance internes et transfrontaliers, qui peut devenir source de conflit.</w:t>
      </w:r>
      <w:r w:rsidR="00206CF9">
        <w:rPr>
          <w:rFonts w:ascii="Times New Roman" w:hAnsi="Times New Roman"/>
          <w:sz w:val="24"/>
          <w:szCs w:val="24"/>
        </w:rPr>
        <w:t xml:space="preserve"> La hausse constante de la température se </w:t>
      </w:r>
      <w:r w:rsidR="001E4007">
        <w:rPr>
          <w:rFonts w:ascii="Times New Roman" w:hAnsi="Times New Roman"/>
          <w:sz w:val="24"/>
          <w:szCs w:val="24"/>
        </w:rPr>
        <w:t>traduisant</w:t>
      </w:r>
      <w:r w:rsidR="00206CF9">
        <w:rPr>
          <w:rFonts w:ascii="Times New Roman" w:hAnsi="Times New Roman"/>
          <w:sz w:val="24"/>
          <w:szCs w:val="24"/>
        </w:rPr>
        <w:t xml:space="preserve"> par des périodes cycliques de vagues de chaleur (canicules)</w:t>
      </w:r>
      <w:r w:rsidR="001E4007">
        <w:rPr>
          <w:rFonts w:ascii="Times New Roman" w:hAnsi="Times New Roman"/>
          <w:sz w:val="24"/>
          <w:szCs w:val="24"/>
        </w:rPr>
        <w:t xml:space="preserve"> ainsi </w:t>
      </w:r>
      <w:proofErr w:type="spellStart"/>
      <w:r w:rsidR="001E4007">
        <w:rPr>
          <w:rFonts w:ascii="Times New Roman" w:hAnsi="Times New Roman"/>
          <w:sz w:val="24"/>
          <w:szCs w:val="24"/>
        </w:rPr>
        <w:t>que</w:t>
      </w:r>
      <w:r w:rsidR="2DC825C8" w:rsidRPr="106C3604">
        <w:rPr>
          <w:rFonts w:ascii="Times New Roman" w:hAnsi="Times New Roman"/>
          <w:color w:val="000000" w:themeColor="text1"/>
          <w:sz w:val="24"/>
          <w:szCs w:val="24"/>
        </w:rPr>
        <w:t>conséquences</w:t>
      </w:r>
      <w:proofErr w:type="spellEnd"/>
      <w:r w:rsidR="2DC825C8" w:rsidRPr="106C3604">
        <w:rPr>
          <w:rFonts w:ascii="Times New Roman" w:hAnsi="Times New Roman"/>
          <w:color w:val="000000" w:themeColor="text1"/>
          <w:sz w:val="24"/>
          <w:szCs w:val="24"/>
        </w:rPr>
        <w:t xml:space="preserve"> pour</w:t>
      </w:r>
      <w:r w:rsidR="2DC825C8" w:rsidRPr="00A8375B">
        <w:rPr>
          <w:rFonts w:ascii="Times New Roman" w:hAnsi="Times New Roman"/>
          <w:color w:val="000000" w:themeColor="text1"/>
          <w:sz w:val="24"/>
        </w:rPr>
        <w:t xml:space="preserve"> les </w:t>
      </w:r>
      <w:r w:rsidR="001E4007">
        <w:rPr>
          <w:rFonts w:ascii="Times New Roman" w:hAnsi="Times New Roman"/>
          <w:sz w:val="24"/>
          <w:szCs w:val="24"/>
        </w:rPr>
        <w:t xml:space="preserve">vents </w:t>
      </w:r>
      <w:proofErr w:type="spellStart"/>
      <w:r w:rsidR="001E4007">
        <w:rPr>
          <w:rFonts w:ascii="Times New Roman" w:hAnsi="Times New Roman"/>
          <w:sz w:val="24"/>
          <w:szCs w:val="24"/>
        </w:rPr>
        <w:t>violents</w:t>
      </w:r>
      <w:r w:rsidR="2DC825C8" w:rsidRPr="106C3604">
        <w:rPr>
          <w:rFonts w:ascii="Times New Roman" w:hAnsi="Times New Roman"/>
          <w:color w:val="000000" w:themeColor="text1"/>
          <w:sz w:val="24"/>
          <w:szCs w:val="24"/>
        </w:rPr>
        <w:t>populations</w:t>
      </w:r>
      <w:proofErr w:type="spellEnd"/>
      <w:r w:rsidR="2DC825C8" w:rsidRPr="106C3604">
        <w:rPr>
          <w:rFonts w:ascii="Times New Roman" w:hAnsi="Times New Roman"/>
          <w:color w:val="000000" w:themeColor="text1"/>
          <w:sz w:val="24"/>
          <w:szCs w:val="24"/>
        </w:rPr>
        <w:t xml:space="preserve"> en termes d'insécurité alimentaire</w:t>
      </w:r>
      <w:r w:rsidR="2DC825C8" w:rsidRPr="00A8375B">
        <w:rPr>
          <w:rFonts w:ascii="Times New Roman" w:hAnsi="Times New Roman"/>
          <w:color w:val="000000" w:themeColor="text1"/>
          <w:sz w:val="24"/>
        </w:rPr>
        <w:t xml:space="preserve"> et </w:t>
      </w:r>
      <w:r w:rsidR="001E4007">
        <w:rPr>
          <w:rFonts w:ascii="Times New Roman" w:hAnsi="Times New Roman"/>
          <w:sz w:val="24"/>
          <w:szCs w:val="24"/>
        </w:rPr>
        <w:t xml:space="preserve">tempêtes </w:t>
      </w:r>
      <w:proofErr w:type="spellStart"/>
      <w:r w:rsidR="001E4007">
        <w:rPr>
          <w:rFonts w:ascii="Times New Roman" w:hAnsi="Times New Roman"/>
          <w:sz w:val="24"/>
          <w:szCs w:val="24"/>
        </w:rPr>
        <w:t>exposent</w:t>
      </w:r>
      <w:r w:rsidR="2DC825C8" w:rsidRPr="106C3604">
        <w:rPr>
          <w:rFonts w:ascii="Times New Roman" w:hAnsi="Times New Roman"/>
          <w:color w:val="000000" w:themeColor="text1"/>
          <w:sz w:val="24"/>
          <w:szCs w:val="24"/>
        </w:rPr>
        <w:t>de</w:t>
      </w:r>
      <w:proofErr w:type="spellEnd"/>
      <w:r w:rsidR="2DC825C8" w:rsidRPr="106C3604">
        <w:rPr>
          <w:rFonts w:ascii="Times New Roman" w:hAnsi="Times New Roman"/>
          <w:color w:val="000000" w:themeColor="text1"/>
          <w:sz w:val="24"/>
          <w:szCs w:val="24"/>
        </w:rPr>
        <w:t xml:space="preserve"> perte des moyens de subsistance, augmentant</w:t>
      </w:r>
      <w:r w:rsidR="2DC825C8" w:rsidRPr="00A8375B">
        <w:rPr>
          <w:rFonts w:ascii="Times New Roman" w:hAnsi="Times New Roman"/>
          <w:color w:val="000000" w:themeColor="text1"/>
          <w:sz w:val="24"/>
        </w:rPr>
        <w:t xml:space="preserve"> la </w:t>
      </w:r>
      <w:r w:rsidR="001E4007">
        <w:rPr>
          <w:rFonts w:ascii="Times New Roman" w:hAnsi="Times New Roman"/>
          <w:sz w:val="24"/>
          <w:szCs w:val="24"/>
        </w:rPr>
        <w:t xml:space="preserve">vie </w:t>
      </w:r>
      <w:proofErr w:type="spellStart"/>
      <w:r w:rsidR="001E4007">
        <w:rPr>
          <w:rFonts w:ascii="Times New Roman" w:hAnsi="Times New Roman"/>
          <w:sz w:val="24"/>
          <w:szCs w:val="24"/>
        </w:rPr>
        <w:t>humaine</w:t>
      </w:r>
      <w:r w:rsidR="2DC825C8" w:rsidRPr="106C3604">
        <w:rPr>
          <w:rFonts w:ascii="Times New Roman" w:hAnsi="Times New Roman"/>
          <w:color w:val="000000" w:themeColor="text1"/>
          <w:sz w:val="24"/>
          <w:szCs w:val="24"/>
        </w:rPr>
        <w:t>pauvreté</w:t>
      </w:r>
      <w:proofErr w:type="spellEnd"/>
      <w:r w:rsidR="2DC825C8" w:rsidRPr="106C3604">
        <w:rPr>
          <w:rFonts w:ascii="Times New Roman" w:hAnsi="Times New Roman"/>
          <w:color w:val="000000" w:themeColor="text1"/>
          <w:sz w:val="24"/>
          <w:szCs w:val="24"/>
        </w:rPr>
        <w:t>, particulièrement en milieu rural. Cette dégradation se présente sous forme d’ensablement dans le Kanem, le Lac</w:t>
      </w:r>
      <w:r w:rsidR="2DC825C8" w:rsidRPr="00A8375B">
        <w:rPr>
          <w:rFonts w:ascii="Times New Roman" w:hAnsi="Times New Roman"/>
          <w:color w:val="000000" w:themeColor="text1"/>
          <w:sz w:val="24"/>
        </w:rPr>
        <w:t xml:space="preserve"> et </w:t>
      </w:r>
      <w:r w:rsidR="001E4007">
        <w:rPr>
          <w:rFonts w:ascii="Times New Roman" w:hAnsi="Times New Roman"/>
          <w:sz w:val="24"/>
          <w:szCs w:val="24"/>
        </w:rPr>
        <w:t xml:space="preserve">animale à des risques graves de </w:t>
      </w:r>
      <w:proofErr w:type="spellStart"/>
      <w:r w:rsidR="001E4007">
        <w:rPr>
          <w:rFonts w:ascii="Times New Roman" w:hAnsi="Times New Roman"/>
          <w:sz w:val="24"/>
          <w:szCs w:val="24"/>
        </w:rPr>
        <w:t>pathologies</w:t>
      </w:r>
      <w:r w:rsidR="2DC825C8" w:rsidRPr="106C3604">
        <w:rPr>
          <w:rFonts w:ascii="Times New Roman" w:hAnsi="Times New Roman"/>
          <w:color w:val="000000" w:themeColor="text1"/>
          <w:sz w:val="24"/>
          <w:szCs w:val="24"/>
        </w:rPr>
        <w:t>le</w:t>
      </w:r>
      <w:proofErr w:type="spellEnd"/>
      <w:r w:rsidR="2DC825C8" w:rsidRPr="106C3604">
        <w:rPr>
          <w:rFonts w:ascii="Times New Roman" w:hAnsi="Times New Roman"/>
          <w:color w:val="000000" w:themeColor="text1"/>
          <w:sz w:val="24"/>
          <w:szCs w:val="24"/>
        </w:rPr>
        <w:t xml:space="preserve"> Nord du </w:t>
      </w:r>
      <w:proofErr w:type="spellStart"/>
      <w:r w:rsidR="2DC825C8" w:rsidRPr="106C3604">
        <w:rPr>
          <w:rFonts w:ascii="Times New Roman" w:hAnsi="Times New Roman"/>
          <w:color w:val="000000" w:themeColor="text1"/>
          <w:sz w:val="24"/>
          <w:szCs w:val="24"/>
        </w:rPr>
        <w:t>Batha</w:t>
      </w:r>
      <w:proofErr w:type="spellEnd"/>
      <w:r w:rsidR="2DC825C8" w:rsidRPr="00A8375B">
        <w:rPr>
          <w:rFonts w:ascii="Times New Roman" w:hAnsi="Times New Roman"/>
          <w:color w:val="000000" w:themeColor="text1"/>
          <w:sz w:val="24"/>
        </w:rPr>
        <w:t xml:space="preserve"> et </w:t>
      </w:r>
      <w:r w:rsidR="001E4007">
        <w:rPr>
          <w:rFonts w:ascii="Times New Roman" w:hAnsi="Times New Roman"/>
          <w:sz w:val="24"/>
          <w:szCs w:val="24"/>
        </w:rPr>
        <w:t xml:space="preserve">autres problèmes de </w:t>
      </w:r>
      <w:proofErr w:type="spellStart"/>
      <w:r w:rsidR="001E4007">
        <w:rPr>
          <w:rFonts w:ascii="Times New Roman" w:hAnsi="Times New Roman"/>
          <w:sz w:val="24"/>
          <w:szCs w:val="24"/>
        </w:rPr>
        <w:t>santé</w:t>
      </w:r>
      <w:r w:rsidR="2DC825C8" w:rsidRPr="106C3604">
        <w:rPr>
          <w:rFonts w:ascii="Times New Roman" w:hAnsi="Times New Roman"/>
          <w:color w:val="000000" w:themeColor="text1"/>
          <w:sz w:val="24"/>
          <w:szCs w:val="24"/>
        </w:rPr>
        <w:t>sous</w:t>
      </w:r>
      <w:proofErr w:type="spellEnd"/>
      <w:r w:rsidR="2DC825C8" w:rsidRPr="106C3604">
        <w:rPr>
          <w:rFonts w:ascii="Times New Roman" w:hAnsi="Times New Roman"/>
          <w:color w:val="000000" w:themeColor="text1"/>
          <w:sz w:val="24"/>
          <w:szCs w:val="24"/>
        </w:rPr>
        <w:t xml:space="preserve"> forme de glacis communément appelé Naga dans le Sud, </w:t>
      </w:r>
      <w:proofErr w:type="spellStart"/>
      <w:r w:rsidR="2DC825C8" w:rsidRPr="106C3604">
        <w:rPr>
          <w:rFonts w:ascii="Times New Roman" w:hAnsi="Times New Roman"/>
          <w:color w:val="000000" w:themeColor="text1"/>
          <w:sz w:val="24"/>
          <w:szCs w:val="24"/>
        </w:rPr>
        <w:t>Batha</w:t>
      </w:r>
      <w:proofErr w:type="spellEnd"/>
      <w:r w:rsidR="2DC825C8" w:rsidRPr="106C3604">
        <w:rPr>
          <w:rFonts w:ascii="Times New Roman" w:hAnsi="Times New Roman"/>
          <w:color w:val="000000" w:themeColor="text1"/>
          <w:sz w:val="24"/>
          <w:szCs w:val="24"/>
        </w:rPr>
        <w:t>, le Ouaddaï</w:t>
      </w:r>
      <w:r w:rsidR="2DC825C8" w:rsidRPr="00A8375B">
        <w:rPr>
          <w:rFonts w:ascii="Times New Roman" w:hAnsi="Times New Roman"/>
          <w:color w:val="000000" w:themeColor="text1"/>
          <w:sz w:val="24"/>
        </w:rPr>
        <w:t xml:space="preserve"> et </w:t>
      </w:r>
      <w:proofErr w:type="spellStart"/>
      <w:r w:rsidR="001E4007">
        <w:rPr>
          <w:rFonts w:ascii="Times New Roman" w:hAnsi="Times New Roman"/>
          <w:sz w:val="24"/>
          <w:szCs w:val="24"/>
        </w:rPr>
        <w:t>fragilisent</w:t>
      </w:r>
      <w:r w:rsidR="2DC825C8" w:rsidRPr="106C3604">
        <w:rPr>
          <w:rFonts w:ascii="Times New Roman" w:hAnsi="Times New Roman"/>
          <w:color w:val="000000" w:themeColor="text1"/>
          <w:sz w:val="24"/>
          <w:szCs w:val="24"/>
        </w:rPr>
        <w:t>le</w:t>
      </w:r>
      <w:proofErr w:type="spellEnd"/>
      <w:r w:rsidR="2DC825C8" w:rsidRPr="106C3604">
        <w:rPr>
          <w:rFonts w:ascii="Times New Roman" w:hAnsi="Times New Roman"/>
          <w:color w:val="000000" w:themeColor="text1"/>
          <w:sz w:val="24"/>
          <w:szCs w:val="24"/>
        </w:rPr>
        <w:t xml:space="preserve"> Chari Baguirmi. En dépit des initiatives de lutte contre</w:t>
      </w:r>
      <w:r w:rsidR="2DC825C8" w:rsidRPr="00A8375B">
        <w:rPr>
          <w:rFonts w:ascii="Times New Roman" w:hAnsi="Times New Roman"/>
          <w:color w:val="000000" w:themeColor="text1"/>
          <w:sz w:val="24"/>
        </w:rPr>
        <w:t xml:space="preserve"> la </w:t>
      </w:r>
      <w:proofErr w:type="spellStart"/>
      <w:r w:rsidR="001E4007">
        <w:rPr>
          <w:rFonts w:ascii="Times New Roman" w:hAnsi="Times New Roman"/>
          <w:sz w:val="24"/>
          <w:szCs w:val="24"/>
        </w:rPr>
        <w:t>viabilité</w:t>
      </w:r>
      <w:r w:rsidR="2DC825C8" w:rsidRPr="106C3604">
        <w:rPr>
          <w:rFonts w:ascii="Times New Roman" w:hAnsi="Times New Roman"/>
          <w:color w:val="000000" w:themeColor="text1"/>
          <w:sz w:val="24"/>
          <w:szCs w:val="24"/>
        </w:rPr>
        <w:t>désertification</w:t>
      </w:r>
      <w:proofErr w:type="spellEnd"/>
      <w:r w:rsidR="2DC825C8" w:rsidRPr="106C3604">
        <w:rPr>
          <w:rFonts w:ascii="Times New Roman" w:hAnsi="Times New Roman"/>
          <w:color w:val="000000" w:themeColor="text1"/>
          <w:sz w:val="24"/>
          <w:szCs w:val="24"/>
        </w:rPr>
        <w:t>, les défis restent énormes au vu de la complexité de la problématique. De fortes pluviométries enregistrées dans la zone Sud et au Nord occasionnent aussi</w:t>
      </w:r>
      <w:r w:rsidR="2DC825C8" w:rsidRPr="00A8375B">
        <w:rPr>
          <w:rFonts w:ascii="Times New Roman" w:hAnsi="Times New Roman"/>
          <w:color w:val="000000" w:themeColor="text1"/>
          <w:sz w:val="24"/>
        </w:rPr>
        <w:t xml:space="preserve"> des </w:t>
      </w:r>
      <w:r w:rsidR="001E4007">
        <w:rPr>
          <w:rFonts w:ascii="Times New Roman" w:hAnsi="Times New Roman"/>
          <w:sz w:val="24"/>
          <w:szCs w:val="24"/>
        </w:rPr>
        <w:t xml:space="preserve">écosystèmes. </w:t>
      </w:r>
      <w:proofErr w:type="gramStart"/>
      <w:r w:rsidR="2DC825C8" w:rsidRPr="106C3604">
        <w:rPr>
          <w:rFonts w:ascii="Times New Roman" w:hAnsi="Times New Roman"/>
          <w:color w:val="000000" w:themeColor="text1"/>
          <w:sz w:val="24"/>
          <w:szCs w:val="24"/>
        </w:rPr>
        <w:t>inondations</w:t>
      </w:r>
      <w:proofErr w:type="gramEnd"/>
      <w:r w:rsidR="2DC825C8" w:rsidRPr="106C3604">
        <w:rPr>
          <w:rFonts w:ascii="Times New Roman" w:hAnsi="Times New Roman"/>
          <w:color w:val="000000" w:themeColor="text1"/>
          <w:sz w:val="24"/>
          <w:szCs w:val="24"/>
        </w:rPr>
        <w:t>. Ces inondations provoquent des pertes en vies humaines et des destructions d’habitations et de cultures. Les inondations enregistrées en 2020 ont aussi affecté les moyens d’existence de presque 400 000 personnes</w:t>
      </w:r>
      <w:r w:rsidRPr="581E4654">
        <w:rPr>
          <w:rStyle w:val="Appelnotedebasdep"/>
          <w:color w:val="000000" w:themeColor="text1"/>
          <w:sz w:val="24"/>
          <w:szCs w:val="24"/>
          <w:vertAlign w:val="superscript"/>
        </w:rPr>
        <w:footnoteReference w:id="39"/>
      </w:r>
      <w:r w:rsidR="2DC825C8" w:rsidRPr="106C3604">
        <w:rPr>
          <w:rFonts w:ascii="Times New Roman" w:hAnsi="Times New Roman"/>
          <w:color w:val="000000" w:themeColor="text1"/>
          <w:sz w:val="24"/>
          <w:szCs w:val="24"/>
        </w:rPr>
        <w:t>, notamment des agriculteurs dont les champs ont été inondés. Au-delà de l’assistance alimentaire, l’absence de réponse en termes moyens d’existence pour ceux qui ont été affectés par les inondations, notamment en intrants de contre-saison, perpétue leur vulnérabilité et les rend dépendante de l’assistance alimentaire jusqu’à la récolte pluviale de l’année suivante.</w:t>
      </w:r>
    </w:p>
    <w:p w14:paraId="188C91BC" w14:textId="77777777" w:rsidR="00012E14" w:rsidRDefault="00012E14" w:rsidP="00315D4F">
      <w:pPr>
        <w:spacing w:after="0" w:line="249" w:lineRule="auto"/>
        <w:ind w:right="288"/>
        <w:jc w:val="both"/>
        <w:rPr>
          <w:rFonts w:ascii="Times New Roman" w:hAnsi="Times New Roman"/>
          <w:b/>
          <w:bCs/>
          <w:sz w:val="24"/>
          <w:szCs w:val="24"/>
          <w:u w:val="single"/>
        </w:rPr>
      </w:pPr>
    </w:p>
    <w:p w14:paraId="0802BF06" w14:textId="4F132A49" w:rsidR="00315D4F" w:rsidRPr="000063B5" w:rsidRDefault="5EDEA2A9" w:rsidP="00315D4F">
      <w:pPr>
        <w:spacing w:after="0" w:line="249" w:lineRule="auto"/>
        <w:ind w:right="288"/>
        <w:jc w:val="both"/>
        <w:rPr>
          <w:rFonts w:ascii="Times New Roman" w:hAnsi="Times New Roman"/>
          <w:sz w:val="24"/>
          <w:szCs w:val="24"/>
        </w:rPr>
      </w:pPr>
      <w:r w:rsidRPr="581E4654">
        <w:rPr>
          <w:rFonts w:ascii="Times New Roman" w:hAnsi="Times New Roman"/>
          <w:b/>
          <w:bCs/>
          <w:sz w:val="24"/>
          <w:szCs w:val="24"/>
          <w:u w:val="single"/>
        </w:rPr>
        <w:t>Au niveau régional</w:t>
      </w:r>
      <w:r w:rsidRPr="581E4654">
        <w:rPr>
          <w:rFonts w:ascii="Times New Roman" w:hAnsi="Times New Roman"/>
          <w:sz w:val="24"/>
          <w:szCs w:val="24"/>
        </w:rPr>
        <w:t xml:space="preserve"> :</w:t>
      </w:r>
      <w:r w:rsidR="2350A273" w:rsidRPr="581E4654">
        <w:rPr>
          <w:rFonts w:ascii="Times New Roman" w:hAnsi="Times New Roman"/>
          <w:sz w:val="24"/>
          <w:szCs w:val="24"/>
        </w:rPr>
        <w:t xml:space="preserve"> </w:t>
      </w:r>
      <w:r w:rsidR="7EEBE80C" w:rsidRPr="581E4654">
        <w:rPr>
          <w:rFonts w:ascii="Times New Roman" w:hAnsi="Times New Roman"/>
          <w:b/>
          <w:bCs/>
          <w:sz w:val="24"/>
          <w:szCs w:val="24"/>
        </w:rPr>
        <w:t>L’instabilité sociopolitique de la région et les activités des groupes armés non étatiques sont des facteurs d’insécurité susceptibles d’accroître la crise humanitaire au Tchad</w:t>
      </w:r>
      <w:r w:rsidR="7EEBE80C" w:rsidRPr="581E4654">
        <w:rPr>
          <w:rFonts w:ascii="Times New Roman" w:hAnsi="Times New Roman"/>
          <w:sz w:val="24"/>
          <w:szCs w:val="24"/>
        </w:rPr>
        <w:t xml:space="preserve">. </w:t>
      </w:r>
      <w:r w:rsidR="787B3E8A" w:rsidRPr="581E4654">
        <w:rPr>
          <w:rFonts w:ascii="Times New Roman" w:hAnsi="Times New Roman"/>
          <w:sz w:val="24"/>
          <w:szCs w:val="24"/>
        </w:rPr>
        <w:t>Le Tchad connaît une relative stabilité dans un contexte régional difficile</w:t>
      </w:r>
      <w:r w:rsidR="3770487B" w:rsidRPr="581E4654">
        <w:rPr>
          <w:rFonts w:ascii="Times New Roman" w:hAnsi="Times New Roman"/>
          <w:sz w:val="24"/>
          <w:szCs w:val="24"/>
        </w:rPr>
        <w:t xml:space="preserve">, </w:t>
      </w:r>
      <w:proofErr w:type="spellStart"/>
      <w:proofErr w:type="gramStart"/>
      <w:r w:rsidR="3770487B" w:rsidRPr="581E4654">
        <w:rPr>
          <w:rFonts w:ascii="Times New Roman" w:hAnsi="Times New Roman"/>
          <w:sz w:val="24"/>
          <w:szCs w:val="24"/>
        </w:rPr>
        <w:t>mais</w:t>
      </w:r>
      <w:r w:rsidR="36DACE81" w:rsidRPr="38CF240D">
        <w:rPr>
          <w:rFonts w:ascii="Times New Roman" w:hAnsi="Times New Roman"/>
          <w:sz w:val="24"/>
          <w:szCs w:val="24"/>
        </w:rPr>
        <w:t>l</w:t>
      </w:r>
      <w:proofErr w:type="spellEnd"/>
      <w:r w:rsidR="787B3E8A" w:rsidRPr="581E4654">
        <w:rPr>
          <w:rFonts w:ascii="Times New Roman" w:hAnsi="Times New Roman"/>
          <w:sz w:val="24"/>
          <w:szCs w:val="24"/>
        </w:rPr>
        <w:t xml:space="preserve">  </w:t>
      </w:r>
      <w:r w:rsidR="36DACE81" w:rsidRPr="581E4654">
        <w:rPr>
          <w:rFonts w:ascii="Times New Roman" w:hAnsi="Times New Roman"/>
          <w:sz w:val="24"/>
          <w:szCs w:val="24"/>
        </w:rPr>
        <w:t>l</w:t>
      </w:r>
      <w:r w:rsidR="787B3E8A" w:rsidRPr="581E4654">
        <w:rPr>
          <w:rFonts w:ascii="Times New Roman" w:hAnsi="Times New Roman"/>
          <w:sz w:val="24"/>
          <w:szCs w:val="24"/>
        </w:rPr>
        <w:t>es</w:t>
      </w:r>
      <w:proofErr w:type="gramEnd"/>
      <w:r w:rsidR="787B3E8A" w:rsidRPr="581E4654">
        <w:rPr>
          <w:rFonts w:ascii="Times New Roman" w:hAnsi="Times New Roman"/>
          <w:sz w:val="24"/>
          <w:szCs w:val="24"/>
        </w:rPr>
        <w:t xml:space="preserve"> facteurs régionaux et extérieurs influencent fortement l’environnement socio-politique tchadien actuel et, dans de nombreux cas, exacerbent et contribuent aux tensions existantes étant donné les frontières poreuses et les liens étroits qui existent entre les populations des deux côtés des frontières. La</w:t>
      </w:r>
      <w:r w:rsidR="7EEBE80C" w:rsidRPr="581E4654">
        <w:rPr>
          <w:rFonts w:ascii="Times New Roman" w:hAnsi="Times New Roman"/>
          <w:sz w:val="24"/>
          <w:szCs w:val="24"/>
        </w:rPr>
        <w:t xml:space="preserve"> </w:t>
      </w:r>
      <w:r w:rsidR="34A68672" w:rsidRPr="581E4654">
        <w:rPr>
          <w:rFonts w:ascii="Times New Roman" w:hAnsi="Times New Roman"/>
          <w:sz w:val="24"/>
          <w:szCs w:val="24"/>
        </w:rPr>
        <w:t>région du bassin</w:t>
      </w:r>
      <w:r w:rsidR="787B3E8A" w:rsidRPr="581E4654">
        <w:rPr>
          <w:rFonts w:ascii="Times New Roman" w:hAnsi="Times New Roman"/>
          <w:sz w:val="24"/>
          <w:szCs w:val="24"/>
        </w:rPr>
        <w:t xml:space="preserve"> du Lac </w:t>
      </w:r>
      <w:r w:rsidR="34A68672" w:rsidRPr="581E4654">
        <w:rPr>
          <w:rFonts w:ascii="Times New Roman" w:hAnsi="Times New Roman"/>
          <w:sz w:val="24"/>
          <w:szCs w:val="24"/>
        </w:rPr>
        <w:t xml:space="preserve">Tchad </w:t>
      </w:r>
      <w:r w:rsidR="787B3E8A" w:rsidRPr="581E4654">
        <w:rPr>
          <w:rFonts w:ascii="Times New Roman" w:hAnsi="Times New Roman"/>
          <w:sz w:val="24"/>
          <w:szCs w:val="24"/>
        </w:rPr>
        <w:t>reste exposée à l’activisme des groupes armés non étatiques avec un nombre important de populations en situation de déplacement</w:t>
      </w:r>
      <w:r w:rsidR="4628E257" w:rsidRPr="581E4654">
        <w:rPr>
          <w:rFonts w:ascii="Times New Roman" w:hAnsi="Times New Roman"/>
          <w:sz w:val="24"/>
          <w:szCs w:val="24"/>
        </w:rPr>
        <w:t>, y compris la province du Lac au Tchad.</w:t>
      </w:r>
    </w:p>
    <w:p w14:paraId="65EC1258" w14:textId="6C66F2B0" w:rsidR="000063B5" w:rsidRDefault="000063B5" w:rsidP="00B24BB8">
      <w:pPr>
        <w:spacing w:after="0" w:line="249" w:lineRule="auto"/>
        <w:ind w:right="288"/>
        <w:jc w:val="both"/>
        <w:rPr>
          <w:rFonts w:ascii="Times New Roman" w:hAnsi="Times New Roman"/>
          <w:sz w:val="24"/>
          <w:szCs w:val="24"/>
        </w:rPr>
      </w:pPr>
    </w:p>
    <w:p w14:paraId="5C335DFD" w14:textId="0C666BF7" w:rsidR="6BC40FD5" w:rsidRDefault="6BC40FD5" w:rsidP="00A8375B">
      <w:pPr>
        <w:spacing w:after="0" w:line="249" w:lineRule="auto"/>
        <w:ind w:right="288"/>
        <w:jc w:val="both"/>
        <w:rPr>
          <w:rFonts w:ascii="Times New Roman" w:hAnsi="Times New Roman"/>
        </w:rPr>
      </w:pPr>
    </w:p>
    <w:p w14:paraId="692815DE" w14:textId="2E8B6472" w:rsidR="7F3114E5" w:rsidRDefault="4A68C483" w:rsidP="581E4654">
      <w:pPr>
        <w:spacing w:after="0" w:line="249" w:lineRule="auto"/>
        <w:ind w:right="288"/>
        <w:jc w:val="both"/>
        <w:rPr>
          <w:rFonts w:ascii="Times New Roman" w:hAnsi="Times New Roman"/>
          <w:sz w:val="24"/>
          <w:szCs w:val="24"/>
        </w:rPr>
      </w:pPr>
      <w:r w:rsidRPr="00A8375B">
        <w:rPr>
          <w:rFonts w:ascii="Times New Roman" w:hAnsi="Times New Roman"/>
          <w:sz w:val="24"/>
        </w:rPr>
        <w:t xml:space="preserve">Le </w:t>
      </w:r>
      <w:r w:rsidRPr="581E4654">
        <w:rPr>
          <w:rFonts w:ascii="Times New Roman" w:hAnsi="Times New Roman"/>
          <w:sz w:val="24"/>
          <w:szCs w:val="24"/>
        </w:rPr>
        <w:t xml:space="preserve">nord du Tchad est une zone vaste avec une présence faible de l'Etat, ce qui laisse des opportunités </w:t>
      </w:r>
      <w:proofErr w:type="spellStart"/>
      <w:r w:rsidR="6C6ABB86" w:rsidRPr="38CF240D">
        <w:rPr>
          <w:rFonts w:ascii="Times New Roman" w:hAnsi="Times New Roman"/>
          <w:sz w:val="24"/>
          <w:szCs w:val="24"/>
        </w:rPr>
        <w:t>au</w:t>
      </w:r>
      <w:r w:rsidR="6C6ABB86" w:rsidRPr="581E4654">
        <w:rPr>
          <w:rFonts w:ascii="Times New Roman" w:hAnsi="Times New Roman"/>
          <w:sz w:val="24"/>
          <w:szCs w:val="24"/>
        </w:rPr>
        <w:t>au</w:t>
      </w:r>
      <w:proofErr w:type="spellEnd"/>
      <w:r w:rsidRPr="581E4654">
        <w:rPr>
          <w:rFonts w:ascii="Times New Roman" w:hAnsi="Times New Roman"/>
          <w:sz w:val="24"/>
          <w:szCs w:val="24"/>
        </w:rPr>
        <w:t xml:space="preserve"> </w:t>
      </w:r>
      <w:r w:rsidR="552A9A72" w:rsidRPr="581E4654">
        <w:rPr>
          <w:rFonts w:ascii="Times New Roman" w:hAnsi="Times New Roman"/>
          <w:sz w:val="24"/>
          <w:szCs w:val="24"/>
        </w:rPr>
        <w:t xml:space="preserve">trafic </w:t>
      </w:r>
      <w:r w:rsidRPr="581E4654">
        <w:rPr>
          <w:rFonts w:ascii="Times New Roman" w:hAnsi="Times New Roman"/>
          <w:sz w:val="24"/>
          <w:szCs w:val="24"/>
        </w:rPr>
        <w:t>illicite</w:t>
      </w:r>
      <w:r w:rsidR="712B02C5" w:rsidRPr="581E4654">
        <w:rPr>
          <w:rFonts w:ascii="Times New Roman" w:hAnsi="Times New Roman"/>
          <w:sz w:val="24"/>
          <w:szCs w:val="24"/>
        </w:rPr>
        <w:t xml:space="preserve"> à travers la région,</w:t>
      </w:r>
      <w:r w:rsidRPr="581E4654">
        <w:rPr>
          <w:rFonts w:ascii="Times New Roman" w:hAnsi="Times New Roman"/>
          <w:sz w:val="24"/>
          <w:szCs w:val="24"/>
        </w:rPr>
        <w:t xml:space="preserve"> organisées par des groupes arm</w:t>
      </w:r>
      <w:r w:rsidR="41B15FE2" w:rsidRPr="581E4654">
        <w:rPr>
          <w:rFonts w:ascii="Times New Roman" w:hAnsi="Times New Roman"/>
          <w:sz w:val="24"/>
          <w:szCs w:val="24"/>
        </w:rPr>
        <w:t>é</w:t>
      </w:r>
      <w:r w:rsidRPr="581E4654">
        <w:rPr>
          <w:rFonts w:ascii="Times New Roman" w:hAnsi="Times New Roman"/>
          <w:sz w:val="24"/>
          <w:szCs w:val="24"/>
        </w:rPr>
        <w:t>s</w:t>
      </w:r>
      <w:r w:rsidR="00571670" w:rsidRPr="581E4654">
        <w:rPr>
          <w:rFonts w:ascii="Times New Roman" w:hAnsi="Times New Roman"/>
          <w:sz w:val="24"/>
          <w:szCs w:val="24"/>
        </w:rPr>
        <w:t>, y compris</w:t>
      </w:r>
      <w:r w:rsidRPr="581E4654">
        <w:rPr>
          <w:rFonts w:ascii="Times New Roman" w:hAnsi="Times New Roman"/>
          <w:sz w:val="24"/>
          <w:szCs w:val="24"/>
        </w:rPr>
        <w:t xml:space="preserve"> la gestion de mines d'or artisanal, le </w:t>
      </w:r>
      <w:r w:rsidR="60D68C10" w:rsidRPr="581E4654">
        <w:rPr>
          <w:rFonts w:ascii="Times New Roman" w:hAnsi="Times New Roman"/>
          <w:sz w:val="24"/>
          <w:szCs w:val="24"/>
        </w:rPr>
        <w:t>trafic d’</w:t>
      </w:r>
      <w:r w:rsidRPr="581E4654">
        <w:rPr>
          <w:rFonts w:ascii="Times New Roman" w:hAnsi="Times New Roman"/>
          <w:sz w:val="24"/>
          <w:szCs w:val="24"/>
        </w:rPr>
        <w:t>arme</w:t>
      </w:r>
      <w:r w:rsidR="46BBEA58" w:rsidRPr="581E4654">
        <w:rPr>
          <w:rFonts w:ascii="Times New Roman" w:hAnsi="Times New Roman"/>
          <w:sz w:val="24"/>
          <w:szCs w:val="24"/>
        </w:rPr>
        <w:t>s</w:t>
      </w:r>
      <w:r w:rsidRPr="581E4654">
        <w:rPr>
          <w:rFonts w:ascii="Times New Roman" w:hAnsi="Times New Roman"/>
          <w:sz w:val="24"/>
          <w:szCs w:val="24"/>
        </w:rPr>
        <w:t xml:space="preserve"> et la traite </w:t>
      </w:r>
      <w:r w:rsidR="775D8F5A" w:rsidRPr="581E4654">
        <w:rPr>
          <w:rFonts w:ascii="Times New Roman" w:hAnsi="Times New Roman"/>
          <w:sz w:val="24"/>
          <w:szCs w:val="24"/>
        </w:rPr>
        <w:t>d</w:t>
      </w:r>
      <w:r w:rsidR="4AB9A9C8" w:rsidRPr="581E4654">
        <w:rPr>
          <w:rFonts w:ascii="Times New Roman" w:hAnsi="Times New Roman"/>
          <w:sz w:val="24"/>
          <w:szCs w:val="24"/>
        </w:rPr>
        <w:t>’</w:t>
      </w:r>
      <w:r w:rsidR="182DB180" w:rsidRPr="581E4654">
        <w:rPr>
          <w:rFonts w:ascii="Times New Roman" w:hAnsi="Times New Roman"/>
          <w:sz w:val="24"/>
          <w:szCs w:val="24"/>
        </w:rPr>
        <w:t>être</w:t>
      </w:r>
      <w:r w:rsidR="34860DD1" w:rsidRPr="581E4654">
        <w:rPr>
          <w:rFonts w:ascii="Times New Roman" w:hAnsi="Times New Roman"/>
          <w:sz w:val="24"/>
          <w:szCs w:val="24"/>
        </w:rPr>
        <w:t>s</w:t>
      </w:r>
      <w:r w:rsidR="775D8F5A" w:rsidRPr="581E4654">
        <w:rPr>
          <w:rFonts w:ascii="Times New Roman" w:hAnsi="Times New Roman"/>
          <w:sz w:val="24"/>
          <w:szCs w:val="24"/>
        </w:rPr>
        <w:t xml:space="preserve"> </w:t>
      </w:r>
      <w:r w:rsidRPr="581E4654">
        <w:rPr>
          <w:rFonts w:ascii="Times New Roman" w:hAnsi="Times New Roman"/>
          <w:sz w:val="24"/>
          <w:szCs w:val="24"/>
        </w:rPr>
        <w:t>humain</w:t>
      </w:r>
      <w:r w:rsidR="245DB3B0" w:rsidRPr="581E4654">
        <w:rPr>
          <w:rFonts w:ascii="Times New Roman" w:hAnsi="Times New Roman"/>
          <w:sz w:val="24"/>
          <w:szCs w:val="24"/>
        </w:rPr>
        <w:t>s</w:t>
      </w:r>
      <w:r w:rsidRPr="581E4654">
        <w:rPr>
          <w:rFonts w:ascii="Times New Roman" w:hAnsi="Times New Roman"/>
          <w:sz w:val="24"/>
          <w:szCs w:val="24"/>
        </w:rPr>
        <w:t xml:space="preserve">. </w:t>
      </w:r>
      <w:r w:rsidR="37B1F585" w:rsidRPr="581E4654">
        <w:rPr>
          <w:rFonts w:ascii="Times New Roman" w:hAnsi="Times New Roman"/>
          <w:sz w:val="24"/>
          <w:szCs w:val="24"/>
        </w:rPr>
        <w:t xml:space="preserve">La </w:t>
      </w:r>
      <w:r w:rsidR="3E5BF3CF" w:rsidRPr="581E4654">
        <w:rPr>
          <w:rFonts w:ascii="Times New Roman" w:hAnsi="Times New Roman"/>
          <w:sz w:val="24"/>
          <w:szCs w:val="24"/>
        </w:rPr>
        <w:t xml:space="preserve">situation au sud de la Libye avec la </w:t>
      </w:r>
      <w:r w:rsidR="37B1F585" w:rsidRPr="581E4654">
        <w:rPr>
          <w:rFonts w:ascii="Times New Roman" w:hAnsi="Times New Roman"/>
          <w:sz w:val="24"/>
          <w:szCs w:val="24"/>
        </w:rPr>
        <w:lastRenderedPageBreak/>
        <w:t xml:space="preserve">présence de ces groupes </w:t>
      </w:r>
      <w:r w:rsidR="17A469D3" w:rsidRPr="581E4654">
        <w:rPr>
          <w:rFonts w:ascii="Times New Roman" w:hAnsi="Times New Roman"/>
          <w:sz w:val="24"/>
          <w:szCs w:val="24"/>
        </w:rPr>
        <w:t xml:space="preserve">qui </w:t>
      </w:r>
      <w:r w:rsidR="6D141C93" w:rsidRPr="581E4654">
        <w:rPr>
          <w:rFonts w:ascii="Times New Roman" w:hAnsi="Times New Roman"/>
          <w:sz w:val="24"/>
          <w:szCs w:val="24"/>
        </w:rPr>
        <w:t>après</w:t>
      </w:r>
      <w:r w:rsidR="17A469D3" w:rsidRPr="581E4654">
        <w:rPr>
          <w:rFonts w:ascii="Times New Roman" w:hAnsi="Times New Roman"/>
          <w:sz w:val="24"/>
          <w:szCs w:val="24"/>
        </w:rPr>
        <w:t xml:space="preserve"> la fin </w:t>
      </w:r>
      <w:r w:rsidR="65BCB633" w:rsidRPr="581E4654">
        <w:rPr>
          <w:rFonts w:ascii="Times New Roman" w:hAnsi="Times New Roman"/>
          <w:sz w:val="24"/>
          <w:szCs w:val="24"/>
        </w:rPr>
        <w:t xml:space="preserve">des batailles </w:t>
      </w:r>
      <w:r w:rsidR="17A469D3" w:rsidRPr="581E4654">
        <w:rPr>
          <w:rFonts w:ascii="Times New Roman" w:hAnsi="Times New Roman"/>
          <w:sz w:val="24"/>
          <w:szCs w:val="24"/>
        </w:rPr>
        <w:t xml:space="preserve">en Libye ont augmenté leurs effectifs, </w:t>
      </w:r>
      <w:r w:rsidR="37B1F585" w:rsidRPr="581E4654">
        <w:rPr>
          <w:rFonts w:ascii="Times New Roman" w:hAnsi="Times New Roman"/>
          <w:sz w:val="24"/>
          <w:szCs w:val="24"/>
        </w:rPr>
        <w:t xml:space="preserve">pose </w:t>
      </w:r>
      <w:r w:rsidR="31E662D8" w:rsidRPr="581E4654">
        <w:rPr>
          <w:rFonts w:ascii="Times New Roman" w:hAnsi="Times New Roman"/>
          <w:sz w:val="24"/>
          <w:szCs w:val="24"/>
        </w:rPr>
        <w:t>un risque</w:t>
      </w:r>
      <w:r w:rsidR="37B1F585" w:rsidRPr="581E4654">
        <w:rPr>
          <w:rFonts w:ascii="Times New Roman" w:hAnsi="Times New Roman"/>
          <w:sz w:val="24"/>
          <w:szCs w:val="24"/>
        </w:rPr>
        <w:t xml:space="preserve"> pour </w:t>
      </w:r>
      <w:r w:rsidR="4285A92F" w:rsidRPr="581E4654">
        <w:rPr>
          <w:rFonts w:ascii="Times New Roman" w:hAnsi="Times New Roman"/>
          <w:sz w:val="24"/>
          <w:szCs w:val="24"/>
        </w:rPr>
        <w:t xml:space="preserve">le Tchad et pour </w:t>
      </w:r>
      <w:r w:rsidR="7F853A8E" w:rsidRPr="581E4654">
        <w:rPr>
          <w:rFonts w:ascii="Times New Roman" w:hAnsi="Times New Roman"/>
          <w:sz w:val="24"/>
          <w:szCs w:val="24"/>
        </w:rPr>
        <w:t>la stabilité</w:t>
      </w:r>
      <w:r w:rsidR="37B1F585" w:rsidRPr="581E4654">
        <w:rPr>
          <w:rFonts w:ascii="Times New Roman" w:hAnsi="Times New Roman"/>
          <w:sz w:val="24"/>
          <w:szCs w:val="24"/>
        </w:rPr>
        <w:t xml:space="preserve"> de la région </w:t>
      </w:r>
      <w:r w:rsidR="538C6ED5" w:rsidRPr="581E4654">
        <w:rPr>
          <w:rFonts w:ascii="Times New Roman" w:hAnsi="Times New Roman"/>
          <w:sz w:val="24"/>
          <w:szCs w:val="24"/>
        </w:rPr>
        <w:t>entière</w:t>
      </w:r>
      <w:r w:rsidR="37B1F585" w:rsidRPr="581E4654">
        <w:rPr>
          <w:rFonts w:ascii="Times New Roman" w:hAnsi="Times New Roman"/>
          <w:sz w:val="24"/>
          <w:szCs w:val="24"/>
        </w:rPr>
        <w:t xml:space="preserve">. </w:t>
      </w:r>
      <w:r w:rsidRPr="581E4654">
        <w:rPr>
          <w:rFonts w:ascii="Times New Roman" w:hAnsi="Times New Roman"/>
          <w:sz w:val="24"/>
          <w:szCs w:val="24"/>
        </w:rPr>
        <w:t>Des jeunes de nombreuses provinces du Tchad sont absorb</w:t>
      </w:r>
      <w:r w:rsidR="72E4B387" w:rsidRPr="581E4654">
        <w:rPr>
          <w:rFonts w:ascii="Times New Roman" w:hAnsi="Times New Roman"/>
          <w:sz w:val="24"/>
          <w:szCs w:val="24"/>
        </w:rPr>
        <w:t>é</w:t>
      </w:r>
      <w:r w:rsidR="31167CE1" w:rsidRPr="581E4654">
        <w:rPr>
          <w:rFonts w:ascii="Times New Roman" w:hAnsi="Times New Roman"/>
          <w:sz w:val="24"/>
          <w:szCs w:val="24"/>
        </w:rPr>
        <w:t>s</w:t>
      </w:r>
      <w:r w:rsidRPr="581E4654">
        <w:rPr>
          <w:rFonts w:ascii="Times New Roman" w:hAnsi="Times New Roman"/>
          <w:sz w:val="24"/>
          <w:szCs w:val="24"/>
        </w:rPr>
        <w:t xml:space="preserve"> dans cette "économie" et sont souvent victimes d'exploitation </w:t>
      </w:r>
      <w:r w:rsidR="6C3822D5" w:rsidRPr="581E4654">
        <w:rPr>
          <w:rFonts w:ascii="Times New Roman" w:hAnsi="Times New Roman"/>
          <w:sz w:val="24"/>
          <w:szCs w:val="24"/>
        </w:rPr>
        <w:t>dans l</w:t>
      </w:r>
      <w:r w:rsidR="0FE4EA16" w:rsidRPr="581E4654">
        <w:rPr>
          <w:rFonts w:ascii="Times New Roman" w:hAnsi="Times New Roman"/>
          <w:sz w:val="24"/>
          <w:szCs w:val="24"/>
        </w:rPr>
        <w:t>e</w:t>
      </w:r>
      <w:r w:rsidR="6C3822D5" w:rsidRPr="581E4654">
        <w:rPr>
          <w:rFonts w:ascii="Times New Roman" w:hAnsi="Times New Roman"/>
          <w:sz w:val="24"/>
          <w:szCs w:val="24"/>
        </w:rPr>
        <w:t xml:space="preserve">s mines. </w:t>
      </w:r>
      <w:r w:rsidR="5E608E5E" w:rsidRPr="581E4654">
        <w:rPr>
          <w:rFonts w:ascii="Times New Roman" w:hAnsi="Times New Roman"/>
          <w:sz w:val="24"/>
          <w:szCs w:val="24"/>
        </w:rPr>
        <w:t>Parmi les</w:t>
      </w:r>
      <w:r w:rsidR="6C3822D5" w:rsidRPr="581E4654">
        <w:rPr>
          <w:rFonts w:ascii="Times New Roman" w:hAnsi="Times New Roman"/>
          <w:sz w:val="24"/>
          <w:szCs w:val="24"/>
        </w:rPr>
        <w:t xml:space="preserve"> jeunes qui n’ont pas trouvé de l’or </w:t>
      </w:r>
      <w:r w:rsidR="49D2CBBD" w:rsidRPr="581E4654">
        <w:rPr>
          <w:rFonts w:ascii="Times New Roman" w:hAnsi="Times New Roman"/>
          <w:sz w:val="24"/>
          <w:szCs w:val="24"/>
        </w:rPr>
        <w:t>o</w:t>
      </w:r>
      <w:r w:rsidR="6C3822D5" w:rsidRPr="581E4654">
        <w:rPr>
          <w:rFonts w:ascii="Times New Roman" w:hAnsi="Times New Roman"/>
          <w:sz w:val="24"/>
          <w:szCs w:val="24"/>
        </w:rPr>
        <w:t xml:space="preserve">u dont le projet migratoire vers la Libye ou ailleurs n’a pas abouti </w:t>
      </w:r>
      <w:r w:rsidR="12B2275E" w:rsidRPr="581E4654">
        <w:rPr>
          <w:rFonts w:ascii="Times New Roman" w:hAnsi="Times New Roman"/>
          <w:sz w:val="24"/>
          <w:szCs w:val="24"/>
        </w:rPr>
        <w:t xml:space="preserve">il y’en a qui sont </w:t>
      </w:r>
      <w:r w:rsidR="69E869F2" w:rsidRPr="581E4654">
        <w:rPr>
          <w:rFonts w:ascii="Times New Roman" w:hAnsi="Times New Roman"/>
          <w:sz w:val="24"/>
          <w:szCs w:val="24"/>
        </w:rPr>
        <w:t xml:space="preserve">recrutés par les groupes armés </w:t>
      </w:r>
      <w:r w:rsidR="57427FEC" w:rsidRPr="581E4654">
        <w:rPr>
          <w:rFonts w:ascii="Times New Roman" w:hAnsi="Times New Roman"/>
          <w:sz w:val="24"/>
          <w:szCs w:val="24"/>
        </w:rPr>
        <w:t xml:space="preserve">ou </w:t>
      </w:r>
      <w:r w:rsidRPr="581E4654">
        <w:rPr>
          <w:rFonts w:ascii="Times New Roman" w:hAnsi="Times New Roman"/>
          <w:sz w:val="24"/>
          <w:szCs w:val="24"/>
        </w:rPr>
        <w:t>des groupes rebelles traditionnellement bas</w:t>
      </w:r>
      <w:r w:rsidR="1D874384" w:rsidRPr="581E4654">
        <w:rPr>
          <w:rFonts w:ascii="Times New Roman" w:hAnsi="Times New Roman"/>
          <w:sz w:val="24"/>
          <w:szCs w:val="24"/>
        </w:rPr>
        <w:t>é</w:t>
      </w:r>
      <w:r w:rsidRPr="581E4654">
        <w:rPr>
          <w:rFonts w:ascii="Times New Roman" w:hAnsi="Times New Roman"/>
          <w:sz w:val="24"/>
          <w:szCs w:val="24"/>
        </w:rPr>
        <w:t>s au sud de la Libye.</w:t>
      </w:r>
    </w:p>
    <w:p w14:paraId="4645A924" w14:textId="1BA79FFF" w:rsidR="581E4654" w:rsidRDefault="581E4654" w:rsidP="581E4654">
      <w:pPr>
        <w:spacing w:after="0" w:line="249" w:lineRule="auto"/>
        <w:ind w:right="288"/>
        <w:jc w:val="both"/>
        <w:rPr>
          <w:rFonts w:ascii="Times New Roman" w:hAnsi="Times New Roman"/>
        </w:rPr>
      </w:pPr>
    </w:p>
    <w:p w14:paraId="0D3BF067" w14:textId="77777777" w:rsidR="00B24BB8" w:rsidRPr="00B24BB8" w:rsidRDefault="00B24BB8" w:rsidP="00B24BB8">
      <w:pPr>
        <w:spacing w:after="0" w:line="249" w:lineRule="auto"/>
        <w:ind w:right="288"/>
        <w:jc w:val="both"/>
        <w:rPr>
          <w:rFonts w:ascii="Times New Roman" w:hAnsi="Times New Roman"/>
          <w:b/>
          <w:bCs/>
          <w:sz w:val="24"/>
          <w:szCs w:val="24"/>
          <w:u w:val="single"/>
        </w:rPr>
      </w:pPr>
    </w:p>
    <w:p w14:paraId="4F82652D" w14:textId="3E3F9334" w:rsidR="00B24BB8" w:rsidRDefault="5EDEA2A9" w:rsidP="00B24BB8">
      <w:pPr>
        <w:spacing w:after="0" w:line="249" w:lineRule="auto"/>
        <w:ind w:right="288"/>
        <w:jc w:val="both"/>
        <w:rPr>
          <w:rFonts w:ascii="Times New Roman" w:hAnsi="Times New Roman"/>
          <w:sz w:val="24"/>
          <w:szCs w:val="24"/>
        </w:rPr>
      </w:pPr>
      <w:r w:rsidRPr="581E4654">
        <w:rPr>
          <w:rFonts w:ascii="Times New Roman" w:hAnsi="Times New Roman"/>
          <w:b/>
          <w:bCs/>
          <w:sz w:val="24"/>
          <w:szCs w:val="24"/>
          <w:u w:val="single"/>
        </w:rPr>
        <w:t>Au niveau i</w:t>
      </w:r>
      <w:r w:rsidR="2350A273" w:rsidRPr="581E4654">
        <w:rPr>
          <w:rFonts w:ascii="Times New Roman" w:hAnsi="Times New Roman"/>
          <w:b/>
          <w:bCs/>
          <w:sz w:val="24"/>
          <w:szCs w:val="24"/>
          <w:u w:val="single"/>
        </w:rPr>
        <w:t>nterne</w:t>
      </w:r>
      <w:r w:rsidR="2350A273" w:rsidRPr="581E4654">
        <w:rPr>
          <w:rFonts w:ascii="Times New Roman" w:hAnsi="Times New Roman"/>
          <w:sz w:val="24"/>
          <w:szCs w:val="24"/>
        </w:rPr>
        <w:t xml:space="preserve"> : Les risques</w:t>
      </w:r>
      <w:r w:rsidR="24141D91" w:rsidRPr="581E4654">
        <w:rPr>
          <w:rFonts w:ascii="Times New Roman" w:hAnsi="Times New Roman"/>
          <w:sz w:val="24"/>
          <w:szCs w:val="24"/>
        </w:rPr>
        <w:t xml:space="preserve"> internes</w:t>
      </w:r>
      <w:r w:rsidR="2350A273" w:rsidRPr="581E4654">
        <w:rPr>
          <w:rFonts w:ascii="Times New Roman" w:hAnsi="Times New Roman"/>
          <w:sz w:val="24"/>
          <w:szCs w:val="24"/>
        </w:rPr>
        <w:t xml:space="preserve"> proviennent de la présence continue et des attaques régulières des groupes armés non-étatiques au sein du territoire tchadien, des conflits intercommunautaires liés à l’accès aux ressources, que ce soit entre agriculteurs et éleveurs à l’est et au sud, ou bien dans les zones aurifères du nord. Ils proviennent également </w:t>
      </w:r>
      <w:r w:rsidR="54E38593" w:rsidRPr="581E4654">
        <w:rPr>
          <w:rFonts w:ascii="Times New Roman" w:hAnsi="Times New Roman"/>
          <w:sz w:val="24"/>
          <w:szCs w:val="24"/>
        </w:rPr>
        <w:t>des défis à relever pour une complète mise en œuvre des droits de l’homme en termes de respect</w:t>
      </w:r>
      <w:r w:rsidR="04F2DFF0" w:rsidRPr="581E4654">
        <w:rPr>
          <w:rFonts w:ascii="Times New Roman" w:hAnsi="Times New Roman"/>
          <w:sz w:val="24"/>
          <w:szCs w:val="24"/>
        </w:rPr>
        <w:t xml:space="preserve"> </w:t>
      </w:r>
      <w:r w:rsidR="54E38593" w:rsidRPr="581E4654">
        <w:rPr>
          <w:rFonts w:ascii="Times New Roman" w:hAnsi="Times New Roman"/>
          <w:sz w:val="24"/>
          <w:szCs w:val="24"/>
        </w:rPr>
        <w:t xml:space="preserve">par les porteurs de responsabilités et de jouissance </w:t>
      </w:r>
      <w:r w:rsidR="31CC75CC" w:rsidRPr="581E4654">
        <w:rPr>
          <w:rFonts w:ascii="Times New Roman" w:hAnsi="Times New Roman"/>
          <w:sz w:val="24"/>
          <w:szCs w:val="24"/>
        </w:rPr>
        <w:t>par les</w:t>
      </w:r>
      <w:r w:rsidR="54E38593" w:rsidRPr="581E4654">
        <w:rPr>
          <w:rFonts w:ascii="Times New Roman" w:hAnsi="Times New Roman"/>
          <w:sz w:val="24"/>
          <w:szCs w:val="24"/>
        </w:rPr>
        <w:t xml:space="preserve"> détenteurs de droits. </w:t>
      </w:r>
      <w:r w:rsidR="0253C1A9" w:rsidRPr="581E4654">
        <w:rPr>
          <w:rFonts w:ascii="Times New Roman" w:hAnsi="Times New Roman"/>
          <w:sz w:val="24"/>
          <w:szCs w:val="24"/>
        </w:rPr>
        <w:t>Il est possible qu’il y ait</w:t>
      </w:r>
      <w:r w:rsidR="54E38593" w:rsidRPr="581E4654">
        <w:rPr>
          <w:rFonts w:ascii="Times New Roman" w:hAnsi="Times New Roman"/>
          <w:sz w:val="24"/>
          <w:szCs w:val="24"/>
        </w:rPr>
        <w:t xml:space="preserve"> </w:t>
      </w:r>
      <w:r w:rsidR="2350A273" w:rsidRPr="581E4654">
        <w:rPr>
          <w:rFonts w:ascii="Times New Roman" w:hAnsi="Times New Roman"/>
          <w:sz w:val="24"/>
          <w:szCs w:val="24"/>
        </w:rPr>
        <w:t xml:space="preserve">des </w:t>
      </w:r>
      <w:r w:rsidR="04F2DFF0" w:rsidRPr="581E4654">
        <w:rPr>
          <w:rFonts w:ascii="Times New Roman" w:hAnsi="Times New Roman"/>
          <w:sz w:val="24"/>
          <w:szCs w:val="24"/>
        </w:rPr>
        <w:t xml:space="preserve">tensions </w:t>
      </w:r>
      <w:proofErr w:type="spellStart"/>
      <w:r w:rsidR="04F2DFF0" w:rsidRPr="581E4654">
        <w:rPr>
          <w:rFonts w:ascii="Times New Roman" w:hAnsi="Times New Roman"/>
          <w:sz w:val="24"/>
          <w:szCs w:val="24"/>
        </w:rPr>
        <w:t>politiques</w:t>
      </w:r>
      <w:r w:rsidR="21F68811" w:rsidRPr="581E4654">
        <w:rPr>
          <w:rFonts w:ascii="Times New Roman" w:hAnsi="Times New Roman"/>
          <w:sz w:val="24"/>
          <w:szCs w:val="24"/>
        </w:rPr>
        <w:t>pendant</w:t>
      </w:r>
      <w:proofErr w:type="spellEnd"/>
      <w:r w:rsidR="21F68811" w:rsidRPr="581E4654">
        <w:rPr>
          <w:rFonts w:ascii="Times New Roman" w:hAnsi="Times New Roman"/>
          <w:sz w:val="24"/>
          <w:szCs w:val="24"/>
        </w:rPr>
        <w:t xml:space="preserve"> la phase actuelle de transition et au moment des élections </w:t>
      </w:r>
      <w:r w:rsidR="1703C053" w:rsidRPr="581E4654">
        <w:rPr>
          <w:rFonts w:ascii="Times New Roman" w:hAnsi="Times New Roman"/>
          <w:sz w:val="24"/>
          <w:szCs w:val="24"/>
        </w:rPr>
        <w:t xml:space="preserve">parlementaires et </w:t>
      </w:r>
      <w:r w:rsidR="3409C2FA" w:rsidRPr="581E4654">
        <w:rPr>
          <w:rFonts w:ascii="Times New Roman" w:hAnsi="Times New Roman"/>
          <w:sz w:val="24"/>
          <w:szCs w:val="24"/>
        </w:rPr>
        <w:t>présidentielles</w:t>
      </w:r>
      <w:r w:rsidR="1703C053" w:rsidRPr="581E4654">
        <w:rPr>
          <w:rFonts w:ascii="Times New Roman" w:hAnsi="Times New Roman"/>
          <w:sz w:val="24"/>
          <w:szCs w:val="24"/>
        </w:rPr>
        <w:t xml:space="preserve"> </w:t>
      </w:r>
      <w:r w:rsidR="0D752568" w:rsidRPr="581E4654">
        <w:rPr>
          <w:rFonts w:ascii="Times New Roman" w:hAnsi="Times New Roman"/>
          <w:sz w:val="24"/>
          <w:szCs w:val="24"/>
        </w:rPr>
        <w:t>annoncées</w:t>
      </w:r>
      <w:r w:rsidR="1703C053" w:rsidRPr="581E4654">
        <w:rPr>
          <w:rFonts w:ascii="Times New Roman" w:hAnsi="Times New Roman"/>
          <w:sz w:val="24"/>
          <w:szCs w:val="24"/>
        </w:rPr>
        <w:t xml:space="preserve"> pour juin et </w:t>
      </w:r>
      <w:r w:rsidR="21F68811" w:rsidRPr="581E4654">
        <w:rPr>
          <w:rFonts w:ascii="Times New Roman" w:hAnsi="Times New Roman"/>
          <w:sz w:val="24"/>
          <w:szCs w:val="24"/>
        </w:rPr>
        <w:t>septembre 2022</w:t>
      </w:r>
      <w:r w:rsidR="737729DB" w:rsidRPr="581E4654">
        <w:rPr>
          <w:rFonts w:ascii="Times New Roman" w:hAnsi="Times New Roman"/>
          <w:sz w:val="24"/>
          <w:szCs w:val="24"/>
        </w:rPr>
        <w:t>.</w:t>
      </w:r>
    </w:p>
    <w:p w14:paraId="4D9FDEE0" w14:textId="77777777" w:rsidR="000063B5" w:rsidRDefault="000063B5" w:rsidP="000063B5">
      <w:pPr>
        <w:spacing w:after="0" w:line="247" w:lineRule="auto"/>
        <w:ind w:right="288"/>
        <w:jc w:val="both"/>
        <w:rPr>
          <w:rFonts w:ascii="Times New Roman" w:hAnsi="Times New Roman"/>
          <w:sz w:val="24"/>
          <w:szCs w:val="24"/>
        </w:rPr>
      </w:pPr>
    </w:p>
    <w:p w14:paraId="09360B00" w14:textId="7777B55D" w:rsidR="000063B5" w:rsidRDefault="000063B5" w:rsidP="000063B5">
      <w:pPr>
        <w:spacing w:after="0" w:line="247" w:lineRule="auto"/>
        <w:ind w:right="288"/>
        <w:jc w:val="both"/>
        <w:rPr>
          <w:rFonts w:ascii="Times New Roman" w:hAnsi="Times New Roman"/>
          <w:sz w:val="24"/>
          <w:szCs w:val="24"/>
        </w:rPr>
      </w:pPr>
      <w:r w:rsidRPr="6BC40FD5">
        <w:rPr>
          <w:rFonts w:ascii="Times New Roman" w:hAnsi="Times New Roman"/>
          <w:b/>
          <w:bCs/>
          <w:sz w:val="24"/>
          <w:szCs w:val="24"/>
        </w:rPr>
        <w:t>L’</w:t>
      </w:r>
      <w:r w:rsidR="008E3564" w:rsidRPr="6BC40FD5">
        <w:rPr>
          <w:rFonts w:ascii="Times New Roman" w:hAnsi="Times New Roman"/>
          <w:b/>
          <w:bCs/>
          <w:sz w:val="24"/>
          <w:szCs w:val="24"/>
        </w:rPr>
        <w:t>avènement</w:t>
      </w:r>
      <w:r w:rsidR="00CB3736" w:rsidRPr="6BC40FD5">
        <w:rPr>
          <w:rFonts w:ascii="Times New Roman" w:hAnsi="Times New Roman"/>
          <w:b/>
          <w:bCs/>
          <w:sz w:val="24"/>
          <w:szCs w:val="24"/>
        </w:rPr>
        <w:t xml:space="preserve"> </w:t>
      </w:r>
      <w:r w:rsidRPr="6BC40FD5">
        <w:rPr>
          <w:rFonts w:ascii="Times New Roman" w:hAnsi="Times New Roman"/>
          <w:b/>
          <w:bCs/>
          <w:sz w:val="24"/>
          <w:szCs w:val="24"/>
        </w:rPr>
        <w:t xml:space="preserve">de la pandémie </w:t>
      </w:r>
      <w:r w:rsidR="00CB3736" w:rsidRPr="6BC40FD5">
        <w:rPr>
          <w:rFonts w:ascii="Times New Roman" w:hAnsi="Times New Roman"/>
          <w:b/>
          <w:bCs/>
          <w:sz w:val="24"/>
          <w:szCs w:val="24"/>
        </w:rPr>
        <w:t>à</w:t>
      </w:r>
      <w:r w:rsidRPr="6BC40FD5">
        <w:rPr>
          <w:rFonts w:ascii="Times New Roman" w:hAnsi="Times New Roman"/>
          <w:b/>
          <w:bCs/>
          <w:sz w:val="24"/>
          <w:szCs w:val="24"/>
        </w:rPr>
        <w:t xml:space="preserve"> </w:t>
      </w:r>
      <w:r w:rsidR="00CB3736" w:rsidRPr="6BC40FD5">
        <w:rPr>
          <w:rFonts w:ascii="Times New Roman" w:hAnsi="Times New Roman"/>
          <w:b/>
          <w:bCs/>
          <w:sz w:val="24"/>
          <w:szCs w:val="24"/>
        </w:rPr>
        <w:t>la</w:t>
      </w:r>
      <w:r w:rsidRPr="6BC40FD5">
        <w:rPr>
          <w:rFonts w:ascii="Times New Roman" w:hAnsi="Times New Roman"/>
          <w:b/>
          <w:bCs/>
          <w:sz w:val="24"/>
          <w:szCs w:val="24"/>
        </w:rPr>
        <w:t xml:space="preserve"> COVID-19 et la mise en place des mesures barrières ont un impact sur la situation socio-économique</w:t>
      </w:r>
      <w:r w:rsidRPr="6BC40FD5">
        <w:rPr>
          <w:rFonts w:ascii="Times New Roman" w:hAnsi="Times New Roman"/>
          <w:sz w:val="24"/>
          <w:szCs w:val="24"/>
        </w:rPr>
        <w:t xml:space="preserve">. </w:t>
      </w:r>
      <w:r w:rsidR="006F1647" w:rsidRPr="6BC40FD5">
        <w:rPr>
          <w:rFonts w:ascii="Times New Roman" w:hAnsi="Times New Roman"/>
          <w:sz w:val="24"/>
          <w:szCs w:val="24"/>
        </w:rPr>
        <w:t xml:space="preserve">Ces mesures ont induit la </w:t>
      </w:r>
      <w:r w:rsidR="0068398F" w:rsidRPr="6BC40FD5">
        <w:rPr>
          <w:rFonts w:ascii="Times New Roman" w:hAnsi="Times New Roman"/>
          <w:sz w:val="24"/>
          <w:szCs w:val="24"/>
        </w:rPr>
        <w:t>fermeture</w:t>
      </w:r>
      <w:r w:rsidR="006F1647" w:rsidRPr="6BC40FD5">
        <w:rPr>
          <w:rFonts w:ascii="Times New Roman" w:hAnsi="Times New Roman"/>
          <w:sz w:val="24"/>
          <w:szCs w:val="24"/>
        </w:rPr>
        <w:t xml:space="preserve"> de certaines entreprises et des établissements scolaires</w:t>
      </w:r>
      <w:r w:rsidR="0068398F" w:rsidRPr="6BC40FD5">
        <w:rPr>
          <w:rFonts w:ascii="Times New Roman" w:hAnsi="Times New Roman"/>
          <w:sz w:val="24"/>
          <w:szCs w:val="24"/>
        </w:rPr>
        <w:t xml:space="preserve"> qui conduit l’augmentation du taux de </w:t>
      </w:r>
      <w:r w:rsidR="008E3564" w:rsidRPr="6BC40FD5">
        <w:rPr>
          <w:rFonts w:ascii="Times New Roman" w:hAnsi="Times New Roman"/>
          <w:sz w:val="24"/>
          <w:szCs w:val="24"/>
        </w:rPr>
        <w:t>chômage</w:t>
      </w:r>
      <w:r w:rsidR="0068398F" w:rsidRPr="6BC40FD5">
        <w:rPr>
          <w:rFonts w:ascii="Times New Roman" w:hAnsi="Times New Roman"/>
          <w:sz w:val="24"/>
          <w:szCs w:val="24"/>
        </w:rPr>
        <w:t xml:space="preserve"> et de l’oisiveté</w:t>
      </w:r>
      <w:r w:rsidR="006F1647" w:rsidRPr="6BC40FD5">
        <w:rPr>
          <w:rFonts w:ascii="Times New Roman" w:hAnsi="Times New Roman"/>
          <w:sz w:val="24"/>
          <w:szCs w:val="24"/>
        </w:rPr>
        <w:t xml:space="preserve">. Tout ceci </w:t>
      </w:r>
      <w:r w:rsidR="0068398F" w:rsidRPr="6BC40FD5">
        <w:rPr>
          <w:rFonts w:ascii="Times New Roman" w:hAnsi="Times New Roman"/>
          <w:sz w:val="24"/>
          <w:szCs w:val="24"/>
        </w:rPr>
        <w:t>a contribué à l’augmentation de l’insécurité</w:t>
      </w:r>
      <w:r w:rsidR="006F1647" w:rsidRPr="6BC40FD5">
        <w:rPr>
          <w:rFonts w:ascii="Times New Roman" w:hAnsi="Times New Roman"/>
          <w:sz w:val="24"/>
          <w:szCs w:val="24"/>
        </w:rPr>
        <w:t xml:space="preserve">. </w:t>
      </w:r>
      <w:r w:rsidR="115DAADD" w:rsidRPr="6BC40FD5">
        <w:rPr>
          <w:rFonts w:ascii="Times New Roman" w:hAnsi="Times New Roman"/>
          <w:sz w:val="24"/>
          <w:szCs w:val="24"/>
        </w:rPr>
        <w:t>Les restrictions de voyage ont eu des effets dévastateurs sur le commerce et sur les moyens de subsistance des communautés frontalières, y compris des migrants. Les fermetures de frontières ont conduit à ce que des migrants soient bloqués, notamment des travailleurs saisonniers, des étudiants et des éleveurs.</w:t>
      </w:r>
    </w:p>
    <w:p w14:paraId="48B1C07D" w14:textId="77777777" w:rsidR="002D71EA" w:rsidRDefault="002D71EA" w:rsidP="000063B5">
      <w:pPr>
        <w:spacing w:after="0" w:line="247" w:lineRule="auto"/>
        <w:ind w:right="288"/>
        <w:jc w:val="both"/>
        <w:rPr>
          <w:rFonts w:ascii="Times New Roman" w:hAnsi="Times New Roman"/>
          <w:b/>
          <w:bCs/>
          <w:sz w:val="24"/>
          <w:szCs w:val="24"/>
        </w:rPr>
      </w:pPr>
    </w:p>
    <w:p w14:paraId="34BA01BB" w14:textId="77777777" w:rsidR="000063B5" w:rsidRPr="00B24BB8" w:rsidRDefault="000063B5" w:rsidP="000824A6">
      <w:pPr>
        <w:spacing w:after="0" w:line="240" w:lineRule="auto"/>
        <w:ind w:right="288"/>
        <w:jc w:val="both"/>
        <w:rPr>
          <w:rFonts w:ascii="Times New Roman" w:hAnsi="Times New Roman"/>
          <w:sz w:val="24"/>
          <w:szCs w:val="24"/>
        </w:rPr>
      </w:pPr>
    </w:p>
    <w:p w14:paraId="118164B1" w14:textId="459E0F05" w:rsidR="00B24BB8" w:rsidRPr="002B45EB" w:rsidRDefault="00B24BB8" w:rsidP="00BC1AE3">
      <w:pPr>
        <w:pStyle w:val="Titre2"/>
        <w:numPr>
          <w:ilvl w:val="1"/>
          <w:numId w:val="27"/>
        </w:numPr>
        <w:spacing w:before="0" w:after="0"/>
        <w:rPr>
          <w:b/>
          <w:bCs w:val="0"/>
          <w:sz w:val="28"/>
          <w:szCs w:val="28"/>
        </w:rPr>
      </w:pPr>
      <w:bookmarkStart w:id="348" w:name="_Toc55922229"/>
      <w:bookmarkStart w:id="349" w:name="_Toc56001534"/>
      <w:bookmarkStart w:id="350" w:name="_Toc61523615"/>
      <w:bookmarkStart w:id="351" w:name="_Toc90910819"/>
      <w:bookmarkEnd w:id="348"/>
      <w:bookmarkEnd w:id="349"/>
      <w:r w:rsidRPr="002B45EB">
        <w:rPr>
          <w:b/>
          <w:bCs w:val="0"/>
          <w:sz w:val="28"/>
          <w:szCs w:val="28"/>
        </w:rPr>
        <w:t>Facteurs de risque, vulnérabilité, besoins et probabilité</w:t>
      </w:r>
      <w:bookmarkEnd w:id="350"/>
      <w:bookmarkEnd w:id="351"/>
    </w:p>
    <w:p w14:paraId="7FE6C2F3" w14:textId="77777777" w:rsidR="003503F9" w:rsidRPr="00EA5C8E" w:rsidRDefault="003503F9" w:rsidP="00B24BB8">
      <w:pPr>
        <w:spacing w:after="0" w:line="249" w:lineRule="auto"/>
        <w:ind w:right="288"/>
        <w:jc w:val="both"/>
        <w:rPr>
          <w:b/>
          <w:i/>
        </w:rPr>
      </w:pPr>
    </w:p>
    <w:p w14:paraId="3F5E6C97" w14:textId="74B93116" w:rsidR="00946A59" w:rsidRDefault="2350A273" w:rsidP="00BC1AE3">
      <w:pPr>
        <w:pStyle w:val="Paragraphedeliste"/>
        <w:numPr>
          <w:ilvl w:val="0"/>
          <w:numId w:val="14"/>
        </w:numPr>
        <w:jc w:val="both"/>
        <w:rPr>
          <w:rFonts w:ascii="Times New Roman" w:hAnsi="Times New Roman"/>
          <w:sz w:val="24"/>
          <w:szCs w:val="24"/>
        </w:rPr>
      </w:pPr>
      <w:r w:rsidRPr="581E4654">
        <w:rPr>
          <w:rFonts w:ascii="Times New Roman" w:hAnsi="Times New Roman"/>
          <w:b/>
          <w:bCs/>
          <w:sz w:val="24"/>
          <w:szCs w:val="24"/>
        </w:rPr>
        <w:t>L’insécurité continue dans le Bassin du Lac Tchad (BLT)</w:t>
      </w:r>
      <w:r w:rsidRPr="581E4654">
        <w:rPr>
          <w:rFonts w:ascii="Times New Roman" w:hAnsi="Times New Roman"/>
          <w:sz w:val="24"/>
          <w:szCs w:val="24"/>
        </w:rPr>
        <w:t xml:space="preserve"> </w:t>
      </w:r>
      <w:r w:rsidRPr="581E4654">
        <w:rPr>
          <w:rFonts w:ascii="Times New Roman" w:hAnsi="Times New Roman"/>
          <w:b/>
          <w:bCs/>
          <w:color w:val="FF0000"/>
          <w:sz w:val="24"/>
          <w:szCs w:val="24"/>
        </w:rPr>
        <w:t>(Probabilité – élevée)</w:t>
      </w:r>
      <w:r w:rsidRPr="581E4654">
        <w:rPr>
          <w:rFonts w:ascii="Times New Roman" w:hAnsi="Times New Roman"/>
          <w:color w:val="FF0000"/>
          <w:sz w:val="24"/>
          <w:szCs w:val="24"/>
        </w:rPr>
        <w:t> </w:t>
      </w:r>
      <w:r w:rsidRPr="581E4654">
        <w:rPr>
          <w:rFonts w:ascii="Times New Roman" w:hAnsi="Times New Roman"/>
          <w:sz w:val="24"/>
          <w:szCs w:val="24"/>
        </w:rPr>
        <w:t xml:space="preserve">: </w:t>
      </w:r>
      <w:r w:rsidR="2E7235CB" w:rsidRPr="581E4654">
        <w:rPr>
          <w:rFonts w:ascii="Times New Roman" w:hAnsi="Times New Roman"/>
          <w:sz w:val="24"/>
          <w:szCs w:val="24"/>
        </w:rPr>
        <w:t xml:space="preserve">Le niveau d’incidents sécuritaires dans </w:t>
      </w:r>
      <w:r w:rsidR="5D200B74" w:rsidRPr="581E4654">
        <w:rPr>
          <w:rFonts w:ascii="Times New Roman" w:hAnsi="Times New Roman"/>
          <w:sz w:val="24"/>
          <w:szCs w:val="24"/>
        </w:rPr>
        <w:t>les</w:t>
      </w:r>
      <w:r w:rsidR="2E7235CB" w:rsidRPr="581E4654">
        <w:rPr>
          <w:rFonts w:ascii="Times New Roman" w:hAnsi="Times New Roman"/>
          <w:sz w:val="24"/>
          <w:szCs w:val="24"/>
        </w:rPr>
        <w:t xml:space="preserve"> provinces </w:t>
      </w:r>
      <w:proofErr w:type="spellStart"/>
      <w:r w:rsidR="38475256" w:rsidRPr="581E4654">
        <w:rPr>
          <w:rFonts w:ascii="Times New Roman" w:hAnsi="Times New Roman"/>
          <w:sz w:val="24"/>
          <w:szCs w:val="24"/>
        </w:rPr>
        <w:t>autor</w:t>
      </w:r>
      <w:proofErr w:type="spellEnd"/>
      <w:r w:rsidR="38475256" w:rsidRPr="581E4654">
        <w:rPr>
          <w:rFonts w:ascii="Times New Roman" w:hAnsi="Times New Roman"/>
          <w:sz w:val="24"/>
          <w:szCs w:val="24"/>
        </w:rPr>
        <w:t xml:space="preserve"> du Lac Tchad </w:t>
      </w:r>
      <w:r w:rsidR="2E7235CB" w:rsidRPr="581E4654">
        <w:rPr>
          <w:rFonts w:ascii="Times New Roman" w:hAnsi="Times New Roman"/>
          <w:sz w:val="24"/>
          <w:szCs w:val="24"/>
        </w:rPr>
        <w:t>reste élevé en 2021.</w:t>
      </w:r>
      <w:r w:rsidR="7AA66DFB" w:rsidRPr="581E4654">
        <w:rPr>
          <w:rFonts w:ascii="Times New Roman" w:hAnsi="Times New Roman"/>
          <w:sz w:val="24"/>
          <w:szCs w:val="24"/>
        </w:rPr>
        <w:t xml:space="preserve"> </w:t>
      </w:r>
      <w:r w:rsidRPr="581E4654">
        <w:rPr>
          <w:rFonts w:ascii="Times New Roman" w:hAnsi="Times New Roman"/>
          <w:sz w:val="24"/>
          <w:szCs w:val="24"/>
        </w:rPr>
        <w:t xml:space="preserve">Une détérioration significative de la situation sécuritaire dans la province du </w:t>
      </w:r>
      <w:proofErr w:type="spellStart"/>
      <w:r w:rsidRPr="581E4654">
        <w:rPr>
          <w:rFonts w:ascii="Times New Roman" w:hAnsi="Times New Roman"/>
          <w:sz w:val="24"/>
          <w:szCs w:val="24"/>
        </w:rPr>
        <w:t>Borno</w:t>
      </w:r>
      <w:proofErr w:type="spellEnd"/>
      <w:r w:rsidRPr="581E4654">
        <w:rPr>
          <w:rFonts w:ascii="Times New Roman" w:hAnsi="Times New Roman"/>
          <w:sz w:val="24"/>
          <w:szCs w:val="24"/>
        </w:rPr>
        <w:t xml:space="preserve"> (Nigéria), une augmentation du nombre d’attaques dans la zone de Diffa au Niger, ainsi que les alliances et les tactiques mouvantes des </w:t>
      </w:r>
      <w:r w:rsidR="42D044CC" w:rsidRPr="581E4654">
        <w:rPr>
          <w:rFonts w:ascii="Times New Roman" w:hAnsi="Times New Roman"/>
          <w:sz w:val="24"/>
          <w:szCs w:val="24"/>
        </w:rPr>
        <w:t>groupes armés non-étatiques</w:t>
      </w:r>
      <w:r w:rsidRPr="581E4654">
        <w:rPr>
          <w:rFonts w:ascii="Times New Roman" w:hAnsi="Times New Roman"/>
          <w:sz w:val="24"/>
          <w:szCs w:val="24"/>
        </w:rPr>
        <w:t xml:space="preserve">, mettent à mal les efforts pour restaurer la stabilité à court terme. La </w:t>
      </w:r>
      <w:r w:rsidR="43F4120C" w:rsidRPr="581E4654">
        <w:rPr>
          <w:rFonts w:ascii="Times New Roman" w:hAnsi="Times New Roman"/>
          <w:sz w:val="24"/>
          <w:szCs w:val="24"/>
        </w:rPr>
        <w:t>s</w:t>
      </w:r>
      <w:r w:rsidRPr="581E4654">
        <w:rPr>
          <w:rFonts w:ascii="Times New Roman" w:hAnsi="Times New Roman"/>
          <w:sz w:val="24"/>
          <w:szCs w:val="24"/>
        </w:rPr>
        <w:t xml:space="preserve">ituation dans la région s’est nettement </w:t>
      </w:r>
      <w:r w:rsidR="42B49807" w:rsidRPr="581E4654">
        <w:rPr>
          <w:rFonts w:ascii="Times New Roman" w:hAnsi="Times New Roman"/>
          <w:sz w:val="24"/>
          <w:szCs w:val="24"/>
        </w:rPr>
        <w:t>détériorée avec</w:t>
      </w:r>
      <w:r w:rsidRPr="581E4654">
        <w:rPr>
          <w:rFonts w:ascii="Times New Roman" w:hAnsi="Times New Roman"/>
          <w:sz w:val="24"/>
          <w:szCs w:val="24"/>
        </w:rPr>
        <w:t xml:space="preserve"> la publication par l’Etat Islamique (ISIS) le 13 août </w:t>
      </w:r>
      <w:r w:rsidR="787B3E8A" w:rsidRPr="581E4654">
        <w:rPr>
          <w:rFonts w:ascii="Times New Roman" w:hAnsi="Times New Roman"/>
          <w:sz w:val="24"/>
          <w:szCs w:val="24"/>
        </w:rPr>
        <w:t xml:space="preserve">2020 </w:t>
      </w:r>
      <w:r w:rsidRPr="581E4654">
        <w:rPr>
          <w:rFonts w:ascii="Times New Roman" w:hAnsi="Times New Roman"/>
          <w:sz w:val="24"/>
          <w:szCs w:val="24"/>
        </w:rPr>
        <w:t>de sa menace contre le personnel des Nations Unies dans la région du Sahel.</w:t>
      </w:r>
      <w:r w:rsidR="4D2DCD6E" w:rsidRPr="581E4654">
        <w:rPr>
          <w:rFonts w:ascii="Times New Roman" w:hAnsi="Times New Roman"/>
          <w:sz w:val="24"/>
          <w:szCs w:val="24"/>
        </w:rPr>
        <w:t xml:space="preserve"> Dans ce contexte les </w:t>
      </w:r>
      <w:r w:rsidR="7AA66DFB" w:rsidRPr="581E4654">
        <w:rPr>
          <w:rFonts w:ascii="Times New Roman" w:hAnsi="Times New Roman"/>
          <w:sz w:val="24"/>
          <w:szCs w:val="24"/>
        </w:rPr>
        <w:t>populations des pays de bassin sont exposées au risque de</w:t>
      </w:r>
      <w:r w:rsidR="4D2DCD6E" w:rsidRPr="581E4654">
        <w:rPr>
          <w:rFonts w:ascii="Times New Roman" w:hAnsi="Times New Roman"/>
          <w:sz w:val="24"/>
          <w:szCs w:val="24"/>
        </w:rPr>
        <w:t xml:space="preserve"> mouvements </w:t>
      </w:r>
      <w:r w:rsidR="7AA66DFB" w:rsidRPr="581E4654">
        <w:rPr>
          <w:rFonts w:ascii="Times New Roman" w:hAnsi="Times New Roman"/>
          <w:sz w:val="24"/>
          <w:szCs w:val="24"/>
        </w:rPr>
        <w:t xml:space="preserve">perpétuels. </w:t>
      </w:r>
      <w:r w:rsidR="4D2DCD6E" w:rsidRPr="581E4654">
        <w:rPr>
          <w:rFonts w:ascii="Times New Roman" w:hAnsi="Times New Roman"/>
          <w:sz w:val="24"/>
          <w:szCs w:val="24"/>
        </w:rPr>
        <w:t>En ce sens, les systèmes de suivi des mouvements de population</w:t>
      </w:r>
      <w:r w:rsidR="7AA66DFB" w:rsidRPr="581E4654">
        <w:rPr>
          <w:rFonts w:ascii="Times New Roman" w:hAnsi="Times New Roman"/>
          <w:sz w:val="24"/>
          <w:szCs w:val="24"/>
        </w:rPr>
        <w:t>s</w:t>
      </w:r>
      <w:r w:rsidR="4D2DCD6E" w:rsidRPr="581E4654">
        <w:rPr>
          <w:rFonts w:ascii="Times New Roman" w:hAnsi="Times New Roman"/>
          <w:sz w:val="24"/>
          <w:szCs w:val="24"/>
        </w:rPr>
        <w:t xml:space="preserve"> </w:t>
      </w:r>
      <w:r w:rsidR="6537F413" w:rsidRPr="581E4654">
        <w:rPr>
          <w:rFonts w:ascii="Times New Roman" w:hAnsi="Times New Roman"/>
          <w:sz w:val="24"/>
          <w:szCs w:val="24"/>
        </w:rPr>
        <w:t>d</w:t>
      </w:r>
      <w:r w:rsidR="10FE58DC" w:rsidRPr="581E4654">
        <w:rPr>
          <w:rFonts w:ascii="Times New Roman" w:hAnsi="Times New Roman"/>
          <w:sz w:val="24"/>
          <w:szCs w:val="24"/>
        </w:rPr>
        <w:t>an</w:t>
      </w:r>
      <w:r w:rsidR="6537F413" w:rsidRPr="581E4654">
        <w:rPr>
          <w:rFonts w:ascii="Times New Roman" w:hAnsi="Times New Roman"/>
          <w:sz w:val="24"/>
          <w:szCs w:val="24"/>
        </w:rPr>
        <w:t xml:space="preserve">s la région du Bassin du Lac Tchad </w:t>
      </w:r>
      <w:r w:rsidR="4D2DCD6E" w:rsidRPr="581E4654">
        <w:rPr>
          <w:rFonts w:ascii="Times New Roman" w:hAnsi="Times New Roman"/>
          <w:sz w:val="24"/>
          <w:szCs w:val="24"/>
        </w:rPr>
        <w:t xml:space="preserve">par </w:t>
      </w:r>
      <w:r w:rsidR="7D0E4533" w:rsidRPr="581E4654">
        <w:rPr>
          <w:rFonts w:ascii="Times New Roman" w:hAnsi="Times New Roman"/>
          <w:sz w:val="24"/>
          <w:szCs w:val="24"/>
        </w:rPr>
        <w:t xml:space="preserve">les agences impliquées </w:t>
      </w:r>
      <w:r w:rsidR="4D2DCD6E" w:rsidRPr="581E4654">
        <w:rPr>
          <w:rFonts w:ascii="Times New Roman" w:hAnsi="Times New Roman"/>
          <w:sz w:val="24"/>
          <w:szCs w:val="24"/>
        </w:rPr>
        <w:t xml:space="preserve">restent </w:t>
      </w:r>
      <w:r w:rsidR="6537F413" w:rsidRPr="581E4654">
        <w:rPr>
          <w:rFonts w:ascii="Times New Roman" w:hAnsi="Times New Roman"/>
          <w:sz w:val="24"/>
          <w:szCs w:val="24"/>
        </w:rPr>
        <w:t>indispensable</w:t>
      </w:r>
      <w:r w:rsidR="7AA66DFB" w:rsidRPr="581E4654">
        <w:rPr>
          <w:rFonts w:ascii="Times New Roman" w:hAnsi="Times New Roman"/>
          <w:sz w:val="24"/>
          <w:szCs w:val="24"/>
        </w:rPr>
        <w:t>s</w:t>
      </w:r>
      <w:r w:rsidR="6537F413" w:rsidRPr="581E4654">
        <w:rPr>
          <w:rFonts w:ascii="Times New Roman" w:hAnsi="Times New Roman"/>
          <w:sz w:val="24"/>
          <w:szCs w:val="24"/>
        </w:rPr>
        <w:t xml:space="preserve"> </w:t>
      </w:r>
      <w:r w:rsidR="4D2DCD6E" w:rsidRPr="581E4654">
        <w:rPr>
          <w:rFonts w:ascii="Times New Roman" w:hAnsi="Times New Roman"/>
          <w:sz w:val="24"/>
          <w:szCs w:val="24"/>
        </w:rPr>
        <w:t xml:space="preserve">pour avoir un aperçu continue de la </w:t>
      </w:r>
      <w:proofErr w:type="spellStart"/>
      <w:proofErr w:type="gramStart"/>
      <w:r w:rsidR="4D2DCD6E" w:rsidRPr="581E4654">
        <w:rPr>
          <w:rFonts w:ascii="Times New Roman" w:hAnsi="Times New Roman"/>
          <w:sz w:val="24"/>
          <w:szCs w:val="24"/>
        </w:rPr>
        <w:t>situation.</w:t>
      </w:r>
      <w:r w:rsidR="1B7C0899">
        <w:rPr>
          <w:rFonts w:ascii="Times New Roman" w:hAnsi="Times New Roman"/>
          <w:sz w:val="24"/>
          <w:szCs w:val="24"/>
        </w:rPr>
        <w:t>L</w:t>
      </w:r>
      <w:proofErr w:type="spellEnd"/>
      <w:proofErr w:type="gramEnd"/>
      <w:r w:rsidR="71E1CB59">
        <w:rPr>
          <w:rFonts w:ascii="Times New Roman" w:hAnsi="Times New Roman"/>
          <w:sz w:val="24"/>
          <w:szCs w:val="24"/>
        </w:rPr>
        <w:t xml:space="preserve"> </w:t>
      </w:r>
      <w:r w:rsidR="1B7C0899" w:rsidRPr="00A8375B">
        <w:rPr>
          <w:rFonts w:ascii="Times New Roman" w:hAnsi="Times New Roman"/>
          <w:sz w:val="24"/>
        </w:rPr>
        <w:t>L</w:t>
      </w:r>
      <w:r w:rsidR="71E1CB59" w:rsidRPr="00A8375B">
        <w:rPr>
          <w:rFonts w:ascii="Times New Roman" w:hAnsi="Times New Roman"/>
          <w:sz w:val="24"/>
        </w:rPr>
        <w:t>es populations</w:t>
      </w:r>
      <w:r w:rsidR="00D861F4" w:rsidRPr="00A8375B">
        <w:rPr>
          <w:rFonts w:ascii="Times New Roman" w:hAnsi="Times New Roman"/>
          <w:sz w:val="24"/>
        </w:rPr>
        <w:t xml:space="preserve"> </w:t>
      </w:r>
      <w:r w:rsidR="7D6D8E33" w:rsidRPr="00A8375B">
        <w:rPr>
          <w:rFonts w:ascii="Times New Roman" w:hAnsi="Times New Roman"/>
          <w:sz w:val="24"/>
        </w:rPr>
        <w:t>civiles</w:t>
      </w:r>
      <w:r w:rsidR="7D6D8E33" w:rsidRPr="00946A59">
        <w:rPr>
          <w:rFonts w:ascii="Times New Roman" w:hAnsi="Times New Roman"/>
          <w:sz w:val="24"/>
          <w:szCs w:val="24"/>
        </w:rPr>
        <w:t xml:space="preserve"> dans la </w:t>
      </w:r>
      <w:proofErr w:type="spellStart"/>
      <w:r w:rsidR="7D6D8E33" w:rsidRPr="00946A59">
        <w:rPr>
          <w:rFonts w:ascii="Times New Roman" w:hAnsi="Times New Roman"/>
          <w:sz w:val="24"/>
          <w:szCs w:val="24"/>
        </w:rPr>
        <w:t>region</w:t>
      </w:r>
      <w:proofErr w:type="spellEnd"/>
      <w:r w:rsidR="7D6D8E33" w:rsidRPr="00946A59">
        <w:rPr>
          <w:rFonts w:ascii="Times New Roman" w:hAnsi="Times New Roman"/>
          <w:sz w:val="24"/>
          <w:szCs w:val="24"/>
        </w:rPr>
        <w:t xml:space="preserve"> </w:t>
      </w:r>
      <w:r w:rsidR="00D861F4" w:rsidRPr="00946A59">
        <w:rPr>
          <w:rFonts w:ascii="Times New Roman" w:hAnsi="Times New Roman"/>
          <w:sz w:val="24"/>
          <w:szCs w:val="24"/>
        </w:rPr>
        <w:t>sont plus exposées</w:t>
      </w:r>
      <w:r w:rsidR="3BC75F3B">
        <w:rPr>
          <w:rFonts w:ascii="Times New Roman" w:hAnsi="Times New Roman"/>
          <w:sz w:val="24"/>
          <w:szCs w:val="24"/>
        </w:rPr>
        <w:t xml:space="preserve"> </w:t>
      </w:r>
      <w:r w:rsidR="7AA66DFB">
        <w:rPr>
          <w:rFonts w:ascii="Times New Roman" w:hAnsi="Times New Roman"/>
          <w:sz w:val="24"/>
          <w:szCs w:val="24"/>
        </w:rPr>
        <w:t xml:space="preserve">aux </w:t>
      </w:r>
      <w:r w:rsidR="3BC75F3B" w:rsidRPr="008A7936">
        <w:rPr>
          <w:rFonts w:ascii="Times New Roman" w:hAnsi="Times New Roman"/>
          <w:sz w:val="24"/>
          <w:szCs w:val="24"/>
        </w:rPr>
        <w:t>violations des leurs droits, aux</w:t>
      </w:r>
      <w:r w:rsidR="00D861F4" w:rsidRPr="00946A59">
        <w:rPr>
          <w:rFonts w:ascii="Times New Roman" w:hAnsi="Times New Roman"/>
          <w:sz w:val="24"/>
          <w:szCs w:val="24"/>
        </w:rPr>
        <w:t xml:space="preserve"> enlèvements, aux violences basées sur le genre</w:t>
      </w:r>
      <w:r w:rsidR="71E1CB59">
        <w:rPr>
          <w:rFonts w:ascii="Times New Roman" w:hAnsi="Times New Roman"/>
          <w:sz w:val="24"/>
          <w:szCs w:val="24"/>
        </w:rPr>
        <w:t xml:space="preserve"> et</w:t>
      </w:r>
      <w:r w:rsidR="00D861F4" w:rsidRPr="00946A59">
        <w:rPr>
          <w:rFonts w:ascii="Times New Roman" w:hAnsi="Times New Roman"/>
          <w:sz w:val="24"/>
          <w:szCs w:val="24"/>
        </w:rPr>
        <w:t xml:space="preserve"> aux pillages. Cela impacte </w:t>
      </w:r>
      <w:r w:rsidR="71E1CB59">
        <w:rPr>
          <w:rFonts w:ascii="Times New Roman" w:hAnsi="Times New Roman"/>
          <w:sz w:val="24"/>
          <w:szCs w:val="24"/>
        </w:rPr>
        <w:t xml:space="preserve">davantage </w:t>
      </w:r>
      <w:r w:rsidR="00D861F4" w:rsidRPr="00CB5429">
        <w:rPr>
          <w:rFonts w:ascii="Times New Roman" w:hAnsi="Times New Roman"/>
          <w:sz w:val="24"/>
          <w:szCs w:val="24"/>
        </w:rPr>
        <w:t>leur</w:t>
      </w:r>
      <w:r w:rsidR="71E1CB59">
        <w:rPr>
          <w:rFonts w:ascii="Times New Roman" w:hAnsi="Times New Roman"/>
          <w:sz w:val="24"/>
          <w:szCs w:val="24"/>
        </w:rPr>
        <w:t>s</w:t>
      </w:r>
      <w:r w:rsidR="00D861F4" w:rsidRPr="00CB5429">
        <w:rPr>
          <w:rFonts w:ascii="Times New Roman" w:hAnsi="Times New Roman"/>
          <w:sz w:val="24"/>
          <w:szCs w:val="24"/>
        </w:rPr>
        <w:t xml:space="preserve"> capacité</w:t>
      </w:r>
      <w:r w:rsidR="71E1CB59">
        <w:rPr>
          <w:rFonts w:ascii="Times New Roman" w:hAnsi="Times New Roman"/>
          <w:sz w:val="24"/>
          <w:szCs w:val="24"/>
        </w:rPr>
        <w:t>s</w:t>
      </w:r>
      <w:r w:rsidR="00D861F4" w:rsidRPr="00946A59">
        <w:rPr>
          <w:rFonts w:ascii="Times New Roman" w:hAnsi="Times New Roman"/>
          <w:sz w:val="24"/>
          <w:szCs w:val="24"/>
        </w:rPr>
        <w:t xml:space="preserve"> d’entreprendre des activités normales</w:t>
      </w:r>
      <w:r w:rsidR="71E1CB59">
        <w:rPr>
          <w:rFonts w:ascii="Times New Roman" w:hAnsi="Times New Roman"/>
          <w:sz w:val="24"/>
          <w:szCs w:val="24"/>
        </w:rPr>
        <w:t xml:space="preserve"> de subsistance</w:t>
      </w:r>
      <w:r w:rsidR="00D861F4" w:rsidRPr="00946A59">
        <w:rPr>
          <w:rFonts w:ascii="Times New Roman" w:hAnsi="Times New Roman"/>
          <w:sz w:val="24"/>
          <w:szCs w:val="24"/>
        </w:rPr>
        <w:t xml:space="preserve"> ou d’avoir accès aux services sociaux de base.</w:t>
      </w:r>
    </w:p>
    <w:p w14:paraId="1B6C10B7" w14:textId="6D23F421" w:rsidR="008E42D9" w:rsidRPr="008E42D9" w:rsidRDefault="086A88A6" w:rsidP="00BC1AE3">
      <w:pPr>
        <w:pStyle w:val="Paragraphedeliste"/>
        <w:numPr>
          <w:ilvl w:val="0"/>
          <w:numId w:val="14"/>
        </w:numPr>
        <w:jc w:val="both"/>
        <w:rPr>
          <w:rFonts w:ascii="Times New Roman" w:hAnsi="Times New Roman"/>
          <w:sz w:val="24"/>
          <w:szCs w:val="24"/>
        </w:rPr>
      </w:pPr>
      <w:r w:rsidRPr="581E4654">
        <w:rPr>
          <w:rFonts w:ascii="Times New Roman" w:hAnsi="Times New Roman"/>
          <w:sz w:val="24"/>
          <w:szCs w:val="24"/>
        </w:rPr>
        <w:lastRenderedPageBreak/>
        <w:t xml:space="preserve">Boko Haram reste toujours actif </w:t>
      </w:r>
      <w:proofErr w:type="spellStart"/>
      <w:r w:rsidR="088E4D81" w:rsidRPr="38CF240D">
        <w:rPr>
          <w:rFonts w:ascii="Times New Roman" w:hAnsi="Times New Roman"/>
          <w:sz w:val="24"/>
          <w:szCs w:val="24"/>
        </w:rPr>
        <w:t>sur</w:t>
      </w:r>
      <w:r w:rsidR="088E4D81" w:rsidRPr="581E4654">
        <w:rPr>
          <w:rFonts w:ascii="Times New Roman" w:hAnsi="Times New Roman"/>
          <w:sz w:val="24"/>
          <w:szCs w:val="24"/>
        </w:rPr>
        <w:t>sur</w:t>
      </w:r>
      <w:proofErr w:type="spellEnd"/>
      <w:r w:rsidR="088E4D81" w:rsidRPr="581E4654">
        <w:rPr>
          <w:rFonts w:ascii="Times New Roman" w:hAnsi="Times New Roman"/>
          <w:sz w:val="24"/>
          <w:szCs w:val="24"/>
        </w:rPr>
        <w:t xml:space="preserve"> le territoire tchadien</w:t>
      </w:r>
      <w:r w:rsidRPr="581E4654">
        <w:rPr>
          <w:rFonts w:ascii="Times New Roman" w:hAnsi="Times New Roman"/>
          <w:sz w:val="24"/>
          <w:szCs w:val="24"/>
        </w:rPr>
        <w:t xml:space="preserve">. En août 2021, il a tué, dans une embuscade, 24 soldats tchadiens.  </w:t>
      </w:r>
    </w:p>
    <w:p w14:paraId="4E9B28CA" w14:textId="29D50BEF" w:rsidR="00CB5429" w:rsidRDefault="00CB5429" w:rsidP="000824A6">
      <w:pPr>
        <w:pStyle w:val="Paragraphedeliste"/>
        <w:spacing w:after="0" w:line="249" w:lineRule="auto"/>
        <w:ind w:left="360" w:right="288"/>
        <w:jc w:val="both"/>
        <w:rPr>
          <w:rFonts w:ascii="Times New Roman" w:hAnsi="Times New Roman"/>
          <w:sz w:val="24"/>
          <w:szCs w:val="24"/>
        </w:rPr>
      </w:pPr>
    </w:p>
    <w:p w14:paraId="480EAA7E" w14:textId="320827A7" w:rsidR="00B24BB8" w:rsidRDefault="00D861F4" w:rsidP="00BC1AE3">
      <w:pPr>
        <w:pStyle w:val="Paragraphedeliste"/>
        <w:numPr>
          <w:ilvl w:val="0"/>
          <w:numId w:val="14"/>
        </w:numPr>
        <w:spacing w:after="0" w:line="249" w:lineRule="auto"/>
        <w:ind w:right="288"/>
        <w:jc w:val="both"/>
        <w:rPr>
          <w:rFonts w:ascii="Times New Roman" w:hAnsi="Times New Roman"/>
          <w:sz w:val="24"/>
          <w:szCs w:val="24"/>
        </w:rPr>
      </w:pPr>
      <w:r w:rsidRPr="6BC40FD5">
        <w:rPr>
          <w:rFonts w:ascii="Times New Roman" w:hAnsi="Times New Roman"/>
          <w:b/>
          <w:bCs/>
          <w:sz w:val="24"/>
          <w:szCs w:val="24"/>
        </w:rPr>
        <w:t xml:space="preserve">Le Tchad </w:t>
      </w:r>
      <w:r w:rsidR="0205A704" w:rsidRPr="6BC40FD5">
        <w:rPr>
          <w:rFonts w:ascii="Times New Roman" w:hAnsi="Times New Roman"/>
          <w:b/>
          <w:bCs/>
          <w:sz w:val="24"/>
          <w:szCs w:val="24"/>
        </w:rPr>
        <w:t>compte</w:t>
      </w:r>
      <w:r w:rsidR="2F9C3A35" w:rsidRPr="6BC40FD5">
        <w:rPr>
          <w:rFonts w:ascii="Times New Roman" w:hAnsi="Times New Roman"/>
          <w:b/>
          <w:bCs/>
          <w:sz w:val="24"/>
          <w:szCs w:val="24"/>
        </w:rPr>
        <w:t xml:space="preserve"> 18,931</w:t>
      </w:r>
      <w:r w:rsidR="00D61A41" w:rsidRPr="6BC40FD5">
        <w:rPr>
          <w:rStyle w:val="Appelnotedebasdep"/>
          <w:b/>
          <w:bCs/>
          <w:sz w:val="20"/>
          <w:szCs w:val="20"/>
          <w:vertAlign w:val="superscript"/>
        </w:rPr>
        <w:footnoteReference w:id="40"/>
      </w:r>
      <w:r w:rsidRPr="6BC40FD5">
        <w:rPr>
          <w:rFonts w:ascii="Times New Roman" w:hAnsi="Times New Roman"/>
          <w:b/>
          <w:bCs/>
          <w:sz w:val="24"/>
          <w:szCs w:val="24"/>
        </w:rPr>
        <w:t xml:space="preserve"> réfugiés du Nigéria et du Niger et pourrait recevoir plus de réfugiés de la région du </w:t>
      </w:r>
      <w:r w:rsidR="71E1CB59" w:rsidRPr="6BC40FD5">
        <w:rPr>
          <w:rFonts w:ascii="Times New Roman" w:hAnsi="Times New Roman"/>
          <w:b/>
          <w:bCs/>
          <w:sz w:val="24"/>
          <w:szCs w:val="24"/>
        </w:rPr>
        <w:t xml:space="preserve">Bassin du </w:t>
      </w:r>
      <w:r w:rsidRPr="6BC40FD5">
        <w:rPr>
          <w:rFonts w:ascii="Times New Roman" w:hAnsi="Times New Roman"/>
          <w:b/>
          <w:bCs/>
          <w:sz w:val="24"/>
          <w:szCs w:val="24"/>
        </w:rPr>
        <w:t>Lac</w:t>
      </w:r>
      <w:r w:rsidR="71E1CB59" w:rsidRPr="6BC40FD5">
        <w:rPr>
          <w:rFonts w:ascii="Times New Roman" w:hAnsi="Times New Roman"/>
          <w:b/>
          <w:bCs/>
          <w:sz w:val="24"/>
          <w:szCs w:val="24"/>
        </w:rPr>
        <w:t xml:space="preserve"> Tchad. </w:t>
      </w:r>
      <w:r w:rsidRPr="00CB5429">
        <w:rPr>
          <w:rFonts w:ascii="Times New Roman" w:hAnsi="Times New Roman"/>
          <w:sz w:val="24"/>
          <w:szCs w:val="24"/>
        </w:rPr>
        <w:t xml:space="preserve"> </w:t>
      </w:r>
      <w:r w:rsidR="2AB7E6B3" w:rsidRPr="106C3604">
        <w:rPr>
          <w:rFonts w:ascii="Times New Roman" w:hAnsi="Times New Roman"/>
          <w:sz w:val="24"/>
          <w:szCs w:val="24"/>
        </w:rPr>
        <w:t xml:space="preserve">Selon </w:t>
      </w:r>
      <w:proofErr w:type="spellStart"/>
      <w:r w:rsidR="2AB7E6B3" w:rsidRPr="00CB5429">
        <w:rPr>
          <w:rFonts w:ascii="Times New Roman" w:hAnsi="Times New Roman"/>
          <w:sz w:val="24"/>
          <w:szCs w:val="24"/>
        </w:rPr>
        <w:t>l</w:t>
      </w:r>
      <w:r w:rsidR="2AB7E6B3" w:rsidRPr="106C3604">
        <w:rPr>
          <w:rFonts w:ascii="Times New Roman" w:hAnsi="Times New Roman"/>
          <w:sz w:val="24"/>
          <w:szCs w:val="24"/>
        </w:rPr>
        <w:t>l</w:t>
      </w:r>
      <w:r w:rsidR="1A839000">
        <w:rPr>
          <w:rFonts w:ascii="Times New Roman" w:hAnsi="Times New Roman"/>
          <w:sz w:val="24"/>
          <w:szCs w:val="24"/>
        </w:rPr>
        <w:t>e</w:t>
      </w:r>
      <w:proofErr w:type="spellEnd"/>
      <w:r w:rsidRPr="00CB5429">
        <w:rPr>
          <w:rFonts w:ascii="Times New Roman" w:hAnsi="Times New Roman"/>
          <w:sz w:val="24"/>
          <w:szCs w:val="24"/>
        </w:rPr>
        <w:t xml:space="preserve"> Plan de Réponse Humanitaire 202</w:t>
      </w:r>
      <w:r w:rsidR="4E6D3260">
        <w:rPr>
          <w:rFonts w:ascii="Times New Roman" w:hAnsi="Times New Roman"/>
          <w:sz w:val="24"/>
          <w:szCs w:val="24"/>
        </w:rPr>
        <w:t>1</w:t>
      </w:r>
      <w:r w:rsidR="66C272F8">
        <w:rPr>
          <w:rFonts w:ascii="Times New Roman" w:hAnsi="Times New Roman"/>
          <w:sz w:val="24"/>
          <w:szCs w:val="24"/>
        </w:rPr>
        <w:t>,</w:t>
      </w:r>
      <w:r w:rsidR="256CA49C">
        <w:rPr>
          <w:rFonts w:ascii="Times New Roman" w:hAnsi="Times New Roman"/>
          <w:sz w:val="24"/>
          <w:szCs w:val="24"/>
        </w:rPr>
        <w:t xml:space="preserve"> </w:t>
      </w:r>
      <w:r w:rsidRPr="00CB5429">
        <w:rPr>
          <w:rFonts w:ascii="Times New Roman" w:hAnsi="Times New Roman"/>
          <w:sz w:val="24"/>
          <w:szCs w:val="24"/>
        </w:rPr>
        <w:t xml:space="preserve">la situation des 15 000 réfugiés nigérians résidant dans la province du lac Tchad reste complexe. En effet, l'accès humanitaire reste limité, les restrictions sécuritaires ne se sont pas améliorées à cause </w:t>
      </w:r>
      <w:r>
        <w:rPr>
          <w:rFonts w:ascii="Times New Roman" w:hAnsi="Times New Roman"/>
          <w:sz w:val="24"/>
          <w:szCs w:val="24"/>
        </w:rPr>
        <w:t>des</w:t>
      </w:r>
      <w:r w:rsidRPr="00CB5429">
        <w:rPr>
          <w:rFonts w:ascii="Times New Roman" w:hAnsi="Times New Roman"/>
          <w:sz w:val="24"/>
          <w:szCs w:val="24"/>
        </w:rPr>
        <w:t xml:space="preserve"> attaques répétées des groupes armés</w:t>
      </w:r>
      <w:r w:rsidR="71E1CB59">
        <w:rPr>
          <w:rFonts w:ascii="Times New Roman" w:hAnsi="Times New Roman"/>
          <w:sz w:val="24"/>
          <w:szCs w:val="24"/>
        </w:rPr>
        <w:t>,</w:t>
      </w:r>
      <w:r>
        <w:rPr>
          <w:rFonts w:ascii="Times New Roman" w:hAnsi="Times New Roman"/>
          <w:sz w:val="24"/>
          <w:szCs w:val="24"/>
        </w:rPr>
        <w:t xml:space="preserve"> </w:t>
      </w:r>
      <w:r w:rsidR="66C272F8">
        <w:rPr>
          <w:rFonts w:ascii="Times New Roman" w:hAnsi="Times New Roman"/>
          <w:sz w:val="24"/>
          <w:szCs w:val="24"/>
        </w:rPr>
        <w:t xml:space="preserve">des </w:t>
      </w:r>
      <w:r w:rsidRPr="00CB5429">
        <w:rPr>
          <w:rFonts w:ascii="Times New Roman" w:hAnsi="Times New Roman"/>
          <w:sz w:val="24"/>
          <w:szCs w:val="24"/>
        </w:rPr>
        <w:t>exactions de Boko Haram et la survenance de la pandémie.</w:t>
      </w:r>
      <w:r w:rsidR="256CA49C">
        <w:rPr>
          <w:rFonts w:ascii="Times New Roman" w:hAnsi="Times New Roman"/>
          <w:sz w:val="24"/>
          <w:szCs w:val="24"/>
        </w:rPr>
        <w:t xml:space="preserve"> </w:t>
      </w:r>
      <w:r w:rsidRPr="00CB5429">
        <w:rPr>
          <w:rFonts w:ascii="Times New Roman" w:hAnsi="Times New Roman"/>
          <w:sz w:val="24"/>
          <w:szCs w:val="24"/>
        </w:rPr>
        <w:t xml:space="preserve">Une grande partie de la province du Lac </w:t>
      </w:r>
      <w:r w:rsidR="3E585A24">
        <w:rPr>
          <w:rFonts w:ascii="Times New Roman" w:hAnsi="Times New Roman"/>
          <w:sz w:val="24"/>
          <w:szCs w:val="24"/>
        </w:rPr>
        <w:t xml:space="preserve">ne </w:t>
      </w:r>
      <w:r w:rsidRPr="00CB5429">
        <w:rPr>
          <w:rFonts w:ascii="Times New Roman" w:hAnsi="Times New Roman"/>
          <w:sz w:val="24"/>
          <w:szCs w:val="24"/>
        </w:rPr>
        <w:t>reste</w:t>
      </w:r>
      <w:r w:rsidR="3E585A24">
        <w:rPr>
          <w:rFonts w:ascii="Times New Roman" w:hAnsi="Times New Roman"/>
          <w:sz w:val="24"/>
          <w:szCs w:val="24"/>
        </w:rPr>
        <w:t xml:space="preserve"> pas</w:t>
      </w:r>
      <w:r w:rsidRPr="00CB5429">
        <w:rPr>
          <w:rFonts w:ascii="Times New Roman" w:hAnsi="Times New Roman"/>
          <w:sz w:val="24"/>
          <w:szCs w:val="24"/>
        </w:rPr>
        <w:t xml:space="preserve"> donc accessible et par conséquent, une véritable assistance humanitaire n'est garantie que pour les réfugiés vivants dans le camp de réfugiés de Dar Es Salam (environ 70% des réfugiés) et les villages voisins de </w:t>
      </w:r>
      <w:proofErr w:type="spellStart"/>
      <w:r w:rsidRPr="00CB5429">
        <w:rPr>
          <w:rFonts w:ascii="Times New Roman" w:hAnsi="Times New Roman"/>
          <w:sz w:val="24"/>
          <w:szCs w:val="24"/>
        </w:rPr>
        <w:t>Ngouboua</w:t>
      </w:r>
      <w:proofErr w:type="spellEnd"/>
      <w:r w:rsidRPr="00CB5429">
        <w:rPr>
          <w:rFonts w:ascii="Times New Roman" w:hAnsi="Times New Roman"/>
          <w:sz w:val="24"/>
          <w:szCs w:val="24"/>
        </w:rPr>
        <w:t xml:space="preserve"> et </w:t>
      </w:r>
      <w:proofErr w:type="spellStart"/>
      <w:r w:rsidRPr="00CB5429">
        <w:rPr>
          <w:rFonts w:ascii="Times New Roman" w:hAnsi="Times New Roman"/>
          <w:sz w:val="24"/>
          <w:szCs w:val="24"/>
        </w:rPr>
        <w:t>Tchoukoutalia</w:t>
      </w:r>
      <w:proofErr w:type="spellEnd"/>
      <w:r w:rsidRPr="00CB5429">
        <w:rPr>
          <w:rFonts w:ascii="Times New Roman" w:hAnsi="Times New Roman"/>
          <w:sz w:val="24"/>
          <w:szCs w:val="24"/>
        </w:rPr>
        <w:t>.</w:t>
      </w:r>
    </w:p>
    <w:p w14:paraId="23B7E978" w14:textId="77777777" w:rsidR="0051146E" w:rsidRPr="0051146E" w:rsidRDefault="0051146E" w:rsidP="0051146E">
      <w:pPr>
        <w:pStyle w:val="Paragraphedeliste"/>
        <w:rPr>
          <w:rFonts w:ascii="Times New Roman" w:hAnsi="Times New Roman"/>
          <w:sz w:val="24"/>
          <w:szCs w:val="24"/>
        </w:rPr>
      </w:pPr>
    </w:p>
    <w:p w14:paraId="7F3FCD3D" w14:textId="7624C689" w:rsidR="00EB4568" w:rsidRPr="00EB4568" w:rsidRDefault="00B24BB8" w:rsidP="00BC1AE3">
      <w:pPr>
        <w:pStyle w:val="Paragraphedeliste"/>
        <w:numPr>
          <w:ilvl w:val="0"/>
          <w:numId w:val="14"/>
        </w:numPr>
        <w:spacing w:after="0" w:line="249" w:lineRule="auto"/>
        <w:ind w:right="288"/>
        <w:jc w:val="both"/>
        <w:rPr>
          <w:rFonts w:ascii="Times New Roman" w:eastAsia="Times New Roman" w:hAnsi="Times New Roman"/>
          <w:b/>
          <w:bCs/>
          <w:sz w:val="24"/>
          <w:szCs w:val="24"/>
        </w:rPr>
      </w:pPr>
      <w:r w:rsidRPr="00B24BB8">
        <w:rPr>
          <w:rFonts w:ascii="Times New Roman" w:hAnsi="Times New Roman"/>
          <w:b/>
          <w:bCs/>
          <w:sz w:val="24"/>
          <w:szCs w:val="24"/>
        </w:rPr>
        <w:t>Détérioration de la situation sécuritaire au Darfour</w:t>
      </w:r>
      <w:r w:rsidR="009961D1">
        <w:rPr>
          <w:rFonts w:ascii="Times New Roman" w:hAnsi="Times New Roman"/>
          <w:b/>
          <w:bCs/>
          <w:sz w:val="24"/>
          <w:szCs w:val="24"/>
        </w:rPr>
        <w:t xml:space="preserve"> -</w:t>
      </w:r>
      <w:r w:rsidRPr="00B24BB8">
        <w:rPr>
          <w:rFonts w:ascii="Times New Roman" w:hAnsi="Times New Roman"/>
          <w:b/>
          <w:bCs/>
          <w:sz w:val="24"/>
          <w:szCs w:val="24"/>
        </w:rPr>
        <w:t>Soudan</w:t>
      </w:r>
      <w:r w:rsidRPr="00B24BB8">
        <w:rPr>
          <w:rFonts w:ascii="Times New Roman" w:hAnsi="Times New Roman"/>
          <w:sz w:val="24"/>
          <w:szCs w:val="24"/>
        </w:rPr>
        <w:t xml:space="preserve"> </w:t>
      </w:r>
      <w:r w:rsidRPr="00EA5C8E">
        <w:rPr>
          <w:rFonts w:ascii="Times New Roman" w:hAnsi="Times New Roman"/>
          <w:b/>
          <w:color w:val="FF0000"/>
          <w:sz w:val="24"/>
        </w:rPr>
        <w:t>(Probabilité – modérée)</w:t>
      </w:r>
      <w:r w:rsidRPr="00EA5C8E">
        <w:rPr>
          <w:rFonts w:ascii="Times New Roman" w:hAnsi="Times New Roman"/>
          <w:color w:val="FF0000"/>
          <w:sz w:val="24"/>
        </w:rPr>
        <w:t> </w:t>
      </w:r>
      <w:r w:rsidRPr="00B24BB8">
        <w:rPr>
          <w:rFonts w:ascii="Times New Roman" w:hAnsi="Times New Roman"/>
          <w:sz w:val="24"/>
          <w:szCs w:val="24"/>
        </w:rPr>
        <w:t xml:space="preserve">: Au cours de l’année 2020, des montées de violence entre communautés dans la région du Darfour au Soudan, à la frontière est du Tchad, se sont poursuivies. Dans l’attente d’une résolution de ces tensions chroniques et liées à des facteurs sous-jacents, de tels incidents sont susceptibles de se perpétuer, avec une certaine potentialité de détérioration. De telles tensions intercommunautaires causent des mouvements transfrontaliers. Entre décembre 2019 et juillet 2020, de nouveaux mouvements de demandeurs d’asile ont été enregistrés dans le Ouaddaï. Quelques 16 000 personnes sont arrivées au Tchad en décembre 2019, et des mouvements additionnels ont été enregistrés en juillet sur les sites de </w:t>
      </w:r>
      <w:proofErr w:type="spellStart"/>
      <w:r w:rsidRPr="00B24BB8">
        <w:rPr>
          <w:rFonts w:ascii="Times New Roman" w:hAnsi="Times New Roman"/>
          <w:sz w:val="24"/>
          <w:szCs w:val="24"/>
        </w:rPr>
        <w:t>Wandalou</w:t>
      </w:r>
      <w:proofErr w:type="spellEnd"/>
      <w:r w:rsidRPr="00B24BB8">
        <w:rPr>
          <w:rFonts w:ascii="Times New Roman" w:hAnsi="Times New Roman"/>
          <w:sz w:val="24"/>
          <w:szCs w:val="24"/>
        </w:rPr>
        <w:t xml:space="preserve">, </w:t>
      </w:r>
      <w:proofErr w:type="spellStart"/>
      <w:r w:rsidRPr="00B24BB8">
        <w:rPr>
          <w:rFonts w:ascii="Times New Roman" w:hAnsi="Times New Roman"/>
          <w:sz w:val="24"/>
          <w:szCs w:val="24"/>
          <w:lang w:eastAsia="zh-TW"/>
        </w:rPr>
        <w:t>Touglou-Tougloui</w:t>
      </w:r>
      <w:proofErr w:type="spellEnd"/>
      <w:r w:rsidRPr="00B24BB8">
        <w:rPr>
          <w:rFonts w:ascii="Times New Roman" w:hAnsi="Times New Roman"/>
          <w:sz w:val="24"/>
          <w:szCs w:val="24"/>
          <w:lang w:eastAsia="zh-TW"/>
        </w:rPr>
        <w:t xml:space="preserve">, </w:t>
      </w:r>
      <w:proofErr w:type="spellStart"/>
      <w:r w:rsidRPr="00B24BB8">
        <w:rPr>
          <w:rFonts w:ascii="Times New Roman" w:hAnsi="Times New Roman"/>
          <w:sz w:val="24"/>
          <w:szCs w:val="24"/>
          <w:lang w:eastAsia="zh-TW"/>
        </w:rPr>
        <w:t>Goungour</w:t>
      </w:r>
      <w:proofErr w:type="spellEnd"/>
      <w:r w:rsidRPr="00B24BB8">
        <w:rPr>
          <w:rFonts w:ascii="Times New Roman" w:hAnsi="Times New Roman"/>
          <w:sz w:val="24"/>
          <w:szCs w:val="24"/>
          <w:lang w:eastAsia="zh-TW"/>
        </w:rPr>
        <w:t xml:space="preserve">, </w:t>
      </w:r>
      <w:r w:rsidR="00B03C03">
        <w:rPr>
          <w:rFonts w:ascii="Times New Roman" w:hAnsi="Times New Roman"/>
          <w:sz w:val="24"/>
          <w:szCs w:val="24"/>
          <w:lang w:eastAsia="zh-TW"/>
        </w:rPr>
        <w:t xml:space="preserve">et </w:t>
      </w:r>
      <w:proofErr w:type="spellStart"/>
      <w:r w:rsidRPr="00B24BB8">
        <w:rPr>
          <w:rFonts w:ascii="Times New Roman" w:hAnsi="Times New Roman"/>
          <w:sz w:val="24"/>
          <w:szCs w:val="24"/>
          <w:lang w:eastAsia="zh-TW"/>
        </w:rPr>
        <w:t>Katarfa</w:t>
      </w:r>
      <w:proofErr w:type="spellEnd"/>
      <w:r w:rsidRPr="00B24BB8">
        <w:rPr>
          <w:rFonts w:ascii="Times New Roman" w:hAnsi="Times New Roman"/>
          <w:sz w:val="24"/>
          <w:szCs w:val="24"/>
          <w:lang w:eastAsia="zh-TW"/>
        </w:rPr>
        <w:t>.</w:t>
      </w:r>
    </w:p>
    <w:p w14:paraId="4DB191AC" w14:textId="77777777" w:rsidR="00EB4568" w:rsidRPr="00EB4568" w:rsidRDefault="00EB4568" w:rsidP="00EB4568">
      <w:pPr>
        <w:pStyle w:val="Paragraphedeliste"/>
        <w:rPr>
          <w:rFonts w:ascii="Times New Roman" w:hAnsi="Times New Roman"/>
          <w:sz w:val="24"/>
          <w:szCs w:val="24"/>
          <w:lang w:eastAsia="zh-TW"/>
        </w:rPr>
      </w:pPr>
    </w:p>
    <w:p w14:paraId="75AF7F42" w14:textId="23BEB477" w:rsidR="00B24BB8" w:rsidRPr="00B24BB8" w:rsidRDefault="006E1217" w:rsidP="00D34A39">
      <w:pPr>
        <w:pStyle w:val="Paragraphedeliste"/>
        <w:spacing w:after="0" w:line="249" w:lineRule="auto"/>
        <w:ind w:left="360" w:right="288"/>
        <w:jc w:val="both"/>
        <w:rPr>
          <w:rFonts w:ascii="Times New Roman" w:eastAsia="Times New Roman" w:hAnsi="Times New Roman"/>
          <w:b/>
          <w:bCs/>
          <w:sz w:val="24"/>
          <w:szCs w:val="24"/>
        </w:rPr>
      </w:pPr>
      <w:r>
        <w:rPr>
          <w:rFonts w:ascii="Times New Roman" w:hAnsi="Times New Roman"/>
          <w:sz w:val="24"/>
          <w:szCs w:val="24"/>
          <w:lang w:eastAsia="zh-TW"/>
        </w:rPr>
        <w:t xml:space="preserve">Le HCR et </w:t>
      </w:r>
      <w:r w:rsidR="002D6C4A" w:rsidRPr="002D6C4A">
        <w:rPr>
          <w:rFonts w:ascii="Times New Roman" w:hAnsi="Times New Roman"/>
          <w:sz w:val="24"/>
          <w:szCs w:val="24"/>
          <w:lang w:eastAsia="zh-TW"/>
        </w:rPr>
        <w:t xml:space="preserve">la </w:t>
      </w:r>
      <w:r w:rsidR="00115F5B" w:rsidRPr="00115F5B">
        <w:rPr>
          <w:rFonts w:ascii="Times New Roman" w:hAnsi="Times New Roman"/>
          <w:sz w:val="24"/>
          <w:szCs w:val="24"/>
          <w:lang w:eastAsia="zh-TW"/>
        </w:rPr>
        <w:t xml:space="preserve">Commission Nationale d'accueil de Réinsertion des Réfugies </w:t>
      </w:r>
      <w:r w:rsidR="00AF130B">
        <w:rPr>
          <w:rFonts w:ascii="Times New Roman" w:hAnsi="Times New Roman"/>
          <w:sz w:val="24"/>
          <w:szCs w:val="24"/>
          <w:lang w:eastAsia="zh-TW"/>
        </w:rPr>
        <w:t>ont</w:t>
      </w:r>
      <w:r w:rsidR="002D6C4A" w:rsidRPr="002D6C4A">
        <w:rPr>
          <w:rFonts w:ascii="Times New Roman" w:hAnsi="Times New Roman"/>
          <w:sz w:val="24"/>
          <w:szCs w:val="24"/>
          <w:lang w:eastAsia="zh-TW"/>
        </w:rPr>
        <w:t xml:space="preserve"> l</w:t>
      </w:r>
      <w:r w:rsidR="00C57811">
        <w:rPr>
          <w:rFonts w:ascii="Times New Roman" w:hAnsi="Times New Roman"/>
          <w:sz w:val="24"/>
          <w:szCs w:val="24"/>
          <w:lang w:eastAsia="zh-TW"/>
        </w:rPr>
        <w:t>e</w:t>
      </w:r>
      <w:r w:rsidR="00831636">
        <w:rPr>
          <w:rFonts w:ascii="Times New Roman" w:hAnsi="Times New Roman"/>
          <w:sz w:val="24"/>
          <w:szCs w:val="24"/>
          <w:lang w:eastAsia="zh-TW"/>
        </w:rPr>
        <w:t xml:space="preserve"> leadership</w:t>
      </w:r>
      <w:r w:rsidR="002D6C4A" w:rsidRPr="002D6C4A">
        <w:rPr>
          <w:rFonts w:ascii="Times New Roman" w:hAnsi="Times New Roman"/>
          <w:sz w:val="24"/>
          <w:szCs w:val="24"/>
          <w:lang w:eastAsia="zh-TW"/>
        </w:rPr>
        <w:t xml:space="preserve"> de la réponse multisectorielle </w:t>
      </w:r>
      <w:r w:rsidR="002A4B01">
        <w:rPr>
          <w:rFonts w:ascii="Times New Roman" w:hAnsi="Times New Roman"/>
          <w:sz w:val="24"/>
          <w:szCs w:val="24"/>
          <w:lang w:eastAsia="zh-TW"/>
        </w:rPr>
        <w:t>pour les</w:t>
      </w:r>
      <w:r w:rsidR="00EB4568" w:rsidRPr="00EB4568">
        <w:rPr>
          <w:rFonts w:ascii="Times New Roman" w:hAnsi="Times New Roman"/>
          <w:sz w:val="24"/>
          <w:szCs w:val="24"/>
          <w:lang w:eastAsia="zh-TW"/>
        </w:rPr>
        <w:t xml:space="preserve"> </w:t>
      </w:r>
      <w:r w:rsidR="0083132C" w:rsidRPr="0083132C">
        <w:rPr>
          <w:rFonts w:ascii="Times New Roman" w:hAnsi="Times New Roman"/>
          <w:sz w:val="24"/>
          <w:szCs w:val="24"/>
          <w:lang w:eastAsia="zh-TW"/>
        </w:rPr>
        <w:t>52</w:t>
      </w:r>
      <w:r w:rsidR="00F53240">
        <w:rPr>
          <w:rFonts w:ascii="Times New Roman" w:hAnsi="Times New Roman"/>
          <w:sz w:val="24"/>
          <w:szCs w:val="24"/>
          <w:lang w:eastAsia="zh-TW"/>
        </w:rPr>
        <w:t>8</w:t>
      </w:r>
      <w:r w:rsidR="0083132C" w:rsidRPr="0083132C">
        <w:rPr>
          <w:rFonts w:ascii="Times New Roman" w:hAnsi="Times New Roman"/>
          <w:sz w:val="24"/>
          <w:szCs w:val="24"/>
          <w:lang w:eastAsia="zh-TW"/>
        </w:rPr>
        <w:t>,</w:t>
      </w:r>
      <w:r w:rsidR="00F53240">
        <w:rPr>
          <w:rFonts w:ascii="Times New Roman" w:hAnsi="Times New Roman"/>
          <w:sz w:val="24"/>
          <w:szCs w:val="24"/>
          <w:lang w:eastAsia="zh-TW"/>
        </w:rPr>
        <w:t>1</w:t>
      </w:r>
      <w:r w:rsidR="0083132C" w:rsidRPr="0083132C">
        <w:rPr>
          <w:rFonts w:ascii="Times New Roman" w:hAnsi="Times New Roman"/>
          <w:sz w:val="24"/>
          <w:szCs w:val="24"/>
          <w:lang w:eastAsia="zh-TW"/>
        </w:rPr>
        <w:t>39</w:t>
      </w:r>
      <w:r w:rsidR="00EB4568" w:rsidRPr="00EB4568">
        <w:rPr>
          <w:rFonts w:ascii="Times New Roman" w:hAnsi="Times New Roman"/>
          <w:sz w:val="24"/>
          <w:szCs w:val="24"/>
          <w:lang w:eastAsia="zh-TW"/>
        </w:rPr>
        <w:t xml:space="preserve"> réfugiés et demandeurs d’asile</w:t>
      </w:r>
      <w:r w:rsidR="002A4B01">
        <w:rPr>
          <w:rFonts w:ascii="Times New Roman" w:hAnsi="Times New Roman"/>
          <w:sz w:val="24"/>
          <w:szCs w:val="24"/>
          <w:lang w:eastAsia="zh-TW"/>
        </w:rPr>
        <w:t xml:space="preserve"> que le Tchad accueille.</w:t>
      </w:r>
      <w:r w:rsidR="00B24BB8" w:rsidRPr="00B24BB8">
        <w:rPr>
          <w:rFonts w:ascii="Times New Roman" w:hAnsi="Times New Roman"/>
          <w:sz w:val="24"/>
          <w:szCs w:val="24"/>
          <w:lang w:eastAsia="zh-TW"/>
        </w:rPr>
        <w:t xml:space="preserve"> </w:t>
      </w:r>
      <w:r w:rsidR="00214AD1">
        <w:rPr>
          <w:rFonts w:ascii="Times New Roman" w:hAnsi="Times New Roman"/>
          <w:sz w:val="24"/>
          <w:szCs w:val="24"/>
          <w:lang w:eastAsia="zh-TW"/>
        </w:rPr>
        <w:t xml:space="preserve">Ceux du Soudan </w:t>
      </w:r>
      <w:r w:rsidR="00B24BB8" w:rsidRPr="00B24BB8">
        <w:rPr>
          <w:rFonts w:ascii="Times New Roman" w:hAnsi="Times New Roman"/>
          <w:sz w:val="24"/>
          <w:szCs w:val="24"/>
          <w:lang w:eastAsia="zh-TW"/>
        </w:rPr>
        <w:t xml:space="preserve">vivent depuis 2003 en coexistence pacifique avec les populations hôtes confrontées elles-mêmes aux ressources limitées. </w:t>
      </w:r>
      <w:r w:rsidR="00C11E4B" w:rsidRPr="00B24BB8">
        <w:rPr>
          <w:rFonts w:ascii="Times New Roman" w:hAnsi="Times New Roman"/>
          <w:sz w:val="24"/>
          <w:szCs w:val="24"/>
          <w:lang w:eastAsia="zh-TW"/>
        </w:rPr>
        <w:t>À la suite des</w:t>
      </w:r>
      <w:r w:rsidR="00B24BB8" w:rsidRPr="00B24BB8">
        <w:rPr>
          <w:rFonts w:ascii="Times New Roman" w:hAnsi="Times New Roman"/>
          <w:sz w:val="24"/>
          <w:szCs w:val="24"/>
          <w:lang w:eastAsia="zh-TW"/>
        </w:rPr>
        <w:t xml:space="preserve"> accords tripartites Tchad-Soudan-HCR pour le rapatriement volontaire des réfugiés soudanais et </w:t>
      </w:r>
      <w:r w:rsidR="00214AD1">
        <w:rPr>
          <w:rFonts w:ascii="Times New Roman" w:hAnsi="Times New Roman"/>
          <w:sz w:val="24"/>
          <w:szCs w:val="24"/>
          <w:lang w:eastAsia="zh-TW"/>
        </w:rPr>
        <w:t>t</w:t>
      </w:r>
      <w:r w:rsidR="00B24BB8" w:rsidRPr="00B24BB8">
        <w:rPr>
          <w:rFonts w:ascii="Times New Roman" w:hAnsi="Times New Roman"/>
          <w:sz w:val="24"/>
          <w:szCs w:val="24"/>
          <w:lang w:eastAsia="zh-TW"/>
        </w:rPr>
        <w:t xml:space="preserve">chadiens (signé en </w:t>
      </w:r>
      <w:r w:rsidR="009961D1">
        <w:rPr>
          <w:rFonts w:ascii="Times New Roman" w:hAnsi="Times New Roman"/>
          <w:sz w:val="24"/>
          <w:szCs w:val="24"/>
          <w:lang w:eastAsia="zh-TW"/>
        </w:rPr>
        <w:t>m</w:t>
      </w:r>
      <w:r w:rsidR="00B24BB8" w:rsidRPr="00B24BB8">
        <w:rPr>
          <w:rFonts w:ascii="Times New Roman" w:hAnsi="Times New Roman"/>
          <w:sz w:val="24"/>
          <w:szCs w:val="24"/>
          <w:lang w:eastAsia="zh-TW"/>
        </w:rPr>
        <w:t xml:space="preserve">ai 2017 à </w:t>
      </w:r>
      <w:proofErr w:type="spellStart"/>
      <w:r w:rsidR="00B24BB8" w:rsidRPr="00B24BB8">
        <w:rPr>
          <w:rFonts w:ascii="Times New Roman" w:hAnsi="Times New Roman"/>
          <w:sz w:val="24"/>
          <w:szCs w:val="24"/>
          <w:lang w:eastAsia="zh-TW"/>
        </w:rPr>
        <w:t>Karthoum</w:t>
      </w:r>
      <w:proofErr w:type="spellEnd"/>
      <w:r w:rsidR="00B24BB8" w:rsidRPr="00B24BB8">
        <w:rPr>
          <w:rFonts w:ascii="Times New Roman" w:hAnsi="Times New Roman"/>
          <w:sz w:val="24"/>
          <w:szCs w:val="24"/>
          <w:lang w:eastAsia="zh-TW"/>
        </w:rPr>
        <w:t>), 3</w:t>
      </w:r>
      <w:r w:rsidR="009961D1">
        <w:rPr>
          <w:rFonts w:ascii="Times New Roman" w:hAnsi="Times New Roman"/>
          <w:sz w:val="24"/>
          <w:szCs w:val="24"/>
          <w:lang w:eastAsia="zh-TW"/>
        </w:rPr>
        <w:t xml:space="preserve"> </w:t>
      </w:r>
      <w:r w:rsidR="00B24BB8" w:rsidRPr="00B24BB8">
        <w:rPr>
          <w:rFonts w:ascii="Times New Roman" w:hAnsi="Times New Roman"/>
          <w:sz w:val="24"/>
          <w:szCs w:val="24"/>
          <w:lang w:eastAsia="zh-TW"/>
        </w:rPr>
        <w:t>824 réfugiés soudanais sont retournés au Soudan tandis que près de 5</w:t>
      </w:r>
      <w:r w:rsidR="003B1F00">
        <w:rPr>
          <w:rFonts w:ascii="Times New Roman" w:hAnsi="Times New Roman"/>
          <w:sz w:val="24"/>
          <w:szCs w:val="24"/>
          <w:lang w:eastAsia="zh-TW"/>
        </w:rPr>
        <w:t xml:space="preserve"> </w:t>
      </w:r>
      <w:r w:rsidR="00B24BB8" w:rsidRPr="00B24BB8">
        <w:rPr>
          <w:rFonts w:ascii="Times New Roman" w:hAnsi="Times New Roman"/>
          <w:sz w:val="24"/>
          <w:szCs w:val="24"/>
          <w:lang w:eastAsia="zh-TW"/>
        </w:rPr>
        <w:t>000 tchadiens sont rentrés au Tchad. Mais cette solution durable sera affectée par la crise socio politique née de la chute d’Oumar El Bechir</w:t>
      </w:r>
      <w:r w:rsidR="003B1F00">
        <w:rPr>
          <w:rFonts w:ascii="Times New Roman" w:hAnsi="Times New Roman"/>
          <w:sz w:val="24"/>
          <w:szCs w:val="24"/>
          <w:lang w:eastAsia="zh-TW"/>
        </w:rPr>
        <w:t xml:space="preserve"> </w:t>
      </w:r>
      <w:r w:rsidR="003B1F00" w:rsidRPr="003B1F00">
        <w:rPr>
          <w:rFonts w:ascii="Times New Roman" w:hAnsi="Times New Roman"/>
          <w:sz w:val="24"/>
          <w:szCs w:val="24"/>
          <w:lang w:eastAsia="zh-TW"/>
        </w:rPr>
        <w:t>ainsi que des conséquences de la COVID-19</w:t>
      </w:r>
      <w:r w:rsidR="00B24BB8" w:rsidRPr="00B24BB8">
        <w:rPr>
          <w:rFonts w:ascii="Times New Roman" w:hAnsi="Times New Roman"/>
          <w:sz w:val="24"/>
          <w:szCs w:val="24"/>
          <w:lang w:eastAsia="zh-TW"/>
        </w:rPr>
        <w:t xml:space="preserve">. Le rapatriement volontaire pourrait reprendre en 2021 si les conditions le permettent mais la majorité des réfugiés soudanais risquent de rester au Tchad dans la perspective d’une intégration locale étant donné les restrictions liées à la réinstallation. </w:t>
      </w:r>
      <w:r w:rsidR="002D6C4A" w:rsidRPr="002D6C4A">
        <w:rPr>
          <w:rFonts w:ascii="Times New Roman" w:hAnsi="Times New Roman"/>
          <w:sz w:val="24"/>
          <w:szCs w:val="24"/>
          <w:lang w:eastAsia="zh-TW"/>
        </w:rPr>
        <w:t xml:space="preserve">En outre, la croissance démographique dans les camps et les </w:t>
      </w:r>
      <w:r w:rsidR="00214AD1">
        <w:rPr>
          <w:rFonts w:ascii="Times New Roman" w:hAnsi="Times New Roman"/>
          <w:sz w:val="24"/>
          <w:szCs w:val="24"/>
          <w:lang w:eastAsia="zh-TW"/>
        </w:rPr>
        <w:t xml:space="preserve">communautés hôtes </w:t>
      </w:r>
      <w:r w:rsidR="002D6C4A" w:rsidRPr="002D6C4A">
        <w:rPr>
          <w:rFonts w:ascii="Times New Roman" w:hAnsi="Times New Roman"/>
          <w:sz w:val="24"/>
          <w:szCs w:val="24"/>
          <w:lang w:eastAsia="zh-TW"/>
        </w:rPr>
        <w:t>exerce</w:t>
      </w:r>
      <w:r w:rsidR="00BC7CE4">
        <w:rPr>
          <w:rFonts w:ascii="Times New Roman" w:hAnsi="Times New Roman"/>
          <w:sz w:val="24"/>
          <w:szCs w:val="24"/>
          <w:lang w:eastAsia="zh-TW"/>
        </w:rPr>
        <w:t>nt</w:t>
      </w:r>
      <w:r w:rsidR="002D6C4A" w:rsidRPr="002D6C4A">
        <w:rPr>
          <w:rFonts w:ascii="Times New Roman" w:hAnsi="Times New Roman"/>
          <w:sz w:val="24"/>
          <w:szCs w:val="24"/>
          <w:lang w:eastAsia="zh-TW"/>
        </w:rPr>
        <w:t xml:space="preserve"> une pression accrue sur les ressources et, dans certains cas, </w:t>
      </w:r>
      <w:r w:rsidR="00214AD1">
        <w:rPr>
          <w:rFonts w:ascii="Times New Roman" w:hAnsi="Times New Roman"/>
          <w:sz w:val="24"/>
          <w:szCs w:val="24"/>
          <w:lang w:eastAsia="zh-TW"/>
        </w:rPr>
        <w:t xml:space="preserve">a </w:t>
      </w:r>
      <w:r w:rsidR="002D6C4A" w:rsidRPr="002D6C4A">
        <w:rPr>
          <w:rFonts w:ascii="Times New Roman" w:hAnsi="Times New Roman"/>
          <w:sz w:val="24"/>
          <w:szCs w:val="24"/>
          <w:lang w:eastAsia="zh-TW"/>
        </w:rPr>
        <w:t>accéléré la déforestation, la désertification et la pénurie d'eau.</w:t>
      </w:r>
    </w:p>
    <w:p w14:paraId="68B1FEDC" w14:textId="77777777" w:rsidR="00B24BB8" w:rsidRPr="00B24BB8" w:rsidRDefault="00B24BB8" w:rsidP="00B24BB8">
      <w:pPr>
        <w:pStyle w:val="Paragraphedeliste"/>
        <w:spacing w:after="0" w:line="249" w:lineRule="auto"/>
        <w:ind w:left="360" w:right="288"/>
        <w:jc w:val="both"/>
        <w:rPr>
          <w:rFonts w:ascii="Times New Roman" w:hAnsi="Times New Roman"/>
          <w:sz w:val="24"/>
          <w:szCs w:val="24"/>
        </w:rPr>
      </w:pPr>
    </w:p>
    <w:p w14:paraId="0474C696" w14:textId="0A5E7A1D" w:rsidR="002253B2" w:rsidRPr="00A8375B" w:rsidRDefault="2350A273" w:rsidP="00BC1AE3">
      <w:pPr>
        <w:pStyle w:val="Paragraphedeliste"/>
        <w:numPr>
          <w:ilvl w:val="0"/>
          <w:numId w:val="14"/>
        </w:numPr>
        <w:spacing w:after="0" w:line="249" w:lineRule="auto"/>
        <w:ind w:right="288"/>
        <w:jc w:val="both"/>
        <w:rPr>
          <w:rFonts w:ascii="Times New Roman" w:hAnsi="Times New Roman"/>
          <w:b/>
          <w:sz w:val="24"/>
        </w:rPr>
      </w:pPr>
      <w:r w:rsidRPr="6BC40FD5">
        <w:rPr>
          <w:rFonts w:ascii="Times New Roman" w:eastAsia="Times New Roman" w:hAnsi="Times New Roman"/>
          <w:b/>
          <w:bCs/>
          <w:sz w:val="24"/>
          <w:szCs w:val="24"/>
        </w:rPr>
        <w:t xml:space="preserve">Détérioration de la situation sécuritaire en </w:t>
      </w:r>
      <w:r w:rsidR="453EE779" w:rsidRPr="6BC40FD5">
        <w:rPr>
          <w:rFonts w:ascii="Times New Roman" w:eastAsia="Times New Roman" w:hAnsi="Times New Roman"/>
          <w:b/>
          <w:bCs/>
          <w:sz w:val="24"/>
          <w:szCs w:val="24"/>
        </w:rPr>
        <w:t xml:space="preserve">Libye </w:t>
      </w:r>
      <w:r w:rsidRPr="6BC40FD5">
        <w:rPr>
          <w:rFonts w:ascii="Times New Roman" w:hAnsi="Times New Roman"/>
          <w:b/>
          <w:bCs/>
          <w:color w:val="FF0000"/>
          <w:sz w:val="24"/>
          <w:szCs w:val="24"/>
        </w:rPr>
        <w:t>(Probabilité – modérée)</w:t>
      </w:r>
      <w:r w:rsidRPr="6BC40FD5">
        <w:rPr>
          <w:rFonts w:ascii="Times New Roman" w:hAnsi="Times New Roman"/>
          <w:color w:val="FF0000"/>
          <w:sz w:val="24"/>
          <w:szCs w:val="24"/>
        </w:rPr>
        <w:t> </w:t>
      </w:r>
      <w:r w:rsidRPr="6BC40FD5">
        <w:rPr>
          <w:rFonts w:ascii="Times New Roman" w:eastAsia="Times New Roman" w:hAnsi="Times New Roman"/>
          <w:b/>
          <w:bCs/>
          <w:sz w:val="24"/>
          <w:szCs w:val="24"/>
        </w:rPr>
        <w:t>:</w:t>
      </w:r>
      <w:r w:rsidRPr="6BC40FD5">
        <w:rPr>
          <w:rFonts w:ascii="Times New Roman" w:eastAsia="Times New Roman" w:hAnsi="Times New Roman"/>
          <w:sz w:val="24"/>
          <w:szCs w:val="24"/>
        </w:rPr>
        <w:t xml:space="preserve">  </w:t>
      </w:r>
      <w:proofErr w:type="spellStart"/>
      <w:r w:rsidR="1AF4064C" w:rsidRPr="6BC40FD5">
        <w:rPr>
          <w:rFonts w:ascii="Times New Roman" w:eastAsia="Times New Roman" w:hAnsi="Times New Roman"/>
          <w:sz w:val="24"/>
          <w:szCs w:val="24"/>
        </w:rPr>
        <w:t>La</w:t>
      </w:r>
      <w:r w:rsidR="0D8BBE52" w:rsidRPr="6BC40FD5">
        <w:rPr>
          <w:rFonts w:ascii="Times New Roman" w:eastAsia="Times New Roman" w:hAnsi="Times New Roman"/>
          <w:sz w:val="24"/>
          <w:szCs w:val="24"/>
        </w:rPr>
        <w:t>situation</w:t>
      </w:r>
      <w:proofErr w:type="spellEnd"/>
      <w:r w:rsidRPr="6BC40FD5">
        <w:rPr>
          <w:rFonts w:ascii="Times New Roman" w:eastAsia="Times New Roman" w:hAnsi="Times New Roman"/>
          <w:sz w:val="24"/>
          <w:szCs w:val="24"/>
        </w:rPr>
        <w:t xml:space="preserve"> </w:t>
      </w:r>
      <w:r w:rsidR="40585ED6" w:rsidRPr="106C3604">
        <w:rPr>
          <w:rFonts w:ascii="Times New Roman" w:eastAsia="Times New Roman" w:hAnsi="Times New Roman"/>
          <w:sz w:val="24"/>
          <w:szCs w:val="24"/>
        </w:rPr>
        <w:t xml:space="preserve">instable en Libye </w:t>
      </w:r>
      <w:r w:rsidRPr="6BC40FD5">
        <w:rPr>
          <w:rFonts w:ascii="Times New Roman" w:eastAsia="Times New Roman" w:hAnsi="Times New Roman"/>
          <w:sz w:val="24"/>
          <w:szCs w:val="24"/>
        </w:rPr>
        <w:t xml:space="preserve">impactera </w:t>
      </w:r>
      <w:r w:rsidR="0D8BBE52" w:rsidRPr="6BC40FD5">
        <w:rPr>
          <w:rFonts w:ascii="Times New Roman" w:eastAsia="Times New Roman" w:hAnsi="Times New Roman"/>
          <w:sz w:val="24"/>
          <w:szCs w:val="24"/>
        </w:rPr>
        <w:t xml:space="preserve">négativement </w:t>
      </w:r>
      <w:r w:rsidRPr="6BC40FD5">
        <w:rPr>
          <w:rFonts w:ascii="Times New Roman" w:eastAsia="Times New Roman" w:hAnsi="Times New Roman"/>
          <w:sz w:val="24"/>
          <w:szCs w:val="24"/>
        </w:rPr>
        <w:t>les provinces et zones frontalières du nord du Tchad</w:t>
      </w:r>
      <w:r w:rsidR="76FD7F65" w:rsidRPr="6BC40FD5">
        <w:rPr>
          <w:rFonts w:ascii="Times New Roman" w:eastAsia="Times New Roman" w:hAnsi="Times New Roman"/>
          <w:sz w:val="24"/>
          <w:szCs w:val="24"/>
        </w:rPr>
        <w:t xml:space="preserve">, où les groupes d'opposition armés tchadiens se réfugient et d'où ils font des incursions périodiques </w:t>
      </w:r>
      <w:r w:rsidR="76FD7F65" w:rsidRPr="6BC40FD5">
        <w:rPr>
          <w:rFonts w:ascii="Times New Roman" w:eastAsia="Times New Roman" w:hAnsi="Times New Roman"/>
          <w:sz w:val="24"/>
          <w:szCs w:val="24"/>
        </w:rPr>
        <w:lastRenderedPageBreak/>
        <w:t>au Tchad</w:t>
      </w:r>
      <w:r w:rsidRPr="6BC40FD5">
        <w:rPr>
          <w:rFonts w:ascii="Times New Roman" w:eastAsia="Times New Roman" w:hAnsi="Times New Roman"/>
          <w:sz w:val="24"/>
          <w:szCs w:val="24"/>
        </w:rPr>
        <w:t xml:space="preserve">. La nature insaisissable du conflit, avec le déclin de quelques factions armées, l’émergence de nouveaux groupes, </w:t>
      </w:r>
      <w:r w:rsidR="76FD7F65" w:rsidRPr="6BC40FD5">
        <w:rPr>
          <w:rFonts w:ascii="Times New Roman" w:eastAsia="Times New Roman" w:hAnsi="Times New Roman"/>
          <w:sz w:val="24"/>
          <w:szCs w:val="24"/>
        </w:rPr>
        <w:t xml:space="preserve">l'ingérence des puissances étrangères, </w:t>
      </w:r>
      <w:r w:rsidRPr="6BC40FD5">
        <w:rPr>
          <w:rFonts w:ascii="Times New Roman" w:eastAsia="Times New Roman" w:hAnsi="Times New Roman"/>
          <w:sz w:val="24"/>
          <w:szCs w:val="24"/>
        </w:rPr>
        <w:t>les alliances mouvantes entre groupes à l’intérieur et à l’extérieur de la Libye, combiné au trafic illégal d’armes dans la région, a des répercussions plus grandes sur la stabilité globale du Sahel et de la région du Bassin du Lac Tchad.</w:t>
      </w:r>
      <w:r w:rsidR="4777009F" w:rsidRPr="6BC40FD5">
        <w:rPr>
          <w:rFonts w:ascii="Times New Roman" w:eastAsia="Times New Roman" w:hAnsi="Times New Roman"/>
          <w:sz w:val="24"/>
          <w:szCs w:val="24"/>
        </w:rPr>
        <w:t xml:space="preserve"> </w:t>
      </w:r>
      <w:r w:rsidR="5B4252A1" w:rsidRPr="6BC40FD5">
        <w:rPr>
          <w:rFonts w:ascii="Times New Roman" w:eastAsia="Times New Roman" w:hAnsi="Times New Roman"/>
          <w:sz w:val="24"/>
          <w:szCs w:val="24"/>
        </w:rPr>
        <w:t xml:space="preserve"> Les risques de déportation de migrants de la Libye restent aussi réels.</w:t>
      </w:r>
      <w:r w:rsidRPr="6BC40FD5">
        <w:rPr>
          <w:rFonts w:ascii="Times New Roman" w:eastAsia="Times New Roman" w:hAnsi="Times New Roman"/>
          <w:sz w:val="24"/>
          <w:szCs w:val="24"/>
        </w:rPr>
        <w:t xml:space="preserve"> </w:t>
      </w:r>
      <w:r w:rsidR="16602DBC" w:rsidRPr="6BC40FD5">
        <w:rPr>
          <w:rFonts w:ascii="Times New Roman" w:eastAsia="Times New Roman" w:hAnsi="Times New Roman"/>
          <w:sz w:val="24"/>
          <w:szCs w:val="24"/>
        </w:rPr>
        <w:t xml:space="preserve">Les données collectées par le mécanisme de suivi de flux </w:t>
      </w:r>
      <w:r w:rsidR="06472BBB" w:rsidRPr="6BC40FD5">
        <w:rPr>
          <w:rFonts w:ascii="Times New Roman" w:eastAsia="Times New Roman" w:hAnsi="Times New Roman"/>
          <w:sz w:val="24"/>
          <w:szCs w:val="24"/>
        </w:rPr>
        <w:t>indiquent</w:t>
      </w:r>
      <w:r w:rsidR="16602DBC" w:rsidRPr="6BC40FD5">
        <w:rPr>
          <w:rFonts w:ascii="Times New Roman" w:eastAsia="Times New Roman" w:hAnsi="Times New Roman"/>
          <w:sz w:val="24"/>
          <w:szCs w:val="24"/>
        </w:rPr>
        <w:t xml:space="preserve"> que 1 667 personnes ont été déportées de la Libye depuis mi-avril 2020</w:t>
      </w:r>
      <w:r w:rsidR="00B24BB8" w:rsidRPr="6BC40FD5">
        <w:rPr>
          <w:rFonts w:ascii="Times New Roman" w:eastAsia="Times New Roman" w:hAnsi="Times New Roman"/>
          <w:sz w:val="24"/>
          <w:szCs w:val="24"/>
        </w:rPr>
        <w:footnoteReference w:id="41"/>
      </w:r>
      <w:r w:rsidR="5460A5B1" w:rsidRPr="6BC40FD5">
        <w:rPr>
          <w:rFonts w:ascii="Times New Roman" w:eastAsia="Times New Roman" w:hAnsi="Times New Roman"/>
          <w:sz w:val="24"/>
          <w:szCs w:val="24"/>
        </w:rPr>
        <w:t>. Ainsi, ces mouvements de déportation, s’ils continuent, pourraient concerner de plus larges nombres de personnes.</w:t>
      </w:r>
    </w:p>
    <w:p w14:paraId="0F8B2FBE" w14:textId="0EF3250A" w:rsidR="00B24BB8" w:rsidRPr="00B24BB8" w:rsidRDefault="00B24BB8" w:rsidP="000824A6">
      <w:pPr>
        <w:pStyle w:val="Paragraphedeliste"/>
        <w:spacing w:after="0" w:line="249" w:lineRule="auto"/>
        <w:ind w:left="360" w:right="288"/>
        <w:jc w:val="both"/>
        <w:rPr>
          <w:rFonts w:ascii="Times New Roman" w:hAnsi="Times New Roman"/>
          <w:sz w:val="24"/>
          <w:szCs w:val="24"/>
        </w:rPr>
      </w:pPr>
    </w:p>
    <w:p w14:paraId="54AB8B0E" w14:textId="6CF6A178" w:rsidR="2350A273" w:rsidRPr="00A8375B" w:rsidRDefault="2350A273" w:rsidP="00BC1AE3">
      <w:pPr>
        <w:pStyle w:val="Paragraphedeliste"/>
        <w:numPr>
          <w:ilvl w:val="0"/>
          <w:numId w:val="14"/>
        </w:numPr>
        <w:jc w:val="both"/>
        <w:rPr>
          <w:rFonts w:ascii="Times New Roman" w:hAnsi="Times New Roman"/>
          <w:color w:val="000000" w:themeColor="text1"/>
          <w:sz w:val="24"/>
        </w:rPr>
      </w:pPr>
      <w:r w:rsidRPr="581E4654">
        <w:rPr>
          <w:rFonts w:ascii="Times New Roman" w:hAnsi="Times New Roman"/>
          <w:b/>
          <w:bCs/>
          <w:color w:val="000000" w:themeColor="text1"/>
          <w:sz w:val="24"/>
          <w:szCs w:val="24"/>
        </w:rPr>
        <w:t>Le</w:t>
      </w:r>
      <w:r w:rsidR="2ECFBF9D" w:rsidRPr="581E4654">
        <w:rPr>
          <w:rFonts w:ascii="Times New Roman" w:hAnsi="Times New Roman"/>
          <w:b/>
          <w:bCs/>
          <w:color w:val="000000" w:themeColor="text1"/>
          <w:sz w:val="24"/>
          <w:szCs w:val="24"/>
        </w:rPr>
        <w:t xml:space="preserve"> conflit ouvert autour du control des mines d’or </w:t>
      </w:r>
      <w:r w:rsidR="41C4DA61" w:rsidRPr="581E4654">
        <w:rPr>
          <w:rFonts w:ascii="Times New Roman" w:hAnsi="Times New Roman"/>
          <w:b/>
          <w:bCs/>
          <w:color w:val="000000" w:themeColor="text1"/>
          <w:sz w:val="24"/>
          <w:szCs w:val="24"/>
        </w:rPr>
        <w:t xml:space="preserve">du Tibesti </w:t>
      </w:r>
      <w:r w:rsidR="2ECFBF9D" w:rsidRPr="581E4654">
        <w:rPr>
          <w:rFonts w:ascii="Times New Roman" w:hAnsi="Times New Roman"/>
          <w:b/>
          <w:bCs/>
          <w:color w:val="000000" w:themeColor="text1"/>
          <w:sz w:val="24"/>
          <w:szCs w:val="24"/>
        </w:rPr>
        <w:t xml:space="preserve">pourrait </w:t>
      </w:r>
      <w:r w:rsidR="2ECFBF9D" w:rsidRPr="00A8375B">
        <w:rPr>
          <w:rFonts w:ascii="Times New Roman" w:hAnsi="Times New Roman"/>
          <w:b/>
          <w:color w:val="000000" w:themeColor="text1"/>
          <w:sz w:val="24"/>
        </w:rPr>
        <w:t>reprendre</w:t>
      </w:r>
      <w:proofErr w:type="gramStart"/>
      <w:r w:rsidR="2ECFBF9D" w:rsidRPr="00A8375B">
        <w:rPr>
          <w:rFonts w:ascii="Times New Roman" w:hAnsi="Times New Roman"/>
          <w:b/>
          <w:color w:val="000000" w:themeColor="text1"/>
          <w:sz w:val="24"/>
        </w:rPr>
        <w:t xml:space="preserve"> </w:t>
      </w:r>
      <w:r w:rsidRPr="581E4654">
        <w:rPr>
          <w:rFonts w:ascii="Times New Roman" w:hAnsi="Times New Roman"/>
          <w:b/>
          <w:bCs/>
          <w:color w:val="000000" w:themeColor="text1"/>
          <w:sz w:val="24"/>
          <w:szCs w:val="24"/>
        </w:rPr>
        <w:t xml:space="preserve"> </w:t>
      </w:r>
      <w:r w:rsidRPr="00A8375B">
        <w:rPr>
          <w:rFonts w:ascii="Times New Roman" w:hAnsi="Times New Roman"/>
          <w:b/>
          <w:color w:val="000000" w:themeColor="text1"/>
          <w:sz w:val="24"/>
        </w:rPr>
        <w:t xml:space="preserve"> </w:t>
      </w:r>
      <w:r w:rsidRPr="581E4654">
        <w:rPr>
          <w:rFonts w:ascii="Times New Roman" w:hAnsi="Times New Roman"/>
          <w:b/>
          <w:bCs/>
          <w:color w:val="FF0000"/>
          <w:sz w:val="24"/>
          <w:szCs w:val="24"/>
        </w:rPr>
        <w:t>(</w:t>
      </w:r>
      <w:proofErr w:type="gramEnd"/>
      <w:r w:rsidRPr="581E4654">
        <w:rPr>
          <w:rFonts w:ascii="Times New Roman" w:hAnsi="Times New Roman"/>
          <w:b/>
          <w:bCs/>
          <w:color w:val="FF0000"/>
          <w:sz w:val="24"/>
          <w:szCs w:val="24"/>
        </w:rPr>
        <w:t>Probabilité – modérée)</w:t>
      </w:r>
      <w:r w:rsidR="07A43CA5" w:rsidRPr="581E4654">
        <w:rPr>
          <w:rFonts w:ascii="Times New Roman" w:hAnsi="Times New Roman"/>
          <w:b/>
          <w:bCs/>
          <w:color w:val="FF0000"/>
          <w:sz w:val="24"/>
          <w:szCs w:val="24"/>
        </w:rPr>
        <w:t xml:space="preserve"> : </w:t>
      </w:r>
      <w:r w:rsidRPr="581E4654">
        <w:rPr>
          <w:rFonts w:ascii="Times New Roman" w:hAnsi="Times New Roman"/>
          <w:color w:val="FF0000"/>
          <w:sz w:val="24"/>
          <w:szCs w:val="24"/>
        </w:rPr>
        <w:t> </w:t>
      </w:r>
      <w:r w:rsidR="07A43CA5" w:rsidRPr="581E4654">
        <w:rPr>
          <w:rFonts w:ascii="Times New Roman" w:hAnsi="Times New Roman"/>
          <w:color w:val="FF0000"/>
          <w:sz w:val="24"/>
          <w:szCs w:val="24"/>
        </w:rPr>
        <w:t xml:space="preserve"> </w:t>
      </w:r>
      <w:proofErr w:type="spellStart"/>
      <w:r w:rsidR="76051690" w:rsidRPr="38CF240D">
        <w:rPr>
          <w:rFonts w:ascii="Times New Roman" w:hAnsi="Times New Roman"/>
          <w:color w:val="000000" w:themeColor="text1"/>
          <w:sz w:val="24"/>
          <w:szCs w:val="24"/>
        </w:rPr>
        <w:t>Des</w:t>
      </w:r>
      <w:r w:rsidR="76051690" w:rsidRPr="581E4654">
        <w:rPr>
          <w:rFonts w:ascii="Times New Roman" w:hAnsi="Times New Roman"/>
          <w:color w:val="000000" w:themeColor="text1"/>
          <w:sz w:val="24"/>
          <w:szCs w:val="24"/>
        </w:rPr>
        <w:t>Des</w:t>
      </w:r>
      <w:proofErr w:type="spellEnd"/>
      <w:r w:rsidR="07A43CA5" w:rsidRPr="581E4654">
        <w:rPr>
          <w:rFonts w:ascii="Times New Roman" w:hAnsi="Times New Roman"/>
          <w:color w:val="000000" w:themeColor="text1"/>
          <w:sz w:val="24"/>
          <w:szCs w:val="24"/>
        </w:rPr>
        <w:t xml:space="preserve"> </w:t>
      </w:r>
      <w:proofErr w:type="spellStart"/>
      <w:r w:rsidR="07A43CA5" w:rsidRPr="581E4654">
        <w:rPr>
          <w:rFonts w:ascii="Times New Roman" w:hAnsi="Times New Roman"/>
          <w:color w:val="000000" w:themeColor="text1"/>
          <w:sz w:val="24"/>
          <w:szCs w:val="24"/>
        </w:rPr>
        <w:t>tensionsentre</w:t>
      </w:r>
      <w:proofErr w:type="spellEnd"/>
      <w:r w:rsidR="07A43CA5" w:rsidRPr="581E4654">
        <w:rPr>
          <w:rFonts w:ascii="Times New Roman" w:hAnsi="Times New Roman"/>
          <w:color w:val="000000" w:themeColor="text1"/>
          <w:sz w:val="24"/>
          <w:szCs w:val="24"/>
        </w:rPr>
        <w:t xml:space="preserve"> le </w:t>
      </w:r>
      <w:r w:rsidR="07A43CA5" w:rsidRPr="00A8375B">
        <w:rPr>
          <w:rFonts w:ascii="Times New Roman" w:hAnsi="Times New Roman"/>
          <w:color w:val="000000" w:themeColor="text1"/>
          <w:sz w:val="24"/>
        </w:rPr>
        <w:t>Gouvernement tchadien et les</w:t>
      </w:r>
      <w:r w:rsidR="43544CA8" w:rsidRPr="00A8375B">
        <w:rPr>
          <w:rFonts w:ascii="Times New Roman" w:hAnsi="Times New Roman"/>
          <w:color w:val="000000" w:themeColor="text1"/>
          <w:sz w:val="24"/>
        </w:rPr>
        <w:t xml:space="preserve"> </w:t>
      </w:r>
      <w:r w:rsidR="437B8738" w:rsidRPr="581E4654">
        <w:rPr>
          <w:rFonts w:ascii="Times New Roman" w:hAnsi="Times New Roman"/>
          <w:color w:val="000000" w:themeColor="text1"/>
          <w:sz w:val="24"/>
          <w:szCs w:val="24"/>
        </w:rPr>
        <w:t>Toubous,</w:t>
      </w:r>
      <w:r w:rsidR="408E004A" w:rsidRPr="581E4654">
        <w:rPr>
          <w:rFonts w:ascii="Times New Roman" w:hAnsi="Times New Roman"/>
          <w:color w:val="000000" w:themeColor="text1"/>
          <w:sz w:val="24"/>
          <w:szCs w:val="24"/>
        </w:rPr>
        <w:t xml:space="preserve"> les locaux du nord du Tchad,</w:t>
      </w:r>
      <w:r w:rsidR="437B8738" w:rsidRPr="581E4654">
        <w:rPr>
          <w:rFonts w:ascii="Times New Roman" w:hAnsi="Times New Roman"/>
          <w:color w:val="000000" w:themeColor="text1"/>
          <w:sz w:val="24"/>
          <w:szCs w:val="24"/>
        </w:rPr>
        <w:t xml:space="preserve"> </w:t>
      </w:r>
      <w:r w:rsidR="7CA18138" w:rsidRPr="581E4654">
        <w:rPr>
          <w:rFonts w:ascii="Times New Roman" w:hAnsi="Times New Roman"/>
          <w:color w:val="000000" w:themeColor="text1"/>
          <w:sz w:val="24"/>
          <w:szCs w:val="24"/>
        </w:rPr>
        <w:t xml:space="preserve">par rapport au control des mines d’or du Tibesti ont </w:t>
      </w:r>
      <w:r w:rsidR="6FA9A318" w:rsidRPr="581E4654">
        <w:rPr>
          <w:rFonts w:ascii="Times New Roman" w:hAnsi="Times New Roman"/>
          <w:color w:val="000000" w:themeColor="text1"/>
          <w:sz w:val="24"/>
          <w:szCs w:val="24"/>
        </w:rPr>
        <w:t>mené</w:t>
      </w:r>
      <w:r w:rsidR="7CA18138" w:rsidRPr="581E4654">
        <w:rPr>
          <w:rFonts w:ascii="Times New Roman" w:hAnsi="Times New Roman"/>
          <w:color w:val="000000" w:themeColor="text1"/>
          <w:sz w:val="24"/>
          <w:szCs w:val="24"/>
        </w:rPr>
        <w:t xml:space="preserve"> </w:t>
      </w:r>
      <w:r w:rsidR="16B7C43D" w:rsidRPr="581E4654">
        <w:rPr>
          <w:rFonts w:ascii="Times New Roman" w:hAnsi="Times New Roman"/>
          <w:color w:val="000000" w:themeColor="text1"/>
          <w:sz w:val="24"/>
          <w:szCs w:val="24"/>
        </w:rPr>
        <w:t>à</w:t>
      </w:r>
      <w:r w:rsidR="7CA18138" w:rsidRPr="581E4654">
        <w:rPr>
          <w:rFonts w:ascii="Times New Roman" w:hAnsi="Times New Roman"/>
          <w:color w:val="000000" w:themeColor="text1"/>
          <w:sz w:val="24"/>
          <w:szCs w:val="24"/>
        </w:rPr>
        <w:t xml:space="preserve"> une confrontation ouverte en 2020</w:t>
      </w:r>
      <w:r w:rsidR="682C763E" w:rsidRPr="581E4654">
        <w:rPr>
          <w:rFonts w:ascii="Times New Roman" w:hAnsi="Times New Roman"/>
          <w:color w:val="000000" w:themeColor="text1"/>
          <w:sz w:val="24"/>
          <w:szCs w:val="24"/>
        </w:rPr>
        <w:t xml:space="preserve"> entre le militaire et des </w:t>
      </w:r>
      <w:r w:rsidR="682C763E" w:rsidRPr="00A8375B">
        <w:rPr>
          <w:rFonts w:ascii="Times New Roman" w:hAnsi="Times New Roman"/>
          <w:color w:val="000000" w:themeColor="text1"/>
          <w:sz w:val="24"/>
        </w:rPr>
        <w:t>comités d’autodéfense</w:t>
      </w:r>
      <w:r w:rsidR="7CA18138" w:rsidRPr="581E4654">
        <w:rPr>
          <w:rFonts w:ascii="Times New Roman" w:hAnsi="Times New Roman"/>
          <w:color w:val="000000" w:themeColor="text1"/>
          <w:sz w:val="24"/>
          <w:szCs w:val="24"/>
        </w:rPr>
        <w:t xml:space="preserve">. </w:t>
      </w:r>
      <w:r w:rsidR="07A43CA5" w:rsidRPr="00A8375B">
        <w:rPr>
          <w:rFonts w:ascii="Times New Roman" w:hAnsi="Times New Roman"/>
          <w:color w:val="000000" w:themeColor="text1"/>
          <w:sz w:val="24"/>
        </w:rPr>
        <w:t xml:space="preserve"> La Direction générale de service de sécurité des institutions de l'État et les éléments militaires ont été déployés en mai-juin 2020</w:t>
      </w:r>
      <w:r w:rsidR="07A43CA5" w:rsidRPr="581E4654">
        <w:rPr>
          <w:rFonts w:ascii="Times New Roman" w:hAnsi="Times New Roman"/>
          <w:color w:val="000000" w:themeColor="text1"/>
          <w:sz w:val="24"/>
          <w:szCs w:val="24"/>
        </w:rPr>
        <w:t>.</w:t>
      </w:r>
      <w:r w:rsidR="07A43CA5" w:rsidRPr="00A8375B">
        <w:rPr>
          <w:rFonts w:ascii="Times New Roman" w:hAnsi="Times New Roman"/>
          <w:color w:val="000000" w:themeColor="text1"/>
          <w:sz w:val="24"/>
        </w:rPr>
        <w:t xml:space="preserve"> La présence limitée </w:t>
      </w:r>
      <w:proofErr w:type="gramStart"/>
      <w:r w:rsidR="07A43CA5" w:rsidRPr="00A8375B">
        <w:rPr>
          <w:rFonts w:ascii="Times New Roman" w:hAnsi="Times New Roman"/>
          <w:color w:val="000000" w:themeColor="text1"/>
          <w:sz w:val="24"/>
        </w:rPr>
        <w:t xml:space="preserve">de </w:t>
      </w:r>
      <w:r w:rsidR="54B582CE" w:rsidRPr="00A8375B">
        <w:rPr>
          <w:rFonts w:ascii="Times New Roman" w:hAnsi="Times New Roman"/>
          <w:color w:val="000000" w:themeColor="text1"/>
          <w:sz w:val="24"/>
        </w:rPr>
        <w:t xml:space="preserve"> </w:t>
      </w:r>
      <w:r w:rsidR="07A43CA5" w:rsidRPr="00A8375B">
        <w:rPr>
          <w:rFonts w:ascii="Times New Roman" w:hAnsi="Times New Roman"/>
          <w:color w:val="000000" w:themeColor="text1"/>
          <w:sz w:val="24"/>
        </w:rPr>
        <w:t>l’Etat</w:t>
      </w:r>
      <w:proofErr w:type="gramEnd"/>
      <w:r w:rsidR="07A43CA5" w:rsidRPr="00A8375B">
        <w:rPr>
          <w:rFonts w:ascii="Times New Roman" w:hAnsi="Times New Roman"/>
          <w:color w:val="000000" w:themeColor="text1"/>
          <w:sz w:val="24"/>
        </w:rPr>
        <w:t xml:space="preserve"> dans cette zone fragile du nord, ainsi qu’un investissement minimal dans son développement,</w:t>
      </w:r>
      <w:r w:rsidR="2FB904D5" w:rsidRPr="00A8375B">
        <w:rPr>
          <w:rFonts w:ascii="Times New Roman" w:hAnsi="Times New Roman"/>
          <w:color w:val="000000" w:themeColor="text1"/>
          <w:sz w:val="24"/>
        </w:rPr>
        <w:t xml:space="preserve"> </w:t>
      </w:r>
      <w:r w:rsidR="07A43CA5" w:rsidRPr="00A8375B">
        <w:rPr>
          <w:rFonts w:ascii="Times New Roman" w:hAnsi="Times New Roman"/>
          <w:color w:val="000000" w:themeColor="text1"/>
          <w:sz w:val="24"/>
        </w:rPr>
        <w:t>la présence extrêmement limitée de composantes internationales et un climat difficile posent des difficultés importantes au développement.</w:t>
      </w:r>
      <w:r w:rsidR="40CA9DC8" w:rsidRPr="581E4654">
        <w:rPr>
          <w:rFonts w:ascii="Times New Roman" w:hAnsi="Times New Roman"/>
          <w:color w:val="000000" w:themeColor="text1"/>
          <w:sz w:val="24"/>
          <w:szCs w:val="24"/>
        </w:rPr>
        <w:t xml:space="preserve"> </w:t>
      </w:r>
      <w:r w:rsidR="1457D7D7" w:rsidRPr="581E4654">
        <w:rPr>
          <w:rFonts w:ascii="Times New Roman" w:hAnsi="Times New Roman"/>
          <w:sz w:val="24"/>
          <w:szCs w:val="24"/>
        </w:rPr>
        <w:t xml:space="preserve">Le nord est aussi la zone du pays ou l’identification avec l’Etat tchadien est très faible et des liens forts existent entre les populations des deux côtes de la frontière du nord, une frontière, qui - à cause de ses dimensions est son inaccessibilité - est extrêmement difficile à contrôler. Sans accord stable entre le Gouvernement et les Toubous </w:t>
      </w:r>
      <w:r w:rsidR="1D47F36B" w:rsidRPr="581E4654">
        <w:rPr>
          <w:rFonts w:ascii="Times New Roman" w:hAnsi="Times New Roman"/>
          <w:sz w:val="24"/>
          <w:szCs w:val="24"/>
        </w:rPr>
        <w:t>l</w:t>
      </w:r>
      <w:r w:rsidR="1457D7D7" w:rsidRPr="581E4654">
        <w:rPr>
          <w:rFonts w:ascii="Times New Roman" w:hAnsi="Times New Roman"/>
          <w:sz w:val="24"/>
          <w:szCs w:val="24"/>
        </w:rPr>
        <w:t xml:space="preserve">e conflit par rapport au control </w:t>
      </w:r>
      <w:r w:rsidR="666B5A75" w:rsidRPr="581E4654">
        <w:rPr>
          <w:rFonts w:ascii="Times New Roman" w:hAnsi="Times New Roman"/>
          <w:sz w:val="24"/>
          <w:szCs w:val="24"/>
        </w:rPr>
        <w:t xml:space="preserve">de </w:t>
      </w:r>
      <w:r w:rsidR="1457D7D7" w:rsidRPr="581E4654">
        <w:rPr>
          <w:rFonts w:ascii="Times New Roman" w:hAnsi="Times New Roman"/>
          <w:sz w:val="24"/>
          <w:szCs w:val="24"/>
        </w:rPr>
        <w:t>l'or du Tibesti pourra reprendre à chaque moment.</w:t>
      </w:r>
    </w:p>
    <w:p w14:paraId="7FECFC7A" w14:textId="735C7429" w:rsidR="581E4654" w:rsidRDefault="581E4654" w:rsidP="005B765C">
      <w:pPr>
        <w:jc w:val="both"/>
        <w:rPr>
          <w:rFonts w:ascii="Times New Roman" w:hAnsi="Times New Roman"/>
          <w:color w:val="000000" w:themeColor="text1"/>
        </w:rPr>
      </w:pPr>
    </w:p>
    <w:p w14:paraId="3CA4F3B9" w14:textId="77777777" w:rsidR="00CB33C2" w:rsidRPr="000824A6" w:rsidRDefault="00CB33C2" w:rsidP="000824A6">
      <w:pPr>
        <w:pStyle w:val="Paragraphedeliste"/>
        <w:rPr>
          <w:rFonts w:ascii="Times New Roman" w:hAnsi="Times New Roman"/>
          <w:color w:val="000000"/>
          <w:sz w:val="24"/>
        </w:rPr>
      </w:pPr>
    </w:p>
    <w:p w14:paraId="325F5FFA" w14:textId="58B36891" w:rsidR="00B24BB8" w:rsidRDefault="00B24BB8" w:rsidP="00BC1AE3">
      <w:pPr>
        <w:pStyle w:val="Paragraphedeliste"/>
        <w:numPr>
          <w:ilvl w:val="0"/>
          <w:numId w:val="14"/>
        </w:numPr>
        <w:spacing w:after="0" w:line="249" w:lineRule="auto"/>
        <w:ind w:right="288"/>
        <w:jc w:val="both"/>
        <w:rPr>
          <w:rFonts w:ascii="Times New Roman" w:hAnsi="Times New Roman"/>
          <w:color w:val="000000"/>
          <w:sz w:val="24"/>
          <w:szCs w:val="24"/>
        </w:rPr>
      </w:pPr>
      <w:r w:rsidRPr="6BC40FD5">
        <w:rPr>
          <w:rFonts w:ascii="Times New Roman" w:hAnsi="Times New Roman"/>
          <w:b/>
          <w:bCs/>
          <w:color w:val="000000"/>
          <w:sz w:val="24"/>
          <w:szCs w:val="24"/>
        </w:rPr>
        <w:t>Détérioration de la situation sécuritaire en République Centrafricaine</w:t>
      </w:r>
      <w:r w:rsidRPr="6BC40FD5">
        <w:rPr>
          <w:rFonts w:ascii="Times New Roman" w:hAnsi="Times New Roman"/>
          <w:color w:val="000000"/>
          <w:sz w:val="24"/>
          <w:szCs w:val="24"/>
        </w:rPr>
        <w:t xml:space="preserve"> </w:t>
      </w:r>
      <w:r w:rsidRPr="6BC40FD5">
        <w:rPr>
          <w:rFonts w:ascii="Times New Roman" w:hAnsi="Times New Roman"/>
          <w:b/>
          <w:bCs/>
          <w:color w:val="FF0000"/>
          <w:sz w:val="24"/>
          <w:szCs w:val="24"/>
        </w:rPr>
        <w:t>(Probabilité – modérée)</w:t>
      </w:r>
      <w:r w:rsidRPr="6BC40FD5">
        <w:rPr>
          <w:rFonts w:ascii="Times New Roman" w:hAnsi="Times New Roman"/>
          <w:color w:val="FF0000"/>
          <w:sz w:val="24"/>
          <w:szCs w:val="24"/>
        </w:rPr>
        <w:t> </w:t>
      </w:r>
      <w:r w:rsidRPr="6BC40FD5">
        <w:rPr>
          <w:rFonts w:ascii="Times New Roman" w:hAnsi="Times New Roman"/>
          <w:color w:val="000000"/>
          <w:sz w:val="24"/>
          <w:szCs w:val="24"/>
        </w:rPr>
        <w:t xml:space="preserve">: La paix en RCA, à la frontière sud du Tchad, demeure fragile, avec un conflit localisé entre groupes armés dans les provinces, et la perspective de tension accrue dû au calendrier électoral 2020-2021. Quelques </w:t>
      </w:r>
      <w:r w:rsidR="00C24DAA" w:rsidRPr="6BC40FD5">
        <w:rPr>
          <w:rFonts w:ascii="Times New Roman" w:hAnsi="Times New Roman"/>
          <w:color w:val="000000"/>
          <w:sz w:val="24"/>
          <w:szCs w:val="24"/>
        </w:rPr>
        <w:t>123,501</w:t>
      </w:r>
      <w:r w:rsidRPr="6BC40FD5">
        <w:rPr>
          <w:rStyle w:val="Appelnotedebasdep"/>
          <w:sz w:val="24"/>
          <w:szCs w:val="24"/>
          <w:vertAlign w:val="superscript"/>
        </w:rPr>
        <w:footnoteReference w:id="42"/>
      </w:r>
      <w:r w:rsidRPr="6BC40FD5">
        <w:rPr>
          <w:rFonts w:ascii="Times New Roman" w:hAnsi="Times New Roman"/>
          <w:color w:val="000000"/>
          <w:sz w:val="24"/>
          <w:szCs w:val="24"/>
        </w:rPr>
        <w:t xml:space="preserve"> réfugiés centrafricains</w:t>
      </w:r>
      <w:r w:rsidRPr="00B24BB8">
        <w:rPr>
          <w:rFonts w:ascii="Times New Roman" w:eastAsia="Times New Roman" w:hAnsi="Times New Roman"/>
          <w:color w:val="000000"/>
          <w:sz w:val="24"/>
          <w:szCs w:val="24"/>
        </w:rPr>
        <w:t xml:space="preserve"> </w:t>
      </w:r>
      <w:r w:rsidR="00841EA7">
        <w:rPr>
          <w:rFonts w:ascii="Times New Roman" w:eastAsia="Times New Roman" w:hAnsi="Times New Roman"/>
          <w:color w:val="000000"/>
          <w:sz w:val="24"/>
          <w:szCs w:val="24"/>
        </w:rPr>
        <w:t>sont</w:t>
      </w:r>
      <w:r w:rsidRPr="6BC40FD5">
        <w:rPr>
          <w:rFonts w:ascii="Times New Roman" w:hAnsi="Times New Roman"/>
          <w:color w:val="000000"/>
          <w:sz w:val="24"/>
          <w:szCs w:val="24"/>
        </w:rPr>
        <w:t xml:space="preserve"> présents dans les camps, sites et villages du sud du Tchad. Bien que des perspectives soient en cours pour signer </w:t>
      </w:r>
      <w:r w:rsidR="00254340" w:rsidRPr="6BC40FD5">
        <w:rPr>
          <w:rFonts w:ascii="Times New Roman" w:hAnsi="Times New Roman"/>
          <w:color w:val="000000"/>
          <w:sz w:val="24"/>
          <w:szCs w:val="24"/>
        </w:rPr>
        <w:t>d</w:t>
      </w:r>
      <w:r w:rsidRPr="6BC40FD5">
        <w:rPr>
          <w:rFonts w:ascii="Times New Roman" w:hAnsi="Times New Roman"/>
          <w:color w:val="000000"/>
          <w:sz w:val="24"/>
          <w:szCs w:val="24"/>
        </w:rPr>
        <w:t>es accords tripartites entre le Tchad, la RCA et le HCR pour le rapatriement des réfugiés centrafricains vivant au Tchad, un bon nombre ne devrai</w:t>
      </w:r>
      <w:r w:rsidR="00254340" w:rsidRPr="6BC40FD5">
        <w:rPr>
          <w:rFonts w:ascii="Times New Roman" w:hAnsi="Times New Roman"/>
          <w:color w:val="000000"/>
          <w:sz w:val="24"/>
          <w:szCs w:val="24"/>
        </w:rPr>
        <w:t>t</w:t>
      </w:r>
      <w:r w:rsidRPr="6BC40FD5">
        <w:rPr>
          <w:rFonts w:ascii="Times New Roman" w:hAnsi="Times New Roman"/>
          <w:color w:val="000000"/>
          <w:sz w:val="24"/>
          <w:szCs w:val="24"/>
        </w:rPr>
        <w:t xml:space="preserve"> pas être en mesure de retourner et v</w:t>
      </w:r>
      <w:r w:rsidR="00254340" w:rsidRPr="6BC40FD5">
        <w:rPr>
          <w:rFonts w:ascii="Times New Roman" w:hAnsi="Times New Roman"/>
          <w:color w:val="000000"/>
          <w:sz w:val="24"/>
          <w:szCs w:val="24"/>
        </w:rPr>
        <w:t>a</w:t>
      </w:r>
      <w:r w:rsidRPr="6BC40FD5">
        <w:rPr>
          <w:rFonts w:ascii="Times New Roman" w:hAnsi="Times New Roman"/>
          <w:color w:val="000000"/>
          <w:sz w:val="24"/>
          <w:szCs w:val="24"/>
        </w:rPr>
        <w:t xml:space="preserve"> donc rester au Tchad avec un accès limité aux ressources et une capacité aussi limitée à développer des moyens de subsistance. </w:t>
      </w:r>
      <w:r w:rsidR="007D6460" w:rsidRPr="007D6460">
        <w:t xml:space="preserve"> </w:t>
      </w:r>
      <w:r w:rsidR="007D6460" w:rsidRPr="6BC40FD5">
        <w:rPr>
          <w:rFonts w:ascii="Times New Roman" w:hAnsi="Times New Roman"/>
          <w:sz w:val="24"/>
          <w:szCs w:val="24"/>
        </w:rPr>
        <w:t>77,650</w:t>
      </w:r>
      <w:r w:rsidRPr="6BC40FD5">
        <w:rPr>
          <w:rStyle w:val="Appelnotedebasdep"/>
          <w:sz w:val="24"/>
          <w:szCs w:val="24"/>
          <w:vertAlign w:val="superscript"/>
        </w:rPr>
        <w:footnoteReference w:id="43"/>
      </w:r>
      <w:r w:rsidRPr="00B24BB8">
        <w:rPr>
          <w:rFonts w:ascii="Times New Roman" w:eastAsia="Times New Roman" w:hAnsi="Times New Roman"/>
          <w:sz w:val="24"/>
          <w:szCs w:val="24"/>
        </w:rPr>
        <w:t xml:space="preserve"> </w:t>
      </w:r>
      <w:r w:rsidRPr="6BC40FD5">
        <w:rPr>
          <w:rFonts w:ascii="Times New Roman" w:hAnsi="Times New Roman"/>
          <w:color w:val="000000"/>
          <w:sz w:val="24"/>
          <w:szCs w:val="24"/>
        </w:rPr>
        <w:t>retournés tchadiens de RCA, présents depuis 2015, vont continuer</w:t>
      </w:r>
      <w:r w:rsidRPr="00B24BB8">
        <w:rPr>
          <w:rFonts w:ascii="Times New Roman" w:eastAsia="Times New Roman" w:hAnsi="Times New Roman"/>
          <w:color w:val="000000"/>
          <w:sz w:val="24"/>
          <w:szCs w:val="24"/>
        </w:rPr>
        <w:t xml:space="preserve"> </w:t>
      </w:r>
      <w:r w:rsidR="0016665A">
        <w:rPr>
          <w:rFonts w:ascii="Times New Roman" w:eastAsia="Times New Roman" w:hAnsi="Times New Roman"/>
          <w:color w:val="000000"/>
          <w:sz w:val="24"/>
          <w:szCs w:val="24"/>
        </w:rPr>
        <w:t>à</w:t>
      </w:r>
      <w:r w:rsidRPr="6BC40FD5">
        <w:rPr>
          <w:rFonts w:ascii="Times New Roman" w:hAnsi="Times New Roman"/>
          <w:color w:val="000000"/>
          <w:sz w:val="24"/>
          <w:szCs w:val="24"/>
        </w:rPr>
        <w:t xml:space="preserve"> avoir besoin d’efforts nationaux conjugués afin de soutenir des solutions durables leur permettant de développer des moyens de subsistance.</w:t>
      </w:r>
      <w:r w:rsidR="00CB33C2" w:rsidRPr="00CB33C2">
        <w:t xml:space="preserve"> </w:t>
      </w:r>
      <w:r w:rsidR="000A0288">
        <w:t xml:space="preserve">En 2021, </w:t>
      </w:r>
      <w:r w:rsidR="00621B10">
        <w:t>l</w:t>
      </w:r>
      <w:r w:rsidR="00621B10" w:rsidRPr="00621B10">
        <w:t xml:space="preserve">’incident majeur reste l’incursion et l’attaque d’un poste militaire tchadien par des éléments appartenant aux Forces armées centrafricaines (FACA). L’attaque a coûté la vie à six soldats tchadiens. </w:t>
      </w:r>
      <w:r w:rsidR="00CB33C2" w:rsidRPr="6BC40FD5">
        <w:rPr>
          <w:rFonts w:ascii="Times New Roman" w:hAnsi="Times New Roman"/>
          <w:color w:val="000000"/>
          <w:sz w:val="24"/>
          <w:szCs w:val="24"/>
        </w:rPr>
        <w:t xml:space="preserve">Le HCR en collaboration avec </w:t>
      </w:r>
      <w:r w:rsidR="00CB33C2" w:rsidRPr="6BC40FD5">
        <w:rPr>
          <w:rFonts w:ascii="Times New Roman" w:hAnsi="Times New Roman"/>
          <w:color w:val="000000"/>
          <w:sz w:val="24"/>
          <w:szCs w:val="24"/>
        </w:rPr>
        <w:lastRenderedPageBreak/>
        <w:t xml:space="preserve">la Commission Nationale d'accueil de Réinsertion des Réfugies continueront </w:t>
      </w:r>
      <w:r w:rsidR="00254340" w:rsidRPr="6BC40FD5">
        <w:rPr>
          <w:rFonts w:ascii="Times New Roman" w:hAnsi="Times New Roman"/>
          <w:color w:val="000000"/>
          <w:sz w:val="24"/>
          <w:szCs w:val="24"/>
        </w:rPr>
        <w:t>à</w:t>
      </w:r>
      <w:r w:rsidR="00CB33C2" w:rsidRPr="6BC40FD5">
        <w:rPr>
          <w:rFonts w:ascii="Times New Roman" w:hAnsi="Times New Roman"/>
          <w:color w:val="000000"/>
          <w:sz w:val="24"/>
          <w:szCs w:val="24"/>
        </w:rPr>
        <w:t xml:space="preserve"> jou</w:t>
      </w:r>
      <w:r w:rsidR="00254340" w:rsidRPr="6BC40FD5">
        <w:rPr>
          <w:rFonts w:ascii="Times New Roman" w:hAnsi="Times New Roman"/>
          <w:color w:val="000000"/>
          <w:sz w:val="24"/>
          <w:szCs w:val="24"/>
        </w:rPr>
        <w:t>er</w:t>
      </w:r>
      <w:r w:rsidR="00CB33C2" w:rsidRPr="6BC40FD5">
        <w:rPr>
          <w:rFonts w:ascii="Times New Roman" w:hAnsi="Times New Roman"/>
          <w:color w:val="000000"/>
          <w:sz w:val="24"/>
          <w:szCs w:val="24"/>
        </w:rPr>
        <w:t xml:space="preserve"> un rôle principal dans la réponse à ces réfugiés </w:t>
      </w:r>
      <w:r w:rsidR="00254340" w:rsidRPr="6BC40FD5">
        <w:rPr>
          <w:rFonts w:ascii="Times New Roman" w:hAnsi="Times New Roman"/>
          <w:color w:val="000000"/>
          <w:sz w:val="24"/>
          <w:szCs w:val="24"/>
        </w:rPr>
        <w:t>et retournés</w:t>
      </w:r>
      <w:r w:rsidR="00CB33C2" w:rsidRPr="6BC40FD5">
        <w:rPr>
          <w:rFonts w:ascii="Times New Roman" w:hAnsi="Times New Roman"/>
          <w:color w:val="000000"/>
          <w:sz w:val="24"/>
          <w:szCs w:val="24"/>
        </w:rPr>
        <w:t xml:space="preserve"> dans un cadre de solutions durables.</w:t>
      </w:r>
    </w:p>
    <w:p w14:paraId="3F345397" w14:textId="77777777" w:rsidR="00B800FC" w:rsidRPr="00B800FC" w:rsidRDefault="00B800FC" w:rsidP="00B800FC">
      <w:pPr>
        <w:pStyle w:val="Paragraphedeliste"/>
        <w:rPr>
          <w:rFonts w:ascii="Times New Roman" w:hAnsi="Times New Roman"/>
          <w:color w:val="000000"/>
          <w:sz w:val="24"/>
        </w:rPr>
      </w:pPr>
    </w:p>
    <w:p w14:paraId="5164E5A3" w14:textId="4B9DE8B4" w:rsidR="00A437B2" w:rsidRPr="00F22761" w:rsidRDefault="2350A273" w:rsidP="00BC1AE3">
      <w:pPr>
        <w:pStyle w:val="Paragraphedeliste"/>
        <w:numPr>
          <w:ilvl w:val="0"/>
          <w:numId w:val="14"/>
        </w:numPr>
        <w:spacing w:before="100" w:beforeAutospacing="1" w:after="100" w:afterAutospacing="1" w:line="240" w:lineRule="auto"/>
        <w:jc w:val="both"/>
        <w:rPr>
          <w:rFonts w:ascii="Times New Roman" w:eastAsia="Times New Roman" w:hAnsi="Times New Roman"/>
          <w:color w:val="000000" w:themeColor="text1"/>
          <w:sz w:val="24"/>
          <w:szCs w:val="24"/>
        </w:rPr>
      </w:pPr>
      <w:r w:rsidRPr="00A8375B">
        <w:rPr>
          <w:rFonts w:ascii="Times New Roman" w:hAnsi="Times New Roman"/>
          <w:b/>
          <w:color w:val="000000" w:themeColor="text1"/>
          <w:sz w:val="24"/>
        </w:rPr>
        <w:t xml:space="preserve">Résurgence des conflits inter communautaires à l'Est et au Sud </w:t>
      </w:r>
      <w:r w:rsidRPr="581E4654">
        <w:rPr>
          <w:rFonts w:ascii="Times New Roman" w:hAnsi="Times New Roman"/>
          <w:b/>
          <w:bCs/>
          <w:color w:val="FF0000"/>
          <w:sz w:val="24"/>
          <w:szCs w:val="24"/>
        </w:rPr>
        <w:t>(Probabilité – élevée)</w:t>
      </w:r>
      <w:r w:rsidRPr="581E4654">
        <w:rPr>
          <w:rFonts w:ascii="Times New Roman" w:hAnsi="Times New Roman"/>
          <w:color w:val="FF0000"/>
          <w:sz w:val="24"/>
          <w:szCs w:val="24"/>
        </w:rPr>
        <w:t> </w:t>
      </w:r>
      <w:r w:rsidRPr="00A8375B">
        <w:rPr>
          <w:rFonts w:ascii="Times New Roman" w:hAnsi="Times New Roman"/>
          <w:color w:val="000000" w:themeColor="text1"/>
          <w:sz w:val="24"/>
        </w:rPr>
        <w:t xml:space="preserve">: </w:t>
      </w:r>
      <w:r w:rsidR="3A800D60" w:rsidRPr="00A8375B">
        <w:rPr>
          <w:rFonts w:ascii="Times New Roman" w:hAnsi="Times New Roman"/>
          <w:color w:val="000000" w:themeColor="text1"/>
          <w:sz w:val="24"/>
        </w:rPr>
        <w:t xml:space="preserve">L’Est et le Sud du Tchad sont fortement marqués </w:t>
      </w:r>
      <w:r w:rsidR="767AC8DB" w:rsidRPr="00A8375B">
        <w:rPr>
          <w:rFonts w:ascii="Times New Roman" w:hAnsi="Times New Roman"/>
          <w:color w:val="000000" w:themeColor="text1"/>
          <w:sz w:val="24"/>
        </w:rPr>
        <w:t xml:space="preserve">es dernières décennies </w:t>
      </w:r>
      <w:r w:rsidR="3A800D60" w:rsidRPr="00A8375B">
        <w:rPr>
          <w:rFonts w:ascii="Times New Roman" w:hAnsi="Times New Roman"/>
          <w:color w:val="000000" w:themeColor="text1"/>
          <w:sz w:val="24"/>
        </w:rPr>
        <w:t>par des conflits intercommunautaires, notamment entre agriculteurs et éleveurs</w:t>
      </w:r>
      <w:r w:rsidR="767AC8DB" w:rsidRPr="00A8375B">
        <w:rPr>
          <w:rFonts w:ascii="Times New Roman" w:hAnsi="Times New Roman"/>
          <w:color w:val="000000" w:themeColor="text1"/>
          <w:sz w:val="24"/>
        </w:rPr>
        <w:t>. Ces conflits sont provoqués par</w:t>
      </w:r>
      <w:r w:rsidR="3A800D60" w:rsidRPr="00A8375B">
        <w:rPr>
          <w:rFonts w:ascii="Times New Roman" w:hAnsi="Times New Roman"/>
          <w:color w:val="000000" w:themeColor="text1"/>
          <w:sz w:val="24"/>
        </w:rPr>
        <w:t xml:space="preserve"> la concurrence pour l’accès à la terre et à l’eau qui s’est exacerbée à cause de l’augmentation de la population et du bétail, y compris les investissements massif</w:t>
      </w:r>
      <w:r w:rsidR="2EA112D3" w:rsidRPr="00A8375B">
        <w:rPr>
          <w:rFonts w:ascii="Times New Roman" w:hAnsi="Times New Roman"/>
          <w:color w:val="000000" w:themeColor="text1"/>
          <w:sz w:val="24"/>
        </w:rPr>
        <w:t>s</w:t>
      </w:r>
      <w:r w:rsidR="3A800D60" w:rsidRPr="00A8375B">
        <w:rPr>
          <w:rFonts w:ascii="Times New Roman" w:hAnsi="Times New Roman"/>
          <w:color w:val="000000" w:themeColor="text1"/>
          <w:sz w:val="24"/>
        </w:rPr>
        <w:t xml:space="preserve"> des certaines élites en bétail, l</w:t>
      </w:r>
      <w:r w:rsidR="767AC8DB" w:rsidRPr="00A8375B">
        <w:rPr>
          <w:rFonts w:ascii="Times New Roman" w:hAnsi="Times New Roman"/>
          <w:color w:val="000000" w:themeColor="text1"/>
          <w:sz w:val="24"/>
        </w:rPr>
        <w:t xml:space="preserve">e non-respect des couloirs </w:t>
      </w:r>
      <w:r w:rsidR="3A800D60" w:rsidRPr="00A8375B">
        <w:rPr>
          <w:rFonts w:ascii="Times New Roman" w:hAnsi="Times New Roman"/>
          <w:color w:val="000000" w:themeColor="text1"/>
          <w:sz w:val="24"/>
        </w:rPr>
        <w:t>de transhumance causés par l</w:t>
      </w:r>
      <w:r w:rsidR="767AC8DB" w:rsidRPr="00A8375B">
        <w:rPr>
          <w:rFonts w:ascii="Times New Roman" w:hAnsi="Times New Roman"/>
          <w:color w:val="000000" w:themeColor="text1"/>
          <w:sz w:val="24"/>
        </w:rPr>
        <w:t>e</w:t>
      </w:r>
      <w:r w:rsidR="3A800D60" w:rsidRPr="00A8375B">
        <w:rPr>
          <w:rFonts w:ascii="Times New Roman" w:hAnsi="Times New Roman"/>
          <w:color w:val="000000" w:themeColor="text1"/>
          <w:sz w:val="24"/>
        </w:rPr>
        <w:t xml:space="preserve"> changement climatique et la migration économique vers le sud.  </w:t>
      </w:r>
      <w:r w:rsidR="3B997A7A" w:rsidRPr="00A8375B">
        <w:rPr>
          <w:rFonts w:ascii="Times New Roman" w:hAnsi="Times New Roman"/>
          <w:color w:val="000000" w:themeColor="text1"/>
          <w:sz w:val="24"/>
        </w:rPr>
        <w:t>L’ampleur sans précédent du phénomène dans la région, dans un contexte de prolifération des armes légères et de petit calibre (ALPC), a conduit le gouvernement à déclarer l'état d'urgence dans les provinces orientales du Ouaddaï et du Sila en janvier 2021, comme ce fut le cas déjà en 2019.</w:t>
      </w:r>
      <w:r w:rsidR="64560D07" w:rsidRPr="581E4654">
        <w:rPr>
          <w:rFonts w:ascii="Times New Roman" w:hAnsi="Times New Roman"/>
          <w:color w:val="000000" w:themeColor="text1"/>
          <w:sz w:val="24"/>
          <w:szCs w:val="24"/>
        </w:rPr>
        <w:t xml:space="preserve"> </w:t>
      </w:r>
      <w:r w:rsidR="0088024D" w:rsidRPr="00A8375B">
        <w:rPr>
          <w:rFonts w:ascii="Times New Roman" w:hAnsi="Times New Roman"/>
          <w:color w:val="000000" w:themeColor="text1"/>
          <w:sz w:val="24"/>
        </w:rPr>
        <w:t xml:space="preserve">Quant au Sud </w:t>
      </w:r>
      <w:proofErr w:type="spellStart"/>
      <w:r w:rsidR="3D152F5D" w:rsidRPr="38CF240D">
        <w:rPr>
          <w:rFonts w:ascii="Times New Roman" w:hAnsi="Times New Roman"/>
          <w:color w:val="000000" w:themeColor="text1"/>
          <w:sz w:val="24"/>
          <w:szCs w:val="24"/>
        </w:rPr>
        <w:t>l</w:t>
      </w:r>
      <w:r w:rsidR="3D152F5D" w:rsidRPr="581E4654">
        <w:rPr>
          <w:rFonts w:ascii="Times New Roman" w:hAnsi="Times New Roman"/>
          <w:color w:val="000000" w:themeColor="text1"/>
          <w:sz w:val="24"/>
          <w:szCs w:val="24"/>
        </w:rPr>
        <w:t>l</w:t>
      </w:r>
      <w:r w:rsidR="0088024D" w:rsidRPr="581E4654">
        <w:rPr>
          <w:rFonts w:ascii="Times New Roman" w:hAnsi="Times New Roman"/>
          <w:color w:val="000000" w:themeColor="text1"/>
          <w:sz w:val="24"/>
          <w:szCs w:val="24"/>
        </w:rPr>
        <w:t>’incident</w:t>
      </w:r>
      <w:proofErr w:type="spellEnd"/>
      <w:r w:rsidR="0088024D" w:rsidRPr="00A8375B">
        <w:rPr>
          <w:rFonts w:ascii="Times New Roman" w:hAnsi="Times New Roman"/>
          <w:color w:val="000000" w:themeColor="text1"/>
          <w:sz w:val="24"/>
        </w:rPr>
        <w:t xml:space="preserve"> majeur reste l’incursion et l’attaque d’un poste militaire tchadien par des éléments appartenant aux Forces armées centrafricaines (FACA) en mai 2021. L’attaque a coûté la vie à six soldats tchadiens. Au 31 juillet 2021, 7 affrontements intercommunautaires ont été relevés dans la région, entrainant 226 morts, entre février et mars, dans la Province du </w:t>
      </w:r>
      <w:proofErr w:type="spellStart"/>
      <w:r w:rsidR="0088024D" w:rsidRPr="00A8375B">
        <w:rPr>
          <w:rFonts w:ascii="Times New Roman" w:hAnsi="Times New Roman"/>
          <w:color w:val="000000" w:themeColor="text1"/>
          <w:sz w:val="24"/>
        </w:rPr>
        <w:t>Salamat</w:t>
      </w:r>
      <w:proofErr w:type="spellEnd"/>
      <w:r w:rsidR="0088024D" w:rsidRPr="00A8375B">
        <w:rPr>
          <w:rFonts w:ascii="Times New Roman" w:hAnsi="Times New Roman"/>
          <w:color w:val="000000" w:themeColor="text1"/>
          <w:sz w:val="24"/>
        </w:rPr>
        <w:t>.</w:t>
      </w:r>
      <w:r w:rsidR="44C9DFD5" w:rsidRPr="581E4654">
        <w:rPr>
          <w:rFonts w:ascii="Times New Roman" w:hAnsi="Times New Roman"/>
          <w:color w:val="000000" w:themeColor="text1"/>
          <w:sz w:val="24"/>
          <w:szCs w:val="24"/>
        </w:rPr>
        <w:t xml:space="preserve"> </w:t>
      </w:r>
      <w:r w:rsidR="172B3AC9" w:rsidRPr="581E4654">
        <w:rPr>
          <w:rFonts w:ascii="Times New Roman" w:hAnsi="Times New Roman"/>
          <w:color w:val="000000" w:themeColor="text1"/>
          <w:sz w:val="24"/>
          <w:szCs w:val="24"/>
        </w:rPr>
        <w:t>Des conflits intercommunautaires</w:t>
      </w:r>
      <w:r w:rsidR="44C9DFD5" w:rsidRPr="581E4654">
        <w:rPr>
          <w:rFonts w:ascii="Times New Roman" w:hAnsi="Times New Roman"/>
          <w:color w:val="000000" w:themeColor="text1"/>
          <w:sz w:val="24"/>
          <w:szCs w:val="24"/>
        </w:rPr>
        <w:t xml:space="preserve"> </w:t>
      </w:r>
      <w:r w:rsidR="200DEB44" w:rsidRPr="581E4654">
        <w:rPr>
          <w:rFonts w:ascii="Times New Roman" w:hAnsi="Times New Roman"/>
          <w:color w:val="000000" w:themeColor="text1"/>
          <w:sz w:val="24"/>
          <w:szCs w:val="24"/>
        </w:rPr>
        <w:t xml:space="preserve">surviennent </w:t>
      </w:r>
      <w:r w:rsidR="44C9DFD5" w:rsidRPr="581E4654">
        <w:rPr>
          <w:rFonts w:ascii="Times New Roman" w:hAnsi="Times New Roman"/>
          <w:color w:val="000000" w:themeColor="text1"/>
          <w:sz w:val="24"/>
          <w:szCs w:val="24"/>
        </w:rPr>
        <w:t xml:space="preserve">aussi dans le </w:t>
      </w:r>
      <w:r w:rsidR="1839700E" w:rsidRPr="581E4654">
        <w:rPr>
          <w:rFonts w:ascii="Times New Roman" w:hAnsi="Times New Roman"/>
          <w:color w:val="000000" w:themeColor="text1"/>
          <w:sz w:val="24"/>
          <w:szCs w:val="24"/>
        </w:rPr>
        <w:t>b</w:t>
      </w:r>
      <w:r w:rsidR="44C9DFD5" w:rsidRPr="581E4654">
        <w:rPr>
          <w:rFonts w:ascii="Times New Roman" w:hAnsi="Times New Roman"/>
          <w:color w:val="000000" w:themeColor="text1"/>
          <w:sz w:val="24"/>
          <w:szCs w:val="24"/>
        </w:rPr>
        <w:t>assin du Lac Tchad. De</w:t>
      </w:r>
      <w:r w:rsidR="44C9DFD5" w:rsidRPr="581E4654">
        <w:rPr>
          <w:rFonts w:ascii="Times New Roman" w:hAnsi="Times New Roman"/>
          <w:sz w:val="24"/>
          <w:szCs w:val="24"/>
        </w:rPr>
        <w:t xml:space="preserve"> Juin à Juillet 2021, les violences communautaires ont provoqué le déplacement de 461 ménages, deux morts et cinq blessés dans cette région.</w:t>
      </w:r>
    </w:p>
    <w:p w14:paraId="4C13BC83" w14:textId="291C6F15" w:rsidR="00A437B2" w:rsidRPr="00A8375B" w:rsidRDefault="00A437B2" w:rsidP="00BC1AE3">
      <w:pPr>
        <w:pStyle w:val="Paragraphedeliste"/>
        <w:numPr>
          <w:ilvl w:val="0"/>
          <w:numId w:val="14"/>
        </w:numPr>
        <w:spacing w:before="100" w:beforeAutospacing="1" w:after="100" w:afterAutospacing="1" w:line="240" w:lineRule="auto"/>
        <w:jc w:val="both"/>
        <w:rPr>
          <w:color w:val="000000"/>
          <w:sz w:val="24"/>
        </w:rPr>
      </w:pPr>
    </w:p>
    <w:p w14:paraId="29382A5B" w14:textId="77777777" w:rsidR="00D140C5" w:rsidRPr="00F22761" w:rsidRDefault="00D140C5" w:rsidP="00F22761">
      <w:pPr>
        <w:pStyle w:val="Paragraphedeliste"/>
        <w:rPr>
          <w:rFonts w:ascii="Times New Roman" w:hAnsi="Times New Roman"/>
          <w:color w:val="000000"/>
          <w:sz w:val="24"/>
        </w:rPr>
      </w:pPr>
    </w:p>
    <w:p w14:paraId="165B43F5" w14:textId="03F52DD1" w:rsidR="00AF7129" w:rsidRPr="00AF7129" w:rsidRDefault="2350A273" w:rsidP="00BC1AE3">
      <w:pPr>
        <w:pStyle w:val="Paragraphedeliste"/>
        <w:numPr>
          <w:ilvl w:val="0"/>
          <w:numId w:val="14"/>
        </w:numPr>
        <w:spacing w:before="100" w:beforeAutospacing="1" w:after="100" w:afterAutospacing="1" w:line="240" w:lineRule="auto"/>
        <w:jc w:val="both"/>
        <w:rPr>
          <w:rFonts w:ascii="Times New Roman" w:hAnsi="Times New Roman"/>
          <w:color w:val="000000"/>
          <w:sz w:val="24"/>
        </w:rPr>
      </w:pPr>
      <w:r w:rsidRPr="00A8375B">
        <w:rPr>
          <w:rFonts w:ascii="Times New Roman" w:hAnsi="Times New Roman"/>
          <w:b/>
          <w:color w:val="000000" w:themeColor="text1"/>
          <w:sz w:val="24"/>
        </w:rPr>
        <w:t>Manifestations</w:t>
      </w:r>
      <w:r w:rsidR="7A737672" w:rsidRPr="00A8375B">
        <w:rPr>
          <w:rFonts w:ascii="Times New Roman" w:hAnsi="Times New Roman"/>
          <w:b/>
          <w:color w:val="000000" w:themeColor="text1"/>
          <w:sz w:val="24"/>
        </w:rPr>
        <w:t xml:space="preserve"> </w:t>
      </w:r>
      <w:r w:rsidRPr="00A8375B">
        <w:rPr>
          <w:rFonts w:ascii="Times New Roman" w:hAnsi="Times New Roman"/>
          <w:b/>
          <w:color w:val="000000" w:themeColor="text1"/>
          <w:sz w:val="24"/>
        </w:rPr>
        <w:t>/</w:t>
      </w:r>
      <w:r w:rsidR="7D865B07" w:rsidRPr="00A8375B">
        <w:rPr>
          <w:rFonts w:ascii="Times New Roman" w:hAnsi="Times New Roman"/>
          <w:b/>
          <w:color w:val="000000" w:themeColor="text1"/>
          <w:sz w:val="24"/>
        </w:rPr>
        <w:t xml:space="preserve"> </w:t>
      </w:r>
      <w:r w:rsidRPr="00A8375B">
        <w:rPr>
          <w:rFonts w:ascii="Times New Roman" w:hAnsi="Times New Roman"/>
          <w:b/>
          <w:color w:val="000000" w:themeColor="text1"/>
          <w:sz w:val="24"/>
        </w:rPr>
        <w:t xml:space="preserve">grèves et tensions sociales et politiques peuvent </w:t>
      </w:r>
      <w:r w:rsidR="0F8E040D" w:rsidRPr="00A8375B">
        <w:rPr>
          <w:rFonts w:ascii="Times New Roman" w:hAnsi="Times New Roman"/>
          <w:b/>
          <w:color w:val="000000" w:themeColor="text1"/>
          <w:sz w:val="24"/>
        </w:rPr>
        <w:t xml:space="preserve">avoir un impact sur certains aspects des programmes de développement </w:t>
      </w:r>
      <w:r w:rsidRPr="581E4654">
        <w:rPr>
          <w:rFonts w:ascii="Times New Roman" w:hAnsi="Times New Roman"/>
          <w:b/>
          <w:bCs/>
          <w:color w:val="FF0000"/>
          <w:sz w:val="24"/>
          <w:szCs w:val="24"/>
        </w:rPr>
        <w:t xml:space="preserve">(Probabilité – </w:t>
      </w:r>
      <w:r w:rsidR="1775FFEF" w:rsidRPr="581E4654">
        <w:rPr>
          <w:rFonts w:ascii="Times New Roman" w:hAnsi="Times New Roman"/>
          <w:b/>
          <w:bCs/>
          <w:color w:val="FF0000"/>
          <w:sz w:val="24"/>
          <w:szCs w:val="24"/>
        </w:rPr>
        <w:t>modérée</w:t>
      </w:r>
      <w:r w:rsidRPr="581E4654">
        <w:rPr>
          <w:rFonts w:ascii="Times New Roman" w:hAnsi="Times New Roman"/>
          <w:b/>
          <w:bCs/>
          <w:color w:val="FF0000"/>
          <w:sz w:val="24"/>
          <w:szCs w:val="24"/>
        </w:rPr>
        <w:t>).</w:t>
      </w:r>
      <w:r w:rsidRPr="581E4654">
        <w:rPr>
          <w:rFonts w:ascii="Times New Roman" w:hAnsi="Times New Roman"/>
          <w:color w:val="FF0000"/>
          <w:sz w:val="24"/>
          <w:szCs w:val="24"/>
        </w:rPr>
        <w:t xml:space="preserve"> </w:t>
      </w:r>
      <w:r w:rsidR="00AF7129" w:rsidRPr="00AF7129">
        <w:rPr>
          <w:rFonts w:ascii="Times New Roman" w:hAnsi="Times New Roman"/>
          <w:color w:val="000000"/>
          <w:sz w:val="24"/>
        </w:rPr>
        <w:t xml:space="preserve">En 2021, N’Djamena a été le théâtre d’incidents de plusieurs ordres. Sur le plan politique, la période pré-électorale a été émaillée d’incidents dont le plus inquiétant fut l’attaque du domicile de l’opposant Yaya Dillo. Trois membres de sa famille ont été tués. L’installation au pouvoir à la mort du président Déby d’un Conseil Militaire de Transition (CMT) a été suivie de manifestations de la coalition de l’opposition </w:t>
      </w:r>
      <w:proofErr w:type="spellStart"/>
      <w:r w:rsidR="00AF7129" w:rsidRPr="00AF7129">
        <w:rPr>
          <w:rFonts w:ascii="Times New Roman" w:hAnsi="Times New Roman"/>
          <w:color w:val="000000"/>
          <w:sz w:val="24"/>
        </w:rPr>
        <w:t>Wakit</w:t>
      </w:r>
      <w:proofErr w:type="spellEnd"/>
      <w:r w:rsidR="00AF7129" w:rsidRPr="00AF7129">
        <w:rPr>
          <w:rFonts w:ascii="Times New Roman" w:hAnsi="Times New Roman"/>
          <w:color w:val="000000"/>
          <w:sz w:val="24"/>
        </w:rPr>
        <w:t xml:space="preserve"> Tama. La répression a fait </w:t>
      </w:r>
      <w:r w:rsidR="00BD5DE8">
        <w:rPr>
          <w:rFonts w:ascii="Times New Roman" w:hAnsi="Times New Roman"/>
          <w:color w:val="000000"/>
          <w:sz w:val="24"/>
        </w:rPr>
        <w:t>un</w:t>
      </w:r>
      <w:r w:rsidR="00AF7129" w:rsidRPr="00AF7129">
        <w:rPr>
          <w:rFonts w:ascii="Times New Roman" w:hAnsi="Times New Roman"/>
          <w:color w:val="000000"/>
          <w:sz w:val="24"/>
        </w:rPr>
        <w:t xml:space="preserve"> mort à N’Djamena. </w:t>
      </w:r>
    </w:p>
    <w:p w14:paraId="31A4E908" w14:textId="77777777" w:rsidR="00AB4256" w:rsidRPr="0007014E" w:rsidRDefault="00AB4256" w:rsidP="00A8375B">
      <w:pPr>
        <w:pStyle w:val="Paragraphedeliste"/>
        <w:spacing w:before="100" w:beforeAutospacing="1" w:after="100" w:afterAutospacing="1" w:line="240" w:lineRule="auto"/>
        <w:ind w:left="360"/>
        <w:jc w:val="both"/>
        <w:rPr>
          <w:rFonts w:ascii="Times New Roman" w:hAnsi="Times New Roman"/>
          <w:color w:val="000000"/>
          <w:sz w:val="24"/>
        </w:rPr>
      </w:pPr>
    </w:p>
    <w:p w14:paraId="5C76B6A4" w14:textId="556138E9" w:rsidR="00AB4256" w:rsidRPr="00AB4256" w:rsidRDefault="00AB4256" w:rsidP="00BC1AE3">
      <w:pPr>
        <w:pStyle w:val="Paragraphedeliste"/>
        <w:numPr>
          <w:ilvl w:val="0"/>
          <w:numId w:val="14"/>
        </w:numPr>
        <w:spacing w:before="100" w:beforeAutospacing="1" w:after="100" w:afterAutospacing="1" w:line="240" w:lineRule="auto"/>
        <w:jc w:val="both"/>
        <w:rPr>
          <w:rFonts w:ascii="Times New Roman" w:hAnsi="Times New Roman"/>
          <w:color w:val="000000"/>
          <w:sz w:val="24"/>
        </w:rPr>
      </w:pPr>
      <w:r w:rsidRPr="00AB4256">
        <w:rPr>
          <w:rFonts w:ascii="Times New Roman" w:hAnsi="Times New Roman"/>
          <w:b/>
          <w:bCs/>
          <w:color w:val="000000"/>
          <w:sz w:val="24"/>
        </w:rPr>
        <w:t>Continuation et résurgence des épidémies</w:t>
      </w:r>
      <w:r w:rsidRPr="00AB4256">
        <w:rPr>
          <w:rFonts w:ascii="Times New Roman" w:hAnsi="Times New Roman"/>
          <w:color w:val="000000"/>
          <w:sz w:val="24"/>
        </w:rPr>
        <w:t xml:space="preserve"> (</w:t>
      </w:r>
      <w:r w:rsidRPr="00BD7957">
        <w:rPr>
          <w:rFonts w:ascii="Times New Roman" w:hAnsi="Times New Roman"/>
          <w:b/>
          <w:bCs/>
          <w:color w:val="FF0000"/>
          <w:sz w:val="24"/>
        </w:rPr>
        <w:t>Probabilité – élevée</w:t>
      </w:r>
      <w:r w:rsidRPr="00AB4256">
        <w:rPr>
          <w:rFonts w:ascii="Times New Roman" w:hAnsi="Times New Roman"/>
          <w:color w:val="000000"/>
          <w:sz w:val="24"/>
        </w:rPr>
        <w:t>) : L’accès aux services sanitaires reste limité du fait de l’éloignement des services de santé, du nombre insuffisant de personnel soignant, de la faible couverture vaccinale, de l’insuffisance de la chaîne du froid et le faible accès à l’eau, à l’hygiène et l’assainissement. Cette situation occasionne la persistance des épidémies comme la rougeole</w:t>
      </w:r>
      <w:r w:rsidR="00BF5695">
        <w:rPr>
          <w:rFonts w:ascii="Times New Roman" w:hAnsi="Times New Roman"/>
          <w:color w:val="000000"/>
          <w:sz w:val="24"/>
        </w:rPr>
        <w:t xml:space="preserve">, </w:t>
      </w:r>
      <w:r w:rsidR="00BF5695" w:rsidRPr="00BF5695">
        <w:rPr>
          <w:rFonts w:ascii="Times New Roman" w:hAnsi="Times New Roman"/>
          <w:color w:val="000000"/>
          <w:sz w:val="24"/>
        </w:rPr>
        <w:t>la méningite, la fièvre jaune,</w:t>
      </w:r>
      <w:r w:rsidRPr="00AB4256">
        <w:rPr>
          <w:rFonts w:ascii="Times New Roman" w:hAnsi="Times New Roman"/>
          <w:color w:val="000000"/>
          <w:sz w:val="24"/>
        </w:rPr>
        <w:t xml:space="preserve"> et le choléra, mais aussi le manque de prise en charge de certaines maladies dont le paludisme, et de l’apparition de nouvelles maladies (COVID-19, Chikungunya</w:t>
      </w:r>
      <w:r w:rsidR="00DE4B59">
        <w:rPr>
          <w:rFonts w:ascii="Times New Roman" w:hAnsi="Times New Roman"/>
          <w:color w:val="000000"/>
          <w:sz w:val="24"/>
        </w:rPr>
        <w:t>, et</w:t>
      </w:r>
      <w:r w:rsidR="00DE4B59" w:rsidRPr="00DE4B59">
        <w:rPr>
          <w:rFonts w:ascii="Times New Roman" w:hAnsi="Times New Roman"/>
          <w:color w:val="000000"/>
          <w:sz w:val="24"/>
        </w:rPr>
        <w:t xml:space="preserve"> la leishmaniose dans les provinces </w:t>
      </w:r>
      <w:r w:rsidR="00DE4B59">
        <w:rPr>
          <w:rFonts w:ascii="Times New Roman" w:hAnsi="Times New Roman"/>
          <w:color w:val="000000"/>
          <w:sz w:val="24"/>
        </w:rPr>
        <w:t>de</w:t>
      </w:r>
      <w:r w:rsidR="00DE4B59" w:rsidRPr="00DE4B59">
        <w:rPr>
          <w:rFonts w:ascii="Times New Roman" w:hAnsi="Times New Roman"/>
          <w:color w:val="000000"/>
          <w:sz w:val="24"/>
        </w:rPr>
        <w:t xml:space="preserve"> Tibesti et du Borkou</w:t>
      </w:r>
      <w:r w:rsidRPr="00AB4256">
        <w:rPr>
          <w:rFonts w:ascii="Times New Roman" w:hAnsi="Times New Roman"/>
          <w:color w:val="000000"/>
          <w:sz w:val="24"/>
        </w:rPr>
        <w:t>). Ces urgences sanitaires affectent près de trois millions de personnes chaque année au Tchad causant un</w:t>
      </w:r>
      <w:r w:rsidR="00D243AB">
        <w:rPr>
          <w:rFonts w:ascii="Times New Roman" w:hAnsi="Times New Roman"/>
          <w:color w:val="000000"/>
          <w:sz w:val="24"/>
        </w:rPr>
        <w:t>e</w:t>
      </w:r>
      <w:r w:rsidRPr="00AB4256">
        <w:rPr>
          <w:rFonts w:ascii="Times New Roman" w:hAnsi="Times New Roman"/>
          <w:color w:val="000000"/>
          <w:sz w:val="24"/>
        </w:rPr>
        <w:t xml:space="preserve"> morbidité et </w:t>
      </w:r>
      <w:r w:rsidR="00D243AB">
        <w:rPr>
          <w:rFonts w:ascii="Times New Roman" w:hAnsi="Times New Roman"/>
          <w:color w:val="000000"/>
          <w:sz w:val="24"/>
        </w:rPr>
        <w:t xml:space="preserve">une </w:t>
      </w:r>
      <w:r w:rsidRPr="00AB4256">
        <w:rPr>
          <w:rFonts w:ascii="Times New Roman" w:hAnsi="Times New Roman"/>
          <w:color w:val="000000"/>
          <w:sz w:val="24"/>
        </w:rPr>
        <w:t>mortalité accrue</w:t>
      </w:r>
      <w:r w:rsidR="00D243AB">
        <w:rPr>
          <w:rFonts w:ascii="Times New Roman" w:hAnsi="Times New Roman"/>
          <w:color w:val="000000"/>
          <w:sz w:val="24"/>
        </w:rPr>
        <w:t>s</w:t>
      </w:r>
      <w:r w:rsidRPr="00AB4256">
        <w:rPr>
          <w:rFonts w:ascii="Times New Roman" w:hAnsi="Times New Roman"/>
          <w:color w:val="000000"/>
          <w:sz w:val="24"/>
        </w:rPr>
        <w:t xml:space="preserve"> et posent des obstacles majeurs en termes d’offre et d’accessibilité aux soins de santé primaires. Le paludisme est la principale cause de la mortalité des enfants de moins de cinq ans. Il affecte également la situation économique des ménages liée au coût de traitement de la maladie en plus du temps passé au chevet des malades et contribue à l’accroissement des taux de mortalité maternelle et infantile qui sont parmi les plus élevés au monde (860 décès pour 100 000 naissances vivantes pour la mortalité maternelle et 72 pour 1 000 naissances vivantes pour la mortalité infantile). La COVID-19 a exercé une pression accrue sur les systèmes de santé, détournant </w:t>
      </w:r>
      <w:r w:rsidRPr="00AB4256">
        <w:rPr>
          <w:rFonts w:ascii="Times New Roman" w:hAnsi="Times New Roman"/>
          <w:color w:val="000000"/>
          <w:sz w:val="24"/>
        </w:rPr>
        <w:lastRenderedPageBreak/>
        <w:t xml:space="preserve">les ressources des programmes habituels et impactant le nombre de personnes cherchant à se faire soigner par peur de transmission du virus.  Les programmes de vaccination essentiels, y compris ceux dirigés contre l’épidémie actuelle de rougeole depuis 2018, et la résurgence de la polio cVPPV2 (lié au vaccin) ont été interrompus, avec des implications pour le prochain pic de rougeole en 2021. </w:t>
      </w:r>
    </w:p>
    <w:p w14:paraId="51498D37" w14:textId="77777777" w:rsidR="00AB4256" w:rsidRPr="00AB4256" w:rsidRDefault="00AB4256" w:rsidP="00AB4256">
      <w:pPr>
        <w:pStyle w:val="Paragraphedeliste"/>
        <w:spacing w:before="100" w:beforeAutospacing="1" w:after="100" w:afterAutospacing="1" w:line="240" w:lineRule="auto"/>
        <w:ind w:left="360"/>
        <w:jc w:val="both"/>
        <w:rPr>
          <w:rFonts w:ascii="Times New Roman" w:hAnsi="Times New Roman"/>
          <w:color w:val="000000"/>
          <w:sz w:val="24"/>
        </w:rPr>
      </w:pPr>
    </w:p>
    <w:p w14:paraId="0DBB5671" w14:textId="5CAC72BB" w:rsidR="00AB4256" w:rsidRPr="00AB4256" w:rsidRDefault="00AB4256" w:rsidP="00AB4256">
      <w:pPr>
        <w:pStyle w:val="Paragraphedeliste"/>
        <w:spacing w:before="100" w:beforeAutospacing="1" w:after="100" w:afterAutospacing="1" w:line="240" w:lineRule="auto"/>
        <w:ind w:left="360"/>
        <w:jc w:val="both"/>
        <w:rPr>
          <w:rFonts w:ascii="Times New Roman" w:hAnsi="Times New Roman"/>
          <w:color w:val="000000"/>
          <w:sz w:val="24"/>
        </w:rPr>
      </w:pPr>
      <w:r w:rsidRPr="00AB4256">
        <w:rPr>
          <w:rFonts w:ascii="Times New Roman" w:hAnsi="Times New Roman"/>
          <w:color w:val="000000"/>
          <w:sz w:val="24"/>
        </w:rPr>
        <w:t>Sous le lead du Ministère de la Santé Publique, l’OMS est en train d’appuyer le renforcement du système de santé en termes de ressources humaines et matériaux, y compris l’appui aux campagnes de vaccination avec la collaboration de l’UNICEF. La Banque Mondial</w:t>
      </w:r>
      <w:r w:rsidR="007A1EBF">
        <w:rPr>
          <w:rFonts w:ascii="Times New Roman" w:hAnsi="Times New Roman"/>
          <w:color w:val="000000"/>
          <w:sz w:val="24"/>
        </w:rPr>
        <w:t>e</w:t>
      </w:r>
      <w:r w:rsidRPr="00AB4256">
        <w:rPr>
          <w:rFonts w:ascii="Times New Roman" w:hAnsi="Times New Roman"/>
          <w:color w:val="000000"/>
          <w:sz w:val="24"/>
        </w:rPr>
        <w:t xml:space="preserve"> a aussi facilité financement pour le renforcement des systèmes de santé. Le cluster Eau, hygiène et assainissement dirigé par l’UNICEF travaille aussi en collaboration avec les partenaires de santé dans la prévention de certaines maladies, notamment celles d´origine hydrique, notamment le choléra et le COVID-19 avec, à travers de la sensibilisation, formation du personnel et approvisionnement des kits d’hygiène. Enfin, l’UNICEF et les partenaires du cluster Éducation travaillent dans des campagnes de sensibilisation pour la prévention de la COVID-19.</w:t>
      </w:r>
    </w:p>
    <w:p w14:paraId="6BBD8752" w14:textId="77777777" w:rsidR="00B24BB8" w:rsidRPr="00B24BB8" w:rsidRDefault="00B24BB8" w:rsidP="00B24BB8">
      <w:pPr>
        <w:pStyle w:val="Paragraphedeliste"/>
        <w:spacing w:before="100" w:beforeAutospacing="1" w:after="100" w:afterAutospacing="1" w:line="240" w:lineRule="auto"/>
        <w:ind w:left="360"/>
        <w:jc w:val="both"/>
        <w:rPr>
          <w:rFonts w:ascii="Times New Roman" w:eastAsia="Times New Roman" w:hAnsi="Times New Roman"/>
          <w:color w:val="000000"/>
          <w:sz w:val="24"/>
          <w:szCs w:val="24"/>
        </w:rPr>
      </w:pPr>
    </w:p>
    <w:p w14:paraId="5F304C7B" w14:textId="689769FC" w:rsidR="00B34839" w:rsidRPr="00A8375B" w:rsidRDefault="2350A273" w:rsidP="00BC1AE3">
      <w:pPr>
        <w:pStyle w:val="Paragraphedeliste"/>
        <w:numPr>
          <w:ilvl w:val="0"/>
          <w:numId w:val="13"/>
        </w:numPr>
        <w:spacing w:after="0" w:line="249" w:lineRule="auto"/>
        <w:ind w:right="288"/>
        <w:jc w:val="both"/>
        <w:rPr>
          <w:rFonts w:ascii="Times New Roman" w:hAnsi="Times New Roman"/>
          <w:b/>
          <w:color w:val="000000"/>
          <w:sz w:val="24"/>
        </w:rPr>
      </w:pPr>
      <w:r w:rsidRPr="6BC40FD5">
        <w:rPr>
          <w:rFonts w:ascii="Times New Roman" w:hAnsi="Times New Roman"/>
          <w:b/>
          <w:bCs/>
          <w:color w:val="000000"/>
          <w:sz w:val="24"/>
          <w:szCs w:val="24"/>
        </w:rPr>
        <w:t>Les facteurs environnementaux et les manifestations des changements climatiques ont un impact sur les personnes et leurs moyens de subsistance</w:t>
      </w:r>
      <w:r w:rsidRPr="6BC40FD5">
        <w:rPr>
          <w:rFonts w:ascii="Times New Roman" w:hAnsi="Times New Roman"/>
          <w:color w:val="000000"/>
          <w:sz w:val="24"/>
          <w:szCs w:val="24"/>
        </w:rPr>
        <w:t xml:space="preserve"> </w:t>
      </w:r>
      <w:r w:rsidRPr="6BC40FD5">
        <w:rPr>
          <w:rFonts w:ascii="Times New Roman" w:hAnsi="Times New Roman"/>
          <w:color w:val="FF0000"/>
          <w:sz w:val="24"/>
          <w:szCs w:val="24"/>
        </w:rPr>
        <w:t>(</w:t>
      </w:r>
      <w:r w:rsidRPr="6BC40FD5">
        <w:rPr>
          <w:rFonts w:ascii="Times New Roman" w:hAnsi="Times New Roman"/>
          <w:b/>
          <w:bCs/>
          <w:color w:val="FF0000"/>
          <w:sz w:val="24"/>
          <w:szCs w:val="24"/>
        </w:rPr>
        <w:t>Probabilité - élevée</w:t>
      </w:r>
      <w:r w:rsidRPr="6BC40FD5">
        <w:rPr>
          <w:rFonts w:ascii="Times New Roman" w:hAnsi="Times New Roman"/>
          <w:color w:val="FF0000"/>
          <w:sz w:val="24"/>
          <w:szCs w:val="24"/>
        </w:rPr>
        <w:t>)</w:t>
      </w:r>
      <w:r w:rsidRPr="6BC40FD5">
        <w:rPr>
          <w:rFonts w:ascii="Times New Roman" w:hAnsi="Times New Roman"/>
          <w:color w:val="000000"/>
          <w:sz w:val="24"/>
          <w:szCs w:val="24"/>
        </w:rPr>
        <w:t xml:space="preserve">. </w:t>
      </w:r>
      <w:r w:rsidR="7A616A5E" w:rsidRPr="6BC40FD5">
        <w:rPr>
          <w:rFonts w:ascii="Times New Roman" w:hAnsi="Times New Roman"/>
          <w:color w:val="000000"/>
          <w:sz w:val="24"/>
          <w:szCs w:val="24"/>
        </w:rPr>
        <w:t xml:space="preserve">Le Tchad est exposé aux effets du changement climatique dont les déficits pluviométriques récurrents, la sècheresse qui affecte la zone sahélo-saharienne, occasionnant la dégradation des ressources naturelles, la baisse des productions agrosylvopastorales, l'érosion de la biodiversité et l'imprévisibilité croissante des conditions météorologiques. </w:t>
      </w:r>
    </w:p>
    <w:p w14:paraId="5AE576CC" w14:textId="77777777" w:rsidR="00B34839" w:rsidRDefault="00B34839" w:rsidP="00B34839">
      <w:pPr>
        <w:pStyle w:val="Paragraphedeliste"/>
        <w:spacing w:after="0" w:line="249" w:lineRule="auto"/>
        <w:ind w:left="360" w:right="288"/>
        <w:jc w:val="both"/>
        <w:rPr>
          <w:rFonts w:ascii="Times New Roman" w:hAnsi="Times New Roman"/>
          <w:color w:val="000000"/>
          <w:sz w:val="24"/>
        </w:rPr>
      </w:pPr>
    </w:p>
    <w:p w14:paraId="5AF2E9EB" w14:textId="566BB7C8" w:rsidR="00B34839" w:rsidRPr="00A8375B" w:rsidRDefault="7A616A5E" w:rsidP="00BC1AE3">
      <w:pPr>
        <w:pStyle w:val="Paragraphedeliste"/>
        <w:numPr>
          <w:ilvl w:val="0"/>
          <w:numId w:val="13"/>
        </w:numPr>
        <w:spacing w:after="0" w:line="249" w:lineRule="auto"/>
        <w:ind w:right="288"/>
        <w:jc w:val="both"/>
        <w:rPr>
          <w:rFonts w:ascii="Times New Roman" w:hAnsi="Times New Roman"/>
          <w:b/>
          <w:color w:val="000000"/>
          <w:sz w:val="24"/>
        </w:rPr>
      </w:pPr>
      <w:r w:rsidRPr="00A8375B">
        <w:rPr>
          <w:rFonts w:ascii="Times New Roman" w:hAnsi="Times New Roman"/>
          <w:b/>
          <w:color w:val="000000" w:themeColor="text1"/>
          <w:sz w:val="24"/>
        </w:rPr>
        <w:t>Au début de l’année 2020, l’insécurité alimentaire affectait près de 4,6</w:t>
      </w:r>
      <w:r w:rsidRPr="581E4654">
        <w:rPr>
          <w:rFonts w:ascii="Times New Roman" w:hAnsi="Times New Roman"/>
          <w:b/>
          <w:bCs/>
          <w:sz w:val="24"/>
          <w:szCs w:val="24"/>
        </w:rPr>
        <w:t xml:space="preserve"> </w:t>
      </w:r>
      <w:r w:rsidRPr="00A8375B">
        <w:rPr>
          <w:rFonts w:ascii="Times New Roman" w:hAnsi="Times New Roman"/>
          <w:b/>
          <w:color w:val="000000" w:themeColor="text1"/>
          <w:sz w:val="24"/>
        </w:rPr>
        <w:t>millions de personnes</w:t>
      </w:r>
      <w:r w:rsidRPr="00A8375B">
        <w:rPr>
          <w:rFonts w:ascii="Times New Roman" w:hAnsi="Times New Roman"/>
          <w:color w:val="000000" w:themeColor="text1"/>
          <w:sz w:val="24"/>
        </w:rPr>
        <w:t xml:space="preserve"> parmi lesquelles 1,8 million étaient dans la phase sévère nécessitant une assistance alimentaire d’urgence (HRP 2020). L’insécurité alimentaire résulte de la faible production alimentaire ou du faible accès à la nourriture, exacerbée par les facteurs conjoncturels et structurels comme le changement climatique, le contexte socio-économique difficile que traverse le pays depuis 2015, le faible investissement dans le secteur agricole ou les maigres ressources disponibles (terre, fourrage, eau) dans les zones ayant connu des afflux de personnes en déplacement. Les estimations du Cadre Harmonisé faites pour la période juin-août 2020, coïncidant avec la période de soudure, indiquent déjà une détérioration de la situation alimentaire, notamment des plus vulnérables avec 1 017 000 personnes en situation d'insécurité alimentaire sévère (soit une augmentation de 125 % par rapport à la période courante mars-mai), dont 135 000 en « phase urgence » et 882 000 en « phase crise ». L'impact socio-économique de la COVID-19 a aggravé sans doute la situation alimentaire et nutritionnelle des populations les plus précaires et vulnérables (HRP révisé, juillet 2020).</w:t>
      </w:r>
    </w:p>
    <w:p w14:paraId="3404B10B" w14:textId="77777777" w:rsidR="00B34839" w:rsidRDefault="00B34839" w:rsidP="00B34839">
      <w:pPr>
        <w:pStyle w:val="Paragraphedeliste"/>
        <w:spacing w:after="0" w:line="249" w:lineRule="auto"/>
        <w:ind w:left="360" w:right="288"/>
        <w:jc w:val="both"/>
        <w:rPr>
          <w:rFonts w:ascii="Times New Roman" w:hAnsi="Times New Roman"/>
          <w:color w:val="000000"/>
          <w:sz w:val="24"/>
        </w:rPr>
      </w:pPr>
    </w:p>
    <w:p w14:paraId="3308B037" w14:textId="51AD003E" w:rsidR="00B34839" w:rsidRDefault="00B34839" w:rsidP="000824A6">
      <w:pPr>
        <w:pStyle w:val="Paragraphedeliste"/>
        <w:spacing w:before="100" w:beforeAutospacing="1" w:after="100" w:afterAutospacing="1" w:line="240" w:lineRule="auto"/>
        <w:ind w:left="360"/>
        <w:jc w:val="both"/>
        <w:rPr>
          <w:rFonts w:ascii="Times New Roman" w:hAnsi="Times New Roman"/>
          <w:color w:val="000000"/>
          <w:sz w:val="24"/>
        </w:rPr>
      </w:pPr>
      <w:r>
        <w:rPr>
          <w:rFonts w:ascii="Times New Roman" w:hAnsi="Times New Roman"/>
          <w:color w:val="000000"/>
          <w:sz w:val="24"/>
        </w:rPr>
        <w:t xml:space="preserve">Le </w:t>
      </w:r>
      <w:r w:rsidRPr="00F67E99">
        <w:rPr>
          <w:rFonts w:ascii="Times New Roman" w:hAnsi="Times New Roman"/>
          <w:color w:val="000000"/>
          <w:sz w:val="24"/>
        </w:rPr>
        <w:t>Système d’Information sur la Sécurité Alimentaire et d 'Alerte Précoce au Tchad (</w:t>
      </w:r>
      <w:r w:rsidR="00D20E5E">
        <w:rPr>
          <w:rFonts w:ascii="Times New Roman" w:hAnsi="Times New Roman"/>
          <w:color w:val="000000"/>
          <w:sz w:val="24"/>
        </w:rPr>
        <w:t>SISAAP</w:t>
      </w:r>
      <w:r w:rsidRPr="00F67E99">
        <w:rPr>
          <w:rFonts w:ascii="Times New Roman" w:hAnsi="Times New Roman"/>
          <w:color w:val="000000"/>
          <w:sz w:val="24"/>
        </w:rPr>
        <w:t xml:space="preserve">) permet de faire un suivi mensuel de la situation de sécurité alimentaire dans le pays. Sous le lead </w:t>
      </w:r>
      <w:r>
        <w:rPr>
          <w:rFonts w:ascii="Times New Roman" w:hAnsi="Times New Roman"/>
          <w:color w:val="000000"/>
          <w:sz w:val="24"/>
        </w:rPr>
        <w:t>et en collaboration avec le</w:t>
      </w:r>
      <w:r w:rsidRPr="00F67E99">
        <w:rPr>
          <w:rFonts w:ascii="Times New Roman" w:hAnsi="Times New Roman"/>
          <w:color w:val="000000"/>
          <w:sz w:val="24"/>
        </w:rPr>
        <w:t xml:space="preserve"> Ministère de l’Agriculture</w:t>
      </w:r>
      <w:r>
        <w:rPr>
          <w:rFonts w:ascii="Times New Roman" w:hAnsi="Times New Roman"/>
          <w:color w:val="000000"/>
          <w:sz w:val="24"/>
        </w:rPr>
        <w:t>,</w:t>
      </w:r>
      <w:r w:rsidRPr="00F67E99">
        <w:rPr>
          <w:rFonts w:ascii="Times New Roman" w:hAnsi="Times New Roman"/>
          <w:color w:val="000000"/>
          <w:sz w:val="24"/>
        </w:rPr>
        <w:t xml:space="preserve"> la FAO travaille dans le renforcement des moyens de subsistance dans les différentes zones</w:t>
      </w:r>
      <w:r>
        <w:rPr>
          <w:rFonts w:ascii="Times New Roman" w:hAnsi="Times New Roman"/>
          <w:color w:val="000000"/>
          <w:sz w:val="24"/>
        </w:rPr>
        <w:t>. Le cluster sécurité alimentaire et notamment le PAM de la parte des partenaires du développement et l</w:t>
      </w:r>
      <w:r w:rsidRPr="00F67E99">
        <w:rPr>
          <w:rFonts w:ascii="Times New Roman" w:hAnsi="Times New Roman"/>
          <w:color w:val="000000"/>
          <w:sz w:val="24"/>
        </w:rPr>
        <w:t>'Office National de Sécurité Alimentaire (ONASA)</w:t>
      </w:r>
      <w:r>
        <w:rPr>
          <w:rFonts w:ascii="Times New Roman" w:hAnsi="Times New Roman"/>
          <w:color w:val="000000"/>
          <w:sz w:val="24"/>
        </w:rPr>
        <w:t xml:space="preserve"> de la part gouvernementale donnent de l’assistance alimentaire à ceux avec une insécurité </w:t>
      </w:r>
      <w:r>
        <w:rPr>
          <w:rFonts w:ascii="Times New Roman" w:hAnsi="Times New Roman"/>
          <w:color w:val="000000"/>
          <w:sz w:val="24"/>
        </w:rPr>
        <w:lastRenderedPageBreak/>
        <w:t>alimentaire plus sévère à cause des évènements climatiques et spécialement dans la période de soudure mais aussi pour ceux plus touchés pour les effets socio-économiques de la COVID-19.</w:t>
      </w:r>
      <w:r w:rsidR="002D71EA" w:rsidRPr="002D71EA">
        <w:t xml:space="preserve"> </w:t>
      </w:r>
      <w:r w:rsidR="002D71EA" w:rsidRPr="002D71EA">
        <w:rPr>
          <w:rFonts w:ascii="Times New Roman" w:hAnsi="Times New Roman"/>
          <w:color w:val="000000"/>
          <w:sz w:val="24"/>
        </w:rPr>
        <w:t xml:space="preserve">L'assistance alimentaire est insuffisante </w:t>
      </w:r>
      <w:r w:rsidR="002D71EA">
        <w:rPr>
          <w:rFonts w:ascii="Times New Roman" w:hAnsi="Times New Roman"/>
          <w:color w:val="000000"/>
          <w:sz w:val="24"/>
        </w:rPr>
        <w:t xml:space="preserve">aussi </w:t>
      </w:r>
      <w:r w:rsidR="002D71EA" w:rsidRPr="002D71EA">
        <w:rPr>
          <w:rFonts w:ascii="Times New Roman" w:hAnsi="Times New Roman"/>
          <w:color w:val="000000"/>
          <w:sz w:val="24"/>
        </w:rPr>
        <w:t xml:space="preserve">en raison du manque de financement ; </w:t>
      </w:r>
      <w:proofErr w:type="gramStart"/>
      <w:r w:rsidR="002D71EA" w:rsidRPr="002D71EA">
        <w:rPr>
          <w:rFonts w:ascii="Times New Roman" w:hAnsi="Times New Roman"/>
          <w:color w:val="000000"/>
          <w:sz w:val="24"/>
        </w:rPr>
        <w:t>et  l'insécurité</w:t>
      </w:r>
      <w:proofErr w:type="gramEnd"/>
      <w:r w:rsidR="002D71EA" w:rsidRPr="002D71EA">
        <w:rPr>
          <w:rFonts w:ascii="Times New Roman" w:hAnsi="Times New Roman"/>
          <w:color w:val="000000"/>
          <w:sz w:val="24"/>
        </w:rPr>
        <w:t xml:space="preserve"> alimentaire qui se profile en 2021 en raison des faibles précipitations</w:t>
      </w:r>
      <w:r w:rsidR="002D71EA">
        <w:rPr>
          <w:rFonts w:ascii="Times New Roman" w:hAnsi="Times New Roman"/>
          <w:color w:val="000000"/>
          <w:sz w:val="24"/>
        </w:rPr>
        <w:t xml:space="preserve"> pourrait aggraver la situation</w:t>
      </w:r>
      <w:r w:rsidR="002D71EA" w:rsidRPr="002D71EA">
        <w:rPr>
          <w:rFonts w:ascii="Times New Roman" w:hAnsi="Times New Roman"/>
          <w:color w:val="000000"/>
          <w:sz w:val="24"/>
        </w:rPr>
        <w:t xml:space="preserve">. </w:t>
      </w:r>
      <w:r w:rsidR="002D71EA">
        <w:rPr>
          <w:rFonts w:ascii="Times New Roman" w:hAnsi="Times New Roman"/>
          <w:color w:val="000000"/>
          <w:sz w:val="24"/>
        </w:rPr>
        <w:t xml:space="preserve">Par ailleurs, </w:t>
      </w:r>
      <w:r w:rsidR="00D034EB">
        <w:rPr>
          <w:rFonts w:ascii="Times New Roman" w:hAnsi="Times New Roman"/>
          <w:color w:val="000000"/>
          <w:sz w:val="24"/>
        </w:rPr>
        <w:t xml:space="preserve">une des </w:t>
      </w:r>
      <w:r w:rsidR="002D71EA" w:rsidRPr="002D71EA">
        <w:rPr>
          <w:rFonts w:ascii="Times New Roman" w:hAnsi="Times New Roman"/>
          <w:color w:val="000000"/>
          <w:sz w:val="24"/>
        </w:rPr>
        <w:t>lacunes structurelles existantes</w:t>
      </w:r>
      <w:r w:rsidR="00D034EB">
        <w:rPr>
          <w:rFonts w:ascii="Times New Roman" w:hAnsi="Times New Roman"/>
          <w:color w:val="000000"/>
          <w:sz w:val="24"/>
        </w:rPr>
        <w:t xml:space="preserve"> dans le SISAAP se trouve</w:t>
      </w:r>
      <w:r w:rsidR="002D71EA" w:rsidRPr="002D71EA">
        <w:rPr>
          <w:rFonts w:ascii="Times New Roman" w:hAnsi="Times New Roman"/>
          <w:color w:val="000000"/>
          <w:sz w:val="24"/>
        </w:rPr>
        <w:t xml:space="preserve"> dans la gestion des catastrophes.</w:t>
      </w:r>
    </w:p>
    <w:p w14:paraId="1ED1AC2D" w14:textId="6F5CF0D0" w:rsidR="00B24BB8" w:rsidRPr="00B34839" w:rsidRDefault="00B24BB8" w:rsidP="00B34839">
      <w:pPr>
        <w:pStyle w:val="Paragraphedeliste"/>
        <w:spacing w:after="0" w:line="249" w:lineRule="auto"/>
        <w:ind w:left="360" w:right="288"/>
        <w:jc w:val="both"/>
        <w:rPr>
          <w:color w:val="000000"/>
        </w:rPr>
      </w:pPr>
    </w:p>
    <w:p w14:paraId="11F7B4F7" w14:textId="0C9461C5" w:rsidR="00B24BB8" w:rsidRPr="007B01A2" w:rsidRDefault="2350A273" w:rsidP="00B24BB8">
      <w:pPr>
        <w:pStyle w:val="Paragraphedeliste"/>
        <w:spacing w:before="100" w:beforeAutospacing="1" w:after="100" w:afterAutospacing="1" w:line="240" w:lineRule="auto"/>
        <w:ind w:left="360"/>
        <w:jc w:val="both"/>
        <w:rPr>
          <w:rFonts w:ascii="Times New Roman" w:hAnsi="Times New Roman"/>
          <w:color w:val="000000"/>
          <w:sz w:val="24"/>
        </w:rPr>
      </w:pPr>
      <w:bookmarkStart w:id="352" w:name="_Hlk50635893"/>
      <w:r w:rsidRPr="6BC40FD5">
        <w:rPr>
          <w:rFonts w:ascii="Times New Roman" w:hAnsi="Times New Roman"/>
          <w:b/>
          <w:bCs/>
          <w:color w:val="000000"/>
          <w:sz w:val="24"/>
          <w:szCs w:val="24"/>
        </w:rPr>
        <w:t>La situation de la pandémie du COVID-19 peut perdurer</w:t>
      </w:r>
      <w:r w:rsidRPr="6BC40FD5">
        <w:rPr>
          <w:rFonts w:ascii="Times New Roman" w:hAnsi="Times New Roman"/>
          <w:color w:val="000000"/>
          <w:sz w:val="24"/>
          <w:szCs w:val="24"/>
        </w:rPr>
        <w:t xml:space="preserve"> </w:t>
      </w:r>
      <w:bookmarkEnd w:id="352"/>
      <w:r w:rsidRPr="6BC40FD5">
        <w:rPr>
          <w:rFonts w:ascii="Times New Roman" w:hAnsi="Times New Roman"/>
          <w:b/>
          <w:bCs/>
          <w:color w:val="FF0000"/>
          <w:sz w:val="24"/>
          <w:szCs w:val="24"/>
        </w:rPr>
        <w:t>(Probabilité - élevée)</w:t>
      </w:r>
      <w:r w:rsidRPr="6BC40FD5">
        <w:rPr>
          <w:rFonts w:ascii="Times New Roman" w:hAnsi="Times New Roman"/>
          <w:color w:val="FF0000"/>
          <w:sz w:val="24"/>
          <w:szCs w:val="24"/>
        </w:rPr>
        <w:t> </w:t>
      </w:r>
      <w:r w:rsidRPr="6BC40FD5">
        <w:rPr>
          <w:rFonts w:ascii="Times New Roman" w:hAnsi="Times New Roman"/>
          <w:color w:val="000000"/>
          <w:sz w:val="24"/>
          <w:szCs w:val="24"/>
        </w:rPr>
        <w:t>: Depuis le premier cas de COVID-19 déclaré le 19 mars 2020, le Tchad a rapidement mis en œuvre des mesures de confinement, y compris la fermeture des frontières terrestres et aériennes, la restriction des mouvements interurbains, la fermeture de commerces, l'interdiction des rassemblements, etc., et - en exploitant les ressources des programmes habituels – a concentré ses efforts sur la lutte contre l'épidémie. Le</w:t>
      </w:r>
      <w:r w:rsidR="67639A0A" w:rsidRPr="6BC40FD5">
        <w:rPr>
          <w:rFonts w:ascii="Times New Roman" w:hAnsi="Times New Roman"/>
          <w:color w:val="000000"/>
          <w:sz w:val="24"/>
          <w:szCs w:val="24"/>
        </w:rPr>
        <w:t xml:space="preserve"> nombre de</w:t>
      </w:r>
      <w:r w:rsidRPr="6BC40FD5">
        <w:rPr>
          <w:rFonts w:ascii="Times New Roman" w:hAnsi="Times New Roman"/>
          <w:color w:val="000000"/>
          <w:sz w:val="24"/>
          <w:szCs w:val="24"/>
        </w:rPr>
        <w:t xml:space="preserve"> cas </w:t>
      </w:r>
      <w:r w:rsidR="570808C7">
        <w:rPr>
          <w:rFonts w:ascii="Times New Roman" w:eastAsia="Times New Roman" w:hAnsi="Times New Roman"/>
          <w:color w:val="000000" w:themeColor="text1"/>
          <w:sz w:val="24"/>
          <w:szCs w:val="24"/>
        </w:rPr>
        <w:t>enregistré par le</w:t>
      </w:r>
      <w:r w:rsidRPr="6BC40FD5">
        <w:rPr>
          <w:rFonts w:ascii="Times New Roman" w:hAnsi="Times New Roman"/>
          <w:color w:val="000000"/>
          <w:sz w:val="24"/>
          <w:szCs w:val="24"/>
        </w:rPr>
        <w:t xml:space="preserve"> Tchad demeur</w:t>
      </w:r>
      <w:r w:rsidR="67639A0A" w:rsidRPr="6BC40FD5">
        <w:rPr>
          <w:rFonts w:ascii="Times New Roman" w:hAnsi="Times New Roman"/>
          <w:color w:val="000000"/>
          <w:sz w:val="24"/>
          <w:szCs w:val="24"/>
        </w:rPr>
        <w:t>e</w:t>
      </w:r>
      <w:r w:rsidRPr="6BC40FD5">
        <w:rPr>
          <w:rFonts w:ascii="Times New Roman" w:hAnsi="Times New Roman"/>
          <w:color w:val="000000"/>
          <w:sz w:val="24"/>
          <w:szCs w:val="24"/>
        </w:rPr>
        <w:t xml:space="preserve"> relativement </w:t>
      </w:r>
      <w:proofErr w:type="gramStart"/>
      <w:r w:rsidRPr="6BC40FD5">
        <w:rPr>
          <w:rFonts w:ascii="Times New Roman" w:hAnsi="Times New Roman"/>
          <w:color w:val="000000"/>
          <w:sz w:val="24"/>
          <w:szCs w:val="24"/>
        </w:rPr>
        <w:t>faible</w:t>
      </w:r>
      <w:r w:rsidR="0DDF3216" w:rsidRPr="6BC40FD5">
        <w:rPr>
          <w:rFonts w:ascii="Times New Roman" w:hAnsi="Times New Roman"/>
          <w:color w:val="000000"/>
          <w:sz w:val="24"/>
          <w:szCs w:val="24"/>
        </w:rPr>
        <w:t xml:space="preserve"> </w:t>
      </w:r>
      <w:r w:rsidR="489D6640" w:rsidRPr="6BC40FD5">
        <w:rPr>
          <w:rFonts w:ascii="Times New Roman" w:hAnsi="Times New Roman"/>
          <w:color w:val="000000"/>
          <w:sz w:val="24"/>
          <w:szCs w:val="24"/>
        </w:rPr>
        <w:t>,</w:t>
      </w:r>
      <w:r w:rsidR="1DE21B39" w:rsidRPr="6BC40FD5">
        <w:rPr>
          <w:rFonts w:ascii="Times New Roman" w:hAnsi="Times New Roman"/>
          <w:color w:val="000000"/>
          <w:sz w:val="24"/>
          <w:szCs w:val="24"/>
        </w:rPr>
        <w:t>c</w:t>
      </w:r>
      <w:proofErr w:type="gramEnd"/>
      <w:r w:rsidR="489D6640" w:rsidRPr="106C3604">
        <w:rPr>
          <w:rFonts w:ascii="Times New Roman" w:hAnsi="Times New Roman"/>
          <w:color w:val="000000" w:themeColor="text1"/>
          <w:sz w:val="24"/>
          <w:szCs w:val="24"/>
        </w:rPr>
        <w:t>,</w:t>
      </w:r>
      <w:r w:rsidR="67639A0A" w:rsidRPr="6BC40FD5">
        <w:rPr>
          <w:rFonts w:ascii="Times New Roman" w:hAnsi="Times New Roman"/>
          <w:color w:val="000000"/>
          <w:sz w:val="24"/>
          <w:szCs w:val="24"/>
        </w:rPr>
        <w:t xml:space="preserve"> </w:t>
      </w:r>
      <w:r w:rsidR="1DE21B39" w:rsidRPr="106C3604">
        <w:rPr>
          <w:rFonts w:ascii="Times New Roman" w:hAnsi="Times New Roman"/>
          <w:color w:val="000000" w:themeColor="text1"/>
          <w:sz w:val="24"/>
          <w:szCs w:val="24"/>
        </w:rPr>
        <w:t>c</w:t>
      </w:r>
      <w:r w:rsidR="67639A0A" w:rsidRPr="6BC40FD5">
        <w:rPr>
          <w:rFonts w:ascii="Times New Roman" w:hAnsi="Times New Roman"/>
          <w:color w:val="000000"/>
          <w:sz w:val="24"/>
          <w:szCs w:val="24"/>
        </w:rPr>
        <w:t xml:space="preserve">e qui </w:t>
      </w:r>
      <w:r w:rsidR="043C420F" w:rsidRPr="6BC40FD5">
        <w:rPr>
          <w:rFonts w:ascii="Times New Roman" w:hAnsi="Times New Roman"/>
          <w:color w:val="000000"/>
          <w:sz w:val="24"/>
          <w:szCs w:val="24"/>
        </w:rPr>
        <w:t xml:space="preserve">suggère </w:t>
      </w:r>
      <w:r w:rsidR="67639A0A" w:rsidRPr="6BC40FD5">
        <w:rPr>
          <w:rFonts w:ascii="Times New Roman" w:hAnsi="Times New Roman"/>
          <w:color w:val="000000"/>
          <w:sz w:val="24"/>
          <w:szCs w:val="24"/>
        </w:rPr>
        <w:t>la faiblesse du système de santé</w:t>
      </w:r>
      <w:r w:rsidR="043C420F" w:rsidRPr="6BC40FD5">
        <w:rPr>
          <w:rFonts w:ascii="Times New Roman" w:hAnsi="Times New Roman"/>
          <w:color w:val="000000"/>
          <w:sz w:val="24"/>
          <w:szCs w:val="24"/>
        </w:rPr>
        <w:t xml:space="preserve"> comme </w:t>
      </w:r>
      <w:proofErr w:type="spellStart"/>
      <w:r w:rsidR="582BE897" w:rsidRPr="6BC40FD5">
        <w:rPr>
          <w:rFonts w:ascii="Times New Roman" w:hAnsi="Times New Roman"/>
          <w:color w:val="000000"/>
          <w:sz w:val="24"/>
          <w:szCs w:val="24"/>
        </w:rPr>
        <w:t>e</w:t>
      </w:r>
      <w:r w:rsidR="043C420F" w:rsidRPr="6BC40FD5">
        <w:rPr>
          <w:rFonts w:ascii="Times New Roman" w:hAnsi="Times New Roman"/>
          <w:color w:val="000000"/>
          <w:sz w:val="24"/>
          <w:szCs w:val="24"/>
        </w:rPr>
        <w:t>indiqu</w:t>
      </w:r>
      <w:r w:rsidR="582BE897" w:rsidRPr="106C3604">
        <w:rPr>
          <w:rFonts w:ascii="Times New Roman" w:hAnsi="Times New Roman"/>
          <w:color w:val="000000" w:themeColor="text1"/>
          <w:sz w:val="24"/>
          <w:szCs w:val="24"/>
        </w:rPr>
        <w:t>e</w:t>
      </w:r>
      <w:proofErr w:type="spellEnd"/>
      <w:r w:rsidR="043C420F" w:rsidRPr="6BC40FD5">
        <w:rPr>
          <w:rFonts w:ascii="Times New Roman" w:hAnsi="Times New Roman"/>
          <w:color w:val="000000"/>
          <w:sz w:val="24"/>
          <w:szCs w:val="24"/>
        </w:rPr>
        <w:t xml:space="preserve"> dans certains rapports</w:t>
      </w:r>
      <w:r w:rsidR="001A3A2E">
        <w:rPr>
          <w:rStyle w:val="Appelnotedebasdep"/>
          <w:color w:val="000000"/>
        </w:rPr>
        <w:footnoteReference w:id="44"/>
      </w:r>
      <w:r w:rsidR="043C420F" w:rsidRPr="6BC40FD5">
        <w:rPr>
          <w:rFonts w:ascii="Times New Roman" w:hAnsi="Times New Roman"/>
          <w:color w:val="000000"/>
          <w:sz w:val="24"/>
          <w:szCs w:val="24"/>
        </w:rPr>
        <w:t>.</w:t>
      </w:r>
      <w:r w:rsidR="67639A0A" w:rsidRPr="6BC40FD5">
        <w:rPr>
          <w:rFonts w:ascii="Times New Roman" w:hAnsi="Times New Roman"/>
          <w:color w:val="000000"/>
          <w:sz w:val="24"/>
          <w:szCs w:val="24"/>
        </w:rPr>
        <w:t xml:space="preserve"> </w:t>
      </w:r>
      <w:r w:rsidRPr="6BC40FD5">
        <w:rPr>
          <w:rFonts w:ascii="Times New Roman" w:hAnsi="Times New Roman"/>
          <w:color w:val="000000"/>
          <w:sz w:val="24"/>
          <w:szCs w:val="24"/>
        </w:rPr>
        <w:t xml:space="preserve"> </w:t>
      </w:r>
      <w:r w:rsidR="72AFB00D" w:rsidRPr="005B765C">
        <w:rPr>
          <w:rFonts w:ascii="Times New Roman" w:hAnsi="Times New Roman"/>
          <w:color w:val="000000" w:themeColor="text1"/>
          <w:sz w:val="24"/>
        </w:rPr>
        <w:t xml:space="preserve">Fin 2021 </w:t>
      </w:r>
      <w:r w:rsidR="72AFB00D" w:rsidRPr="00A8375B">
        <w:rPr>
          <w:rFonts w:ascii="Times New Roman" w:hAnsi="Times New Roman"/>
          <w:color w:val="000000" w:themeColor="text1"/>
          <w:sz w:val="24"/>
        </w:rPr>
        <w:t>le pays</w:t>
      </w:r>
      <w:r w:rsidR="72AFB00D" w:rsidRPr="005B765C">
        <w:rPr>
          <w:rFonts w:ascii="Times New Roman" w:hAnsi="Times New Roman"/>
          <w:color w:val="000000" w:themeColor="text1"/>
          <w:sz w:val="24"/>
        </w:rPr>
        <w:t xml:space="preserve"> connait une </w:t>
      </w:r>
      <w:proofErr w:type="spellStart"/>
      <w:r w:rsidR="72AFB00D" w:rsidRPr="005B765C">
        <w:rPr>
          <w:rFonts w:ascii="Times New Roman" w:hAnsi="Times New Roman"/>
          <w:color w:val="000000" w:themeColor="text1"/>
          <w:sz w:val="24"/>
        </w:rPr>
        <w:t>resurgence</w:t>
      </w:r>
      <w:proofErr w:type="spellEnd"/>
      <w:r w:rsidR="72AFB00D" w:rsidRPr="005B765C">
        <w:rPr>
          <w:rFonts w:ascii="Times New Roman" w:hAnsi="Times New Roman"/>
          <w:color w:val="000000" w:themeColor="text1"/>
          <w:sz w:val="24"/>
        </w:rPr>
        <w:t xml:space="preserve"> dans les</w:t>
      </w:r>
      <w:r w:rsidR="72AFB00D" w:rsidRPr="00A8375B">
        <w:rPr>
          <w:rFonts w:ascii="Times New Roman" w:hAnsi="Times New Roman"/>
          <w:color w:val="000000" w:themeColor="text1"/>
          <w:sz w:val="24"/>
        </w:rPr>
        <w:t xml:space="preserve"> cas de </w:t>
      </w:r>
      <w:r w:rsidR="72AFB00D" w:rsidRPr="005B765C">
        <w:rPr>
          <w:rFonts w:ascii="Times New Roman" w:hAnsi="Times New Roman"/>
          <w:color w:val="000000" w:themeColor="text1"/>
          <w:sz w:val="24"/>
        </w:rPr>
        <w:t xml:space="preserve">COVID, avec </w:t>
      </w:r>
      <w:r w:rsidR="46EA7ACA" w:rsidRPr="005B765C">
        <w:rPr>
          <w:rFonts w:ascii="Times New Roman" w:hAnsi="Times New Roman"/>
          <w:color w:val="000000" w:themeColor="text1"/>
          <w:sz w:val="24"/>
        </w:rPr>
        <w:t>133 cas détectés</w:t>
      </w:r>
      <w:r w:rsidR="46EA7ACA" w:rsidRPr="00A8375B">
        <w:rPr>
          <w:rFonts w:ascii="Times New Roman" w:hAnsi="Times New Roman"/>
          <w:color w:val="000000" w:themeColor="text1"/>
          <w:sz w:val="24"/>
        </w:rPr>
        <w:t xml:space="preserve"> dans </w:t>
      </w:r>
      <w:r w:rsidR="46EA7ACA" w:rsidRPr="005B765C">
        <w:rPr>
          <w:rFonts w:ascii="Times New Roman" w:hAnsi="Times New Roman"/>
          <w:color w:val="000000" w:themeColor="text1"/>
          <w:sz w:val="24"/>
        </w:rPr>
        <w:t>la première semaine de décembre 2021.</w:t>
      </w:r>
    </w:p>
    <w:p w14:paraId="4BE5C541" w14:textId="745B8507" w:rsidR="00C40CE7" w:rsidRDefault="2350A273" w:rsidP="00D34A39">
      <w:pPr>
        <w:pStyle w:val="Paragraphedeliste"/>
        <w:spacing w:before="100" w:beforeAutospacing="1" w:after="100" w:afterAutospacing="1" w:line="240" w:lineRule="auto"/>
        <w:ind w:left="360"/>
        <w:jc w:val="both"/>
        <w:rPr>
          <w:rFonts w:ascii="Times New Roman" w:hAnsi="Times New Roman"/>
          <w:color w:val="000000"/>
          <w:sz w:val="24"/>
        </w:rPr>
      </w:pPr>
      <w:r w:rsidRPr="6BC40FD5">
        <w:rPr>
          <w:rFonts w:ascii="Times New Roman" w:hAnsi="Times New Roman"/>
          <w:color w:val="000000"/>
          <w:sz w:val="24"/>
          <w:szCs w:val="24"/>
        </w:rPr>
        <w:t>En avril</w:t>
      </w:r>
      <w:r w:rsidR="79183A50" w:rsidRPr="6BC40FD5">
        <w:rPr>
          <w:rFonts w:ascii="Times New Roman" w:hAnsi="Times New Roman"/>
          <w:color w:val="000000"/>
          <w:sz w:val="24"/>
          <w:szCs w:val="24"/>
        </w:rPr>
        <w:t xml:space="preserve"> </w:t>
      </w:r>
      <w:r w:rsidRPr="6BC40FD5">
        <w:rPr>
          <w:rFonts w:ascii="Times New Roman" w:hAnsi="Times New Roman"/>
          <w:color w:val="000000"/>
          <w:sz w:val="24"/>
          <w:szCs w:val="24"/>
        </w:rPr>
        <w:t>2020, la perte de revenus était estimée à 74,6 milliards XAF</w:t>
      </w:r>
      <w:r w:rsidR="00B24BB8" w:rsidRPr="6BC40FD5">
        <w:rPr>
          <w:rStyle w:val="Appelnotedebasdep"/>
          <w:color w:val="000000"/>
          <w:sz w:val="24"/>
          <w:szCs w:val="24"/>
          <w:vertAlign w:val="superscript"/>
          <w:lang w:val="en-GB"/>
        </w:rPr>
        <w:footnoteReference w:id="45"/>
      </w:r>
      <w:r w:rsidRPr="6BC40FD5">
        <w:rPr>
          <w:rFonts w:ascii="Times New Roman" w:hAnsi="Times New Roman"/>
          <w:color w:val="000000"/>
          <w:sz w:val="24"/>
          <w:szCs w:val="24"/>
        </w:rPr>
        <w:t>. La nécessité continue de faire de la réponse à la COVID-19 une priorité, en exploitant les ressources d'autres secteurs et dans un marché mondial également gravement touché par la pandémie, a des conséquences importantes sur le potentiel d'investissement dans le développement. L'impact indirect de la COVID-19 et ses conséquences humanitaires</w:t>
      </w:r>
      <w:r w:rsidR="7A737672" w:rsidRPr="6BC40FD5">
        <w:rPr>
          <w:rFonts w:ascii="Times New Roman" w:hAnsi="Times New Roman"/>
          <w:color w:val="000000"/>
          <w:sz w:val="24"/>
          <w:szCs w:val="24"/>
        </w:rPr>
        <w:t xml:space="preserve"> et sur la jouissance des droits de l’homme</w:t>
      </w:r>
      <w:r w:rsidRPr="6BC40FD5">
        <w:rPr>
          <w:rFonts w:ascii="Times New Roman" w:hAnsi="Times New Roman"/>
          <w:color w:val="000000"/>
          <w:sz w:val="24"/>
          <w:szCs w:val="24"/>
        </w:rPr>
        <w:t xml:space="preserve"> ont déjà été observés dans les secteurs de la santé, de la nutrition et de l'éducation avec, entre autres, la fermeture des écoles affectant </w:t>
      </w:r>
      <w:r w:rsidR="1FDBD145">
        <w:rPr>
          <w:rFonts w:ascii="Times New Roman" w:eastAsia="Times New Roman" w:hAnsi="Times New Roman"/>
          <w:color w:val="000000" w:themeColor="text1"/>
          <w:sz w:val="24"/>
          <w:szCs w:val="24"/>
        </w:rPr>
        <w:t xml:space="preserve">environ </w:t>
      </w:r>
      <w:r w:rsidRPr="6BC40FD5">
        <w:rPr>
          <w:rFonts w:ascii="Times New Roman" w:hAnsi="Times New Roman"/>
          <w:color w:val="000000"/>
          <w:sz w:val="24"/>
          <w:szCs w:val="24"/>
        </w:rPr>
        <w:t xml:space="preserve">trois millions d'enfants et 55 000 enseignants, et avec des conséquences futures sur le capital </w:t>
      </w:r>
      <w:r w:rsidR="19E09851" w:rsidRPr="6BC40FD5">
        <w:rPr>
          <w:rFonts w:ascii="Times New Roman" w:hAnsi="Times New Roman"/>
          <w:color w:val="000000"/>
          <w:sz w:val="24"/>
          <w:szCs w:val="24"/>
        </w:rPr>
        <w:t>humain ;</w:t>
      </w:r>
      <w:r w:rsidRPr="6BC40FD5">
        <w:rPr>
          <w:rFonts w:ascii="Times New Roman" w:hAnsi="Times New Roman"/>
          <w:color w:val="000000"/>
          <w:sz w:val="24"/>
          <w:szCs w:val="24"/>
        </w:rPr>
        <w:t xml:space="preserve"> et les programmes réguliers de soins de santé et de vaccination interrompus. Les populations ont perdu leurs moyens de subsistance dans le secteur formel et informel (agriculture, élevage, commerce), les taux de malnutrition ont augmenté, avec une augmentation de 59% du nombre de personnes en situation d'insécurité alimentaire.</w:t>
      </w:r>
    </w:p>
    <w:p w14:paraId="04E2D5CB" w14:textId="77777777" w:rsidR="00C40CE7" w:rsidRDefault="00C40CE7" w:rsidP="00D34A39">
      <w:pPr>
        <w:pStyle w:val="Paragraphedeliste"/>
        <w:spacing w:before="100" w:beforeAutospacing="1" w:after="100" w:afterAutospacing="1" w:line="240" w:lineRule="auto"/>
        <w:ind w:left="360"/>
        <w:jc w:val="both"/>
        <w:rPr>
          <w:rFonts w:ascii="Times New Roman" w:hAnsi="Times New Roman"/>
          <w:color w:val="000000"/>
          <w:sz w:val="24"/>
        </w:rPr>
      </w:pPr>
    </w:p>
    <w:p w14:paraId="66E61882" w14:textId="4AF18ADF" w:rsidR="00B24BB8" w:rsidRDefault="2350A273" w:rsidP="581E4654">
      <w:pPr>
        <w:pStyle w:val="Paragraphedeliste"/>
        <w:spacing w:before="100" w:beforeAutospacing="1" w:after="100" w:afterAutospacing="1" w:line="240" w:lineRule="auto"/>
        <w:ind w:left="360"/>
        <w:jc w:val="both"/>
        <w:rPr>
          <w:rFonts w:ascii="Times New Roman" w:hAnsi="Times New Roman"/>
          <w:color w:val="000000"/>
          <w:sz w:val="24"/>
          <w:szCs w:val="24"/>
        </w:rPr>
      </w:pPr>
      <w:r w:rsidRPr="00A8375B">
        <w:rPr>
          <w:rFonts w:ascii="Times New Roman" w:hAnsi="Times New Roman"/>
          <w:color w:val="000000" w:themeColor="text1"/>
          <w:sz w:val="24"/>
        </w:rPr>
        <w:t xml:space="preserve">L’avènement </w:t>
      </w:r>
      <w:r w:rsidR="3854F6C1" w:rsidRPr="581E4654">
        <w:rPr>
          <w:rFonts w:ascii="Times New Roman" w:eastAsia="Times New Roman" w:hAnsi="Times New Roman"/>
          <w:color w:val="000000" w:themeColor="text1"/>
          <w:sz w:val="24"/>
          <w:szCs w:val="24"/>
        </w:rPr>
        <w:t>de la COVID-19</w:t>
      </w:r>
      <w:r w:rsidRPr="00A8375B">
        <w:rPr>
          <w:rFonts w:ascii="Times New Roman" w:hAnsi="Times New Roman"/>
          <w:color w:val="000000" w:themeColor="text1"/>
          <w:sz w:val="24"/>
        </w:rPr>
        <w:t xml:space="preserve"> a eu des impacts sur l’ensemble de la population y compris des groupes d’intérêt humanitaire, tels que les réfugiés, les déplacés internes et les retournés, avec un impact particulier sur les femmes et les filles. En raison de la restriction de mouvements imposée par les dispositions de l’Etat d’urgence, ces personnes déjà vulnérables n’ont pas pu mener leurs activités agricoles.</w:t>
      </w:r>
    </w:p>
    <w:p w14:paraId="15922E3A" w14:textId="77777777" w:rsidR="00C40CE7" w:rsidRDefault="00C40CE7" w:rsidP="00C40CE7">
      <w:pPr>
        <w:pStyle w:val="Paragraphedeliste"/>
        <w:spacing w:before="100" w:beforeAutospacing="1" w:after="100" w:afterAutospacing="1" w:line="240" w:lineRule="auto"/>
        <w:ind w:left="360"/>
        <w:jc w:val="both"/>
        <w:rPr>
          <w:rFonts w:ascii="Times New Roman" w:hAnsi="Times New Roman"/>
          <w:color w:val="000000"/>
          <w:sz w:val="24"/>
        </w:rPr>
      </w:pPr>
    </w:p>
    <w:p w14:paraId="7D7F96FF" w14:textId="77777777" w:rsidR="00FD0794" w:rsidRDefault="00FD0794" w:rsidP="00C40CE7">
      <w:pPr>
        <w:pStyle w:val="Paragraphedeliste"/>
        <w:spacing w:before="100" w:beforeAutospacing="1" w:after="100" w:afterAutospacing="1" w:line="240" w:lineRule="auto"/>
        <w:ind w:left="360"/>
        <w:jc w:val="both"/>
        <w:rPr>
          <w:rFonts w:ascii="Times New Roman" w:hAnsi="Times New Roman"/>
          <w:color w:val="000000"/>
          <w:sz w:val="24"/>
        </w:rPr>
      </w:pPr>
    </w:p>
    <w:p w14:paraId="232C3013" w14:textId="27DB7669" w:rsidR="00D21D54" w:rsidRPr="0095279A" w:rsidRDefault="00001EE5" w:rsidP="00BC1AE3">
      <w:pPr>
        <w:pStyle w:val="Titre1"/>
        <w:numPr>
          <w:ilvl w:val="0"/>
          <w:numId w:val="23"/>
        </w:numPr>
        <w:rPr>
          <w:rFonts w:ascii="Times New Roman" w:hAnsi="Times New Roman"/>
          <w:b/>
          <w:bCs/>
        </w:rPr>
      </w:pPr>
      <w:bookmarkStart w:id="353" w:name="_Toc51745212"/>
      <w:bookmarkStart w:id="354" w:name="_Toc55372913"/>
      <w:bookmarkStart w:id="355" w:name="_Toc55539115"/>
      <w:bookmarkStart w:id="356" w:name="_Toc61523619"/>
      <w:bookmarkStart w:id="357" w:name="_Toc90910820"/>
      <w:r w:rsidRPr="0095279A">
        <w:rPr>
          <w:rFonts w:ascii="Times New Roman" w:hAnsi="Times New Roman"/>
          <w:b/>
          <w:bCs/>
        </w:rPr>
        <w:t>LACUNES A COMBLER ET DIFFICULTES RENCONTREES DANS LA REALISATION DU PROGRAMME 2030</w:t>
      </w:r>
      <w:bookmarkEnd w:id="353"/>
      <w:bookmarkEnd w:id="354"/>
      <w:bookmarkEnd w:id="355"/>
      <w:bookmarkEnd w:id="356"/>
      <w:bookmarkEnd w:id="357"/>
    </w:p>
    <w:p w14:paraId="2AA9A3D0" w14:textId="7872BDA3" w:rsidR="00541199" w:rsidRDefault="00541199" w:rsidP="00D21D54">
      <w:pPr>
        <w:spacing w:after="0"/>
        <w:jc w:val="both"/>
        <w:rPr>
          <w:rFonts w:ascii="Times New Roman" w:hAnsi="Times New Roman"/>
          <w:color w:val="000000"/>
          <w:sz w:val="24"/>
        </w:rPr>
      </w:pPr>
    </w:p>
    <w:p w14:paraId="2C7ED4FC" w14:textId="77777777" w:rsidR="00957B6F" w:rsidRPr="00957B6F" w:rsidRDefault="00957B6F" w:rsidP="00957B6F">
      <w:pPr>
        <w:spacing w:after="0"/>
        <w:jc w:val="both"/>
        <w:rPr>
          <w:rFonts w:ascii="Times New Roman" w:hAnsi="Times New Roman"/>
          <w:bCs/>
          <w:sz w:val="24"/>
        </w:rPr>
      </w:pPr>
      <w:r w:rsidRPr="00957B6F">
        <w:rPr>
          <w:rFonts w:ascii="Times New Roman" w:hAnsi="Times New Roman"/>
          <w:b/>
          <w:sz w:val="24"/>
        </w:rPr>
        <w:lastRenderedPageBreak/>
        <w:t>Les principaux défis et priorités identifiés qui ressortent du rapport de l’Examen National Volontaire sur les objectifs de développement durable de 2021 concernent le climat d’insécurité et la cohésion sociale, le système de gouvernance, la diversification de l’économie, la gestion durable de l’environnement et du cadre de vie, le développement du capital humain et les systèmes de protection sociale</w:t>
      </w:r>
      <w:r w:rsidRPr="00957B6F">
        <w:rPr>
          <w:rFonts w:ascii="Times New Roman" w:hAnsi="Times New Roman"/>
          <w:sz w:val="24"/>
        </w:rPr>
        <w:t xml:space="preserve">. </w:t>
      </w:r>
      <w:r w:rsidRPr="00957B6F">
        <w:rPr>
          <w:rFonts w:ascii="Times New Roman" w:eastAsia="Times New Roman" w:hAnsi="Times New Roman"/>
          <w:bCs/>
          <w:sz w:val="24"/>
          <w:szCs w:val="24"/>
          <w:lang w:eastAsia="fr-FR"/>
        </w:rPr>
        <w:t xml:space="preserve">A travers cette section, il est </w:t>
      </w:r>
      <w:r w:rsidRPr="00957B6F">
        <w:rPr>
          <w:rFonts w:ascii="Times New Roman" w:hAnsi="Times New Roman"/>
          <w:bCs/>
          <w:sz w:val="24"/>
        </w:rPr>
        <w:t xml:space="preserve">examiné </w:t>
      </w:r>
      <w:r w:rsidRPr="00957B6F">
        <w:rPr>
          <w:rFonts w:ascii="Times New Roman" w:eastAsia="Times New Roman" w:hAnsi="Times New Roman"/>
          <w:bCs/>
          <w:sz w:val="24"/>
          <w:szCs w:val="24"/>
          <w:lang w:eastAsia="fr-FR"/>
        </w:rPr>
        <w:t>les</w:t>
      </w:r>
      <w:r w:rsidRPr="00957B6F">
        <w:rPr>
          <w:rFonts w:ascii="Times New Roman" w:hAnsi="Times New Roman"/>
          <w:bCs/>
          <w:sz w:val="24"/>
        </w:rPr>
        <w:t xml:space="preserve"> principaux goulots d’étranglement qui empêchent le pays d’accélérer les progrès sur les objectifs de développement durable, ainsi que les </w:t>
      </w:r>
      <w:r w:rsidRPr="00957B6F">
        <w:rPr>
          <w:rFonts w:ascii="Times New Roman" w:eastAsia="Times New Roman" w:hAnsi="Times New Roman"/>
          <w:bCs/>
          <w:sz w:val="24"/>
          <w:szCs w:val="24"/>
          <w:lang w:eastAsia="fr-FR"/>
        </w:rPr>
        <w:t>interdépendances</w:t>
      </w:r>
      <w:r w:rsidRPr="00957B6F">
        <w:rPr>
          <w:rFonts w:ascii="Times New Roman" w:hAnsi="Times New Roman"/>
          <w:bCs/>
          <w:sz w:val="24"/>
        </w:rPr>
        <w:t xml:space="preserve"> des objectifs de développement durable.</w:t>
      </w:r>
    </w:p>
    <w:p w14:paraId="18BD9E8B" w14:textId="77777777" w:rsidR="00957B6F" w:rsidRPr="00957B6F" w:rsidRDefault="00957B6F" w:rsidP="00957B6F">
      <w:pPr>
        <w:spacing w:after="0"/>
        <w:jc w:val="both"/>
        <w:rPr>
          <w:rFonts w:ascii="Times New Roman" w:hAnsi="Times New Roman"/>
          <w:sz w:val="24"/>
        </w:rPr>
      </w:pPr>
    </w:p>
    <w:p w14:paraId="1C9EA770" w14:textId="21C308B3" w:rsidR="00350F6C" w:rsidRPr="00350F6C" w:rsidRDefault="00957B6F" w:rsidP="00350F6C">
      <w:pPr>
        <w:shd w:val="clear" w:color="auto" w:fill="FFFFFF"/>
        <w:spacing w:after="0" w:line="240" w:lineRule="auto"/>
        <w:jc w:val="both"/>
        <w:rPr>
          <w:rFonts w:ascii="Times New Roman" w:hAnsi="Times New Roman"/>
          <w:bCs/>
          <w:sz w:val="24"/>
        </w:rPr>
      </w:pPr>
      <w:r w:rsidRPr="00957B6F">
        <w:rPr>
          <w:rFonts w:ascii="Times New Roman" w:hAnsi="Times New Roman"/>
          <w:sz w:val="24"/>
        </w:rPr>
        <w:t>Trois contraintes majeures inter reliées (insécurité, forte dépendance envers le pétrole, intervention sous- optimale de l’Etat) entravent la croissance durable du pays.  La fragilité et l’insécurité régionale</w:t>
      </w:r>
      <w:r w:rsidR="00957B14">
        <w:rPr>
          <w:rFonts w:ascii="Times New Roman" w:hAnsi="Times New Roman"/>
          <w:sz w:val="24"/>
        </w:rPr>
        <w:t>s</w:t>
      </w:r>
      <w:r w:rsidRPr="00957B6F">
        <w:rPr>
          <w:rFonts w:ascii="Times New Roman" w:hAnsi="Times New Roman"/>
          <w:sz w:val="24"/>
        </w:rPr>
        <w:t xml:space="preserve"> qui sont des facteurs exogènes à l’économie du Tchad ont limité le pays d’accroître son potentiel économique. Sous l’effet des graves menaces pesant sur la sécurité, les recettes pétrolières étaient orientées vers les dépenses militaires et de sécurité (qui ont été </w:t>
      </w:r>
      <w:r w:rsidRPr="00957B6F">
        <w:rPr>
          <w:rFonts w:ascii="Times New Roman" w:eastAsia="Times New Roman" w:hAnsi="Times New Roman"/>
          <w:sz w:val="24"/>
          <w:szCs w:val="24"/>
          <w:lang w:eastAsia="fr-FR"/>
        </w:rPr>
        <w:t>multipliées</w:t>
      </w:r>
      <w:r w:rsidRPr="00957B6F">
        <w:rPr>
          <w:rFonts w:ascii="Times New Roman" w:hAnsi="Times New Roman"/>
          <w:sz w:val="24"/>
        </w:rPr>
        <w:t xml:space="preserve"> par trois entre 2005 et 2016) plutôt que d’alimenter des investissements productifs dans le capital humain et les infrastructures à fin d’obtenir une mise en œuvre plus étendue des droits humains. </w:t>
      </w:r>
      <w:r w:rsidRPr="00957B6F">
        <w:rPr>
          <w:rFonts w:ascii="Times New Roman" w:hAnsi="Times New Roman"/>
          <w:bCs/>
          <w:sz w:val="24"/>
        </w:rPr>
        <w:t>L’implication du Tchad dans la lutte contre l’insécurité dans le Sahel, y compris la lutte contre Boko Haram dans la province du Lac Tchad justifie en partie les fortes dépenses engagées sur</w:t>
      </w:r>
      <w:r w:rsidR="00146E05">
        <w:rPr>
          <w:rFonts w:ascii="Times New Roman" w:hAnsi="Times New Roman"/>
          <w:bCs/>
          <w:sz w:val="24"/>
        </w:rPr>
        <w:t xml:space="preserve"> le</w:t>
      </w:r>
      <w:r w:rsidRPr="00957B6F">
        <w:rPr>
          <w:rFonts w:ascii="Times New Roman" w:hAnsi="Times New Roman"/>
          <w:bCs/>
          <w:sz w:val="24"/>
        </w:rPr>
        <w:t xml:space="preserve"> plan sécuritaire.</w:t>
      </w:r>
      <w:r w:rsidR="00350F6C">
        <w:rPr>
          <w:rFonts w:ascii="Times New Roman" w:hAnsi="Times New Roman"/>
          <w:bCs/>
          <w:sz w:val="24"/>
        </w:rPr>
        <w:t xml:space="preserve"> Il est une nécessité de relier cela </w:t>
      </w:r>
      <w:r w:rsidR="00350F6C" w:rsidRPr="00957B6F">
        <w:rPr>
          <w:rFonts w:ascii="Times New Roman" w:hAnsi="Times New Roman"/>
          <w:sz w:val="24"/>
        </w:rPr>
        <w:t>à</w:t>
      </w:r>
      <w:r w:rsidR="00350F6C">
        <w:rPr>
          <w:rFonts w:ascii="Times New Roman" w:hAnsi="Times New Roman"/>
          <w:bCs/>
          <w:sz w:val="24"/>
        </w:rPr>
        <w:t xml:space="preserve"> la mise en</w:t>
      </w:r>
      <w:r w:rsidR="00350F6C" w:rsidRPr="00350F6C">
        <w:rPr>
          <w:rFonts w:ascii="Times New Roman" w:hAnsi="Times New Roman"/>
          <w:bCs/>
          <w:sz w:val="24"/>
        </w:rPr>
        <w:t xml:space="preserve"> œuvre des mécanismes de sécurité régionaux qui permettront de faire face aux menaces </w:t>
      </w:r>
      <w:proofErr w:type="gramStart"/>
      <w:r w:rsidR="00350F6C" w:rsidRPr="00350F6C">
        <w:rPr>
          <w:rFonts w:ascii="Times New Roman" w:hAnsi="Times New Roman"/>
          <w:bCs/>
          <w:sz w:val="24"/>
        </w:rPr>
        <w:t>transfrontières</w:t>
      </w:r>
      <w:r w:rsidR="00350F6C">
        <w:rPr>
          <w:rFonts w:ascii="Times New Roman" w:hAnsi="Times New Roman"/>
          <w:bCs/>
          <w:sz w:val="24"/>
        </w:rPr>
        <w:t xml:space="preserve">  en</w:t>
      </w:r>
      <w:proofErr w:type="gramEnd"/>
      <w:r w:rsidR="00350F6C">
        <w:rPr>
          <w:rFonts w:ascii="Times New Roman" w:hAnsi="Times New Roman"/>
          <w:bCs/>
          <w:sz w:val="24"/>
        </w:rPr>
        <w:t xml:space="preserve"> cohérence avec le pilier sécurité  de l’UNISS</w:t>
      </w:r>
      <w:r w:rsidR="00350F6C" w:rsidRPr="00350F6C">
        <w:rPr>
          <w:rFonts w:ascii="Times New Roman" w:hAnsi="Times New Roman"/>
          <w:bCs/>
          <w:sz w:val="24"/>
        </w:rPr>
        <w:t>.</w:t>
      </w:r>
    </w:p>
    <w:p w14:paraId="3D77E98D" w14:textId="2E1CC68A" w:rsidR="00957B6F" w:rsidRPr="00957B6F" w:rsidRDefault="00957B6F" w:rsidP="00957B6F">
      <w:pPr>
        <w:spacing w:after="0"/>
        <w:jc w:val="both"/>
        <w:rPr>
          <w:rFonts w:ascii="Times New Roman" w:hAnsi="Times New Roman"/>
          <w:bCs/>
          <w:sz w:val="24"/>
        </w:rPr>
      </w:pPr>
    </w:p>
    <w:p w14:paraId="3C47A2C2" w14:textId="77777777" w:rsidR="00957B6F" w:rsidRPr="00957B6F" w:rsidRDefault="00957B6F" w:rsidP="00957B6F">
      <w:pPr>
        <w:spacing w:after="0"/>
        <w:jc w:val="both"/>
        <w:rPr>
          <w:rFonts w:ascii="Times New Roman" w:hAnsi="Times New Roman"/>
          <w:bCs/>
          <w:sz w:val="24"/>
        </w:rPr>
      </w:pPr>
    </w:p>
    <w:p w14:paraId="233BD2D5" w14:textId="1B555878" w:rsidR="00957B6F" w:rsidRPr="00957B6F" w:rsidRDefault="00957B6F" w:rsidP="00957B6F">
      <w:pPr>
        <w:spacing w:after="0"/>
        <w:jc w:val="both"/>
        <w:rPr>
          <w:rFonts w:ascii="Times New Roman" w:hAnsi="Times New Roman" w:cs="Arial"/>
          <w:bCs/>
          <w:sz w:val="24"/>
        </w:rPr>
      </w:pPr>
      <w:r w:rsidRPr="00957B6F">
        <w:rPr>
          <w:rFonts w:ascii="Times New Roman" w:hAnsi="Times New Roman"/>
          <w:bCs/>
          <w:sz w:val="24"/>
        </w:rPr>
        <w:t xml:space="preserve">Depuis 2003, le pétrole a pris une place prépondérante dans l’économie </w:t>
      </w:r>
      <w:r w:rsidR="00855DC2">
        <w:rPr>
          <w:rFonts w:ascii="Times New Roman" w:hAnsi="Times New Roman"/>
          <w:bCs/>
          <w:sz w:val="24"/>
        </w:rPr>
        <w:t>t</w:t>
      </w:r>
      <w:r w:rsidRPr="00957B6F">
        <w:rPr>
          <w:rFonts w:ascii="Times New Roman" w:hAnsi="Times New Roman"/>
          <w:bCs/>
          <w:sz w:val="24"/>
        </w:rPr>
        <w:t xml:space="preserve">chadienne. Bien qu’ayant un niveau d’intégration limité avec les autres secteurs de l’économie, le secteur génère une part importante des ressources publiques pour le pays. Le pétrole a également joué un rôle important en contribuant à augmenter le revenu par tête. La pauvreté a également connu une diminution de 12 points de pourcentage entre 2003 et 2018, bien que le nombre de pauvres ait augmenté alors qu’on a assisté une plus forte croissance du revenu des pauvres que de celui des plus riches. Toutefois, la rente pétrolière ne s’est pas traduite en dividende de diversification et de transformation structurelle de sorte que la forte prépondérance du secteur pétrolier rend l’économie extrêmement vulnérable comme en témoigne la crise traversée par le pays en 2016-2017 consécutive au choc pétrolier, qui a entrainé une aggravation de la pauvreté et des privations. La transformation structurelle de l’économie Tchadienne fait encore face à d’importantes contraintes que la rente pétrolière n’a pas servi à lever notamment la </w:t>
      </w:r>
      <w:r w:rsidR="007D36FC">
        <w:rPr>
          <w:rFonts w:ascii="Times New Roman" w:hAnsi="Times New Roman"/>
          <w:bCs/>
          <w:sz w:val="24"/>
        </w:rPr>
        <w:t xml:space="preserve">simple contribution du secteur </w:t>
      </w:r>
      <w:r w:rsidR="00760C7F">
        <w:rPr>
          <w:rFonts w:ascii="Times New Roman" w:hAnsi="Times New Roman"/>
          <w:bCs/>
          <w:sz w:val="24"/>
        </w:rPr>
        <w:t>privé,</w:t>
      </w:r>
      <w:r w:rsidR="007D36FC">
        <w:rPr>
          <w:rFonts w:ascii="Times New Roman" w:hAnsi="Times New Roman"/>
          <w:bCs/>
          <w:sz w:val="24"/>
        </w:rPr>
        <w:t xml:space="preserve"> </w:t>
      </w:r>
      <w:r w:rsidR="00AD2266">
        <w:rPr>
          <w:rFonts w:ascii="Times New Roman" w:hAnsi="Times New Roman"/>
          <w:bCs/>
          <w:sz w:val="24"/>
        </w:rPr>
        <w:t xml:space="preserve">le bas niveau des recettes non </w:t>
      </w:r>
      <w:r w:rsidR="00760C7F">
        <w:rPr>
          <w:rFonts w:ascii="Times New Roman" w:hAnsi="Times New Roman"/>
          <w:bCs/>
          <w:sz w:val="24"/>
        </w:rPr>
        <w:t xml:space="preserve">pétrolières, </w:t>
      </w:r>
      <w:r w:rsidR="00760C7F" w:rsidRPr="00957B6F">
        <w:rPr>
          <w:rFonts w:ascii="Times New Roman" w:hAnsi="Times New Roman"/>
          <w:bCs/>
          <w:sz w:val="24"/>
        </w:rPr>
        <w:t>la</w:t>
      </w:r>
      <w:r w:rsidRPr="00957B6F">
        <w:rPr>
          <w:rFonts w:ascii="Times New Roman" w:hAnsi="Times New Roman"/>
          <w:bCs/>
          <w:sz w:val="24"/>
        </w:rPr>
        <w:t xml:space="preserve"> faible efficacité et efficience des dépenses publiques, la faiblesse du capital humain induite par un faible rendement de l’éducation et un système de santé inadéquat et faiblement performant, ainsi qu’une productivité agricole structurellement faible. La crise de COVID-19 a démontré l’extrême urgence de construire une économie diversifiée pour élargir l’espace budgétaire, renforcer la création de l’emploi, promouvoir une plus forte autonomisation des jeunes et des femmes et réduire durablement la pauvreté.</w:t>
      </w:r>
    </w:p>
    <w:p w14:paraId="4913ED80"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p>
    <w:p w14:paraId="1C8B2337"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r w:rsidRPr="00957B6F">
        <w:rPr>
          <w:rFonts w:ascii="Times New Roman" w:hAnsi="Times New Roman"/>
          <w:sz w:val="24"/>
        </w:rPr>
        <w:t xml:space="preserve">L’atteinte des ODD nécessite une croissance à la fois forte, durable et inclusive. Une équité dans la répartition de la croissance requiert des politiques actives de redistribution qui nécessiteront de lever les contraintes liées à une gestion insuffisamment inclusive des ressources publiques avec une forte </w:t>
      </w:r>
      <w:r w:rsidRPr="00957B6F">
        <w:rPr>
          <w:rFonts w:ascii="Times New Roman" w:hAnsi="Times New Roman"/>
          <w:sz w:val="24"/>
        </w:rPr>
        <w:lastRenderedPageBreak/>
        <w:t>concentration en milieux urbains et orientées vers les moins pauvres et un système fiscal sous-optimal et insuffisamment progressif caractérisé par un faible rendement fiscal. Pour faire participer les pauvres au processus de la croissance et leur faire bénéficier durablement, il sera aussi nécessaire de valoriser et rehausser les actifs dont ils disposent à travers un système éducatif plus performant et un accès amélioré au système de protection sociale. La qualité actuelle du système éducatif et le faible niveau d’acquisition de compétences constituent un handicap important au développement du capital humain pour assurer une croissance inclusive. L’inclusion de la croissance économique concerne également les femmes dont l’autonomisation est contrainte par des discriminations multiples notamment en ce qui concerne l’accès aux actifs économiques.</w:t>
      </w:r>
    </w:p>
    <w:p w14:paraId="20D2B50C"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p>
    <w:p w14:paraId="4E784C73"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r w:rsidRPr="00957B6F">
        <w:rPr>
          <w:rFonts w:ascii="Times New Roman" w:hAnsi="Times New Roman"/>
          <w:b/>
          <w:sz w:val="24"/>
        </w:rPr>
        <w:t>En outre, le déficit des capacités des ministères sectoriels et la forte mobilité institutionnelle des cadres constituent un défi pour la mise en œuvre et le suivi des objectifs de développement durable</w:t>
      </w:r>
      <w:r w:rsidRPr="00957B6F">
        <w:rPr>
          <w:rFonts w:ascii="Times New Roman" w:hAnsi="Times New Roman"/>
          <w:sz w:val="24"/>
        </w:rPr>
        <w:t xml:space="preserve">. En effet, au niveau des collectivités territoriales on constate : (i) un manque de maitrise des outils de planification/intégration des objectifs de développement durable qui s’ajoute à une faible information/sensibilisation des acteurs sur les objectifs de développement durable ; et (ii) une faible coordination avec le niveau central dans la collecte des données sectorielles contribuant à la carence de mise à jour des données sectorielles. </w:t>
      </w:r>
    </w:p>
    <w:p w14:paraId="7819AF5E"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p>
    <w:p w14:paraId="0C698FF4" w14:textId="342FC26B" w:rsidR="00957B6F" w:rsidRPr="00957B6F" w:rsidRDefault="00957B6F" w:rsidP="00957B6F">
      <w:pPr>
        <w:autoSpaceDE w:val="0"/>
        <w:autoSpaceDN w:val="0"/>
        <w:adjustRightInd w:val="0"/>
        <w:spacing w:after="0" w:line="240" w:lineRule="auto"/>
        <w:jc w:val="both"/>
        <w:rPr>
          <w:rFonts w:ascii="Times New Roman" w:hAnsi="Times New Roman"/>
          <w:sz w:val="24"/>
        </w:rPr>
      </w:pPr>
      <w:r w:rsidRPr="00957B6F">
        <w:rPr>
          <w:rFonts w:ascii="Times New Roman" w:hAnsi="Times New Roman"/>
          <w:sz w:val="24"/>
        </w:rPr>
        <w:t>La faible déconcentration administrative ainsi qu’une dévolution politique insuffisante du niveau central vers les territoires ne permettent pas à l’Etat Tchadien d’optimiser la délivrance de services publics satisfaisants pour toucher les plus pauvres. La redevabilité sociale favorable à la culture de résultats, la participation citoyenne et la reddition de comptes ainsi qu’un suivi citoyen décentralisé des communautés devraient être renforcés en tant que facteurs catalyseurs de la réalisation des ODD.</w:t>
      </w:r>
    </w:p>
    <w:p w14:paraId="48C43F35"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p>
    <w:p w14:paraId="2BB9BD9B" w14:textId="27426002" w:rsidR="00957B6F" w:rsidRPr="00957B6F" w:rsidRDefault="00957B6F" w:rsidP="00957B6F">
      <w:pPr>
        <w:autoSpaceDE w:val="0"/>
        <w:autoSpaceDN w:val="0"/>
        <w:adjustRightInd w:val="0"/>
        <w:spacing w:after="0" w:line="240" w:lineRule="auto"/>
        <w:jc w:val="both"/>
        <w:rPr>
          <w:rFonts w:ascii="Times New Roman" w:hAnsi="Times New Roman"/>
          <w:sz w:val="24"/>
        </w:rPr>
      </w:pPr>
      <w:r w:rsidRPr="00957B6F">
        <w:rPr>
          <w:rFonts w:ascii="Times New Roman" w:hAnsi="Times New Roman"/>
          <w:sz w:val="24"/>
        </w:rPr>
        <w:t xml:space="preserve">S’il faut que les politiques publiques soient véritablement au service de l’ensemble des Tchadiens par le biais d’une prospérité partagée, il est essentiel que la production de ces politiques et les pratiques politiques qui les soutiennent reposent sur des institutions qui reflètent l’inclusion et la participation. Bien que des améliorations aient été constatées ces dernières années, la représentativité des femmes, des jeunes et des adolescents dans les mécanismes institutionnels de production de politiques publiques demeure encore faible. Avec une population jeune (âge moyen de moins de 20 ans), la réalisation des ODD au Tchad ne peut occulter la nécessité d’une domestication qui tienne compte de la réalité sociale et sociétale qui découle de cette démographie à priori avantageuse pour le pays s’il arrive à s’en servir. </w:t>
      </w:r>
    </w:p>
    <w:p w14:paraId="0FABA5A0"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p>
    <w:p w14:paraId="46FD9516" w14:textId="5545E8F6" w:rsidR="00957B6F" w:rsidRPr="00957B6F" w:rsidRDefault="00957B6F" w:rsidP="00957B6F">
      <w:pPr>
        <w:autoSpaceDE w:val="0"/>
        <w:autoSpaceDN w:val="0"/>
        <w:adjustRightInd w:val="0"/>
        <w:spacing w:after="0" w:line="240" w:lineRule="auto"/>
        <w:jc w:val="both"/>
        <w:rPr>
          <w:rFonts w:ascii="Times New Roman" w:hAnsi="Times New Roman"/>
          <w:sz w:val="24"/>
        </w:rPr>
      </w:pPr>
      <w:r w:rsidRPr="00957B6F">
        <w:rPr>
          <w:rFonts w:ascii="Times New Roman" w:hAnsi="Times New Roman"/>
          <w:sz w:val="24"/>
        </w:rPr>
        <w:t xml:space="preserve">Le suivi adéquat des ODD requiert la production et la disponibilité de données. Bien que le Tchad ait produit deux rapports nationaux volontaires en 2019 et 2021, les systèmes d’information notamment statistiques et de génération de données probantes demeure encore faibles pour soutenir un débat constructif et éclairé et orienter des politiques publiques basées sur des évidences pour l’atteinte des ODD. L’indice de capacité statistique produit par la Banque Mondiale est évalué à 54.4 sur 100 en 2020 (contre 57 sur 100 pour l’Afrique Subsaharienne). La production et la diffusion de données statistiques ne reposent pas encore sur un système statistique national robuste et suffisamment financé, conformément à la charte africaine de la statistique. L’Institut National de la Statistique, en tant qu’autorité statistique, de même que les départements ministériels en charge des systèmes d’informations sectorielles notamment la santé et l’éducation, demeurent sous équipées humainement, </w:t>
      </w:r>
      <w:r w:rsidRPr="00957B6F">
        <w:rPr>
          <w:rFonts w:ascii="Times New Roman" w:hAnsi="Times New Roman"/>
          <w:sz w:val="24"/>
        </w:rPr>
        <w:lastRenderedPageBreak/>
        <w:t xml:space="preserve">techniquement et matériellement, pour assurer une compilation, analyse et diffusion de données administratives et de routine de qualité de façon régulière. </w:t>
      </w:r>
    </w:p>
    <w:p w14:paraId="094D3C0C" w14:textId="77777777" w:rsidR="00957B6F" w:rsidRPr="00957B6F" w:rsidRDefault="00957B6F" w:rsidP="00957B6F">
      <w:pPr>
        <w:autoSpaceDE w:val="0"/>
        <w:autoSpaceDN w:val="0"/>
        <w:adjustRightInd w:val="0"/>
        <w:spacing w:after="0" w:line="240" w:lineRule="auto"/>
        <w:jc w:val="both"/>
        <w:rPr>
          <w:rFonts w:ascii="Times New Roman" w:hAnsi="Times New Roman"/>
          <w:sz w:val="24"/>
        </w:rPr>
      </w:pPr>
    </w:p>
    <w:p w14:paraId="73053DAC" w14:textId="06343D86" w:rsidR="00957B6F" w:rsidRPr="00957B6F" w:rsidRDefault="00957B6F" w:rsidP="00957B6F">
      <w:pPr>
        <w:autoSpaceDE w:val="0"/>
        <w:autoSpaceDN w:val="0"/>
        <w:adjustRightInd w:val="0"/>
        <w:spacing w:after="0" w:line="240" w:lineRule="auto"/>
        <w:jc w:val="both"/>
        <w:rPr>
          <w:rFonts w:ascii="Times New Roman" w:hAnsi="Times New Roman" w:cs="Arial"/>
          <w:sz w:val="24"/>
        </w:rPr>
      </w:pPr>
      <w:r w:rsidRPr="00957B6F">
        <w:rPr>
          <w:rFonts w:ascii="Times New Roman" w:hAnsi="Times New Roman"/>
          <w:sz w:val="24"/>
        </w:rPr>
        <w:t xml:space="preserve">En dehors de données statistiques, peu d’évaluations de politiques publiques sont produites ou dirigées par les structures étatiques pour informer la trajectoire vers les ODD. La plupart des évaluations référencées dans le dernier rapport national volontaire sur les ODD sont produites ou gérées par des partenaires techniques et financiers. Par ailleurs, la publication de données existantes et leur accès public, comme les données financières, ne sont pas systématiques, au point où le Tchad a obtenu une note de 17/100 lors de l’enquête sur le budget ouvert réalisée en 2019. </w:t>
      </w:r>
    </w:p>
    <w:p w14:paraId="2B1BDADC" w14:textId="77777777" w:rsidR="00957B6F" w:rsidRPr="00957B6F" w:rsidRDefault="00957B6F" w:rsidP="00957B6F">
      <w:pPr>
        <w:spacing w:after="0" w:line="247" w:lineRule="auto"/>
        <w:ind w:right="288"/>
        <w:jc w:val="both"/>
        <w:rPr>
          <w:rFonts w:ascii="Times New Roman" w:hAnsi="Times New Roman"/>
          <w:sz w:val="24"/>
        </w:rPr>
      </w:pPr>
    </w:p>
    <w:p w14:paraId="66A7E8A3" w14:textId="77777777" w:rsidR="00957B6F" w:rsidRPr="00957B6F" w:rsidRDefault="00957B6F" w:rsidP="00957B6F">
      <w:pPr>
        <w:shd w:val="clear" w:color="auto" w:fill="FDFDFD"/>
        <w:spacing w:after="0" w:line="240" w:lineRule="auto"/>
        <w:jc w:val="both"/>
        <w:rPr>
          <w:rFonts w:ascii="Times New Roman" w:hAnsi="Times New Roman"/>
          <w:sz w:val="24"/>
          <w:szCs w:val="24"/>
        </w:rPr>
      </w:pPr>
      <w:r w:rsidRPr="00957B6F">
        <w:rPr>
          <w:rFonts w:ascii="Times New Roman" w:hAnsi="Times New Roman"/>
          <w:sz w:val="24"/>
          <w:szCs w:val="24"/>
        </w:rPr>
        <w:t xml:space="preserve">Le pays a ratifié la plupart des conventions internationales en matière des droits de l’homme dont plusieurs de leurs instruments juridiques ont été transposés dans la législation nationale. Cependant, on constate beaucoup d’insuffisances dans leur mise en œuvre et dans le respect de ces textes par les détenteurs d’obligations. Aussi, même si le Tchad devrait soumettre régulièrement des rapports périodiques aux organes de traités chargés d’examiner le niveau de mise en œuvre des conventions ratifiées par le pays, plusieurs rapports sont dus par le Tchad. Ce retard dans la transmission des rapports périodiques est dû à l’absence d’une bonne planification et la non-collecte des données au moment opportun. </w:t>
      </w:r>
    </w:p>
    <w:p w14:paraId="52949054" w14:textId="77777777" w:rsidR="00957B6F" w:rsidRPr="00957B6F" w:rsidRDefault="00957B6F" w:rsidP="00957B6F">
      <w:pPr>
        <w:shd w:val="clear" w:color="auto" w:fill="FDFDFD"/>
        <w:spacing w:after="0" w:line="240" w:lineRule="auto"/>
        <w:jc w:val="both"/>
        <w:rPr>
          <w:rFonts w:ascii="Times New Roman" w:hAnsi="Times New Roman"/>
          <w:sz w:val="24"/>
        </w:rPr>
      </w:pPr>
    </w:p>
    <w:p w14:paraId="2871BB90" w14:textId="6440B310" w:rsidR="00957B6F" w:rsidRDefault="00957B6F" w:rsidP="00957B6F">
      <w:pPr>
        <w:shd w:val="clear" w:color="auto" w:fill="FDFDFD"/>
        <w:spacing w:after="0" w:line="240" w:lineRule="auto"/>
        <w:jc w:val="both"/>
        <w:rPr>
          <w:rFonts w:ascii="Times New Roman" w:hAnsi="Times New Roman"/>
          <w:sz w:val="24"/>
        </w:rPr>
      </w:pPr>
      <w:r w:rsidRPr="00957B6F">
        <w:rPr>
          <w:rFonts w:ascii="Times New Roman" w:hAnsi="Times New Roman"/>
          <w:sz w:val="24"/>
        </w:rPr>
        <w:t xml:space="preserve">Le tableau ci-dessous fournit une analyse détaillée des défis et des opportunités des objectifs de développement durable. </w:t>
      </w:r>
    </w:p>
    <w:p w14:paraId="21224C0C" w14:textId="77777777" w:rsidR="00AE1E26" w:rsidRPr="00957B6F" w:rsidRDefault="00AE1E26" w:rsidP="00957B6F">
      <w:pPr>
        <w:shd w:val="clear" w:color="auto" w:fill="FDFDFD"/>
        <w:spacing w:after="0" w:line="240" w:lineRule="auto"/>
        <w:jc w:val="both"/>
        <w:rPr>
          <w:rFonts w:ascii="Times New Roman" w:hAnsi="Times New Roman"/>
          <w:sz w:val="24"/>
        </w:rPr>
      </w:pPr>
    </w:p>
    <w:p w14:paraId="2E353D02" w14:textId="77777777" w:rsidR="00957B6F" w:rsidRPr="00957B6F" w:rsidRDefault="00957B6F" w:rsidP="00957B6F">
      <w:pPr>
        <w:keepNext/>
        <w:spacing w:after="0" w:line="240" w:lineRule="auto"/>
        <w:rPr>
          <w:i/>
          <w:iCs/>
          <w:sz w:val="24"/>
          <w:szCs w:val="18"/>
        </w:rPr>
      </w:pPr>
      <w:r w:rsidRPr="00957B6F">
        <w:rPr>
          <w:i/>
          <w:iCs/>
          <w:sz w:val="24"/>
          <w:szCs w:val="18"/>
        </w:rPr>
        <w:t xml:space="preserve">Tableau </w:t>
      </w:r>
      <w:r w:rsidRPr="00957B6F">
        <w:rPr>
          <w:i/>
          <w:iCs/>
          <w:sz w:val="24"/>
          <w:szCs w:val="18"/>
        </w:rPr>
        <w:fldChar w:fldCharType="begin"/>
      </w:r>
      <w:r w:rsidRPr="00957B6F">
        <w:rPr>
          <w:i/>
          <w:iCs/>
          <w:sz w:val="24"/>
          <w:szCs w:val="18"/>
        </w:rPr>
        <w:instrText xml:space="preserve"> SEQ Tableau \* ARABIC </w:instrText>
      </w:r>
      <w:r w:rsidRPr="00957B6F">
        <w:rPr>
          <w:i/>
          <w:iCs/>
          <w:sz w:val="24"/>
          <w:szCs w:val="18"/>
        </w:rPr>
        <w:fldChar w:fldCharType="separate"/>
      </w:r>
      <w:r w:rsidRPr="00957B6F">
        <w:rPr>
          <w:i/>
          <w:iCs/>
          <w:noProof/>
          <w:sz w:val="24"/>
          <w:szCs w:val="18"/>
        </w:rPr>
        <w:t>7</w:t>
      </w:r>
      <w:r w:rsidRPr="00957B6F">
        <w:rPr>
          <w:i/>
          <w:iCs/>
          <w:sz w:val="24"/>
          <w:szCs w:val="18"/>
        </w:rPr>
        <w:fldChar w:fldCharType="end"/>
      </w:r>
      <w:r w:rsidRPr="00957B6F">
        <w:rPr>
          <w:i/>
          <w:iCs/>
          <w:sz w:val="24"/>
          <w:szCs w:val="18"/>
        </w:rPr>
        <w:t> : Défis et opportunités</w:t>
      </w:r>
    </w:p>
    <w:tbl>
      <w:tblPr>
        <w:tblW w:w="1031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4984"/>
        <w:gridCol w:w="3803"/>
      </w:tblGrid>
      <w:tr w:rsidR="00A8375B" w:rsidRPr="00AE612A" w14:paraId="17372351" w14:textId="77777777" w:rsidTr="00A8375B">
        <w:trPr>
          <w:tblHeader/>
        </w:trPr>
        <w:tc>
          <w:tcPr>
            <w:tcW w:w="1527" w:type="dxa"/>
            <w:tcBorders>
              <w:top w:val="single" w:sz="4" w:space="0" w:color="auto"/>
              <w:left w:val="single" w:sz="4" w:space="0" w:color="auto"/>
              <w:bottom w:val="single" w:sz="4" w:space="0" w:color="auto"/>
              <w:right w:val="single" w:sz="4" w:space="0" w:color="auto"/>
            </w:tcBorders>
            <w:shd w:val="clear" w:color="auto" w:fill="DEEAF6" w:themeFill="accent5" w:themeFillTint="33"/>
            <w:hideMark/>
          </w:tcPr>
          <w:p w14:paraId="4B724A52" w14:textId="77777777" w:rsidR="00957B6F" w:rsidRPr="00AE612A" w:rsidRDefault="00957B6F" w:rsidP="00957B6F">
            <w:pPr>
              <w:spacing w:after="0" w:line="240" w:lineRule="auto"/>
              <w:contextualSpacing/>
              <w:jc w:val="center"/>
              <w:rPr>
                <w:rFonts w:ascii="Times New Roman" w:hAnsi="Times New Roman"/>
                <w:b/>
                <w:sz w:val="20"/>
                <w:szCs w:val="20"/>
              </w:rPr>
            </w:pPr>
            <w:r w:rsidRPr="00AE612A">
              <w:rPr>
                <w:rFonts w:ascii="Times New Roman" w:hAnsi="Times New Roman"/>
                <w:b/>
                <w:sz w:val="20"/>
                <w:szCs w:val="20"/>
              </w:rPr>
              <w:t>ODD</w:t>
            </w:r>
          </w:p>
        </w:tc>
        <w:tc>
          <w:tcPr>
            <w:tcW w:w="4984" w:type="dxa"/>
            <w:tcBorders>
              <w:top w:val="single" w:sz="4" w:space="0" w:color="auto"/>
              <w:left w:val="single" w:sz="4" w:space="0" w:color="auto"/>
              <w:bottom w:val="single" w:sz="4" w:space="0" w:color="auto"/>
              <w:right w:val="single" w:sz="4" w:space="0" w:color="auto"/>
            </w:tcBorders>
            <w:shd w:val="clear" w:color="auto" w:fill="DEEAF6" w:themeFill="accent5" w:themeFillTint="33"/>
            <w:hideMark/>
          </w:tcPr>
          <w:p w14:paraId="7A9A0866" w14:textId="77777777" w:rsidR="00957B6F" w:rsidRPr="00AE612A" w:rsidRDefault="00957B6F" w:rsidP="00957B6F">
            <w:pPr>
              <w:spacing w:after="0" w:line="240" w:lineRule="auto"/>
              <w:contextualSpacing/>
              <w:jc w:val="center"/>
              <w:rPr>
                <w:rFonts w:ascii="Times New Roman" w:hAnsi="Times New Roman"/>
                <w:b/>
                <w:sz w:val="20"/>
                <w:szCs w:val="20"/>
              </w:rPr>
            </w:pPr>
            <w:r w:rsidRPr="00AE612A">
              <w:rPr>
                <w:rFonts w:ascii="Times New Roman" w:hAnsi="Times New Roman"/>
                <w:b/>
                <w:sz w:val="20"/>
                <w:szCs w:val="20"/>
              </w:rPr>
              <w:t>Défis</w:t>
            </w:r>
          </w:p>
        </w:tc>
        <w:tc>
          <w:tcPr>
            <w:tcW w:w="3803" w:type="dxa"/>
            <w:tcBorders>
              <w:top w:val="single" w:sz="4" w:space="0" w:color="auto"/>
              <w:left w:val="single" w:sz="4" w:space="0" w:color="auto"/>
              <w:bottom w:val="single" w:sz="4" w:space="0" w:color="auto"/>
              <w:right w:val="single" w:sz="4" w:space="0" w:color="auto"/>
            </w:tcBorders>
            <w:shd w:val="clear" w:color="auto" w:fill="DEEAF6" w:themeFill="accent5" w:themeFillTint="33"/>
            <w:hideMark/>
          </w:tcPr>
          <w:p w14:paraId="02411E61" w14:textId="77777777" w:rsidR="00957B6F" w:rsidRPr="00AE612A" w:rsidRDefault="00957B6F" w:rsidP="00957B6F">
            <w:pPr>
              <w:spacing w:after="0" w:line="240" w:lineRule="auto"/>
              <w:contextualSpacing/>
              <w:jc w:val="center"/>
              <w:rPr>
                <w:rFonts w:ascii="Times New Roman" w:hAnsi="Times New Roman"/>
                <w:b/>
                <w:sz w:val="20"/>
                <w:szCs w:val="20"/>
              </w:rPr>
            </w:pPr>
            <w:r w:rsidRPr="00AE612A">
              <w:rPr>
                <w:rFonts w:ascii="Times New Roman" w:hAnsi="Times New Roman"/>
                <w:b/>
                <w:sz w:val="20"/>
                <w:szCs w:val="20"/>
              </w:rPr>
              <w:t>Opportunités</w:t>
            </w:r>
          </w:p>
        </w:tc>
      </w:tr>
      <w:tr w:rsidR="00AF2AE4" w:rsidRPr="00AE612A" w14:paraId="4AD229FA" w14:textId="77777777" w:rsidTr="00A8375B">
        <w:trPr>
          <w:trHeight w:val="603"/>
        </w:trPr>
        <w:tc>
          <w:tcPr>
            <w:tcW w:w="1527" w:type="dxa"/>
            <w:tcBorders>
              <w:top w:val="single" w:sz="4" w:space="0" w:color="auto"/>
              <w:left w:val="single" w:sz="4" w:space="0" w:color="auto"/>
              <w:bottom w:val="single" w:sz="4" w:space="0" w:color="auto"/>
              <w:right w:val="single" w:sz="4" w:space="0" w:color="auto"/>
            </w:tcBorders>
            <w:hideMark/>
          </w:tcPr>
          <w:p w14:paraId="3952971F"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 xml:space="preserve">ODD 1 : Pas de pauvreté </w:t>
            </w:r>
          </w:p>
        </w:tc>
        <w:tc>
          <w:tcPr>
            <w:tcW w:w="4984" w:type="dxa"/>
            <w:tcBorders>
              <w:top w:val="single" w:sz="4" w:space="0" w:color="auto"/>
              <w:left w:val="single" w:sz="4" w:space="0" w:color="auto"/>
              <w:bottom w:val="single" w:sz="4" w:space="0" w:color="auto"/>
              <w:right w:val="single" w:sz="4" w:space="0" w:color="auto"/>
            </w:tcBorders>
            <w:hideMark/>
          </w:tcPr>
          <w:p w14:paraId="7AE5B4D2" w14:textId="05B80822" w:rsidR="003F025F" w:rsidRPr="00AE612A" w:rsidRDefault="005F0189" w:rsidP="00BC1AE3">
            <w:pPr>
              <w:numPr>
                <w:ilvl w:val="0"/>
                <w:numId w:val="20"/>
              </w:numPr>
              <w:autoSpaceDE w:val="0"/>
              <w:autoSpaceDN w:val="0"/>
              <w:adjustRightInd w:val="0"/>
              <w:spacing w:line="240" w:lineRule="auto"/>
              <w:contextualSpacing/>
              <w:rPr>
                <w:rFonts w:ascii="Times New Roman" w:hAnsi="Times New Roman"/>
                <w:bCs/>
                <w:sz w:val="20"/>
                <w:szCs w:val="20"/>
              </w:rPr>
            </w:pPr>
            <w:r w:rsidRPr="00AE612A">
              <w:rPr>
                <w:rFonts w:ascii="Times New Roman" w:hAnsi="Times New Roman"/>
                <w:bCs/>
                <w:sz w:val="20"/>
                <w:szCs w:val="20"/>
              </w:rPr>
              <w:t xml:space="preserve">La </w:t>
            </w:r>
            <w:r w:rsidR="00402EBC" w:rsidRPr="00AE612A">
              <w:rPr>
                <w:rFonts w:ascii="Times New Roman" w:hAnsi="Times New Roman"/>
                <w:bCs/>
                <w:sz w:val="20"/>
                <w:szCs w:val="20"/>
              </w:rPr>
              <w:t>pauvreté</w:t>
            </w:r>
            <w:r w:rsidR="00F061A3" w:rsidRPr="00AE612A">
              <w:rPr>
                <w:rFonts w:ascii="Times New Roman" w:hAnsi="Times New Roman"/>
                <w:bCs/>
                <w:sz w:val="20"/>
                <w:szCs w:val="20"/>
              </w:rPr>
              <w:t xml:space="preserve"> </w:t>
            </w:r>
            <w:proofErr w:type="gramStart"/>
            <w:r w:rsidRPr="00AE612A">
              <w:rPr>
                <w:rFonts w:ascii="Times New Roman" w:hAnsi="Times New Roman"/>
                <w:bCs/>
                <w:sz w:val="20"/>
                <w:szCs w:val="20"/>
              </w:rPr>
              <w:t xml:space="preserve">touchent </w:t>
            </w:r>
            <w:r w:rsidR="00F061A3" w:rsidRPr="00AE612A">
              <w:rPr>
                <w:rFonts w:ascii="Times New Roman" w:hAnsi="Times New Roman"/>
                <w:bCs/>
                <w:sz w:val="20"/>
                <w:szCs w:val="20"/>
              </w:rPr>
              <w:t xml:space="preserve"> </w:t>
            </w:r>
            <w:r w:rsidR="003F025F" w:rsidRPr="00AE612A">
              <w:rPr>
                <w:rFonts w:ascii="Times New Roman" w:hAnsi="Times New Roman"/>
                <w:bCs/>
                <w:sz w:val="20"/>
                <w:szCs w:val="20"/>
              </w:rPr>
              <w:t>42</w:t>
            </w:r>
            <w:proofErr w:type="gramEnd"/>
            <w:r w:rsidR="003F025F" w:rsidRPr="00AE612A">
              <w:rPr>
                <w:rFonts w:ascii="Times New Roman" w:hAnsi="Times New Roman"/>
                <w:bCs/>
                <w:sz w:val="20"/>
                <w:szCs w:val="20"/>
              </w:rPr>
              <w:t xml:space="preserve">,3 % sur l’ensemble de la population, dont 49,7 % dans les zones rurales </w:t>
            </w:r>
            <w:r w:rsidRPr="00AE612A">
              <w:rPr>
                <w:rFonts w:ascii="Times New Roman" w:hAnsi="Times New Roman"/>
                <w:bCs/>
                <w:sz w:val="20"/>
                <w:szCs w:val="20"/>
              </w:rPr>
              <w:t xml:space="preserve"> avec des fortes disparités provinciales </w:t>
            </w:r>
            <w:r w:rsidR="003F025F" w:rsidRPr="00AE612A">
              <w:rPr>
                <w:rFonts w:ascii="Times New Roman" w:hAnsi="Times New Roman"/>
                <w:bCs/>
                <w:sz w:val="20"/>
                <w:szCs w:val="20"/>
              </w:rPr>
              <w:t> ;</w:t>
            </w:r>
          </w:p>
          <w:p w14:paraId="307C4FB0" w14:textId="795988E5" w:rsidR="00957B6F" w:rsidRPr="00AE612A" w:rsidRDefault="00957B6F" w:rsidP="00BC1AE3">
            <w:pPr>
              <w:numPr>
                <w:ilvl w:val="0"/>
                <w:numId w:val="20"/>
              </w:numPr>
              <w:autoSpaceDE w:val="0"/>
              <w:autoSpaceDN w:val="0"/>
              <w:adjustRightInd w:val="0"/>
              <w:spacing w:line="240" w:lineRule="auto"/>
              <w:contextualSpacing/>
              <w:rPr>
                <w:rFonts w:ascii="Times New Roman" w:hAnsi="Times New Roman"/>
                <w:bCs/>
                <w:sz w:val="20"/>
                <w:szCs w:val="20"/>
              </w:rPr>
            </w:pPr>
            <w:r w:rsidRPr="00AE612A">
              <w:rPr>
                <w:rFonts w:ascii="Times New Roman" w:hAnsi="Times New Roman"/>
                <w:bCs/>
                <w:sz w:val="20"/>
                <w:szCs w:val="20"/>
              </w:rPr>
              <w:t xml:space="preserve">Le faible niveau d'autonomisation des femmes </w:t>
            </w:r>
          </w:p>
          <w:p w14:paraId="1126FE7D" w14:textId="77777777" w:rsidR="00957B6F" w:rsidRPr="00AE612A" w:rsidRDefault="00957B6F" w:rsidP="00BC1AE3">
            <w:pPr>
              <w:numPr>
                <w:ilvl w:val="0"/>
                <w:numId w:val="20"/>
              </w:numPr>
              <w:autoSpaceDE w:val="0"/>
              <w:autoSpaceDN w:val="0"/>
              <w:adjustRightInd w:val="0"/>
              <w:spacing w:line="240" w:lineRule="auto"/>
              <w:contextualSpacing/>
              <w:rPr>
                <w:rFonts w:ascii="Times New Roman" w:hAnsi="Times New Roman"/>
                <w:bCs/>
                <w:sz w:val="20"/>
                <w:szCs w:val="20"/>
              </w:rPr>
            </w:pPr>
            <w:r w:rsidRPr="00AE612A">
              <w:rPr>
                <w:rFonts w:ascii="Times New Roman" w:hAnsi="Times New Roman"/>
                <w:bCs/>
                <w:sz w:val="20"/>
                <w:szCs w:val="20"/>
              </w:rPr>
              <w:t>Insuffisances dans le ciblage des pauvres et vulnérables</w:t>
            </w:r>
          </w:p>
          <w:p w14:paraId="32F2BFAF" w14:textId="3D2E34D8" w:rsidR="00E67E77" w:rsidRPr="00AE612A" w:rsidRDefault="00957B6F" w:rsidP="00BC1AE3">
            <w:pPr>
              <w:numPr>
                <w:ilvl w:val="0"/>
                <w:numId w:val="20"/>
              </w:numPr>
              <w:autoSpaceDE w:val="0"/>
              <w:autoSpaceDN w:val="0"/>
              <w:adjustRightInd w:val="0"/>
              <w:spacing w:line="240" w:lineRule="auto"/>
              <w:contextualSpacing/>
              <w:rPr>
                <w:rFonts w:ascii="Times New Roman" w:hAnsi="Times New Roman"/>
                <w:bCs/>
                <w:sz w:val="20"/>
                <w:szCs w:val="20"/>
              </w:rPr>
            </w:pPr>
            <w:r w:rsidRPr="00AE612A">
              <w:rPr>
                <w:rFonts w:ascii="Times New Roman" w:hAnsi="Times New Roman"/>
                <w:bCs/>
                <w:sz w:val="20"/>
                <w:szCs w:val="20"/>
              </w:rPr>
              <w:t>Faible niveau de résilience des communautés vulnérables</w:t>
            </w:r>
            <w:r w:rsidR="00A52E6A" w:rsidRPr="00AE612A">
              <w:rPr>
                <w:rFonts w:ascii="Times New Roman" w:hAnsi="Times New Roman"/>
                <w:bCs/>
                <w:sz w:val="20"/>
                <w:szCs w:val="20"/>
              </w:rPr>
              <w:t xml:space="preserve"> y compris </w:t>
            </w:r>
            <w:r w:rsidR="008F07B9" w:rsidRPr="00AE612A">
              <w:rPr>
                <w:rFonts w:ascii="Times New Roman" w:hAnsi="Times New Roman"/>
                <w:bCs/>
                <w:sz w:val="20"/>
                <w:szCs w:val="20"/>
              </w:rPr>
              <w:t>celui des réfugiés</w:t>
            </w:r>
            <w:r w:rsidR="00917C6B" w:rsidRPr="00AE612A">
              <w:rPr>
                <w:rFonts w:ascii="Times New Roman" w:hAnsi="Times New Roman"/>
                <w:bCs/>
                <w:sz w:val="20"/>
                <w:szCs w:val="20"/>
              </w:rPr>
              <w:t> ;</w:t>
            </w:r>
          </w:p>
          <w:p w14:paraId="30AE0CF3" w14:textId="67B0033F" w:rsidR="00917C6B" w:rsidRPr="00AE612A" w:rsidRDefault="008A63D7" w:rsidP="00BC1AE3">
            <w:pPr>
              <w:numPr>
                <w:ilvl w:val="0"/>
                <w:numId w:val="20"/>
              </w:numPr>
              <w:autoSpaceDE w:val="0"/>
              <w:autoSpaceDN w:val="0"/>
              <w:adjustRightInd w:val="0"/>
              <w:spacing w:line="240" w:lineRule="auto"/>
              <w:contextualSpacing/>
              <w:rPr>
                <w:rFonts w:ascii="Times New Roman" w:hAnsi="Times New Roman"/>
                <w:bCs/>
                <w:sz w:val="20"/>
                <w:szCs w:val="20"/>
              </w:rPr>
            </w:pPr>
            <w:r w:rsidRPr="00AE612A">
              <w:rPr>
                <w:rFonts w:ascii="Times New Roman" w:hAnsi="Times New Roman"/>
                <w:bCs/>
                <w:sz w:val="20"/>
                <w:szCs w:val="20"/>
              </w:rPr>
              <w:t xml:space="preserve">Faiblesse </w:t>
            </w:r>
            <w:r w:rsidR="009523CC" w:rsidRPr="00AE612A">
              <w:rPr>
                <w:rFonts w:ascii="Times New Roman" w:hAnsi="Times New Roman"/>
                <w:bCs/>
                <w:sz w:val="20"/>
                <w:szCs w:val="20"/>
              </w:rPr>
              <w:t xml:space="preserve">du système </w:t>
            </w:r>
            <w:proofErr w:type="gramStart"/>
            <w:r w:rsidRPr="00AE612A">
              <w:rPr>
                <w:rFonts w:ascii="Times New Roman" w:hAnsi="Times New Roman"/>
                <w:bCs/>
                <w:sz w:val="20"/>
                <w:szCs w:val="20"/>
              </w:rPr>
              <w:t>de  protection</w:t>
            </w:r>
            <w:proofErr w:type="gramEnd"/>
            <w:r w:rsidRPr="00AE612A">
              <w:rPr>
                <w:rFonts w:ascii="Times New Roman" w:hAnsi="Times New Roman"/>
                <w:bCs/>
                <w:sz w:val="20"/>
                <w:szCs w:val="20"/>
              </w:rPr>
              <w:t xml:space="preserve"> sociale</w:t>
            </w:r>
          </w:p>
          <w:p w14:paraId="13EE2FA4" w14:textId="77777777" w:rsidR="00957B6F" w:rsidRPr="00AE612A" w:rsidRDefault="00E67E77" w:rsidP="00BC1AE3">
            <w:pPr>
              <w:numPr>
                <w:ilvl w:val="0"/>
                <w:numId w:val="20"/>
              </w:numPr>
              <w:autoSpaceDE w:val="0"/>
              <w:autoSpaceDN w:val="0"/>
              <w:adjustRightInd w:val="0"/>
              <w:spacing w:line="240" w:lineRule="auto"/>
              <w:contextualSpacing/>
              <w:rPr>
                <w:rFonts w:ascii="Times New Roman" w:hAnsi="Times New Roman"/>
                <w:bCs/>
                <w:sz w:val="20"/>
                <w:szCs w:val="20"/>
              </w:rPr>
            </w:pPr>
            <w:r w:rsidRPr="00AE612A">
              <w:rPr>
                <w:rFonts w:ascii="Times New Roman" w:hAnsi="Times New Roman"/>
                <w:bCs/>
                <w:sz w:val="20"/>
                <w:szCs w:val="20"/>
              </w:rPr>
              <w:t>L’avènement d’</w:t>
            </w:r>
            <w:r w:rsidR="008F07B9" w:rsidRPr="00AE612A">
              <w:rPr>
                <w:rFonts w:ascii="Times New Roman" w:hAnsi="Times New Roman"/>
                <w:bCs/>
                <w:sz w:val="20"/>
                <w:szCs w:val="20"/>
              </w:rPr>
              <w:t>événements extrêmes liés au climat et d’autres chocs et catastrophes économiques, sociaux et environnementaux</w:t>
            </w:r>
            <w:r w:rsidRPr="00AE612A">
              <w:rPr>
                <w:rFonts w:ascii="Times New Roman" w:hAnsi="Times New Roman"/>
                <w:bCs/>
                <w:sz w:val="20"/>
                <w:szCs w:val="20"/>
              </w:rPr>
              <w:t> ;</w:t>
            </w:r>
          </w:p>
          <w:p w14:paraId="1FFDC1ED" w14:textId="7D8732CC" w:rsidR="00F83FF6" w:rsidRPr="00AE612A" w:rsidRDefault="0B7B3FC8" w:rsidP="00BC1AE3">
            <w:pPr>
              <w:numPr>
                <w:ilvl w:val="0"/>
                <w:numId w:val="20"/>
              </w:numPr>
              <w:autoSpaceDE w:val="0"/>
              <w:autoSpaceDN w:val="0"/>
              <w:adjustRightInd w:val="0"/>
              <w:spacing w:line="240" w:lineRule="auto"/>
              <w:contextualSpacing/>
              <w:rPr>
                <w:rFonts w:ascii="Times New Roman" w:eastAsia="Times New Roman" w:hAnsi="Times New Roman"/>
                <w:sz w:val="20"/>
                <w:szCs w:val="20"/>
              </w:rPr>
            </w:pPr>
            <w:r w:rsidRPr="00AE612A">
              <w:rPr>
                <w:rFonts w:ascii="Times New Roman" w:hAnsi="Times New Roman"/>
                <w:sz w:val="20"/>
                <w:szCs w:val="20"/>
              </w:rPr>
              <w:t xml:space="preserve">La réinsertion socio-économique des réfugiés </w:t>
            </w:r>
            <w:r w:rsidR="32699008" w:rsidRPr="00AE612A">
              <w:rPr>
                <w:rFonts w:ascii="Segoe UI" w:eastAsia="Segoe UI" w:hAnsi="Segoe UI" w:cs="Segoe UI"/>
                <w:color w:val="333333"/>
                <w:sz w:val="20"/>
                <w:szCs w:val="20"/>
              </w:rPr>
              <w:t>des personnes déplacées internes</w:t>
            </w:r>
            <w:r w:rsidR="32699008" w:rsidRPr="00AE612A">
              <w:rPr>
                <w:rFonts w:ascii="Times New Roman" w:hAnsi="Times New Roman"/>
                <w:sz w:val="20"/>
                <w:szCs w:val="20"/>
              </w:rPr>
              <w:t xml:space="preserve"> </w:t>
            </w:r>
            <w:r w:rsidRPr="00AE612A">
              <w:rPr>
                <w:rFonts w:ascii="Times New Roman" w:hAnsi="Times New Roman"/>
                <w:sz w:val="20"/>
                <w:szCs w:val="20"/>
              </w:rPr>
              <w:t>et demandeurs d’asile.</w:t>
            </w:r>
          </w:p>
        </w:tc>
        <w:tc>
          <w:tcPr>
            <w:tcW w:w="3803" w:type="dxa"/>
            <w:tcBorders>
              <w:top w:val="single" w:sz="4" w:space="0" w:color="auto"/>
              <w:left w:val="single" w:sz="4" w:space="0" w:color="auto"/>
              <w:bottom w:val="single" w:sz="4" w:space="0" w:color="auto"/>
              <w:right w:val="single" w:sz="4" w:space="0" w:color="auto"/>
            </w:tcBorders>
            <w:hideMark/>
          </w:tcPr>
          <w:p w14:paraId="650563A2" w14:textId="4D9A1242"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Mise à l’échelle de l’approche cash+ dans le cadre de la protection sociale pour la sécurité alimentaire et nutritionnelle.</w:t>
            </w:r>
          </w:p>
          <w:p w14:paraId="2ABB4006" w14:textId="41EA1763" w:rsidR="00547B63" w:rsidRPr="00AE612A" w:rsidRDefault="00061369"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Mise en œuvre du Nexus Humanitaire, Développement et Paix </w:t>
            </w:r>
            <w:r w:rsidR="00C12C24" w:rsidRPr="00AE612A">
              <w:rPr>
                <w:rFonts w:ascii="Times New Roman" w:hAnsi="Times New Roman"/>
                <w:bCs/>
                <w:sz w:val="20"/>
                <w:szCs w:val="20"/>
              </w:rPr>
              <w:t>au Tchad ;</w:t>
            </w:r>
          </w:p>
          <w:p w14:paraId="4C9019F0" w14:textId="21EF5B2F" w:rsidR="00B563DC" w:rsidRPr="00AE612A" w:rsidRDefault="00B563DC"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Loi relative à l’asile</w:t>
            </w:r>
            <w:r w:rsidR="00596AA6" w:rsidRPr="00AE612A">
              <w:rPr>
                <w:rFonts w:ascii="Times New Roman" w:hAnsi="Times New Roman"/>
                <w:bCs/>
                <w:sz w:val="20"/>
                <w:szCs w:val="20"/>
              </w:rPr>
              <w:t> ;</w:t>
            </w:r>
            <w:r w:rsidR="005E69E5" w:rsidRPr="00AE612A">
              <w:rPr>
                <w:rFonts w:ascii="Times New Roman" w:hAnsi="Times New Roman"/>
                <w:bCs/>
                <w:sz w:val="20"/>
                <w:szCs w:val="20"/>
              </w:rPr>
              <w:t xml:space="preserve"> </w:t>
            </w:r>
          </w:p>
          <w:p w14:paraId="1ACC2315" w14:textId="77777777"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Mise en place d’un registre social unifié pour améliorer le ciblage des familles pauvres</w:t>
            </w:r>
          </w:p>
          <w:p w14:paraId="246A9F51" w14:textId="77777777"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 xml:space="preserve">Mise en place des programmes et projets de résilience </w:t>
            </w:r>
          </w:p>
          <w:p w14:paraId="296EB33B" w14:textId="77777777"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 xml:space="preserve">Présence de cluster sécurité alimentaire et nutritionnel pour optimiser collectivement les interventions </w:t>
            </w:r>
          </w:p>
          <w:p w14:paraId="16DE98E1" w14:textId="77777777"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 xml:space="preserve">Réalisations des évaluations en matière de sécurité alimentaires et nutritionnels (cadre harmonisé, </w:t>
            </w:r>
            <w:proofErr w:type="spellStart"/>
            <w:r w:rsidRPr="00AE612A">
              <w:rPr>
                <w:rFonts w:ascii="Times New Roman" w:hAnsi="Times New Roman"/>
                <w:bCs/>
                <w:sz w:val="20"/>
                <w:szCs w:val="20"/>
              </w:rPr>
              <w:t>Humanitarian</w:t>
            </w:r>
            <w:proofErr w:type="spellEnd"/>
            <w:r w:rsidRPr="00AE612A">
              <w:rPr>
                <w:rFonts w:ascii="Times New Roman" w:hAnsi="Times New Roman"/>
                <w:bCs/>
                <w:sz w:val="20"/>
                <w:szCs w:val="20"/>
              </w:rPr>
              <w:t xml:space="preserve"> Need </w:t>
            </w:r>
            <w:proofErr w:type="spellStart"/>
            <w:r w:rsidRPr="00AE612A">
              <w:rPr>
                <w:rFonts w:ascii="Times New Roman" w:hAnsi="Times New Roman"/>
                <w:bCs/>
                <w:sz w:val="20"/>
                <w:szCs w:val="20"/>
              </w:rPr>
              <w:t>Overview</w:t>
            </w:r>
            <w:proofErr w:type="spellEnd"/>
            <w:r w:rsidRPr="00AE612A">
              <w:rPr>
                <w:rFonts w:ascii="Times New Roman" w:hAnsi="Times New Roman"/>
                <w:bCs/>
                <w:sz w:val="20"/>
                <w:szCs w:val="20"/>
              </w:rPr>
              <w:t>),</w:t>
            </w:r>
          </w:p>
          <w:p w14:paraId="749BBD49" w14:textId="77777777"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Mise en place d’une approche basée sur les droits de l’homme (HRBA) dans les analyses et les projets</w:t>
            </w:r>
          </w:p>
          <w:p w14:paraId="15B999A6" w14:textId="77777777"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lastRenderedPageBreak/>
              <w:t>Disponibilité de données désagrégées sur la pauvreté monétaire notamment sur les enfants et les réfugiés</w:t>
            </w:r>
          </w:p>
          <w:p w14:paraId="0C484029" w14:textId="77777777" w:rsidR="00957B6F" w:rsidRPr="00AE612A" w:rsidRDefault="00957B6F" w:rsidP="00BC1AE3">
            <w:pPr>
              <w:numPr>
                <w:ilvl w:val="0"/>
                <w:numId w:val="21"/>
              </w:numPr>
              <w:autoSpaceDE w:val="0"/>
              <w:autoSpaceDN w:val="0"/>
              <w:adjustRightInd w:val="0"/>
              <w:spacing w:after="0" w:line="240" w:lineRule="auto"/>
              <w:contextualSpacing/>
              <w:rPr>
                <w:rFonts w:ascii="Times New Roman" w:hAnsi="Times New Roman"/>
                <w:bCs/>
                <w:sz w:val="20"/>
                <w:szCs w:val="20"/>
              </w:rPr>
            </w:pPr>
            <w:r w:rsidRPr="00AE612A">
              <w:rPr>
                <w:rFonts w:ascii="Times New Roman" w:hAnsi="Times New Roman"/>
                <w:bCs/>
                <w:sz w:val="20"/>
                <w:szCs w:val="20"/>
              </w:rPr>
              <w:t xml:space="preserve">Disponibilité d’une stratégie nationale de protection sociale adaptative </w:t>
            </w:r>
          </w:p>
        </w:tc>
      </w:tr>
      <w:tr w:rsidR="00AF2AE4" w:rsidRPr="00AE612A" w14:paraId="5C0F8E7D" w14:textId="77777777" w:rsidTr="00A8375B">
        <w:trPr>
          <w:trHeight w:val="1066"/>
        </w:trPr>
        <w:tc>
          <w:tcPr>
            <w:tcW w:w="1527" w:type="dxa"/>
            <w:tcBorders>
              <w:top w:val="single" w:sz="4" w:space="0" w:color="auto"/>
              <w:left w:val="single" w:sz="4" w:space="0" w:color="auto"/>
              <w:bottom w:val="single" w:sz="4" w:space="0" w:color="auto"/>
              <w:right w:val="single" w:sz="4" w:space="0" w:color="auto"/>
            </w:tcBorders>
            <w:hideMark/>
          </w:tcPr>
          <w:p w14:paraId="7BA147CA"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lastRenderedPageBreak/>
              <w:t>ODD 2 : Faim « Zéro »</w:t>
            </w:r>
          </w:p>
        </w:tc>
        <w:tc>
          <w:tcPr>
            <w:tcW w:w="4984" w:type="dxa"/>
            <w:tcBorders>
              <w:top w:val="single" w:sz="4" w:space="0" w:color="auto"/>
              <w:left w:val="single" w:sz="4" w:space="0" w:color="auto"/>
              <w:bottom w:val="single" w:sz="4" w:space="0" w:color="auto"/>
              <w:right w:val="single" w:sz="4" w:space="0" w:color="auto"/>
            </w:tcBorders>
            <w:hideMark/>
          </w:tcPr>
          <w:p w14:paraId="754C06C4" w14:textId="66797907" w:rsidR="00957B6F" w:rsidRPr="00AE612A" w:rsidRDefault="009523CC" w:rsidP="00BC1AE3">
            <w:pPr>
              <w:numPr>
                <w:ilvl w:val="0"/>
                <w:numId w:val="44"/>
              </w:numPr>
              <w:autoSpaceDE w:val="0"/>
              <w:autoSpaceDN w:val="0"/>
              <w:adjustRightInd w:val="0"/>
              <w:spacing w:after="0" w:line="240" w:lineRule="auto"/>
              <w:contextualSpacing/>
              <w:rPr>
                <w:rFonts w:ascii="Times New Roman" w:hAnsi="Times New Roman"/>
                <w:sz w:val="20"/>
                <w:szCs w:val="20"/>
              </w:rPr>
            </w:pPr>
            <w:r w:rsidRPr="00AE612A">
              <w:rPr>
                <w:rFonts w:ascii="Times New Roman" w:hAnsi="Times New Roman"/>
                <w:sz w:val="20"/>
                <w:szCs w:val="20"/>
              </w:rPr>
              <w:t xml:space="preserve">Système de production : </w:t>
            </w:r>
            <w:r w:rsidR="00957B6F" w:rsidRPr="00AE612A">
              <w:rPr>
                <w:rFonts w:ascii="Times New Roman" w:hAnsi="Times New Roman"/>
                <w:sz w:val="20"/>
                <w:szCs w:val="20"/>
              </w:rPr>
              <w:t>inadaptation des systèmes de production face aux changements climatiques ;</w:t>
            </w:r>
          </w:p>
          <w:p w14:paraId="76AE210B" w14:textId="25B84E4D" w:rsidR="00957B6F" w:rsidRPr="00AE612A" w:rsidRDefault="00957B6F" w:rsidP="00BC1AE3">
            <w:pPr>
              <w:numPr>
                <w:ilvl w:val="0"/>
                <w:numId w:val="44"/>
              </w:numPr>
              <w:autoSpaceDE w:val="0"/>
              <w:autoSpaceDN w:val="0"/>
              <w:adjustRightInd w:val="0"/>
              <w:spacing w:after="0" w:line="240" w:lineRule="auto"/>
              <w:contextualSpacing/>
              <w:rPr>
                <w:rFonts w:ascii="Times New Roman" w:hAnsi="Times New Roman"/>
                <w:sz w:val="20"/>
                <w:szCs w:val="20"/>
              </w:rPr>
            </w:pPr>
            <w:proofErr w:type="gramStart"/>
            <w:r w:rsidRPr="00AE612A">
              <w:rPr>
                <w:rFonts w:ascii="Times New Roman" w:hAnsi="Times New Roman"/>
                <w:sz w:val="20"/>
                <w:szCs w:val="20"/>
              </w:rPr>
              <w:t>faible</w:t>
            </w:r>
            <w:proofErr w:type="gramEnd"/>
            <w:r w:rsidRPr="00AE612A">
              <w:rPr>
                <w:rFonts w:ascii="Times New Roman" w:hAnsi="Times New Roman"/>
                <w:sz w:val="20"/>
                <w:szCs w:val="20"/>
              </w:rPr>
              <w:t xml:space="preserve"> diversification de productions agricoles et animales ;</w:t>
            </w:r>
            <w:r w:rsidR="009523CC" w:rsidRPr="00AE612A">
              <w:rPr>
                <w:rFonts w:ascii="Times New Roman" w:hAnsi="Times New Roman"/>
                <w:sz w:val="20"/>
                <w:szCs w:val="20"/>
              </w:rPr>
              <w:t>difficultés d’accès des terres cultivables pour les communauté déplacées ; enclavement des grandes zones de production agricole ;</w:t>
            </w:r>
            <w:proofErr w:type="spellStart"/>
            <w:r w:rsidRPr="00AE612A">
              <w:rPr>
                <w:rFonts w:ascii="Times New Roman" w:hAnsi="Times New Roman"/>
                <w:sz w:val="20"/>
                <w:szCs w:val="20"/>
              </w:rPr>
              <w:t>aiblesses</w:t>
            </w:r>
            <w:proofErr w:type="spellEnd"/>
            <w:r w:rsidRPr="00AE612A">
              <w:rPr>
                <w:rFonts w:ascii="Times New Roman" w:hAnsi="Times New Roman"/>
                <w:sz w:val="20"/>
                <w:szCs w:val="20"/>
              </w:rPr>
              <w:t xml:space="preserve"> dans la conservation et protection des ressources naturelles productives;</w:t>
            </w:r>
          </w:p>
          <w:p w14:paraId="76D59B80" w14:textId="77777777" w:rsidR="009523CC" w:rsidRPr="00AE612A" w:rsidRDefault="009523CC" w:rsidP="00402B5A">
            <w:pPr>
              <w:pStyle w:val="Paragraphedeliste"/>
              <w:rPr>
                <w:rFonts w:ascii="Times New Roman" w:hAnsi="Times New Roman"/>
                <w:sz w:val="20"/>
                <w:szCs w:val="20"/>
              </w:rPr>
            </w:pPr>
          </w:p>
          <w:p w14:paraId="052AC069" w14:textId="49BD277B" w:rsidR="009523CC" w:rsidRPr="00AE612A" w:rsidRDefault="009523CC" w:rsidP="00BC1AE3">
            <w:pPr>
              <w:numPr>
                <w:ilvl w:val="0"/>
                <w:numId w:val="44"/>
              </w:numPr>
              <w:autoSpaceDE w:val="0"/>
              <w:autoSpaceDN w:val="0"/>
              <w:adjustRightInd w:val="0"/>
              <w:spacing w:after="0" w:line="240" w:lineRule="auto"/>
              <w:contextualSpacing/>
              <w:rPr>
                <w:rFonts w:ascii="Times New Roman" w:hAnsi="Times New Roman"/>
                <w:sz w:val="20"/>
                <w:szCs w:val="20"/>
              </w:rPr>
            </w:pPr>
            <w:r w:rsidRPr="00AE612A">
              <w:rPr>
                <w:rFonts w:ascii="Times New Roman" w:hAnsi="Times New Roman"/>
                <w:sz w:val="20"/>
                <w:szCs w:val="20"/>
              </w:rPr>
              <w:t xml:space="preserve">Sécurité alimentaire et Nutritionnelle : </w:t>
            </w:r>
            <w:r w:rsidR="00402B5A" w:rsidRPr="00AE612A">
              <w:rPr>
                <w:rFonts w:ascii="Times New Roman" w:hAnsi="Times New Roman"/>
                <w:sz w:val="20"/>
                <w:szCs w:val="20"/>
              </w:rPr>
              <w:t xml:space="preserve">insuffisance des </w:t>
            </w:r>
            <w:r w:rsidR="001F1763" w:rsidRPr="00AE612A">
              <w:rPr>
                <w:rFonts w:ascii="Times New Roman" w:hAnsi="Times New Roman"/>
                <w:sz w:val="20"/>
                <w:szCs w:val="20"/>
              </w:rPr>
              <w:t>investissements</w:t>
            </w:r>
            <w:r w:rsidR="00402B5A" w:rsidRPr="00AE612A">
              <w:rPr>
                <w:rFonts w:ascii="Times New Roman" w:hAnsi="Times New Roman"/>
                <w:sz w:val="20"/>
                <w:szCs w:val="20"/>
              </w:rPr>
              <w:t xml:space="preserve"> agricoles </w:t>
            </w:r>
            <w:r w:rsidRPr="00AE612A">
              <w:rPr>
                <w:rFonts w:ascii="Times New Roman" w:hAnsi="Times New Roman"/>
                <w:sz w:val="20"/>
                <w:szCs w:val="20"/>
              </w:rPr>
              <w:t>conflits entre les acteurs des productions végétales et animales ; la faible diversification alimentaire ; risques de ruptures de stock d’intrants nutritionnel liés à la prise en charge de la malnutrition aiguë sévère ;  faible couverture des interventions de prise en charge de la malnutrition aigüe modéré affectant ainsi le continuum des soins. ; faiblesse des pratiques d’hygiène et d’assainissement contribue à exaspérer la malnutrition chez les enfants de moins de 5 ans ;</w:t>
            </w:r>
          </w:p>
          <w:p w14:paraId="083BED54" w14:textId="78A07B04" w:rsidR="009523CC" w:rsidRPr="00AE612A" w:rsidRDefault="009523CC" w:rsidP="00BC1AE3">
            <w:pPr>
              <w:numPr>
                <w:ilvl w:val="0"/>
                <w:numId w:val="44"/>
              </w:numPr>
              <w:autoSpaceDE w:val="0"/>
              <w:autoSpaceDN w:val="0"/>
              <w:adjustRightInd w:val="0"/>
              <w:spacing w:after="0" w:line="240" w:lineRule="auto"/>
              <w:contextualSpacing/>
              <w:rPr>
                <w:rFonts w:ascii="Times New Roman" w:hAnsi="Times New Roman"/>
                <w:sz w:val="20"/>
                <w:szCs w:val="20"/>
              </w:rPr>
            </w:pPr>
          </w:p>
          <w:p w14:paraId="77D6645F" w14:textId="58B44E54" w:rsidR="009523CC" w:rsidRPr="00AE612A" w:rsidRDefault="009523CC" w:rsidP="00BC1AE3">
            <w:pPr>
              <w:numPr>
                <w:ilvl w:val="0"/>
                <w:numId w:val="44"/>
              </w:numPr>
              <w:autoSpaceDE w:val="0"/>
              <w:autoSpaceDN w:val="0"/>
              <w:adjustRightInd w:val="0"/>
              <w:spacing w:after="0" w:line="240" w:lineRule="auto"/>
              <w:contextualSpacing/>
              <w:rPr>
                <w:rFonts w:ascii="Times New Roman" w:hAnsi="Times New Roman"/>
                <w:sz w:val="20"/>
                <w:szCs w:val="20"/>
              </w:rPr>
            </w:pPr>
            <w:r w:rsidRPr="00AE612A">
              <w:rPr>
                <w:rFonts w:ascii="Times New Roman" w:hAnsi="Times New Roman"/>
                <w:sz w:val="20"/>
                <w:szCs w:val="20"/>
              </w:rPr>
              <w:t xml:space="preserve">Gouvernance du secteur : </w:t>
            </w:r>
            <w:r w:rsidR="00402B5A" w:rsidRPr="00AE612A">
              <w:rPr>
                <w:rFonts w:ascii="Times New Roman" w:hAnsi="Times New Roman"/>
                <w:sz w:val="20"/>
                <w:szCs w:val="20"/>
              </w:rPr>
              <w:t xml:space="preserve">faible coordination des interventions du secteur, faiblesses du suivi et </w:t>
            </w:r>
            <w:r w:rsidR="001F1763" w:rsidRPr="00AE612A">
              <w:rPr>
                <w:rFonts w:ascii="Times New Roman" w:hAnsi="Times New Roman"/>
                <w:sz w:val="20"/>
                <w:szCs w:val="20"/>
              </w:rPr>
              <w:t>évaluation </w:t>
            </w:r>
            <w:r w:rsidR="00E80018" w:rsidRPr="00AE612A">
              <w:rPr>
                <w:rFonts w:ascii="Times New Roman" w:hAnsi="Times New Roman"/>
                <w:sz w:val="20"/>
                <w:szCs w:val="20"/>
              </w:rPr>
              <w:t>; insuffisance</w:t>
            </w:r>
            <w:r w:rsidR="001F1763" w:rsidRPr="00AE612A">
              <w:rPr>
                <w:rFonts w:ascii="Times New Roman" w:hAnsi="Times New Roman"/>
                <w:sz w:val="20"/>
                <w:szCs w:val="20"/>
              </w:rPr>
              <w:t xml:space="preserve"> des réformes foncières et institutionnelles</w:t>
            </w:r>
          </w:p>
          <w:p w14:paraId="3510C103" w14:textId="6384FD2D" w:rsidR="001F1763" w:rsidRPr="00AE612A" w:rsidRDefault="001F1763" w:rsidP="00BC1AE3">
            <w:pPr>
              <w:numPr>
                <w:ilvl w:val="0"/>
                <w:numId w:val="44"/>
              </w:numPr>
              <w:autoSpaceDE w:val="0"/>
              <w:autoSpaceDN w:val="0"/>
              <w:adjustRightInd w:val="0"/>
              <w:spacing w:after="0" w:line="240" w:lineRule="auto"/>
              <w:contextualSpacing/>
              <w:rPr>
                <w:rFonts w:ascii="Times New Roman" w:hAnsi="Times New Roman"/>
                <w:sz w:val="20"/>
                <w:szCs w:val="20"/>
              </w:rPr>
            </w:pPr>
            <w:r w:rsidRPr="00AE612A">
              <w:rPr>
                <w:rFonts w:ascii="Times New Roman" w:hAnsi="Times New Roman"/>
                <w:sz w:val="20"/>
                <w:szCs w:val="20"/>
              </w:rPr>
              <w:t>Données : une faible coordination avec le niveau central dans la collecte des données sectorielles</w:t>
            </w:r>
          </w:p>
          <w:p w14:paraId="3F6DFB08" w14:textId="1F31F488" w:rsidR="00130C3E" w:rsidRPr="00AE612A" w:rsidRDefault="00957B6F" w:rsidP="00A8375B">
            <w:pPr>
              <w:autoSpaceDE w:val="0"/>
              <w:autoSpaceDN w:val="0"/>
              <w:adjustRightInd w:val="0"/>
              <w:spacing w:after="0" w:line="240" w:lineRule="auto"/>
              <w:ind w:left="360"/>
              <w:contextualSpacing/>
              <w:rPr>
                <w:rFonts w:ascii="Times New Roman" w:hAnsi="Times New Roman"/>
                <w:sz w:val="20"/>
                <w:szCs w:val="20"/>
              </w:rPr>
            </w:pPr>
            <w:r w:rsidRPr="00AE612A">
              <w:rPr>
                <w:rFonts w:ascii="Times New Roman" w:hAnsi="Times New Roman"/>
                <w:sz w:val="20"/>
                <w:szCs w:val="20"/>
              </w:rPr>
              <w:t>;</w:t>
            </w:r>
            <w:r w:rsidR="001F1763" w:rsidRPr="00AE612A">
              <w:rPr>
                <w:rFonts w:ascii="Times New Roman" w:hAnsi="Times New Roman"/>
                <w:sz w:val="20"/>
                <w:szCs w:val="20"/>
              </w:rPr>
              <w:t>;</w:t>
            </w:r>
          </w:p>
        </w:tc>
        <w:tc>
          <w:tcPr>
            <w:tcW w:w="3803" w:type="dxa"/>
            <w:tcBorders>
              <w:top w:val="single" w:sz="4" w:space="0" w:color="auto"/>
              <w:left w:val="single" w:sz="4" w:space="0" w:color="auto"/>
              <w:bottom w:val="single" w:sz="4" w:space="0" w:color="auto"/>
              <w:right w:val="single" w:sz="4" w:space="0" w:color="auto"/>
            </w:tcBorders>
            <w:hideMark/>
          </w:tcPr>
          <w:p w14:paraId="79443E5E"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 La mise en œuvre du Plan National d’Investissement du Secteur Rural (PNISR</w:t>
            </w:r>
          </w:p>
          <w:p w14:paraId="4A1986FF" w14:textId="32A5E9AD"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2016-2022) ;</w:t>
            </w:r>
          </w:p>
          <w:p w14:paraId="22026518" w14:textId="36C3860B" w:rsidR="006167AD" w:rsidRPr="00AE612A" w:rsidRDefault="00A659F3" w:rsidP="00BC1AE3">
            <w:pPr>
              <w:pStyle w:val="Paragraphedeliste"/>
              <w:numPr>
                <w:ilvl w:val="0"/>
                <w:numId w:val="48"/>
              </w:num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L’adoption de la loi d’orientation agro-</w:t>
            </w:r>
            <w:proofErr w:type="spellStart"/>
            <w:r w:rsidRPr="00AE612A">
              <w:rPr>
                <w:rFonts w:ascii="Times New Roman" w:hAnsi="Times New Roman"/>
                <w:bCs/>
                <w:sz w:val="20"/>
                <w:szCs w:val="20"/>
              </w:rPr>
              <w:t>sylvo</w:t>
            </w:r>
            <w:proofErr w:type="spellEnd"/>
            <w:r w:rsidRPr="00AE612A">
              <w:rPr>
                <w:rFonts w:ascii="Times New Roman" w:hAnsi="Times New Roman"/>
                <w:bCs/>
                <w:sz w:val="20"/>
                <w:szCs w:val="20"/>
              </w:rPr>
              <w:t>-pastorale et halieutique en novembre 2018 dont les textes d’application sont en cours d’élaboration constitue une avancée dans la recherche de solutions ;</w:t>
            </w:r>
          </w:p>
          <w:p w14:paraId="05FA16FD" w14:textId="1CBFF20F" w:rsidR="009E1D97" w:rsidRPr="00AE612A" w:rsidRDefault="009E1D97" w:rsidP="00BC1AE3">
            <w:pPr>
              <w:pStyle w:val="Paragraphedeliste"/>
              <w:numPr>
                <w:ilvl w:val="0"/>
                <w:numId w:val="48"/>
              </w:num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Existence d’un système d’Information sur la Sécurité Alimentaire et d 'Alerte Précoce au Tchad (SISAAP) permettant un suivi mensuel de la situation de sécurité alimentaire dans le pays ;</w:t>
            </w:r>
          </w:p>
          <w:p w14:paraId="505CBF60"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 L’existence d’un cadre d’assistance technique dans le domaine de la sécurité</w:t>
            </w:r>
          </w:p>
          <w:p w14:paraId="11269E72"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proofErr w:type="gramStart"/>
            <w:r w:rsidRPr="00AE612A">
              <w:rPr>
                <w:rFonts w:ascii="Times New Roman" w:hAnsi="Times New Roman"/>
                <w:bCs/>
                <w:sz w:val="20"/>
                <w:szCs w:val="20"/>
              </w:rPr>
              <w:t>alimentaire</w:t>
            </w:r>
            <w:proofErr w:type="gramEnd"/>
            <w:r w:rsidRPr="00AE612A">
              <w:rPr>
                <w:rFonts w:ascii="Times New Roman" w:hAnsi="Times New Roman"/>
                <w:bCs/>
                <w:sz w:val="20"/>
                <w:szCs w:val="20"/>
              </w:rPr>
              <w:t xml:space="preserve"> et nutritionnelle (FIRST);</w:t>
            </w:r>
          </w:p>
          <w:p w14:paraId="1199235B"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 L’existence de la Loi 019/PR/2018 du 10 janvier 2019 portant Ratification</w:t>
            </w:r>
          </w:p>
          <w:p w14:paraId="3AEE066B"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proofErr w:type="gramStart"/>
            <w:r w:rsidRPr="00AE612A">
              <w:rPr>
                <w:rFonts w:ascii="Times New Roman" w:hAnsi="Times New Roman"/>
                <w:bCs/>
                <w:sz w:val="20"/>
                <w:szCs w:val="20"/>
              </w:rPr>
              <w:t>de</w:t>
            </w:r>
            <w:proofErr w:type="gramEnd"/>
            <w:r w:rsidRPr="00AE612A">
              <w:rPr>
                <w:rFonts w:ascii="Times New Roman" w:hAnsi="Times New Roman"/>
                <w:bCs/>
                <w:sz w:val="20"/>
                <w:szCs w:val="20"/>
              </w:rPr>
              <w:t xml:space="preserve"> l’Ordonnance N°043/PR/2018 du 31 août 2018 ;</w:t>
            </w:r>
          </w:p>
          <w:p w14:paraId="5878FEBA"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 L’existence de la Loi n°16/PR/2016 relative aux semences et aux plants ;</w:t>
            </w:r>
          </w:p>
          <w:p w14:paraId="34D106D4"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 Le partenariat public-privé dans le domaine de la sécurité alimentaire et nutritionnelle.</w:t>
            </w:r>
          </w:p>
          <w:p w14:paraId="51FFC403"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 La planification intégrée avec le secteur Eau, Hygiène et Assainissement pour adresser les causes sous-jacentes de la malnutrition</w:t>
            </w:r>
          </w:p>
        </w:tc>
      </w:tr>
      <w:tr w:rsidR="00AF2AE4" w:rsidRPr="00AE612A" w14:paraId="3C771FC3" w14:textId="77777777" w:rsidTr="00A8375B">
        <w:tc>
          <w:tcPr>
            <w:tcW w:w="1527" w:type="dxa"/>
            <w:tcBorders>
              <w:top w:val="single" w:sz="4" w:space="0" w:color="auto"/>
              <w:left w:val="single" w:sz="4" w:space="0" w:color="auto"/>
              <w:bottom w:val="single" w:sz="4" w:space="0" w:color="auto"/>
              <w:right w:val="single" w:sz="4" w:space="0" w:color="auto"/>
            </w:tcBorders>
            <w:hideMark/>
          </w:tcPr>
          <w:p w14:paraId="5BDA44B9"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3 : Bonne santé et bien- être</w:t>
            </w:r>
          </w:p>
        </w:tc>
        <w:tc>
          <w:tcPr>
            <w:tcW w:w="4984" w:type="dxa"/>
            <w:tcBorders>
              <w:top w:val="single" w:sz="4" w:space="0" w:color="auto"/>
              <w:left w:val="single" w:sz="4" w:space="0" w:color="auto"/>
              <w:bottom w:val="single" w:sz="4" w:space="0" w:color="auto"/>
              <w:right w:val="single" w:sz="4" w:space="0" w:color="auto"/>
            </w:tcBorders>
            <w:hideMark/>
          </w:tcPr>
          <w:p w14:paraId="5F8B5BF3" w14:textId="77777777" w:rsidR="00957B6F"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Insuffisance dans la gouvernance du secteur de la santé et de l’eau et assainissement dans les centres de sante</w:t>
            </w:r>
          </w:p>
          <w:p w14:paraId="61D32E69" w14:textId="77777777" w:rsidR="00311227" w:rsidRPr="00AE612A" w:rsidRDefault="00957B6F" w:rsidP="00BC1AE3">
            <w:pPr>
              <w:numPr>
                <w:ilvl w:val="0"/>
                <w:numId w:val="22"/>
              </w:numPr>
              <w:autoSpaceDE w:val="0"/>
              <w:autoSpaceDN w:val="0"/>
              <w:adjustRightInd w:val="0"/>
              <w:spacing w:after="0" w:line="240" w:lineRule="auto"/>
              <w:ind w:left="360"/>
              <w:contextualSpacing/>
              <w:rPr>
                <w:rFonts w:ascii="Times New Roman" w:hAnsi="Times New Roman"/>
                <w:bCs/>
                <w:sz w:val="20"/>
                <w:szCs w:val="20"/>
              </w:rPr>
            </w:pPr>
            <w:r w:rsidRPr="00AE612A">
              <w:rPr>
                <w:rFonts w:ascii="Times New Roman" w:hAnsi="Times New Roman"/>
                <w:bCs/>
                <w:sz w:val="20"/>
                <w:szCs w:val="20"/>
              </w:rPr>
              <w:t xml:space="preserve">Sous-financement du secteur de la santé de l’eau et assainissement en rapport avec les services de </w:t>
            </w:r>
            <w:proofErr w:type="gramStart"/>
            <w:r w:rsidRPr="00AE612A">
              <w:rPr>
                <w:rFonts w:ascii="Times New Roman" w:hAnsi="Times New Roman"/>
                <w:bCs/>
                <w:sz w:val="20"/>
                <w:szCs w:val="20"/>
              </w:rPr>
              <w:t>santé;</w:t>
            </w:r>
            <w:proofErr w:type="gramEnd"/>
            <w:r w:rsidRPr="00AE612A">
              <w:rPr>
                <w:rFonts w:ascii="Times New Roman" w:hAnsi="Times New Roman"/>
                <w:bCs/>
                <w:sz w:val="20"/>
                <w:szCs w:val="20"/>
              </w:rPr>
              <w:t xml:space="preserve"> forte contribution des ménages aux dépenses de santé</w:t>
            </w:r>
            <w:r w:rsidR="00311227" w:rsidRPr="00AE612A">
              <w:rPr>
                <w:rFonts w:ascii="Times New Roman" w:hAnsi="Times New Roman"/>
                <w:bCs/>
                <w:sz w:val="20"/>
                <w:szCs w:val="20"/>
              </w:rPr>
              <w:t> ;</w:t>
            </w:r>
          </w:p>
          <w:p w14:paraId="6042C9BA" w14:textId="77777777" w:rsidR="007A2A0E" w:rsidRPr="00AE612A" w:rsidRDefault="00311227" w:rsidP="00BC1AE3">
            <w:pPr>
              <w:numPr>
                <w:ilvl w:val="0"/>
                <w:numId w:val="22"/>
              </w:numPr>
              <w:autoSpaceDE w:val="0"/>
              <w:autoSpaceDN w:val="0"/>
              <w:adjustRightInd w:val="0"/>
              <w:spacing w:after="0" w:line="240" w:lineRule="auto"/>
              <w:ind w:left="360"/>
              <w:contextualSpacing/>
              <w:rPr>
                <w:rFonts w:ascii="Times New Roman" w:hAnsi="Times New Roman"/>
                <w:bCs/>
                <w:sz w:val="20"/>
                <w:szCs w:val="20"/>
              </w:rPr>
            </w:pPr>
            <w:proofErr w:type="gramStart"/>
            <w:r w:rsidRPr="00AE612A">
              <w:rPr>
                <w:rFonts w:ascii="Times New Roman" w:hAnsi="Times New Roman"/>
                <w:bCs/>
                <w:sz w:val="20"/>
                <w:szCs w:val="20"/>
              </w:rPr>
              <w:t>la</w:t>
            </w:r>
            <w:proofErr w:type="gramEnd"/>
            <w:r w:rsidRPr="00AE612A">
              <w:rPr>
                <w:rFonts w:ascii="Times New Roman" w:hAnsi="Times New Roman"/>
                <w:bCs/>
                <w:sz w:val="20"/>
                <w:szCs w:val="20"/>
              </w:rPr>
              <w:t xml:space="preserve"> qualité des systèmes de santé nationaux afin de faciliter l’accès des réfugiés et des communautés d’accueil ;</w:t>
            </w:r>
          </w:p>
          <w:p w14:paraId="005364F4" w14:textId="25C0CCB4" w:rsidR="00957B6F" w:rsidRPr="00AE612A" w:rsidRDefault="007A2A0E" w:rsidP="00BC1AE3">
            <w:pPr>
              <w:numPr>
                <w:ilvl w:val="0"/>
                <w:numId w:val="22"/>
              </w:numPr>
              <w:autoSpaceDE w:val="0"/>
              <w:autoSpaceDN w:val="0"/>
              <w:adjustRightInd w:val="0"/>
              <w:spacing w:after="0" w:line="240" w:lineRule="auto"/>
              <w:ind w:left="360"/>
              <w:contextualSpacing/>
              <w:rPr>
                <w:rFonts w:ascii="Times New Roman" w:hAnsi="Times New Roman"/>
                <w:bCs/>
                <w:sz w:val="20"/>
                <w:szCs w:val="20"/>
              </w:rPr>
            </w:pPr>
            <w:proofErr w:type="gramStart"/>
            <w:r w:rsidRPr="00AE612A">
              <w:rPr>
                <w:rFonts w:ascii="Times New Roman" w:hAnsi="Times New Roman"/>
                <w:bCs/>
                <w:sz w:val="20"/>
                <w:szCs w:val="20"/>
              </w:rPr>
              <w:t>le</w:t>
            </w:r>
            <w:proofErr w:type="gramEnd"/>
            <w:r w:rsidRPr="00AE612A">
              <w:rPr>
                <w:rFonts w:ascii="Times New Roman" w:hAnsi="Times New Roman"/>
                <w:bCs/>
                <w:sz w:val="20"/>
                <w:szCs w:val="20"/>
              </w:rPr>
              <w:t xml:space="preserve"> développement des capacités et des possibilités de formation pour les réfugiés et les membres des communautés d’accueil qui sont ou pourraient être engagés comme travailleurs de la santé ;</w:t>
            </w:r>
            <w:r w:rsidR="00957B6F" w:rsidRPr="00AE612A">
              <w:rPr>
                <w:rFonts w:ascii="Times New Roman" w:hAnsi="Times New Roman"/>
                <w:bCs/>
                <w:sz w:val="20"/>
                <w:szCs w:val="20"/>
              </w:rPr>
              <w:t xml:space="preserve"> </w:t>
            </w:r>
          </w:p>
          <w:p w14:paraId="1A5498CB" w14:textId="77777777" w:rsidR="00957B6F" w:rsidRPr="00AE612A" w:rsidRDefault="00957B6F" w:rsidP="00BC1AE3">
            <w:pPr>
              <w:numPr>
                <w:ilvl w:val="0"/>
                <w:numId w:val="22"/>
              </w:numPr>
              <w:autoSpaceDE w:val="0"/>
              <w:autoSpaceDN w:val="0"/>
              <w:adjustRightInd w:val="0"/>
              <w:spacing w:after="0" w:line="240" w:lineRule="auto"/>
              <w:ind w:left="360"/>
              <w:contextualSpacing/>
              <w:rPr>
                <w:rFonts w:ascii="Times New Roman" w:hAnsi="Times New Roman"/>
                <w:bCs/>
                <w:sz w:val="20"/>
                <w:szCs w:val="20"/>
              </w:rPr>
            </w:pPr>
            <w:r w:rsidRPr="00AE612A">
              <w:rPr>
                <w:rFonts w:ascii="Times New Roman" w:hAnsi="Times New Roman"/>
                <w:bCs/>
                <w:sz w:val="20"/>
                <w:szCs w:val="20"/>
              </w:rPr>
              <w:t xml:space="preserve">Insuffisance de centres de santé fonctionnels équipés avec des installations sanitaires et accès à l’eau </w:t>
            </w:r>
          </w:p>
          <w:p w14:paraId="3A766769" w14:textId="77777777" w:rsidR="00957B6F"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 xml:space="preserve">Accessibilité et qualité des soins sanitaires </w:t>
            </w:r>
          </w:p>
          <w:p w14:paraId="6B69E9CF" w14:textId="77777777" w:rsidR="00957B6F" w:rsidRPr="00AE612A" w:rsidRDefault="00957B6F" w:rsidP="00BC1AE3">
            <w:pPr>
              <w:numPr>
                <w:ilvl w:val="0"/>
                <w:numId w:val="22"/>
              </w:numPr>
              <w:autoSpaceDE w:val="0"/>
              <w:autoSpaceDN w:val="0"/>
              <w:adjustRightInd w:val="0"/>
              <w:spacing w:after="0" w:line="240" w:lineRule="auto"/>
              <w:ind w:left="360"/>
              <w:contextualSpacing/>
              <w:rPr>
                <w:rFonts w:ascii="Times New Roman" w:hAnsi="Times New Roman"/>
                <w:bCs/>
                <w:sz w:val="20"/>
                <w:szCs w:val="20"/>
              </w:rPr>
            </w:pPr>
            <w:r w:rsidRPr="00AE612A">
              <w:rPr>
                <w:rFonts w:ascii="Times New Roman" w:hAnsi="Times New Roman"/>
                <w:bCs/>
                <w:sz w:val="20"/>
                <w:szCs w:val="20"/>
              </w:rPr>
              <w:lastRenderedPageBreak/>
              <w:t>Pesanteurs socio-culturelles liées à la fréquentation des établissements sanitaires</w:t>
            </w:r>
          </w:p>
          <w:p w14:paraId="593BA53B" w14:textId="77777777" w:rsidR="00957B6F" w:rsidRPr="00AE612A" w:rsidRDefault="00957B6F" w:rsidP="00BC1AE3">
            <w:pPr>
              <w:numPr>
                <w:ilvl w:val="0"/>
                <w:numId w:val="22"/>
              </w:numPr>
              <w:autoSpaceDE w:val="0"/>
              <w:autoSpaceDN w:val="0"/>
              <w:adjustRightInd w:val="0"/>
              <w:spacing w:after="0" w:line="240" w:lineRule="auto"/>
              <w:ind w:left="360"/>
              <w:contextualSpacing/>
              <w:rPr>
                <w:rFonts w:ascii="Times New Roman" w:hAnsi="Times New Roman"/>
                <w:bCs/>
                <w:sz w:val="20"/>
                <w:szCs w:val="20"/>
              </w:rPr>
            </w:pPr>
            <w:r w:rsidRPr="00AE612A">
              <w:rPr>
                <w:rFonts w:ascii="Times New Roman" w:hAnsi="Times New Roman"/>
                <w:bCs/>
                <w:sz w:val="20"/>
                <w:szCs w:val="20"/>
              </w:rPr>
              <w:t>Faiblesse des conditions WASH dans les formations sanitaire</w:t>
            </w:r>
          </w:p>
        </w:tc>
        <w:tc>
          <w:tcPr>
            <w:tcW w:w="3803" w:type="dxa"/>
            <w:tcBorders>
              <w:top w:val="single" w:sz="4" w:space="0" w:color="auto"/>
              <w:left w:val="single" w:sz="4" w:space="0" w:color="auto"/>
              <w:bottom w:val="single" w:sz="4" w:space="0" w:color="auto"/>
              <w:right w:val="single" w:sz="4" w:space="0" w:color="auto"/>
            </w:tcBorders>
            <w:hideMark/>
          </w:tcPr>
          <w:p w14:paraId="603EAC29" w14:textId="77777777" w:rsidR="00957B6F" w:rsidRPr="00AE612A" w:rsidRDefault="00957B6F" w:rsidP="00957B6F">
            <w:pPr>
              <w:rPr>
                <w:rFonts w:ascii="Times New Roman" w:hAnsi="Times New Roman"/>
                <w:sz w:val="20"/>
                <w:szCs w:val="20"/>
              </w:rPr>
            </w:pPr>
            <w:r w:rsidRPr="00AE612A">
              <w:rPr>
                <w:rFonts w:ascii="Times New Roman" w:hAnsi="Times New Roman"/>
                <w:sz w:val="20"/>
                <w:szCs w:val="20"/>
              </w:rPr>
              <w:lastRenderedPageBreak/>
              <w:t>• L’existence des facultés de médecine, des écoles publiques et privées de formation sanitaire ;</w:t>
            </w:r>
          </w:p>
          <w:p w14:paraId="5F5F980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du décret d’application N° 2021/PR/2020 du 14 octobre 2020 de la Loi</w:t>
            </w:r>
          </w:p>
          <w:p w14:paraId="71583D66"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006/PR/2002 sur la Santé de la Reproduction ;</w:t>
            </w:r>
          </w:p>
          <w:p w14:paraId="613871BB"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L’engagement du Tchad à l’initiative Family Planning 2030 ;</w:t>
            </w:r>
          </w:p>
          <w:p w14:paraId="4D70008E"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d’une Unité de Gestion des Projets centralisée au sein du Ministère ;</w:t>
            </w:r>
          </w:p>
          <w:p w14:paraId="5CD21775" w14:textId="3F9C2ECE" w:rsidR="00957B6F" w:rsidRPr="00AE612A" w:rsidRDefault="001F1763" w:rsidP="00957B6F">
            <w:pPr>
              <w:autoSpaceDE w:val="0"/>
              <w:autoSpaceDN w:val="0"/>
              <w:adjustRightInd w:val="0"/>
              <w:spacing w:after="0" w:line="240" w:lineRule="auto"/>
              <w:rPr>
                <w:rFonts w:ascii="Times New Roman" w:hAnsi="Times New Roman"/>
                <w:sz w:val="20"/>
                <w:szCs w:val="20"/>
              </w:rPr>
            </w:pPr>
            <w:proofErr w:type="spellStart"/>
            <w:r w:rsidRPr="00AE612A">
              <w:rPr>
                <w:rFonts w:ascii="Times New Roman" w:hAnsi="Times New Roman"/>
                <w:sz w:val="20"/>
                <w:szCs w:val="20"/>
              </w:rPr>
              <w:t>Disponibilte</w:t>
            </w:r>
            <w:proofErr w:type="spellEnd"/>
            <w:r w:rsidRPr="00AE612A">
              <w:rPr>
                <w:rFonts w:ascii="Times New Roman" w:hAnsi="Times New Roman"/>
                <w:sz w:val="20"/>
                <w:szCs w:val="20"/>
              </w:rPr>
              <w:t xml:space="preserve"> des documents de politiques et stratégies : </w:t>
            </w:r>
            <w:r w:rsidR="00957B6F" w:rsidRPr="00AE612A">
              <w:rPr>
                <w:rFonts w:ascii="Times New Roman" w:hAnsi="Times New Roman"/>
                <w:sz w:val="20"/>
                <w:szCs w:val="20"/>
              </w:rPr>
              <w:t>Plan National de Développement de la Santé (PNDS 2018-2021),</w:t>
            </w:r>
          </w:p>
          <w:p w14:paraId="42965FC3" w14:textId="0C081C8E"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Politique Nationale de la Santé (PNS 2016-2030)</w:t>
            </w:r>
            <w:proofErr w:type="gramStart"/>
            <w:r w:rsidR="001F1763" w:rsidRPr="00AE612A">
              <w:rPr>
                <w:rFonts w:ascii="Times New Roman" w:hAnsi="Times New Roman"/>
                <w:sz w:val="20"/>
                <w:szCs w:val="20"/>
              </w:rPr>
              <w:t> ;</w:t>
            </w:r>
            <w:r w:rsidRPr="00AE612A">
              <w:rPr>
                <w:rFonts w:ascii="Times New Roman" w:hAnsi="Times New Roman"/>
                <w:sz w:val="20"/>
                <w:szCs w:val="20"/>
              </w:rPr>
              <w:t>Stratégie</w:t>
            </w:r>
            <w:proofErr w:type="gramEnd"/>
            <w:r w:rsidRPr="00AE612A">
              <w:rPr>
                <w:rFonts w:ascii="Times New Roman" w:hAnsi="Times New Roman"/>
                <w:sz w:val="20"/>
                <w:szCs w:val="20"/>
              </w:rPr>
              <w:t xml:space="preserve"> nationale de la Santé </w:t>
            </w:r>
            <w:r w:rsidRPr="00AE612A">
              <w:rPr>
                <w:rFonts w:ascii="Times New Roman" w:hAnsi="Times New Roman"/>
                <w:sz w:val="20"/>
                <w:szCs w:val="20"/>
              </w:rPr>
              <w:lastRenderedPageBreak/>
              <w:t>Communautaire Stratégie de Communication en Appui aux Actions de Promotion de la Santé</w:t>
            </w:r>
          </w:p>
          <w:p w14:paraId="7DCB03C7" w14:textId="7BF93592"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Maternelle, Néonatale et Infantile au Tchad 2015-2030 Plan National d’Accélération de la Riposte au VIH/SIDA Pédiatrique au Tchad (2019-2023) ; Plan d’Action Intersectoriel de Nutrition et d’Alimentation (PAINA 2017-2021).</w:t>
            </w:r>
          </w:p>
          <w:p w14:paraId="705CE5D2"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Promotion et vulgariser l’approche Prevention et contrôles des infections (PCI) dans les formations sanitaires</w:t>
            </w:r>
          </w:p>
          <w:p w14:paraId="36E9A54C" w14:textId="02B6ED7B" w:rsidR="00957B6F" w:rsidRPr="00AE612A" w:rsidRDefault="00957B6F" w:rsidP="00957B6F">
            <w:pPr>
              <w:autoSpaceDE w:val="0"/>
              <w:autoSpaceDN w:val="0"/>
              <w:adjustRightInd w:val="0"/>
              <w:spacing w:after="0" w:line="240" w:lineRule="auto"/>
              <w:rPr>
                <w:rFonts w:ascii="Times New Roman" w:hAnsi="Times New Roman"/>
                <w:sz w:val="20"/>
                <w:szCs w:val="20"/>
              </w:rPr>
            </w:pPr>
          </w:p>
        </w:tc>
      </w:tr>
      <w:tr w:rsidR="00AF2AE4" w:rsidRPr="00AE612A" w14:paraId="7AE6CE3C" w14:textId="77777777" w:rsidTr="00A8375B">
        <w:trPr>
          <w:trHeight w:val="1440"/>
        </w:trPr>
        <w:tc>
          <w:tcPr>
            <w:tcW w:w="1527" w:type="dxa"/>
            <w:tcBorders>
              <w:top w:val="single" w:sz="4" w:space="0" w:color="auto"/>
              <w:left w:val="single" w:sz="4" w:space="0" w:color="auto"/>
              <w:bottom w:val="single" w:sz="4" w:space="0" w:color="auto"/>
              <w:right w:val="single" w:sz="4" w:space="0" w:color="auto"/>
            </w:tcBorders>
            <w:hideMark/>
          </w:tcPr>
          <w:p w14:paraId="410A5CCC"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lastRenderedPageBreak/>
              <w:t>ODD 4 : Education de qualité</w:t>
            </w:r>
          </w:p>
        </w:tc>
        <w:tc>
          <w:tcPr>
            <w:tcW w:w="4984" w:type="dxa"/>
            <w:tcBorders>
              <w:top w:val="single" w:sz="4" w:space="0" w:color="auto"/>
              <w:left w:val="single" w:sz="4" w:space="0" w:color="auto"/>
              <w:bottom w:val="single" w:sz="4" w:space="0" w:color="auto"/>
              <w:right w:val="single" w:sz="4" w:space="0" w:color="auto"/>
            </w:tcBorders>
            <w:hideMark/>
          </w:tcPr>
          <w:p w14:paraId="4596D999" w14:textId="3EC135FD" w:rsidR="00957B6F"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La scolarisation primaire universelle de qualité ;</w:t>
            </w:r>
          </w:p>
          <w:p w14:paraId="47197EB6" w14:textId="7BD5D19C" w:rsidR="009860D2"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La qualité et la pertinence des apprentissages à tous les niveaux du système</w:t>
            </w:r>
            <w:r w:rsidR="009860D2" w:rsidRPr="00AE612A">
              <w:rPr>
                <w:rFonts w:ascii="Times New Roman" w:hAnsi="Times New Roman"/>
                <w:bCs/>
                <w:sz w:val="20"/>
                <w:szCs w:val="20"/>
              </w:rPr>
              <w:t xml:space="preserve"> </w:t>
            </w:r>
            <w:r w:rsidRPr="00AE612A">
              <w:rPr>
                <w:rFonts w:ascii="Times New Roman" w:hAnsi="Times New Roman"/>
                <w:bCs/>
                <w:sz w:val="20"/>
                <w:szCs w:val="20"/>
              </w:rPr>
              <w:t>éducatif ;</w:t>
            </w:r>
          </w:p>
          <w:p w14:paraId="7BB52416" w14:textId="70FD4DE5" w:rsidR="001700B3" w:rsidRPr="00AE612A" w:rsidRDefault="001700B3"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L’accès à l’état-civil ;</w:t>
            </w:r>
          </w:p>
          <w:p w14:paraId="54D0BFD1" w14:textId="54D745B5" w:rsidR="009860D2"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Insuffisance dans la gouvernance du système éducatif (y compris le paiement des enseignants</w:t>
            </w:r>
            <w:proofErr w:type="gramStart"/>
            <w:r w:rsidRPr="00AE612A">
              <w:rPr>
                <w:rFonts w:ascii="Times New Roman" w:hAnsi="Times New Roman"/>
                <w:bCs/>
                <w:sz w:val="20"/>
                <w:szCs w:val="20"/>
              </w:rPr>
              <w:t>);</w:t>
            </w:r>
            <w:proofErr w:type="gramEnd"/>
          </w:p>
          <w:p w14:paraId="00EB6F21" w14:textId="0DD99F31" w:rsidR="00E505D5" w:rsidRPr="00AE612A" w:rsidRDefault="004B13C4"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L</w:t>
            </w:r>
            <w:r w:rsidR="006B390D" w:rsidRPr="00AE612A">
              <w:rPr>
                <w:rFonts w:ascii="Times New Roman" w:hAnsi="Times New Roman"/>
                <w:bCs/>
                <w:sz w:val="20"/>
                <w:szCs w:val="20"/>
              </w:rPr>
              <w:t>e</w:t>
            </w:r>
            <w:r w:rsidR="00E505D5" w:rsidRPr="00AE612A">
              <w:rPr>
                <w:rFonts w:ascii="Times New Roman" w:hAnsi="Times New Roman"/>
                <w:bCs/>
                <w:sz w:val="20"/>
                <w:szCs w:val="20"/>
              </w:rPr>
              <w:t xml:space="preserve">s équipements éducatifs </w:t>
            </w:r>
          </w:p>
          <w:p w14:paraId="18FC91D9" w14:textId="70BCC1FC" w:rsidR="00F204F7" w:rsidRPr="00AE612A" w:rsidRDefault="009860D2" w:rsidP="00BC1AE3">
            <w:pPr>
              <w:pStyle w:val="Paragraphedeliste"/>
              <w:numPr>
                <w:ilvl w:val="0"/>
                <w:numId w:val="22"/>
              </w:numPr>
              <w:autoSpaceDE w:val="0"/>
              <w:autoSpaceDN w:val="0"/>
              <w:adjustRightInd w:val="0"/>
              <w:spacing w:line="240" w:lineRule="auto"/>
              <w:ind w:left="360"/>
              <w:rPr>
                <w:rFonts w:ascii="Times New Roman" w:hAnsi="Times New Roman"/>
                <w:bCs/>
                <w:sz w:val="20"/>
                <w:szCs w:val="20"/>
              </w:rPr>
            </w:pPr>
            <w:r w:rsidRPr="00AE612A">
              <w:rPr>
                <w:rFonts w:ascii="Times New Roman" w:hAnsi="Times New Roman"/>
                <w:bCs/>
                <w:sz w:val="20"/>
                <w:szCs w:val="20"/>
              </w:rPr>
              <w:t>B</w:t>
            </w:r>
            <w:r w:rsidR="00F204F7" w:rsidRPr="00AE612A">
              <w:rPr>
                <w:rFonts w:ascii="Times New Roman" w:hAnsi="Times New Roman"/>
                <w:bCs/>
                <w:sz w:val="20"/>
                <w:szCs w:val="20"/>
              </w:rPr>
              <w:t>esoins spécifiques des réfugiés en matière d’éducation (y compris par le biais d</w:t>
            </w:r>
            <w:proofErr w:type="gramStart"/>
            <w:r w:rsidR="00F204F7" w:rsidRPr="00AE612A">
              <w:rPr>
                <w:rFonts w:ascii="Times New Roman" w:hAnsi="Times New Roman"/>
                <w:bCs/>
                <w:sz w:val="20"/>
                <w:szCs w:val="20"/>
              </w:rPr>
              <w:t>’«</w:t>
            </w:r>
            <w:proofErr w:type="gramEnd"/>
            <w:r w:rsidR="00F204F7" w:rsidRPr="00AE612A">
              <w:rPr>
                <w:rFonts w:ascii="Times New Roman" w:hAnsi="Times New Roman"/>
                <w:bCs/>
                <w:sz w:val="20"/>
                <w:szCs w:val="20"/>
              </w:rPr>
              <w:t xml:space="preserve"> écoles sûres » et de méthodes novatrices comme l’éducation en ligne) ;</w:t>
            </w:r>
          </w:p>
          <w:p w14:paraId="6A5ECA87" w14:textId="6C351803" w:rsidR="00F204F7" w:rsidRPr="00AE612A" w:rsidRDefault="00F204F7" w:rsidP="00BC1AE3">
            <w:pPr>
              <w:pStyle w:val="Paragraphedeliste"/>
              <w:numPr>
                <w:ilvl w:val="0"/>
                <w:numId w:val="22"/>
              </w:numPr>
              <w:autoSpaceDE w:val="0"/>
              <w:autoSpaceDN w:val="0"/>
              <w:adjustRightInd w:val="0"/>
              <w:spacing w:line="240" w:lineRule="auto"/>
              <w:ind w:left="360"/>
              <w:rPr>
                <w:rFonts w:ascii="Times New Roman" w:hAnsi="Times New Roman"/>
                <w:bCs/>
                <w:sz w:val="20"/>
                <w:szCs w:val="20"/>
              </w:rPr>
            </w:pPr>
            <w:r w:rsidRPr="00AE612A">
              <w:rPr>
                <w:rFonts w:ascii="Times New Roman" w:hAnsi="Times New Roman"/>
                <w:bCs/>
                <w:sz w:val="20"/>
                <w:szCs w:val="20"/>
              </w:rPr>
              <w:t>L’octroi de bourses aux réfugiés, y compris</w:t>
            </w:r>
            <w:r w:rsidR="006743F6" w:rsidRPr="00AE612A">
              <w:rPr>
                <w:rFonts w:ascii="Times New Roman" w:hAnsi="Times New Roman"/>
                <w:bCs/>
                <w:sz w:val="20"/>
                <w:szCs w:val="20"/>
              </w:rPr>
              <w:t xml:space="preserve"> </w:t>
            </w:r>
            <w:r w:rsidRPr="00AE612A">
              <w:rPr>
                <w:rFonts w:ascii="Times New Roman" w:hAnsi="Times New Roman"/>
                <w:bCs/>
                <w:sz w:val="20"/>
                <w:szCs w:val="20"/>
              </w:rPr>
              <w:t>partie d’une solution de pays tiers</w:t>
            </w:r>
            <w:r w:rsidR="00DB2D74" w:rsidRPr="00AE612A">
              <w:rPr>
                <w:rFonts w:ascii="Times New Roman" w:hAnsi="Times New Roman"/>
                <w:bCs/>
                <w:sz w:val="20"/>
                <w:szCs w:val="20"/>
              </w:rPr>
              <w:t> ;</w:t>
            </w:r>
          </w:p>
          <w:p w14:paraId="25A8AC8D" w14:textId="6C8BFE95" w:rsidR="009860D2" w:rsidRPr="00AE612A" w:rsidRDefault="00DB2D74" w:rsidP="00BC1AE3">
            <w:pPr>
              <w:pStyle w:val="Paragraphedeliste"/>
              <w:numPr>
                <w:ilvl w:val="0"/>
                <w:numId w:val="22"/>
              </w:numPr>
              <w:autoSpaceDE w:val="0"/>
              <w:autoSpaceDN w:val="0"/>
              <w:adjustRightInd w:val="0"/>
              <w:spacing w:line="240" w:lineRule="auto"/>
              <w:ind w:left="360"/>
              <w:rPr>
                <w:rFonts w:ascii="Times New Roman" w:hAnsi="Times New Roman"/>
                <w:bCs/>
                <w:sz w:val="20"/>
                <w:szCs w:val="20"/>
              </w:rPr>
            </w:pPr>
            <w:r w:rsidRPr="00AE612A">
              <w:rPr>
                <w:rFonts w:ascii="Times New Roman" w:hAnsi="Times New Roman"/>
                <w:bCs/>
                <w:sz w:val="20"/>
                <w:szCs w:val="20"/>
              </w:rPr>
              <w:t>53% des réfugiés âgés de 6 à 18 ans ne sont pas scolarisés, soit deux points de plus qu’en mars 2020 avant la fermeture des écoles</w:t>
            </w:r>
            <w:r w:rsidR="00D91A71" w:rsidRPr="00AE612A">
              <w:rPr>
                <w:rFonts w:ascii="Times New Roman" w:hAnsi="Times New Roman"/>
                <w:bCs/>
                <w:sz w:val="20"/>
                <w:szCs w:val="20"/>
              </w:rPr>
              <w:t> ;</w:t>
            </w:r>
          </w:p>
          <w:p w14:paraId="730FE333" w14:textId="146AE0AD" w:rsidR="00957B6F" w:rsidRPr="00AE612A" w:rsidRDefault="00957B6F" w:rsidP="00BC1AE3">
            <w:pPr>
              <w:pStyle w:val="Paragraphedeliste"/>
              <w:numPr>
                <w:ilvl w:val="0"/>
                <w:numId w:val="22"/>
              </w:numPr>
              <w:autoSpaceDE w:val="0"/>
              <w:autoSpaceDN w:val="0"/>
              <w:adjustRightInd w:val="0"/>
              <w:spacing w:line="240" w:lineRule="auto"/>
              <w:ind w:left="360"/>
              <w:rPr>
                <w:rFonts w:ascii="Times New Roman" w:hAnsi="Times New Roman"/>
                <w:bCs/>
                <w:sz w:val="20"/>
                <w:szCs w:val="20"/>
              </w:rPr>
            </w:pPr>
            <w:r w:rsidRPr="00AE612A">
              <w:rPr>
                <w:rFonts w:ascii="Times New Roman" w:hAnsi="Times New Roman"/>
                <w:bCs/>
                <w:sz w:val="20"/>
                <w:szCs w:val="20"/>
              </w:rPr>
              <w:t>Le financement durable de l’EFTP ;</w:t>
            </w:r>
          </w:p>
          <w:p w14:paraId="438C14E9" w14:textId="633A17B3" w:rsidR="00957B6F"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L’accès et la diversification des offres de l’EFTP ;</w:t>
            </w:r>
          </w:p>
          <w:p w14:paraId="700B125F" w14:textId="46AC1979" w:rsidR="00957B6F"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Le partenariat avec le secteur privé en matière de formation professionnelle ;</w:t>
            </w:r>
          </w:p>
          <w:p w14:paraId="73CCBDA5" w14:textId="535A22EE" w:rsidR="00957B6F" w:rsidRPr="00AE612A" w:rsidRDefault="00957B6F" w:rsidP="00BC1AE3">
            <w:pPr>
              <w:numPr>
                <w:ilvl w:val="0"/>
                <w:numId w:val="22"/>
              </w:numPr>
              <w:autoSpaceDE w:val="0"/>
              <w:autoSpaceDN w:val="0"/>
              <w:adjustRightInd w:val="0"/>
              <w:spacing w:line="240" w:lineRule="auto"/>
              <w:ind w:left="360"/>
              <w:contextualSpacing/>
              <w:rPr>
                <w:rFonts w:ascii="Times New Roman" w:hAnsi="Times New Roman"/>
                <w:bCs/>
                <w:sz w:val="20"/>
                <w:szCs w:val="20"/>
              </w:rPr>
            </w:pPr>
            <w:r w:rsidRPr="00AE612A">
              <w:rPr>
                <w:rFonts w:ascii="Times New Roman" w:hAnsi="Times New Roman"/>
                <w:bCs/>
                <w:sz w:val="20"/>
                <w:szCs w:val="20"/>
              </w:rPr>
              <w:t>L’alphabétisation et l’éducation non formelle ;</w:t>
            </w:r>
          </w:p>
          <w:p w14:paraId="10945BF4" w14:textId="43FAD47C"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Le concept de maîtres communautaires.</w:t>
            </w:r>
          </w:p>
          <w:p w14:paraId="2698609B" w14:textId="08B67297"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 xml:space="preserve">Manque d’accès à l’électricité pour les écoles rurales </w:t>
            </w:r>
          </w:p>
          <w:p w14:paraId="3EBEE04B" w14:textId="5A56C0A7"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Manque d’</w:t>
            </w:r>
            <w:r w:rsidR="001833E4" w:rsidRPr="00AE612A">
              <w:rPr>
                <w:rFonts w:ascii="Times New Roman" w:hAnsi="Times New Roman"/>
                <w:bCs/>
                <w:sz w:val="20"/>
                <w:szCs w:val="20"/>
              </w:rPr>
              <w:t>accès</w:t>
            </w:r>
            <w:r w:rsidRPr="00AE612A">
              <w:rPr>
                <w:rFonts w:ascii="Times New Roman" w:hAnsi="Times New Roman"/>
                <w:bCs/>
                <w:sz w:val="20"/>
                <w:szCs w:val="20"/>
              </w:rPr>
              <w:t xml:space="preserve"> </w:t>
            </w:r>
            <w:r w:rsidR="00D034EB" w:rsidRPr="00AE612A">
              <w:rPr>
                <w:rFonts w:ascii="Times New Roman" w:hAnsi="Times New Roman"/>
                <w:bCs/>
                <w:sz w:val="20"/>
                <w:szCs w:val="20"/>
              </w:rPr>
              <w:t>à</w:t>
            </w:r>
            <w:r w:rsidRPr="00AE612A">
              <w:rPr>
                <w:rFonts w:ascii="Times New Roman" w:hAnsi="Times New Roman"/>
                <w:bCs/>
                <w:sz w:val="20"/>
                <w:szCs w:val="20"/>
              </w:rPr>
              <w:t xml:space="preserve"> l’Eau et </w:t>
            </w:r>
            <w:r w:rsidR="00D034EB" w:rsidRPr="00AE612A">
              <w:rPr>
                <w:rFonts w:ascii="Times New Roman" w:hAnsi="Times New Roman"/>
                <w:bCs/>
                <w:sz w:val="20"/>
                <w:szCs w:val="20"/>
              </w:rPr>
              <w:t>à</w:t>
            </w:r>
            <w:r w:rsidRPr="00AE612A">
              <w:rPr>
                <w:rFonts w:ascii="Times New Roman" w:hAnsi="Times New Roman"/>
                <w:bCs/>
                <w:sz w:val="20"/>
                <w:szCs w:val="20"/>
              </w:rPr>
              <w:t xml:space="preserve"> l’Assainissement dans les écoles et les centres de formation</w:t>
            </w:r>
          </w:p>
        </w:tc>
        <w:tc>
          <w:tcPr>
            <w:tcW w:w="3803" w:type="dxa"/>
            <w:tcBorders>
              <w:top w:val="single" w:sz="4" w:space="0" w:color="auto"/>
              <w:left w:val="single" w:sz="4" w:space="0" w:color="auto"/>
              <w:bottom w:val="single" w:sz="4" w:space="0" w:color="auto"/>
              <w:right w:val="single" w:sz="4" w:space="0" w:color="auto"/>
            </w:tcBorders>
          </w:tcPr>
          <w:p w14:paraId="3BAF69C0"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disponibilité d’un vivier d’enseignants qualifiés ;</w:t>
            </w:r>
          </w:p>
          <w:p w14:paraId="5378AFAF"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d’un Groupe Local des Partenaires en Education (GLPE) fonctionnel ;</w:t>
            </w:r>
          </w:p>
          <w:p w14:paraId="57F8AA9C"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du document de référence nationale de la politique éducative (PIET</w:t>
            </w:r>
            <w:proofErr w:type="gramStart"/>
            <w:r w:rsidRPr="00AE612A">
              <w:rPr>
                <w:rFonts w:ascii="Times New Roman" w:hAnsi="Times New Roman"/>
                <w:sz w:val="20"/>
                <w:szCs w:val="20"/>
              </w:rPr>
              <w:t>);</w:t>
            </w:r>
            <w:proofErr w:type="gramEnd"/>
          </w:p>
          <w:p w14:paraId="79B5FAEF"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de la Politique nationale de l’emploi, de la formation, de la Stratégie</w:t>
            </w:r>
          </w:p>
          <w:p w14:paraId="5568A1F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Intérimaire pour l’EFTP et de la Politique Nationale de la </w:t>
            </w:r>
            <w:proofErr w:type="gramStart"/>
            <w:r w:rsidRPr="00AE612A">
              <w:rPr>
                <w:rFonts w:ascii="Times New Roman" w:hAnsi="Times New Roman"/>
                <w:sz w:val="20"/>
                <w:szCs w:val="20"/>
              </w:rPr>
              <w:t>Jeunesse;</w:t>
            </w:r>
            <w:proofErr w:type="gramEnd"/>
          </w:p>
          <w:p w14:paraId="2A1AD71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L’adhésion du pays à la plateforme du Cadre de Concertation des Ministres en</w:t>
            </w:r>
          </w:p>
          <w:p w14:paraId="62BACDC5"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Charge de l’Emploi et de la •Formation Professionnelle de l’Union Economique et</w:t>
            </w:r>
          </w:p>
          <w:p w14:paraId="3374E9C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Monétaire Ouest Africain (UEMOA) ;</w:t>
            </w:r>
          </w:p>
          <w:p w14:paraId="2739C17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des projets dans le renforcement de l’éducation, de la formation</w:t>
            </w:r>
          </w:p>
          <w:p w14:paraId="6DBF3529"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technique</w:t>
            </w:r>
            <w:proofErr w:type="gramEnd"/>
            <w:r w:rsidRPr="00AE612A">
              <w:rPr>
                <w:rFonts w:ascii="Times New Roman" w:hAnsi="Times New Roman"/>
                <w:sz w:val="20"/>
                <w:szCs w:val="20"/>
              </w:rPr>
              <w:t xml:space="preserve"> et professionnelle et de l’alphabétisation ;</w:t>
            </w:r>
          </w:p>
          <w:p w14:paraId="5B6764AC" w14:textId="36BCF2B1"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Rapport d’Etat du Système Educatif National (RESEN</w:t>
            </w:r>
            <w:proofErr w:type="gramStart"/>
            <w:r w:rsidRPr="00AE612A">
              <w:rPr>
                <w:rFonts w:ascii="Times New Roman" w:hAnsi="Times New Roman"/>
                <w:sz w:val="20"/>
                <w:szCs w:val="20"/>
              </w:rPr>
              <w:t>) .</w:t>
            </w:r>
            <w:proofErr w:type="gramEnd"/>
          </w:p>
          <w:p w14:paraId="09B73A1C" w14:textId="6CFE67FC" w:rsidR="00997B37" w:rsidRPr="00AE612A" w:rsidRDefault="00997B37" w:rsidP="00BC1AE3">
            <w:pPr>
              <w:pStyle w:val="Paragraphedeliste"/>
              <w:numPr>
                <w:ilvl w:val="0"/>
                <w:numId w:val="46"/>
              </w:num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Existence de la stratégie Education</w:t>
            </w:r>
            <w:r w:rsidR="00487045" w:rsidRPr="00AE612A">
              <w:rPr>
                <w:rFonts w:ascii="Times New Roman" w:hAnsi="Times New Roman"/>
                <w:bCs/>
                <w:sz w:val="20"/>
                <w:szCs w:val="20"/>
              </w:rPr>
              <w:t xml:space="preserve"> des Réfugiés</w:t>
            </w:r>
            <w:r w:rsidRPr="00AE612A">
              <w:rPr>
                <w:rFonts w:ascii="Times New Roman" w:hAnsi="Times New Roman"/>
                <w:bCs/>
                <w:sz w:val="20"/>
                <w:szCs w:val="20"/>
              </w:rPr>
              <w:t xml:space="preserve"> 2030</w:t>
            </w:r>
            <w:r w:rsidR="00E80540" w:rsidRPr="00AE612A">
              <w:rPr>
                <w:rFonts w:ascii="Times New Roman" w:hAnsi="Times New Roman"/>
                <w:bCs/>
                <w:sz w:val="20"/>
                <w:szCs w:val="20"/>
              </w:rPr>
              <w:t xml:space="preserve"> </w:t>
            </w:r>
            <w:r w:rsidR="00487045" w:rsidRPr="00AE612A">
              <w:rPr>
                <w:rFonts w:ascii="Times New Roman" w:hAnsi="Times New Roman"/>
                <w:bCs/>
                <w:sz w:val="20"/>
                <w:szCs w:val="20"/>
              </w:rPr>
              <w:t>au Tchad</w:t>
            </w:r>
            <w:r w:rsidR="00E80540" w:rsidRPr="00AE612A">
              <w:rPr>
                <w:rFonts w:ascii="Times New Roman" w:hAnsi="Times New Roman"/>
                <w:bCs/>
                <w:sz w:val="20"/>
                <w:szCs w:val="20"/>
              </w:rPr>
              <w:t> ;</w:t>
            </w:r>
          </w:p>
          <w:p w14:paraId="71692152" w14:textId="46C3DCB0" w:rsidR="00AF2AE4"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 xml:space="preserve">• </w:t>
            </w:r>
            <w:r w:rsidRPr="00AE612A">
              <w:rPr>
                <w:rFonts w:ascii="Times New Roman" w:hAnsi="Times New Roman"/>
                <w:bCs/>
                <w:sz w:val="20"/>
                <w:szCs w:val="20"/>
              </w:rPr>
              <w:t>Possibilité d’utilisation de l’énergie solaire dans les écoles et aussi des lampes solaires dans les ménages pour faciliter l’éducation des enfants</w:t>
            </w:r>
            <w:r w:rsidR="00AF2AE4" w:rsidRPr="00AE612A">
              <w:rPr>
                <w:rFonts w:ascii="Times New Roman" w:hAnsi="Times New Roman"/>
                <w:bCs/>
                <w:sz w:val="20"/>
                <w:szCs w:val="20"/>
              </w:rPr>
              <w:t> ;</w:t>
            </w:r>
          </w:p>
          <w:p w14:paraId="78D0294E"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 Existence de la stratégie « Eau, Hygiène et Assainissement » en milieu scolaire</w:t>
            </w:r>
          </w:p>
        </w:tc>
      </w:tr>
      <w:tr w:rsidR="00AF2AE4" w:rsidRPr="00AE612A" w14:paraId="4E029705" w14:textId="77777777" w:rsidTr="00A8375B">
        <w:trPr>
          <w:trHeight w:val="199"/>
        </w:trPr>
        <w:tc>
          <w:tcPr>
            <w:tcW w:w="1527" w:type="dxa"/>
            <w:tcBorders>
              <w:top w:val="single" w:sz="4" w:space="0" w:color="auto"/>
              <w:left w:val="single" w:sz="4" w:space="0" w:color="auto"/>
              <w:bottom w:val="single" w:sz="4" w:space="0" w:color="auto"/>
              <w:right w:val="single" w:sz="4" w:space="0" w:color="auto"/>
            </w:tcBorders>
            <w:hideMark/>
          </w:tcPr>
          <w:p w14:paraId="0382BC2D"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5 : Egalite entre les sexes</w:t>
            </w:r>
          </w:p>
        </w:tc>
        <w:tc>
          <w:tcPr>
            <w:tcW w:w="4984" w:type="dxa"/>
            <w:tcBorders>
              <w:top w:val="single" w:sz="4" w:space="0" w:color="auto"/>
              <w:left w:val="single" w:sz="4" w:space="0" w:color="auto"/>
              <w:bottom w:val="single" w:sz="4" w:space="0" w:color="auto"/>
              <w:right w:val="single" w:sz="4" w:space="0" w:color="auto"/>
            </w:tcBorders>
            <w:hideMark/>
          </w:tcPr>
          <w:p w14:paraId="4979BEDF" w14:textId="4D29B08B"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L’applicabilité des textes légaux et réglementaires ;</w:t>
            </w:r>
          </w:p>
          <w:p w14:paraId="5E9C5783" w14:textId="53669139"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L’appropriation des textes législatifs et règlementaires par les femmes ;</w:t>
            </w:r>
          </w:p>
          <w:p w14:paraId="5016DB72" w14:textId="20DE118C" w:rsidR="006E2151" w:rsidRPr="00AE612A" w:rsidRDefault="00B31E36"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Autonomisation des femmes et les filles dans les communautés de réfugiés et d’accueil et à promouvoir la pleine jouissance de leurs droits humains, ainsi que l’égalité d’accès aux services et aux opportunités</w:t>
            </w:r>
            <w:r w:rsidR="000F067A" w:rsidRPr="00AE612A">
              <w:rPr>
                <w:rFonts w:ascii="Times New Roman" w:hAnsi="Times New Roman"/>
                <w:bCs/>
                <w:sz w:val="20"/>
                <w:szCs w:val="20"/>
              </w:rPr>
              <w:t> ;</w:t>
            </w:r>
          </w:p>
          <w:p w14:paraId="2ED62903" w14:textId="0253F989"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La réduction des impacts des pesanteurs socioculturelles ;</w:t>
            </w:r>
          </w:p>
          <w:p w14:paraId="68F02B8F" w14:textId="6A98AFCB"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lastRenderedPageBreak/>
              <w:t>Le financement du plan d’action quinquennale du Politique Nationale Genre (PNG).</w:t>
            </w:r>
          </w:p>
        </w:tc>
        <w:tc>
          <w:tcPr>
            <w:tcW w:w="3803" w:type="dxa"/>
            <w:tcBorders>
              <w:top w:val="single" w:sz="4" w:space="0" w:color="auto"/>
              <w:left w:val="single" w:sz="4" w:space="0" w:color="auto"/>
              <w:bottom w:val="single" w:sz="4" w:space="0" w:color="auto"/>
              <w:right w:val="single" w:sz="4" w:space="0" w:color="auto"/>
            </w:tcBorders>
            <w:hideMark/>
          </w:tcPr>
          <w:p w14:paraId="60C3F420"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lastRenderedPageBreak/>
              <w:t>• L’existence de la PNG et de son plan d’action 2019-2023 ;</w:t>
            </w:r>
          </w:p>
          <w:p w14:paraId="58794E09"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Feuille de route pour la lutte contre le mariage d’enfants 2019-2021 ;</w:t>
            </w:r>
          </w:p>
          <w:p w14:paraId="40B3840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Décret d’application de la Loi 022 instituant la parité dans les fonctions nominatives</w:t>
            </w:r>
          </w:p>
          <w:p w14:paraId="41DC51A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et</w:t>
            </w:r>
            <w:proofErr w:type="gramEnd"/>
            <w:r w:rsidRPr="00AE612A">
              <w:rPr>
                <w:rFonts w:ascii="Times New Roman" w:hAnsi="Times New Roman"/>
                <w:sz w:val="20"/>
                <w:szCs w:val="20"/>
              </w:rPr>
              <w:t xml:space="preserve"> électives ;</w:t>
            </w:r>
          </w:p>
          <w:p w14:paraId="3C34BF4B"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lastRenderedPageBreak/>
              <w:t>• Le Décret d’application de la Loi n° 006/PR/2002 portant promotion de la santé de la</w:t>
            </w:r>
          </w:p>
          <w:p w14:paraId="4E9B7B5C"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reproduction</w:t>
            </w:r>
            <w:proofErr w:type="gramEnd"/>
            <w:r w:rsidRPr="00AE612A">
              <w:rPr>
                <w:rFonts w:ascii="Times New Roman" w:hAnsi="Times New Roman"/>
                <w:sz w:val="20"/>
                <w:szCs w:val="20"/>
              </w:rPr>
              <w:t>.</w:t>
            </w:r>
          </w:p>
          <w:p w14:paraId="3DD84D7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radio « La voix de la femme » pour la sensibilisation et la conscientisation sur les</w:t>
            </w:r>
          </w:p>
          <w:p w14:paraId="2E20AE4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questions</w:t>
            </w:r>
            <w:proofErr w:type="gramEnd"/>
            <w:r w:rsidRPr="00AE612A">
              <w:rPr>
                <w:rFonts w:ascii="Times New Roman" w:hAnsi="Times New Roman"/>
                <w:sz w:val="20"/>
                <w:szCs w:val="20"/>
              </w:rPr>
              <w:t xml:space="preserve"> du genre ;</w:t>
            </w:r>
          </w:p>
          <w:p w14:paraId="36CB217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des organisations de la société civile qui œuvrent pour la promotion du</w:t>
            </w:r>
          </w:p>
          <w:p w14:paraId="29D021EF" w14:textId="77777777" w:rsidR="00957B6F" w:rsidRPr="00AE612A" w:rsidRDefault="00957B6F" w:rsidP="00957B6F">
            <w:pPr>
              <w:autoSpaceDE w:val="0"/>
              <w:autoSpaceDN w:val="0"/>
              <w:adjustRightInd w:val="0"/>
              <w:spacing w:line="240" w:lineRule="auto"/>
              <w:rPr>
                <w:rFonts w:ascii="Times New Roman" w:hAnsi="Times New Roman"/>
                <w:bCs/>
                <w:sz w:val="20"/>
                <w:szCs w:val="20"/>
              </w:rPr>
            </w:pPr>
            <w:r w:rsidRPr="00AE612A">
              <w:rPr>
                <w:rFonts w:ascii="Times New Roman" w:hAnsi="Times New Roman"/>
                <w:sz w:val="20"/>
                <w:szCs w:val="20"/>
                <w:lang w:val="en-US"/>
              </w:rPr>
              <w:t>genre.</w:t>
            </w:r>
          </w:p>
          <w:p w14:paraId="30B294C8" w14:textId="77777777" w:rsidR="00957B6F" w:rsidRPr="00AE612A" w:rsidRDefault="00957B6F" w:rsidP="00957B6F">
            <w:pPr>
              <w:autoSpaceDE w:val="0"/>
              <w:autoSpaceDN w:val="0"/>
              <w:adjustRightInd w:val="0"/>
              <w:spacing w:line="240" w:lineRule="auto"/>
              <w:rPr>
                <w:rFonts w:ascii="Times New Roman" w:hAnsi="Times New Roman"/>
                <w:bCs/>
                <w:sz w:val="20"/>
                <w:szCs w:val="20"/>
              </w:rPr>
            </w:pPr>
          </w:p>
        </w:tc>
      </w:tr>
      <w:tr w:rsidR="00AF2AE4" w:rsidRPr="00AE612A" w14:paraId="1453FDF6" w14:textId="77777777" w:rsidTr="00A8375B">
        <w:trPr>
          <w:trHeight w:val="3449"/>
        </w:trPr>
        <w:tc>
          <w:tcPr>
            <w:tcW w:w="1527" w:type="dxa"/>
            <w:tcBorders>
              <w:top w:val="single" w:sz="4" w:space="0" w:color="auto"/>
              <w:left w:val="single" w:sz="4" w:space="0" w:color="auto"/>
              <w:bottom w:val="single" w:sz="4" w:space="0" w:color="auto"/>
              <w:right w:val="single" w:sz="4" w:space="0" w:color="auto"/>
            </w:tcBorders>
            <w:hideMark/>
          </w:tcPr>
          <w:p w14:paraId="546876E7"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lastRenderedPageBreak/>
              <w:t>ODD 6 : Eau potable et Assainissement</w:t>
            </w:r>
          </w:p>
        </w:tc>
        <w:tc>
          <w:tcPr>
            <w:tcW w:w="4984" w:type="dxa"/>
            <w:tcBorders>
              <w:top w:val="single" w:sz="4" w:space="0" w:color="auto"/>
              <w:left w:val="single" w:sz="4" w:space="0" w:color="auto"/>
              <w:bottom w:val="single" w:sz="4" w:space="0" w:color="auto"/>
              <w:right w:val="single" w:sz="4" w:space="0" w:color="auto"/>
            </w:tcBorders>
          </w:tcPr>
          <w:p w14:paraId="46A65ED3" w14:textId="7E9CF355"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La gestion intégrée et participative et un suivi régulier des ouvrages de</w:t>
            </w:r>
          </w:p>
          <w:p w14:paraId="25ECEB79" w14:textId="4F18C028" w:rsidR="00957B6F" w:rsidRPr="00AE612A" w:rsidRDefault="00957B6F" w:rsidP="00A8375B">
            <w:pPr>
              <w:spacing w:line="240" w:lineRule="auto"/>
              <w:ind w:right="288"/>
              <w:contextualSpacing/>
              <w:jc w:val="both"/>
              <w:rPr>
                <w:rFonts w:ascii="Times New Roman" w:hAnsi="Times New Roman"/>
                <w:bCs/>
                <w:sz w:val="20"/>
                <w:szCs w:val="20"/>
              </w:rPr>
            </w:pPr>
            <w:proofErr w:type="gramStart"/>
            <w:r w:rsidRPr="00AE612A">
              <w:rPr>
                <w:rFonts w:ascii="Times New Roman" w:hAnsi="Times New Roman"/>
                <w:bCs/>
                <w:sz w:val="20"/>
                <w:szCs w:val="20"/>
              </w:rPr>
              <w:t>desserte</w:t>
            </w:r>
            <w:proofErr w:type="gramEnd"/>
            <w:r w:rsidRPr="00AE612A">
              <w:rPr>
                <w:rFonts w:ascii="Times New Roman" w:hAnsi="Times New Roman"/>
                <w:bCs/>
                <w:sz w:val="20"/>
                <w:szCs w:val="20"/>
              </w:rPr>
              <w:t xml:space="preserve"> d’eau potable et d’assainissement </w:t>
            </w:r>
          </w:p>
          <w:p w14:paraId="5B254CDC" w14:textId="4AAC0415" w:rsidR="009354AF" w:rsidRPr="00AE612A" w:rsidRDefault="004240DC" w:rsidP="00BC1AE3">
            <w:pPr>
              <w:pStyle w:val="Paragraphedeliste"/>
              <w:numPr>
                <w:ilvl w:val="0"/>
                <w:numId w:val="22"/>
              </w:numPr>
              <w:spacing w:line="240" w:lineRule="auto"/>
              <w:ind w:left="360" w:right="288"/>
              <w:jc w:val="both"/>
              <w:rPr>
                <w:rFonts w:ascii="Times New Roman" w:hAnsi="Times New Roman"/>
                <w:bCs/>
                <w:sz w:val="20"/>
                <w:szCs w:val="20"/>
              </w:rPr>
            </w:pPr>
            <w:r w:rsidRPr="00AE612A">
              <w:rPr>
                <w:rFonts w:ascii="Times New Roman" w:hAnsi="Times New Roman"/>
                <w:bCs/>
                <w:sz w:val="20"/>
                <w:szCs w:val="20"/>
              </w:rPr>
              <w:t>L</w:t>
            </w:r>
            <w:r w:rsidR="009354AF" w:rsidRPr="00AE612A">
              <w:rPr>
                <w:rFonts w:ascii="Times New Roman" w:hAnsi="Times New Roman"/>
                <w:bCs/>
                <w:sz w:val="20"/>
                <w:szCs w:val="20"/>
              </w:rPr>
              <w:t>a capacité nationale à relever les défis de l’eau, de l’assainissement et de l’hygiène dans ou à proximité des zones d’accueil des réfugiés ;</w:t>
            </w:r>
          </w:p>
          <w:p w14:paraId="0D125092" w14:textId="0390A350"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La conservation et la protection des écosystèmes ;</w:t>
            </w:r>
          </w:p>
          <w:p w14:paraId="12A9A352" w14:textId="5ED5F34D"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L’application des textes législatifs et réglementaires en matière de l’eau et de l’assainissement.</w:t>
            </w:r>
          </w:p>
          <w:p w14:paraId="10EB2FB3" w14:textId="50E3B680"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Coordination globale du secteur</w:t>
            </w:r>
          </w:p>
          <w:p w14:paraId="29918E44" w14:textId="4ADD2B0F"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Financement du secteur</w:t>
            </w:r>
          </w:p>
          <w:p w14:paraId="500B8EEF" w14:textId="21C9C122"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Disparités énormes entre le milieu Urbain et Rural</w:t>
            </w:r>
          </w:p>
          <w:p w14:paraId="6677448F" w14:textId="5402F14B"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Dispositif de maintenance inadapté</w:t>
            </w:r>
          </w:p>
          <w:p w14:paraId="088E04B5" w14:textId="0FEFB014"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Disponibilités de données mise à jour sur l’Eau et l’Assainissement</w:t>
            </w:r>
          </w:p>
          <w:p w14:paraId="4B5756AA" w14:textId="79429CF8"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Faible décentralisation des services d’Eau et d’Assainissement</w:t>
            </w:r>
          </w:p>
          <w:p w14:paraId="70A49976" w14:textId="0B8CCEA8"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Disponibilités de Plan d’investissement sectoriel pour l’Eau et l’Assainissement</w:t>
            </w:r>
          </w:p>
          <w:p w14:paraId="75A03EAC" w14:textId="62F614D7"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 xml:space="preserve">Ouvrages résilients aux changements climatiques (inondation, </w:t>
            </w:r>
            <w:r w:rsidR="001833E4" w:rsidRPr="00AE612A">
              <w:rPr>
                <w:rFonts w:ascii="Times New Roman" w:hAnsi="Times New Roman"/>
                <w:bCs/>
                <w:sz w:val="20"/>
                <w:szCs w:val="20"/>
              </w:rPr>
              <w:t>sècheresse</w:t>
            </w:r>
            <w:r w:rsidRPr="00AE612A">
              <w:rPr>
                <w:rFonts w:ascii="Times New Roman" w:hAnsi="Times New Roman"/>
                <w:bCs/>
                <w:sz w:val="20"/>
                <w:szCs w:val="20"/>
              </w:rPr>
              <w:t xml:space="preserve">, </w:t>
            </w:r>
            <w:proofErr w:type="gramStart"/>
            <w:r w:rsidRPr="00AE612A">
              <w:rPr>
                <w:rFonts w:ascii="Times New Roman" w:hAnsi="Times New Roman"/>
                <w:bCs/>
                <w:sz w:val="20"/>
                <w:szCs w:val="20"/>
              </w:rPr>
              <w:t>etc..</w:t>
            </w:r>
            <w:proofErr w:type="gramEnd"/>
            <w:r w:rsidRPr="00AE612A">
              <w:rPr>
                <w:rFonts w:ascii="Times New Roman" w:hAnsi="Times New Roman"/>
                <w:bCs/>
                <w:sz w:val="20"/>
                <w:szCs w:val="20"/>
              </w:rPr>
              <w:t>)</w:t>
            </w:r>
          </w:p>
          <w:p w14:paraId="228E60D4" w14:textId="50479991" w:rsidR="00957B6F" w:rsidRPr="00AE612A" w:rsidRDefault="00957B6F" w:rsidP="00BC1AE3">
            <w:pPr>
              <w:numPr>
                <w:ilvl w:val="0"/>
                <w:numId w:val="22"/>
              </w:numPr>
              <w:spacing w:line="240" w:lineRule="auto"/>
              <w:ind w:left="360" w:right="288"/>
              <w:contextualSpacing/>
              <w:jc w:val="both"/>
              <w:rPr>
                <w:rFonts w:ascii="Times New Roman" w:hAnsi="Times New Roman"/>
                <w:bCs/>
                <w:sz w:val="20"/>
                <w:szCs w:val="20"/>
              </w:rPr>
            </w:pPr>
            <w:r w:rsidRPr="00AE612A">
              <w:rPr>
                <w:rFonts w:ascii="Times New Roman" w:hAnsi="Times New Roman"/>
                <w:bCs/>
                <w:sz w:val="20"/>
                <w:szCs w:val="20"/>
              </w:rPr>
              <w:t>Gestion intégrée des Bassins versants</w:t>
            </w:r>
          </w:p>
        </w:tc>
        <w:tc>
          <w:tcPr>
            <w:tcW w:w="3803" w:type="dxa"/>
            <w:tcBorders>
              <w:top w:val="single" w:sz="4" w:space="0" w:color="auto"/>
              <w:left w:val="single" w:sz="4" w:space="0" w:color="auto"/>
              <w:bottom w:val="single" w:sz="4" w:space="0" w:color="auto"/>
              <w:right w:val="single" w:sz="4" w:space="0" w:color="auto"/>
            </w:tcBorders>
            <w:hideMark/>
          </w:tcPr>
          <w:p w14:paraId="4B255B1D"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politique et stratégie nationale de l’assainissement adoptée en 2017.</w:t>
            </w:r>
          </w:p>
          <w:p w14:paraId="732546EB"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Plan National d’Investissement Eau et Assainissement 2016-2030</w:t>
            </w:r>
          </w:p>
          <w:p w14:paraId="781E87F9"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feuille de route pour un Tchad sans défécation à l’air libre d’ici à 2030 ;</w:t>
            </w:r>
          </w:p>
          <w:p w14:paraId="46535D28"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disponibilité des ressources en eau souterraine et de surface en quantité</w:t>
            </w:r>
          </w:p>
          <w:p w14:paraId="0729B18F"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proofErr w:type="gramStart"/>
            <w:r w:rsidRPr="00AE612A">
              <w:rPr>
                <w:rFonts w:ascii="Times New Roman" w:hAnsi="Times New Roman"/>
                <w:sz w:val="20"/>
                <w:szCs w:val="20"/>
              </w:rPr>
              <w:t>importante</w:t>
            </w:r>
            <w:proofErr w:type="gramEnd"/>
            <w:r w:rsidRPr="00AE612A">
              <w:rPr>
                <w:rFonts w:ascii="Times New Roman" w:hAnsi="Times New Roman"/>
                <w:sz w:val="20"/>
                <w:szCs w:val="20"/>
              </w:rPr>
              <w:t xml:space="preserve"> (253-544 milliards de m3 par an).</w:t>
            </w:r>
          </w:p>
          <w:p w14:paraId="658D6F3F"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 xml:space="preserve">• </w:t>
            </w:r>
            <w:r w:rsidRPr="00AE612A">
              <w:rPr>
                <w:rFonts w:ascii="Times New Roman" w:hAnsi="Times New Roman"/>
                <w:bCs/>
                <w:sz w:val="20"/>
                <w:szCs w:val="20"/>
              </w:rPr>
              <w:t xml:space="preserve">Possibilité d’accès au fonds CC </w:t>
            </w:r>
          </w:p>
          <w:p w14:paraId="7DF1BBD8"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L’adoption de la PND et CDN par le gouvernement intégrant le secteur Eau et Assainissement</w:t>
            </w:r>
          </w:p>
          <w:p w14:paraId="3DC04641"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p>
        </w:tc>
      </w:tr>
      <w:tr w:rsidR="00AF2AE4" w:rsidRPr="00AE612A" w14:paraId="3243C503" w14:textId="77777777" w:rsidTr="00A8375B">
        <w:tc>
          <w:tcPr>
            <w:tcW w:w="1527" w:type="dxa"/>
            <w:tcBorders>
              <w:top w:val="single" w:sz="4" w:space="0" w:color="auto"/>
              <w:left w:val="single" w:sz="4" w:space="0" w:color="auto"/>
              <w:bottom w:val="single" w:sz="4" w:space="0" w:color="auto"/>
              <w:right w:val="single" w:sz="4" w:space="0" w:color="auto"/>
            </w:tcBorders>
            <w:hideMark/>
          </w:tcPr>
          <w:p w14:paraId="754291BE"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7 : Energie propre et d’un cout abordable</w:t>
            </w:r>
          </w:p>
        </w:tc>
        <w:tc>
          <w:tcPr>
            <w:tcW w:w="4984" w:type="dxa"/>
            <w:tcBorders>
              <w:top w:val="single" w:sz="4" w:space="0" w:color="auto"/>
              <w:left w:val="single" w:sz="4" w:space="0" w:color="auto"/>
              <w:bottom w:val="single" w:sz="4" w:space="0" w:color="auto"/>
              <w:right w:val="single" w:sz="4" w:space="0" w:color="auto"/>
            </w:tcBorders>
          </w:tcPr>
          <w:p w14:paraId="15DE1BE3" w14:textId="65DB404B"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 valorisation du potentiel énergétique par la promotion de l’utilisation du gaz, de l’énergie</w:t>
            </w:r>
          </w:p>
          <w:p w14:paraId="04E0A2AB" w14:textId="77777777" w:rsidR="00957B6F" w:rsidRPr="00AE612A" w:rsidRDefault="00957B6F" w:rsidP="00BC1AE3">
            <w:pPr>
              <w:pStyle w:val="Paragraphedeliste"/>
              <w:numPr>
                <w:ilvl w:val="0"/>
                <w:numId w:val="49"/>
              </w:numPr>
              <w:autoSpaceDE w:val="0"/>
              <w:autoSpaceDN w:val="0"/>
              <w:adjustRightInd w:val="0"/>
              <w:spacing w:after="0" w:line="240" w:lineRule="auto"/>
              <w:ind w:left="0"/>
              <w:rPr>
                <w:rFonts w:ascii="Times New Roman" w:hAnsi="Times New Roman"/>
                <w:sz w:val="20"/>
                <w:szCs w:val="20"/>
              </w:rPr>
            </w:pPr>
            <w:proofErr w:type="gramStart"/>
            <w:r w:rsidRPr="00AE612A">
              <w:rPr>
                <w:rFonts w:ascii="Times New Roman" w:hAnsi="Times New Roman"/>
                <w:sz w:val="20"/>
                <w:szCs w:val="20"/>
              </w:rPr>
              <w:t>solaire</w:t>
            </w:r>
            <w:proofErr w:type="gramEnd"/>
            <w:r w:rsidRPr="00AE612A">
              <w:rPr>
                <w:rFonts w:ascii="Times New Roman" w:hAnsi="Times New Roman"/>
                <w:sz w:val="20"/>
                <w:szCs w:val="20"/>
              </w:rPr>
              <w:t xml:space="preserve"> et autres énergies renouvelables ;</w:t>
            </w:r>
          </w:p>
          <w:p w14:paraId="68234455" w14:textId="273E5750" w:rsidR="004A06B6"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L’utilisation des technologies propres par les ménages ;</w:t>
            </w:r>
          </w:p>
          <w:p w14:paraId="3357E26A" w14:textId="31309B8A" w:rsidR="00544280" w:rsidRPr="00AE612A" w:rsidRDefault="001833E4"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L’accès</w:t>
            </w:r>
            <w:r w:rsidR="00544280" w:rsidRPr="00AE612A">
              <w:rPr>
                <w:rFonts w:ascii="Times New Roman" w:hAnsi="Times New Roman"/>
                <w:sz w:val="20"/>
                <w:szCs w:val="20"/>
              </w:rPr>
              <w:t xml:space="preserve"> des réfugiés et des communautés d’accueil à l’énergie propre et renouvelable ;</w:t>
            </w:r>
          </w:p>
          <w:p w14:paraId="325278A5" w14:textId="1DA85847"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L’accessibilité du gaz butane sur l’ensemble du territoire national à un coût abordable ;</w:t>
            </w:r>
          </w:p>
          <w:p w14:paraId="07097155" w14:textId="5E4F68D1" w:rsidR="004A06B6"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L’offre énergétique accessible et à moindre coût ;</w:t>
            </w:r>
          </w:p>
          <w:p w14:paraId="23262FF4" w14:textId="50E5C7C4" w:rsidR="004A06B6"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L’application de la Loi N°036/PR/2019 du 26 août 2019 qui ouvre le marché aux investisseurs</w:t>
            </w:r>
            <w:r w:rsidR="004A06B6" w:rsidRPr="00AE612A">
              <w:rPr>
                <w:rFonts w:ascii="Times New Roman" w:hAnsi="Times New Roman"/>
                <w:sz w:val="20"/>
                <w:szCs w:val="20"/>
              </w:rPr>
              <w:t xml:space="preserve"> </w:t>
            </w:r>
            <w:r w:rsidRPr="00AE612A">
              <w:rPr>
                <w:rFonts w:ascii="Times New Roman" w:hAnsi="Times New Roman"/>
                <w:sz w:val="20"/>
                <w:szCs w:val="20"/>
              </w:rPr>
              <w:t>privés ;</w:t>
            </w:r>
          </w:p>
          <w:p w14:paraId="1E96BEEF" w14:textId="1A2D8518"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 diversification des sources d’énergie.</w:t>
            </w:r>
          </w:p>
        </w:tc>
        <w:tc>
          <w:tcPr>
            <w:tcW w:w="3803" w:type="dxa"/>
            <w:tcBorders>
              <w:top w:val="single" w:sz="4" w:space="0" w:color="auto"/>
              <w:left w:val="single" w:sz="4" w:space="0" w:color="auto"/>
              <w:bottom w:val="single" w:sz="4" w:space="0" w:color="auto"/>
              <w:right w:val="single" w:sz="4" w:space="0" w:color="auto"/>
            </w:tcBorders>
            <w:hideMark/>
          </w:tcPr>
          <w:p w14:paraId="18278BB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  L’accroissement des initiatives de valorisation du potentiel solaire du Tchad, dont celle d’électrification </w:t>
            </w:r>
            <w:proofErr w:type="gramStart"/>
            <w:r w:rsidRPr="00AE612A">
              <w:rPr>
                <w:rFonts w:ascii="Times New Roman" w:hAnsi="Times New Roman"/>
                <w:sz w:val="20"/>
                <w:szCs w:val="20"/>
              </w:rPr>
              <w:t>rurale;</w:t>
            </w:r>
            <w:proofErr w:type="gramEnd"/>
          </w:p>
          <w:p w14:paraId="40281B30"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financement du projet d’interconnexion Tchad-Cameroun ;</w:t>
            </w:r>
          </w:p>
          <w:p w14:paraId="5DA7D841"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 L’extension des centrales électriques de </w:t>
            </w:r>
            <w:proofErr w:type="spellStart"/>
            <w:r w:rsidRPr="00AE612A">
              <w:rPr>
                <w:rFonts w:ascii="Times New Roman" w:hAnsi="Times New Roman"/>
                <w:sz w:val="20"/>
                <w:szCs w:val="20"/>
              </w:rPr>
              <w:t>Djarmaya</w:t>
            </w:r>
            <w:proofErr w:type="spellEnd"/>
            <w:r w:rsidRPr="00AE612A">
              <w:rPr>
                <w:rFonts w:ascii="Times New Roman" w:hAnsi="Times New Roman"/>
                <w:sz w:val="20"/>
                <w:szCs w:val="20"/>
              </w:rPr>
              <w:t xml:space="preserve"> pour couvrir la demande des quartiers</w:t>
            </w:r>
          </w:p>
          <w:p w14:paraId="0B200AF6"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périphériques</w:t>
            </w:r>
            <w:proofErr w:type="gramEnd"/>
            <w:r w:rsidRPr="00AE612A">
              <w:rPr>
                <w:rFonts w:ascii="Times New Roman" w:hAnsi="Times New Roman"/>
                <w:sz w:val="20"/>
                <w:szCs w:val="20"/>
              </w:rPr>
              <w:t xml:space="preserve"> de N’Djaména ;</w:t>
            </w:r>
          </w:p>
          <w:p w14:paraId="67512E92" w14:textId="758DBF7D"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L’Autorité de Régulation du Secteur de l’Energie Electrique (ARSE) ;</w:t>
            </w:r>
          </w:p>
          <w:p w14:paraId="59F80476" w14:textId="667376E8" w:rsidR="00786911" w:rsidRPr="00AE612A" w:rsidRDefault="00786911"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Disponibilité </w:t>
            </w:r>
            <w:r w:rsidR="00266691" w:rsidRPr="00AE612A">
              <w:rPr>
                <w:rFonts w:ascii="Times New Roman" w:hAnsi="Times New Roman"/>
                <w:sz w:val="20"/>
                <w:szCs w:val="20"/>
              </w:rPr>
              <w:t>d’énergies alternatives dans les camps de réfugiés et de déplacés ;</w:t>
            </w:r>
          </w:p>
          <w:p w14:paraId="3074818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L’Agence pour le Développement de l’Electrification Rurale et de la Maitrise d’énergie</w:t>
            </w:r>
          </w:p>
          <w:p w14:paraId="00995CB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(ADERM) ;</w:t>
            </w:r>
          </w:p>
          <w:p w14:paraId="16861E44"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lastRenderedPageBreak/>
              <w:t xml:space="preserve">• La Loi N°036/PR/2019 du 26 août 2019 relative au secteur de l’énergie électrique au Tchad, à la production, au transport et à la </w:t>
            </w:r>
            <w:proofErr w:type="gramStart"/>
            <w:r w:rsidRPr="00AE612A">
              <w:rPr>
                <w:rFonts w:ascii="Times New Roman" w:hAnsi="Times New Roman"/>
                <w:sz w:val="20"/>
                <w:szCs w:val="20"/>
              </w:rPr>
              <w:t>distribution.</w:t>
            </w:r>
            <w:r w:rsidRPr="00AE612A">
              <w:rPr>
                <w:rFonts w:ascii="Times New Roman" w:hAnsi="Times New Roman"/>
                <w:bCs/>
                <w:sz w:val="20"/>
                <w:szCs w:val="20"/>
              </w:rPr>
              <w:t>.</w:t>
            </w:r>
            <w:proofErr w:type="gramEnd"/>
          </w:p>
        </w:tc>
      </w:tr>
      <w:tr w:rsidR="00AF2AE4" w:rsidRPr="00AE612A" w14:paraId="44AC32B4" w14:textId="77777777" w:rsidTr="00A8375B">
        <w:trPr>
          <w:trHeight w:val="1301"/>
        </w:trPr>
        <w:tc>
          <w:tcPr>
            <w:tcW w:w="1527" w:type="dxa"/>
            <w:tcBorders>
              <w:top w:val="single" w:sz="4" w:space="0" w:color="auto"/>
              <w:left w:val="single" w:sz="4" w:space="0" w:color="auto"/>
              <w:bottom w:val="single" w:sz="4" w:space="0" w:color="auto"/>
              <w:right w:val="single" w:sz="4" w:space="0" w:color="auto"/>
            </w:tcBorders>
            <w:hideMark/>
          </w:tcPr>
          <w:p w14:paraId="6CE9CCCE"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lastRenderedPageBreak/>
              <w:t>ODD 8 : Travail décent et croissance économique</w:t>
            </w:r>
          </w:p>
        </w:tc>
        <w:tc>
          <w:tcPr>
            <w:tcW w:w="4984" w:type="dxa"/>
            <w:tcBorders>
              <w:top w:val="single" w:sz="4" w:space="0" w:color="auto"/>
              <w:left w:val="single" w:sz="4" w:space="0" w:color="auto"/>
              <w:bottom w:val="single" w:sz="4" w:space="0" w:color="auto"/>
              <w:right w:val="single" w:sz="4" w:space="0" w:color="auto"/>
            </w:tcBorders>
            <w:hideMark/>
          </w:tcPr>
          <w:p w14:paraId="4F04FEC3" w14:textId="6F76CAA7"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 réalisation et le maintien d’un taux de croissance économique supérieure ou égale à 7%</w:t>
            </w:r>
          </w:p>
          <w:p w14:paraId="2F52B420" w14:textId="33CBA9D3" w:rsidR="00F72ECF" w:rsidRPr="00AE612A" w:rsidRDefault="00957B6F" w:rsidP="00A8375B">
            <w:pPr>
              <w:pStyle w:val="Paragraphedeliste"/>
              <w:autoSpaceDE w:val="0"/>
              <w:autoSpaceDN w:val="0"/>
              <w:adjustRightInd w:val="0"/>
              <w:spacing w:after="0" w:line="240" w:lineRule="auto"/>
              <w:ind w:left="360"/>
              <w:rPr>
                <w:rFonts w:ascii="Times New Roman" w:hAnsi="Times New Roman"/>
                <w:sz w:val="20"/>
                <w:szCs w:val="20"/>
              </w:rPr>
            </w:pPr>
            <w:proofErr w:type="gramStart"/>
            <w:r w:rsidRPr="00AE612A">
              <w:rPr>
                <w:rFonts w:ascii="Times New Roman" w:hAnsi="Times New Roman"/>
                <w:sz w:val="20"/>
                <w:szCs w:val="20"/>
              </w:rPr>
              <w:t>conformément</w:t>
            </w:r>
            <w:proofErr w:type="gramEnd"/>
            <w:r w:rsidRPr="00AE612A">
              <w:rPr>
                <w:rFonts w:ascii="Times New Roman" w:hAnsi="Times New Roman"/>
                <w:sz w:val="20"/>
                <w:szCs w:val="20"/>
              </w:rPr>
              <w:t xml:space="preserve"> à la cible ;</w:t>
            </w:r>
          </w:p>
          <w:p w14:paraId="58FCA252" w14:textId="2F1D9AF8"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 transition de l’économie informelle vers le formel</w:t>
            </w:r>
          </w:p>
          <w:p w14:paraId="6EEBFD07" w14:textId="1DCEDC9C"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L‘assainissement du climat des affaires ;</w:t>
            </w:r>
          </w:p>
          <w:p w14:paraId="6E56DC31" w14:textId="23F20F36"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L’adéquation structurelle entre la demande et l’offre d’emploi ;</w:t>
            </w:r>
          </w:p>
          <w:p w14:paraId="154A3E50" w14:textId="183E497C"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Le développement du secteur privé et la diversification de l’économie ;</w:t>
            </w:r>
          </w:p>
          <w:p w14:paraId="5C4535F0" w14:textId="2895DCBC"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L’accès aux services énergétiques fiables et modernes, à un coût abordable ;</w:t>
            </w:r>
          </w:p>
          <w:p w14:paraId="66331ED6" w14:textId="1841E51A"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L’opérationnalisation du système de gestion du cadastre minier dynamique.</w:t>
            </w:r>
          </w:p>
        </w:tc>
        <w:tc>
          <w:tcPr>
            <w:tcW w:w="3803" w:type="dxa"/>
            <w:tcBorders>
              <w:top w:val="single" w:sz="4" w:space="0" w:color="auto"/>
              <w:left w:val="single" w:sz="4" w:space="0" w:color="auto"/>
              <w:bottom w:val="single" w:sz="4" w:space="0" w:color="auto"/>
              <w:right w:val="single" w:sz="4" w:space="0" w:color="auto"/>
            </w:tcBorders>
            <w:hideMark/>
          </w:tcPr>
          <w:p w14:paraId="5232F219" w14:textId="157A39A1" w:rsidR="00957B6F" w:rsidRPr="00AE612A" w:rsidRDefault="00957B6F" w:rsidP="00957B6F">
            <w:pPr>
              <w:rPr>
                <w:rFonts w:ascii="Times New Roman" w:hAnsi="Times New Roman"/>
                <w:color w:val="000000"/>
                <w:sz w:val="20"/>
                <w:szCs w:val="20"/>
              </w:rPr>
            </w:pPr>
            <w:r w:rsidRPr="00AE612A">
              <w:rPr>
                <w:rFonts w:ascii="Times New Roman" w:hAnsi="Times New Roman"/>
                <w:color w:val="000000"/>
                <w:sz w:val="20"/>
                <w:szCs w:val="20"/>
              </w:rPr>
              <w:t>• La stratégie nationale de développement du secteur privé ;</w:t>
            </w:r>
          </w:p>
          <w:p w14:paraId="0D0196FB" w14:textId="3370D023" w:rsidR="000E1984" w:rsidRPr="00AE612A" w:rsidRDefault="00FA6A31" w:rsidP="00BC1AE3">
            <w:pPr>
              <w:pStyle w:val="Paragraphedeliste"/>
              <w:numPr>
                <w:ilvl w:val="0"/>
                <w:numId w:val="46"/>
              </w:numPr>
              <w:rPr>
                <w:rFonts w:ascii="Times New Roman" w:hAnsi="Times New Roman"/>
                <w:color w:val="000000"/>
                <w:sz w:val="20"/>
                <w:szCs w:val="20"/>
              </w:rPr>
            </w:pPr>
            <w:r w:rsidRPr="00AE612A">
              <w:rPr>
                <w:rFonts w:ascii="Times New Roman" w:hAnsi="Times New Roman"/>
                <w:color w:val="000000"/>
                <w:sz w:val="20"/>
                <w:szCs w:val="20"/>
              </w:rPr>
              <w:t>La loi relative à l’asile ;</w:t>
            </w:r>
          </w:p>
          <w:p w14:paraId="077E9AAD" w14:textId="77777777" w:rsidR="00957B6F" w:rsidRPr="00AE612A" w:rsidRDefault="00957B6F" w:rsidP="00957B6F">
            <w:pPr>
              <w:autoSpaceDE w:val="0"/>
              <w:autoSpaceDN w:val="0"/>
              <w:adjustRightInd w:val="0"/>
              <w:spacing w:after="0" w:line="240" w:lineRule="auto"/>
              <w:rPr>
                <w:rFonts w:ascii="Times New Roman" w:hAnsi="Times New Roman"/>
                <w:color w:val="000000"/>
                <w:sz w:val="20"/>
                <w:szCs w:val="20"/>
              </w:rPr>
            </w:pPr>
            <w:r w:rsidRPr="00AE612A">
              <w:rPr>
                <w:rFonts w:ascii="Times New Roman" w:hAnsi="Times New Roman"/>
                <w:color w:val="000000"/>
                <w:sz w:val="20"/>
                <w:szCs w:val="20"/>
              </w:rPr>
              <w:t>• Le fort potentiel démographique, agro-pastoral et halieutique ;</w:t>
            </w:r>
          </w:p>
          <w:p w14:paraId="1F00A06A" w14:textId="77777777" w:rsidR="00957B6F" w:rsidRPr="00AE612A" w:rsidRDefault="00957B6F" w:rsidP="00957B6F">
            <w:pPr>
              <w:autoSpaceDE w:val="0"/>
              <w:autoSpaceDN w:val="0"/>
              <w:adjustRightInd w:val="0"/>
              <w:spacing w:after="0" w:line="240" w:lineRule="auto"/>
              <w:rPr>
                <w:rFonts w:ascii="Times New Roman" w:hAnsi="Times New Roman"/>
                <w:color w:val="000000"/>
                <w:sz w:val="20"/>
                <w:szCs w:val="20"/>
              </w:rPr>
            </w:pPr>
            <w:r w:rsidRPr="00AE612A">
              <w:rPr>
                <w:rFonts w:ascii="Times New Roman" w:hAnsi="Times New Roman"/>
                <w:color w:val="000000"/>
                <w:sz w:val="20"/>
                <w:szCs w:val="20"/>
              </w:rPr>
              <w:t>• Le Plan directeur d’industrialisation et de diversification de l’économie ;</w:t>
            </w:r>
          </w:p>
          <w:p w14:paraId="7616B382" w14:textId="77777777" w:rsidR="00957B6F" w:rsidRPr="00AE612A" w:rsidRDefault="00957B6F" w:rsidP="00957B6F">
            <w:pPr>
              <w:autoSpaceDE w:val="0"/>
              <w:autoSpaceDN w:val="0"/>
              <w:adjustRightInd w:val="0"/>
              <w:spacing w:after="0" w:line="240" w:lineRule="auto"/>
              <w:rPr>
                <w:rFonts w:ascii="Times New Roman" w:hAnsi="Times New Roman"/>
                <w:color w:val="000000"/>
                <w:sz w:val="20"/>
                <w:szCs w:val="20"/>
              </w:rPr>
            </w:pPr>
            <w:r w:rsidRPr="00AE612A">
              <w:rPr>
                <w:rFonts w:ascii="Times New Roman" w:hAnsi="Times New Roman"/>
                <w:color w:val="000000"/>
                <w:sz w:val="20"/>
                <w:szCs w:val="20"/>
              </w:rPr>
              <w:t>• La création du comptoir d’achat de l’or et des métaux précieux ;</w:t>
            </w:r>
          </w:p>
          <w:p w14:paraId="5FF17A7C" w14:textId="7253C19F" w:rsidR="00957B6F" w:rsidRPr="00AE612A" w:rsidRDefault="00957B6F" w:rsidP="00957B6F">
            <w:pPr>
              <w:autoSpaceDE w:val="0"/>
              <w:autoSpaceDN w:val="0"/>
              <w:adjustRightInd w:val="0"/>
              <w:spacing w:after="0" w:line="240" w:lineRule="auto"/>
              <w:rPr>
                <w:rFonts w:ascii="Times New Roman" w:hAnsi="Times New Roman"/>
                <w:color w:val="000000"/>
                <w:sz w:val="20"/>
                <w:szCs w:val="20"/>
              </w:rPr>
            </w:pPr>
            <w:r w:rsidRPr="00AE612A">
              <w:rPr>
                <w:rFonts w:ascii="Times New Roman" w:hAnsi="Times New Roman"/>
                <w:color w:val="000000"/>
                <w:sz w:val="20"/>
                <w:szCs w:val="20"/>
              </w:rPr>
              <w:t>• La Zone de Libre Echange Continentale Africaine (ZLE</w:t>
            </w:r>
            <w:r w:rsidR="00D034EB" w:rsidRPr="00AE612A">
              <w:rPr>
                <w:rFonts w:ascii="Times New Roman" w:hAnsi="Times New Roman"/>
                <w:color w:val="000000"/>
                <w:sz w:val="20"/>
                <w:szCs w:val="20"/>
              </w:rPr>
              <w:t>CAF</w:t>
            </w:r>
            <w:r w:rsidRPr="00AE612A">
              <w:rPr>
                <w:rFonts w:ascii="Times New Roman" w:hAnsi="Times New Roman"/>
                <w:color w:val="000000"/>
                <w:sz w:val="20"/>
                <w:szCs w:val="20"/>
              </w:rPr>
              <w:t>).</w:t>
            </w:r>
          </w:p>
          <w:p w14:paraId="4DF4D56A" w14:textId="77777777" w:rsidR="00957B6F" w:rsidRPr="00AE612A" w:rsidRDefault="00957B6F" w:rsidP="00957B6F">
            <w:pPr>
              <w:spacing w:line="240" w:lineRule="auto"/>
              <w:jc w:val="both"/>
              <w:rPr>
                <w:rFonts w:ascii="Times New Roman" w:hAnsi="Times New Roman"/>
                <w:bCs/>
                <w:sz w:val="20"/>
                <w:szCs w:val="20"/>
              </w:rPr>
            </w:pPr>
          </w:p>
        </w:tc>
      </w:tr>
      <w:tr w:rsidR="00AF2AE4" w:rsidRPr="00AE612A" w14:paraId="317C743C" w14:textId="77777777" w:rsidTr="00A8375B">
        <w:tc>
          <w:tcPr>
            <w:tcW w:w="1527" w:type="dxa"/>
            <w:tcBorders>
              <w:top w:val="single" w:sz="4" w:space="0" w:color="auto"/>
              <w:left w:val="single" w:sz="4" w:space="0" w:color="auto"/>
              <w:bottom w:val="single" w:sz="4" w:space="0" w:color="auto"/>
              <w:right w:val="single" w:sz="4" w:space="0" w:color="auto"/>
            </w:tcBorders>
            <w:hideMark/>
          </w:tcPr>
          <w:p w14:paraId="1D21EC26"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9 : Industrie, Innovations et Infrastructures</w:t>
            </w:r>
          </w:p>
        </w:tc>
        <w:tc>
          <w:tcPr>
            <w:tcW w:w="4984" w:type="dxa"/>
            <w:tcBorders>
              <w:top w:val="single" w:sz="4" w:space="0" w:color="auto"/>
              <w:left w:val="single" w:sz="4" w:space="0" w:color="auto"/>
              <w:bottom w:val="single" w:sz="4" w:space="0" w:color="auto"/>
              <w:right w:val="single" w:sz="4" w:space="0" w:color="auto"/>
            </w:tcBorders>
            <w:hideMark/>
          </w:tcPr>
          <w:p w14:paraId="396D2F98" w14:textId="32FED0E4" w:rsidR="00957B6F" w:rsidRPr="00AE612A" w:rsidRDefault="00957B6F"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Le renforcement des moyens financiers, techniques et humains dans le domaine de la recherche scientifique ;</w:t>
            </w:r>
          </w:p>
          <w:p w14:paraId="2B1F0B0C" w14:textId="4D9CCB00" w:rsidR="00166F29" w:rsidRPr="00AE612A" w:rsidRDefault="00166F29" w:rsidP="00BC1AE3">
            <w:pPr>
              <w:pStyle w:val="Paragraphedeliste"/>
              <w:numPr>
                <w:ilvl w:val="1"/>
                <w:numId w:val="21"/>
              </w:numPr>
              <w:autoSpaceDE w:val="0"/>
              <w:autoSpaceDN w:val="0"/>
              <w:adjustRightInd w:val="0"/>
              <w:spacing w:after="0" w:line="240" w:lineRule="auto"/>
              <w:ind w:left="360"/>
              <w:rPr>
                <w:rFonts w:ascii="Times New Roman" w:hAnsi="Times New Roman"/>
                <w:sz w:val="20"/>
                <w:szCs w:val="20"/>
              </w:rPr>
            </w:pPr>
            <w:r w:rsidRPr="00AE612A">
              <w:rPr>
                <w:rFonts w:ascii="Times New Roman" w:hAnsi="Times New Roman"/>
                <w:sz w:val="20"/>
                <w:szCs w:val="20"/>
              </w:rPr>
              <w:t>L</w:t>
            </w:r>
            <w:r w:rsidR="00E80018" w:rsidRPr="00AE612A">
              <w:rPr>
                <w:rFonts w:ascii="Times New Roman" w:hAnsi="Times New Roman"/>
                <w:sz w:val="20"/>
                <w:szCs w:val="20"/>
              </w:rPr>
              <w:t>a promotion d’</w:t>
            </w:r>
            <w:r w:rsidRPr="00AE612A">
              <w:rPr>
                <w:rFonts w:ascii="Times New Roman" w:hAnsi="Times New Roman"/>
                <w:sz w:val="20"/>
                <w:szCs w:val="20"/>
              </w:rPr>
              <w:t>une gestion intégrée et durable des ressources naturelles et des écosystèmes dans les zones urbaines et rurales ;</w:t>
            </w:r>
          </w:p>
          <w:p w14:paraId="2CC7A021" w14:textId="01392342"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L’accessibilité aux TIC à un coût abordable</w:t>
            </w:r>
            <w:r w:rsidR="008C1E1C" w:rsidRPr="00AE612A">
              <w:rPr>
                <w:rFonts w:ascii="Times New Roman" w:hAnsi="Times New Roman"/>
                <w:sz w:val="20"/>
                <w:szCs w:val="20"/>
              </w:rPr>
              <w:t>, y compris pour les refugies</w:t>
            </w:r>
            <w:r w:rsidRPr="00AE612A">
              <w:rPr>
                <w:rFonts w:ascii="Times New Roman" w:hAnsi="Times New Roman"/>
                <w:sz w:val="20"/>
                <w:szCs w:val="20"/>
              </w:rPr>
              <w:t xml:space="preserve"> ;</w:t>
            </w:r>
          </w:p>
          <w:p w14:paraId="0156D787" w14:textId="080A4B4F"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 maillage du réseau national ;</w:t>
            </w:r>
          </w:p>
          <w:p w14:paraId="7B96F8BB" w14:textId="0DF7CF40"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L’interconnexion de l’administration publique ;</w:t>
            </w:r>
          </w:p>
          <w:p w14:paraId="69D121F5" w14:textId="76D6760B"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La conservation du patrimoine routier.</w:t>
            </w:r>
          </w:p>
        </w:tc>
        <w:tc>
          <w:tcPr>
            <w:tcW w:w="3803" w:type="dxa"/>
            <w:tcBorders>
              <w:top w:val="single" w:sz="4" w:space="0" w:color="auto"/>
              <w:left w:val="single" w:sz="4" w:space="0" w:color="auto"/>
              <w:bottom w:val="single" w:sz="4" w:space="0" w:color="auto"/>
              <w:right w:val="single" w:sz="4" w:space="0" w:color="auto"/>
            </w:tcBorders>
          </w:tcPr>
          <w:p w14:paraId="17109B55"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plan directeur d’industrialisation et de diversification de l’économie (PDIDE).</w:t>
            </w:r>
          </w:p>
          <w:p w14:paraId="7323D1DC" w14:textId="77777777" w:rsidR="00957B6F" w:rsidRPr="00AE612A" w:rsidRDefault="00957B6F" w:rsidP="00957B6F">
            <w:pPr>
              <w:autoSpaceDE w:val="0"/>
              <w:autoSpaceDN w:val="0"/>
              <w:adjustRightInd w:val="0"/>
              <w:spacing w:after="0" w:line="240" w:lineRule="auto"/>
              <w:rPr>
                <w:rFonts w:ascii="Times New Roman" w:hAnsi="Times New Roman"/>
                <w:sz w:val="20"/>
                <w:szCs w:val="20"/>
                <w:lang w:val="es-ES"/>
              </w:rPr>
            </w:pPr>
            <w:r w:rsidRPr="00AE612A">
              <w:rPr>
                <w:rFonts w:ascii="Times New Roman" w:hAnsi="Times New Roman"/>
                <w:sz w:val="20"/>
                <w:szCs w:val="20"/>
                <w:lang w:val="es-ES"/>
              </w:rPr>
              <w:t xml:space="preserve">• La </w:t>
            </w:r>
            <w:proofErr w:type="spellStart"/>
            <w:r w:rsidRPr="00AE612A">
              <w:rPr>
                <w:rFonts w:ascii="Times New Roman" w:hAnsi="Times New Roman"/>
                <w:sz w:val="20"/>
                <w:szCs w:val="20"/>
                <w:lang w:val="es-ES"/>
              </w:rPr>
              <w:t>fibre</w:t>
            </w:r>
            <w:proofErr w:type="spellEnd"/>
            <w:r w:rsidRPr="00AE612A">
              <w:rPr>
                <w:rFonts w:ascii="Times New Roman" w:hAnsi="Times New Roman"/>
                <w:sz w:val="20"/>
                <w:szCs w:val="20"/>
                <w:lang w:val="es-ES"/>
              </w:rPr>
              <w:t xml:space="preserve"> </w:t>
            </w:r>
            <w:proofErr w:type="spellStart"/>
            <w:r w:rsidRPr="00AE612A">
              <w:rPr>
                <w:rFonts w:ascii="Times New Roman" w:hAnsi="Times New Roman"/>
                <w:sz w:val="20"/>
                <w:szCs w:val="20"/>
                <w:lang w:val="es-ES"/>
              </w:rPr>
              <w:t>optique</w:t>
            </w:r>
            <w:proofErr w:type="spellEnd"/>
            <w:r w:rsidRPr="00AE612A">
              <w:rPr>
                <w:rFonts w:ascii="Times New Roman" w:hAnsi="Times New Roman"/>
                <w:sz w:val="20"/>
                <w:szCs w:val="20"/>
                <w:lang w:val="es-ES"/>
              </w:rPr>
              <w:t xml:space="preserve"> Tchad-</w:t>
            </w:r>
            <w:proofErr w:type="spellStart"/>
            <w:r w:rsidRPr="00AE612A">
              <w:rPr>
                <w:rFonts w:ascii="Times New Roman" w:hAnsi="Times New Roman"/>
                <w:sz w:val="20"/>
                <w:szCs w:val="20"/>
                <w:lang w:val="es-ES"/>
              </w:rPr>
              <w:t>Soudan</w:t>
            </w:r>
            <w:proofErr w:type="spellEnd"/>
            <w:r w:rsidRPr="00AE612A">
              <w:rPr>
                <w:rFonts w:ascii="Times New Roman" w:hAnsi="Times New Roman"/>
                <w:sz w:val="20"/>
                <w:szCs w:val="20"/>
                <w:lang w:val="es-ES"/>
              </w:rPr>
              <w:t xml:space="preserve"> (</w:t>
            </w:r>
            <w:proofErr w:type="spellStart"/>
            <w:r w:rsidRPr="00AE612A">
              <w:rPr>
                <w:rFonts w:ascii="Times New Roman" w:hAnsi="Times New Roman"/>
                <w:sz w:val="20"/>
                <w:szCs w:val="20"/>
                <w:lang w:val="es-ES"/>
              </w:rPr>
              <w:t>N’Djamena</w:t>
            </w:r>
            <w:proofErr w:type="spellEnd"/>
            <w:r w:rsidRPr="00AE612A">
              <w:rPr>
                <w:rFonts w:ascii="Times New Roman" w:hAnsi="Times New Roman"/>
                <w:sz w:val="20"/>
                <w:szCs w:val="20"/>
                <w:lang w:val="es-ES"/>
              </w:rPr>
              <w:t xml:space="preserve">-El </w:t>
            </w:r>
            <w:proofErr w:type="spellStart"/>
            <w:r w:rsidRPr="00AE612A">
              <w:rPr>
                <w:rFonts w:ascii="Times New Roman" w:hAnsi="Times New Roman"/>
                <w:sz w:val="20"/>
                <w:szCs w:val="20"/>
                <w:lang w:val="es-ES"/>
              </w:rPr>
              <w:t>Djinena</w:t>
            </w:r>
            <w:proofErr w:type="spellEnd"/>
            <w:proofErr w:type="gramStart"/>
            <w:r w:rsidRPr="00AE612A">
              <w:rPr>
                <w:rFonts w:ascii="Times New Roman" w:hAnsi="Times New Roman"/>
                <w:sz w:val="20"/>
                <w:szCs w:val="20"/>
                <w:lang w:val="es-ES"/>
              </w:rPr>
              <w:t>) ;</w:t>
            </w:r>
            <w:proofErr w:type="gramEnd"/>
          </w:p>
          <w:p w14:paraId="4036D7C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 La mise en </w:t>
            </w:r>
            <w:proofErr w:type="spellStart"/>
            <w:r w:rsidRPr="00AE612A">
              <w:rPr>
                <w:rFonts w:ascii="Times New Roman" w:hAnsi="Times New Roman"/>
                <w:sz w:val="20"/>
                <w:szCs w:val="20"/>
              </w:rPr>
              <w:t>oeuvre</w:t>
            </w:r>
            <w:proofErr w:type="spellEnd"/>
            <w:r w:rsidRPr="00AE612A">
              <w:rPr>
                <w:rFonts w:ascii="Times New Roman" w:hAnsi="Times New Roman"/>
                <w:sz w:val="20"/>
                <w:szCs w:val="20"/>
              </w:rPr>
              <w:t xml:space="preserve"> des projets de modernisation des infrastructures de</w:t>
            </w:r>
          </w:p>
          <w:p w14:paraId="13012565" w14:textId="6773A50F"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communication</w:t>
            </w:r>
            <w:proofErr w:type="gramEnd"/>
            <w:r w:rsidRPr="00AE612A">
              <w:rPr>
                <w:rFonts w:ascii="Times New Roman" w:hAnsi="Times New Roman"/>
                <w:sz w:val="20"/>
                <w:szCs w:val="20"/>
              </w:rPr>
              <w:t xml:space="preserve"> électroniques et de la Dorsale Transsaharienne ;</w:t>
            </w:r>
          </w:p>
          <w:p w14:paraId="2E045255"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projet de construction de la route transsaharienne pour de liaisons</w:t>
            </w:r>
          </w:p>
          <w:p w14:paraId="76D75B05"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intercontinentale</w:t>
            </w:r>
            <w:proofErr w:type="gramEnd"/>
            <w:r w:rsidRPr="00AE612A">
              <w:rPr>
                <w:rFonts w:ascii="Times New Roman" w:hAnsi="Times New Roman"/>
                <w:sz w:val="20"/>
                <w:szCs w:val="20"/>
              </w:rPr>
              <w:t xml:space="preserve"> ;</w:t>
            </w:r>
          </w:p>
          <w:p w14:paraId="3ECBCE58"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projet régional pour l’amélioration de la performance du corridor rail/route Douala</w:t>
            </w:r>
          </w:p>
          <w:p w14:paraId="2BB7E5CE"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N’Djamena (PCDN) ;</w:t>
            </w:r>
          </w:p>
          <w:p w14:paraId="48F7CF86"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projet Régional Intégrateur du Réseau Routier dans le Bassin du Lac Tchad avec</w:t>
            </w:r>
          </w:p>
          <w:p w14:paraId="65E130A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la</w:t>
            </w:r>
            <w:proofErr w:type="gramEnd"/>
            <w:r w:rsidRPr="00AE612A">
              <w:rPr>
                <w:rFonts w:ascii="Times New Roman" w:hAnsi="Times New Roman"/>
                <w:sz w:val="20"/>
                <w:szCs w:val="20"/>
              </w:rPr>
              <w:t xml:space="preserve"> construction d’un pont sur le fleuve Logone entre Yagoua (Cameroun) et Bongor</w:t>
            </w:r>
          </w:p>
          <w:p w14:paraId="0B1462DE"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(Tchad) ;</w:t>
            </w:r>
          </w:p>
          <w:p w14:paraId="28219D3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projet de Mobilité et de Connectivité Rurale (PMCR) et la composante</w:t>
            </w:r>
          </w:p>
          <w:p w14:paraId="2C991428"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Accessibilité et Mobilité Rurale (AMR) du projet, SAN ;</w:t>
            </w:r>
          </w:p>
          <w:p w14:paraId="07A71FD2" w14:textId="77777777" w:rsidR="00957B6F" w:rsidRPr="00AE612A" w:rsidRDefault="00957B6F" w:rsidP="00957B6F">
            <w:pPr>
              <w:spacing w:line="240" w:lineRule="auto"/>
              <w:jc w:val="both"/>
              <w:rPr>
                <w:rFonts w:ascii="Times New Roman" w:hAnsi="Times New Roman"/>
                <w:bCs/>
                <w:sz w:val="20"/>
                <w:szCs w:val="20"/>
              </w:rPr>
            </w:pPr>
            <w:r w:rsidRPr="00AE612A">
              <w:rPr>
                <w:rFonts w:ascii="Times New Roman" w:hAnsi="Times New Roman"/>
                <w:sz w:val="20"/>
                <w:szCs w:val="20"/>
              </w:rPr>
              <w:t>• La Loi N°027/PR/2017 portant Code de la Route au Tchad ;</w:t>
            </w:r>
          </w:p>
        </w:tc>
      </w:tr>
      <w:tr w:rsidR="00AF2AE4" w:rsidRPr="00AE612A" w14:paraId="2CA1EDA7" w14:textId="77777777" w:rsidTr="00A8375B">
        <w:trPr>
          <w:trHeight w:val="639"/>
        </w:trPr>
        <w:tc>
          <w:tcPr>
            <w:tcW w:w="1527" w:type="dxa"/>
            <w:tcBorders>
              <w:top w:val="single" w:sz="4" w:space="0" w:color="auto"/>
              <w:left w:val="single" w:sz="4" w:space="0" w:color="auto"/>
              <w:bottom w:val="single" w:sz="4" w:space="0" w:color="auto"/>
              <w:right w:val="single" w:sz="4" w:space="0" w:color="auto"/>
            </w:tcBorders>
            <w:hideMark/>
          </w:tcPr>
          <w:p w14:paraId="0E83FD70"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10 : Inégalités réduites</w:t>
            </w:r>
          </w:p>
        </w:tc>
        <w:tc>
          <w:tcPr>
            <w:tcW w:w="4984" w:type="dxa"/>
            <w:tcBorders>
              <w:top w:val="single" w:sz="4" w:space="0" w:color="auto"/>
              <w:left w:val="single" w:sz="4" w:space="0" w:color="auto"/>
              <w:bottom w:val="single" w:sz="4" w:space="0" w:color="auto"/>
              <w:right w:val="single" w:sz="4" w:space="0" w:color="auto"/>
            </w:tcBorders>
            <w:hideMark/>
          </w:tcPr>
          <w:p w14:paraId="789E6AC8" w14:textId="1C7B7780"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pérennisation des appuis financiers des partenaires techniques et financiers ;</w:t>
            </w:r>
          </w:p>
          <w:p w14:paraId="7073643A" w14:textId="47A43028"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L’amélioration de la performance économique ;</w:t>
            </w:r>
          </w:p>
          <w:p w14:paraId="15D902BA" w14:textId="00D85364"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L’emploi des jeunes ;</w:t>
            </w:r>
          </w:p>
          <w:p w14:paraId="094D906F" w14:textId="0603C32D" w:rsidR="007546A4"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maîtrise des flux migratoires ;</w:t>
            </w:r>
          </w:p>
          <w:p w14:paraId="56A5AA2F" w14:textId="3D932AE9" w:rsidR="007546A4" w:rsidRPr="00AE612A" w:rsidRDefault="0099505E"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w:t>
            </w:r>
            <w:r w:rsidR="00754CD7" w:rsidRPr="00AE612A">
              <w:rPr>
                <w:rFonts w:ascii="Times New Roman" w:hAnsi="Times New Roman"/>
                <w:sz w:val="20"/>
                <w:szCs w:val="20"/>
              </w:rPr>
              <w:t>a répartition du fardeau et de la responsabilité d’accueillir et de soutenir les réfugiés dans la région ;</w:t>
            </w:r>
          </w:p>
          <w:p w14:paraId="5EE9703D" w14:textId="59635064" w:rsidR="00034977" w:rsidRPr="00AE612A" w:rsidRDefault="007E3DAD"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lastRenderedPageBreak/>
              <w:t>Faiblesse du soutien financier accru aux pays en développement accueillant un grand nombre de réfugiés de sources publiques et privées</w:t>
            </w:r>
            <w:r w:rsidR="00034977" w:rsidRPr="00AE612A">
              <w:rPr>
                <w:rFonts w:ascii="Times New Roman" w:hAnsi="Times New Roman"/>
                <w:sz w:val="20"/>
                <w:szCs w:val="20"/>
              </w:rPr>
              <w:t> ;</w:t>
            </w:r>
          </w:p>
          <w:p w14:paraId="5E012E6C" w14:textId="520FF6C2"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disponibilité et l’accessibilité de données sur la cible priorisée 10.4 ;</w:t>
            </w:r>
          </w:p>
          <w:p w14:paraId="6E5EC8F6" w14:textId="497A56AE"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bCs/>
                <w:sz w:val="20"/>
                <w:szCs w:val="20"/>
              </w:rPr>
            </w:pPr>
            <w:r w:rsidRPr="00A8375B">
              <w:rPr>
                <w:rFonts w:ascii="Times New Roman" w:hAnsi="Times New Roman"/>
                <w:sz w:val="20"/>
              </w:rPr>
              <w:t>Les politiques d’attractivité.</w:t>
            </w:r>
          </w:p>
        </w:tc>
        <w:tc>
          <w:tcPr>
            <w:tcW w:w="3803" w:type="dxa"/>
            <w:tcBorders>
              <w:top w:val="single" w:sz="4" w:space="0" w:color="auto"/>
              <w:left w:val="single" w:sz="4" w:space="0" w:color="auto"/>
              <w:bottom w:val="single" w:sz="4" w:space="0" w:color="auto"/>
              <w:right w:val="single" w:sz="4" w:space="0" w:color="auto"/>
            </w:tcBorders>
            <w:hideMark/>
          </w:tcPr>
          <w:p w14:paraId="45507C81" w14:textId="77777777" w:rsidR="00957B6F" w:rsidRPr="00AE612A" w:rsidRDefault="00957B6F" w:rsidP="00957B6F">
            <w:pPr>
              <w:rPr>
                <w:rFonts w:ascii="Times New Roman" w:hAnsi="Times New Roman"/>
                <w:sz w:val="20"/>
                <w:szCs w:val="20"/>
              </w:rPr>
            </w:pPr>
            <w:r w:rsidRPr="00AE612A">
              <w:rPr>
                <w:rFonts w:ascii="Times New Roman" w:hAnsi="Times New Roman"/>
                <w:sz w:val="20"/>
                <w:szCs w:val="20"/>
              </w:rPr>
              <w:lastRenderedPageBreak/>
              <w:t>• La Stratégie Nationale de Protection Sociale actualisée en 2020 ;</w:t>
            </w:r>
          </w:p>
          <w:p w14:paraId="3BC5338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L’engagement des partenaires techniques et financiers dans l’accompagnement du plan</w:t>
            </w:r>
          </w:p>
          <w:p w14:paraId="66484D44" w14:textId="52C96FC4" w:rsidR="0008039B"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de</w:t>
            </w:r>
            <w:proofErr w:type="gramEnd"/>
            <w:r w:rsidRPr="00AE612A">
              <w:rPr>
                <w:rFonts w:ascii="Times New Roman" w:hAnsi="Times New Roman"/>
                <w:sz w:val="20"/>
                <w:szCs w:val="20"/>
              </w:rPr>
              <w:t xml:space="preserve"> riposte Covid-19 ;</w:t>
            </w:r>
          </w:p>
          <w:p w14:paraId="4B430C71"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lastRenderedPageBreak/>
              <w:t>• L’existence d’un Registre Social Unifié (RSU).</w:t>
            </w:r>
          </w:p>
          <w:p w14:paraId="10C15C4A" w14:textId="77777777" w:rsidR="00FB24F0" w:rsidRPr="00AE612A" w:rsidRDefault="00FB24F0"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D</w:t>
            </w:r>
            <w:r w:rsidR="00174579" w:rsidRPr="00AE612A">
              <w:rPr>
                <w:rFonts w:ascii="Times New Roman" w:hAnsi="Times New Roman"/>
                <w:sz w:val="20"/>
                <w:szCs w:val="20"/>
              </w:rPr>
              <w:t>éveloppement</w:t>
            </w:r>
            <w:r w:rsidR="00174579" w:rsidRPr="00AE612A">
              <w:rPr>
                <w:rFonts w:ascii="Times New Roman" w:hAnsi="Times New Roman"/>
                <w:bCs/>
                <w:sz w:val="20"/>
                <w:szCs w:val="20"/>
              </w:rPr>
              <w:t xml:space="preserve"> en cours d’un profil migratoire pour le Tchad</w:t>
            </w:r>
            <w:r w:rsidR="00BC489B" w:rsidRPr="00AE612A">
              <w:rPr>
                <w:rFonts w:ascii="Times New Roman" w:hAnsi="Times New Roman"/>
                <w:bCs/>
                <w:sz w:val="20"/>
                <w:szCs w:val="20"/>
              </w:rPr>
              <w:t>.</w:t>
            </w:r>
          </w:p>
          <w:p w14:paraId="55EAD2B3" w14:textId="77777777" w:rsidR="00957B6F" w:rsidRPr="00AE612A" w:rsidRDefault="00BC489B"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bCs/>
                <w:sz w:val="20"/>
                <w:szCs w:val="20"/>
              </w:rPr>
              <w:t>Projets de stabilisation communautaire ciblant certaines communautés marginalisées dans le Nord du Tchad</w:t>
            </w:r>
          </w:p>
        </w:tc>
      </w:tr>
      <w:tr w:rsidR="00AF2AE4" w:rsidRPr="00AE612A" w14:paraId="65B40B3F" w14:textId="77777777" w:rsidTr="00A8375B">
        <w:trPr>
          <w:trHeight w:val="357"/>
        </w:trPr>
        <w:tc>
          <w:tcPr>
            <w:tcW w:w="1527" w:type="dxa"/>
            <w:tcBorders>
              <w:top w:val="single" w:sz="4" w:space="0" w:color="auto"/>
              <w:left w:val="single" w:sz="4" w:space="0" w:color="auto"/>
              <w:bottom w:val="single" w:sz="4" w:space="0" w:color="auto"/>
              <w:right w:val="single" w:sz="4" w:space="0" w:color="auto"/>
            </w:tcBorders>
            <w:hideMark/>
          </w:tcPr>
          <w:p w14:paraId="5B26E43A"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lastRenderedPageBreak/>
              <w:t>ODD 11 : Villes et communautés durables</w:t>
            </w:r>
          </w:p>
        </w:tc>
        <w:tc>
          <w:tcPr>
            <w:tcW w:w="4984" w:type="dxa"/>
            <w:tcBorders>
              <w:top w:val="single" w:sz="4" w:space="0" w:color="auto"/>
              <w:left w:val="single" w:sz="4" w:space="0" w:color="auto"/>
              <w:bottom w:val="single" w:sz="4" w:space="0" w:color="auto"/>
              <w:right w:val="single" w:sz="4" w:space="0" w:color="auto"/>
            </w:tcBorders>
            <w:hideMark/>
          </w:tcPr>
          <w:p w14:paraId="7E0E66A0" w14:textId="755C21C2"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 mise en </w:t>
            </w:r>
            <w:proofErr w:type="spellStart"/>
            <w:r w:rsidRPr="00AE612A">
              <w:rPr>
                <w:rFonts w:ascii="Times New Roman" w:hAnsi="Times New Roman"/>
                <w:sz w:val="20"/>
                <w:szCs w:val="20"/>
              </w:rPr>
              <w:t>oeuvre</w:t>
            </w:r>
            <w:proofErr w:type="spellEnd"/>
            <w:r w:rsidRPr="00AE612A">
              <w:rPr>
                <w:rFonts w:ascii="Times New Roman" w:hAnsi="Times New Roman"/>
                <w:sz w:val="20"/>
                <w:szCs w:val="20"/>
              </w:rPr>
              <w:t xml:space="preserve"> du programme de restructuration et régularisation foncière ;</w:t>
            </w:r>
          </w:p>
          <w:p w14:paraId="38FEDF1E" w14:textId="7615F96C" w:rsidR="00CE0801" w:rsidRPr="00AE612A" w:rsidRDefault="00CE0801"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Les problèmes de sécurité, de logement et l’amélioration des conditions de vie et de travail d</w:t>
            </w:r>
            <w:r w:rsidR="002157F7" w:rsidRPr="00AE612A">
              <w:rPr>
                <w:rFonts w:ascii="Times New Roman" w:hAnsi="Times New Roman"/>
                <w:sz w:val="20"/>
                <w:szCs w:val="20"/>
              </w:rPr>
              <w:t>es réfugiés d</w:t>
            </w:r>
            <w:r w:rsidRPr="00AE612A">
              <w:rPr>
                <w:rFonts w:ascii="Times New Roman" w:hAnsi="Times New Roman"/>
                <w:sz w:val="20"/>
                <w:szCs w:val="20"/>
              </w:rPr>
              <w:t>ans les zones urbaines</w:t>
            </w:r>
            <w:r w:rsidR="002B48CA" w:rsidRPr="00AE612A">
              <w:rPr>
                <w:rFonts w:ascii="Times New Roman" w:hAnsi="Times New Roman"/>
                <w:sz w:val="20"/>
                <w:szCs w:val="20"/>
              </w:rPr>
              <w:t> ;</w:t>
            </w:r>
          </w:p>
          <w:p w14:paraId="265AB1A1" w14:textId="7C92A8C9"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 financement pour la production et la promotion de logements sociaux, économiques</w:t>
            </w:r>
            <w:r w:rsidR="007546A4" w:rsidRPr="00AE612A">
              <w:rPr>
                <w:rFonts w:ascii="Times New Roman" w:hAnsi="Times New Roman"/>
                <w:sz w:val="20"/>
                <w:szCs w:val="20"/>
              </w:rPr>
              <w:t xml:space="preserve"> </w:t>
            </w:r>
            <w:r w:rsidRPr="00AE612A">
              <w:rPr>
                <w:rFonts w:ascii="Times New Roman" w:hAnsi="Times New Roman"/>
                <w:sz w:val="20"/>
                <w:szCs w:val="20"/>
              </w:rPr>
              <w:t>et décents pour tous ;</w:t>
            </w:r>
          </w:p>
          <w:p w14:paraId="14DC9AD2" w14:textId="4CAA317D"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 facilitation de financement foncier à travers la mise en </w:t>
            </w:r>
            <w:proofErr w:type="spellStart"/>
            <w:r w:rsidRPr="00AE612A">
              <w:rPr>
                <w:rFonts w:ascii="Times New Roman" w:hAnsi="Times New Roman"/>
                <w:sz w:val="20"/>
                <w:szCs w:val="20"/>
              </w:rPr>
              <w:t>oeuvre</w:t>
            </w:r>
            <w:proofErr w:type="spellEnd"/>
            <w:r w:rsidRPr="00AE612A">
              <w:rPr>
                <w:rFonts w:ascii="Times New Roman" w:hAnsi="Times New Roman"/>
                <w:sz w:val="20"/>
                <w:szCs w:val="20"/>
              </w:rPr>
              <w:t xml:space="preserve"> effective de la</w:t>
            </w:r>
            <w:r w:rsidR="007546A4" w:rsidRPr="00AE612A">
              <w:rPr>
                <w:rFonts w:ascii="Times New Roman" w:hAnsi="Times New Roman"/>
                <w:sz w:val="20"/>
                <w:szCs w:val="20"/>
              </w:rPr>
              <w:t xml:space="preserve"> </w:t>
            </w:r>
            <w:r w:rsidRPr="00AE612A">
              <w:rPr>
                <w:rFonts w:ascii="Times New Roman" w:hAnsi="Times New Roman"/>
                <w:sz w:val="20"/>
                <w:szCs w:val="20"/>
              </w:rPr>
              <w:t>Banque de l’Habitat du Tchad ;</w:t>
            </w:r>
          </w:p>
          <w:p w14:paraId="6E2C2A47" w14:textId="383953CA"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L’élaboration d’un cadre juridique</w:t>
            </w:r>
          </w:p>
          <w:p w14:paraId="2F5ED2A5" w14:textId="0A503BE3"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mise en place des mécanismes de financement efficaces sur le long terme ;</w:t>
            </w:r>
          </w:p>
          <w:p w14:paraId="63C3E2B9" w14:textId="43161C3A"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L’intercommunalité entre les mairies ;</w:t>
            </w:r>
          </w:p>
          <w:p w14:paraId="6CDDCACA" w14:textId="4245AFB7"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 respect du plan cadastral ;</w:t>
            </w:r>
          </w:p>
          <w:p w14:paraId="13B9A3B1" w14:textId="0672E6BC"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gestion sécurisée des déchets solides dans les villes.</w:t>
            </w:r>
          </w:p>
        </w:tc>
        <w:tc>
          <w:tcPr>
            <w:tcW w:w="3803" w:type="dxa"/>
            <w:tcBorders>
              <w:top w:val="single" w:sz="4" w:space="0" w:color="auto"/>
              <w:left w:val="single" w:sz="4" w:space="0" w:color="auto"/>
              <w:bottom w:val="single" w:sz="4" w:space="0" w:color="auto"/>
              <w:right w:val="single" w:sz="4" w:space="0" w:color="auto"/>
            </w:tcBorders>
            <w:hideMark/>
          </w:tcPr>
          <w:p w14:paraId="53C97DF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des minéraux de développement ;</w:t>
            </w:r>
          </w:p>
          <w:p w14:paraId="73F23D3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de la Banque de l’Habitat du Tchad.</w:t>
            </w:r>
          </w:p>
          <w:p w14:paraId="2F22D0E1" w14:textId="77777777" w:rsidR="00957B6F" w:rsidRPr="00AE612A" w:rsidRDefault="00957B6F" w:rsidP="00957B6F">
            <w:pPr>
              <w:autoSpaceDE w:val="0"/>
              <w:autoSpaceDN w:val="0"/>
              <w:adjustRightInd w:val="0"/>
              <w:spacing w:line="240" w:lineRule="auto"/>
              <w:rPr>
                <w:rFonts w:ascii="Times New Roman" w:hAnsi="Times New Roman"/>
                <w:bCs/>
                <w:sz w:val="20"/>
                <w:szCs w:val="20"/>
              </w:rPr>
            </w:pPr>
            <w:r w:rsidRPr="00AE612A">
              <w:rPr>
                <w:rFonts w:ascii="Times New Roman" w:hAnsi="Times New Roman"/>
                <w:sz w:val="20"/>
                <w:szCs w:val="20"/>
              </w:rPr>
              <w:t>• La construction des cimenteries de N’Djamena et Pala.</w:t>
            </w:r>
          </w:p>
        </w:tc>
      </w:tr>
      <w:tr w:rsidR="00AF2AE4" w:rsidRPr="00AE612A" w14:paraId="7678C839" w14:textId="77777777" w:rsidTr="00A8375B">
        <w:tc>
          <w:tcPr>
            <w:tcW w:w="1527" w:type="dxa"/>
            <w:tcBorders>
              <w:top w:val="single" w:sz="4" w:space="0" w:color="auto"/>
              <w:left w:val="single" w:sz="4" w:space="0" w:color="auto"/>
              <w:bottom w:val="single" w:sz="4" w:space="0" w:color="auto"/>
              <w:right w:val="single" w:sz="4" w:space="0" w:color="auto"/>
            </w:tcBorders>
            <w:hideMark/>
          </w:tcPr>
          <w:p w14:paraId="472062FA"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12 : Consommation et production responsables</w:t>
            </w:r>
          </w:p>
        </w:tc>
        <w:tc>
          <w:tcPr>
            <w:tcW w:w="4984" w:type="dxa"/>
            <w:tcBorders>
              <w:top w:val="single" w:sz="4" w:space="0" w:color="auto"/>
              <w:left w:val="single" w:sz="4" w:space="0" w:color="auto"/>
              <w:bottom w:val="single" w:sz="4" w:space="0" w:color="auto"/>
              <w:right w:val="single" w:sz="4" w:space="0" w:color="auto"/>
            </w:tcBorders>
            <w:hideMark/>
          </w:tcPr>
          <w:p w14:paraId="4081EAA9" w14:textId="010A7951"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La prise en compte de l’impact environnemental dans le code des marchés publics ;</w:t>
            </w:r>
          </w:p>
          <w:p w14:paraId="04AD220E" w14:textId="2F8F52E6" w:rsidR="00F51376" w:rsidRPr="00A8375B" w:rsidRDefault="004424A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La</w:t>
            </w:r>
            <w:r w:rsidR="00564950" w:rsidRPr="00A8375B">
              <w:rPr>
                <w:rFonts w:ascii="Times New Roman" w:hAnsi="Times New Roman"/>
                <w:sz w:val="20"/>
              </w:rPr>
              <w:t xml:space="preserve"> pression </w:t>
            </w:r>
            <w:r w:rsidRPr="00A8375B">
              <w:rPr>
                <w:rFonts w:ascii="Times New Roman" w:hAnsi="Times New Roman"/>
                <w:sz w:val="20"/>
              </w:rPr>
              <w:t>s</w:t>
            </w:r>
            <w:r w:rsidR="00564950" w:rsidRPr="00A8375B">
              <w:rPr>
                <w:rFonts w:ascii="Times New Roman" w:hAnsi="Times New Roman"/>
                <w:sz w:val="20"/>
              </w:rPr>
              <w:t xml:space="preserve">ur les ressources naturelles de manière durable </w:t>
            </w:r>
            <w:r w:rsidR="00E96557" w:rsidRPr="00A8375B">
              <w:rPr>
                <w:rFonts w:ascii="Times New Roman" w:hAnsi="Times New Roman"/>
                <w:sz w:val="20"/>
              </w:rPr>
              <w:t>dans les zones d’accueil des réfugiés ;</w:t>
            </w:r>
          </w:p>
          <w:p w14:paraId="53142711" w14:textId="09DCC2B0"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L’application des lois et règlements en vigueur en matière de l’environnement ;</w:t>
            </w:r>
          </w:p>
          <w:p w14:paraId="6D55D8E6" w14:textId="3F3E5B32"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La prise en compte systématique des impacts environnementaux potentiels</w:t>
            </w:r>
            <w:r w:rsidR="007546A4" w:rsidRPr="00AE612A">
              <w:rPr>
                <w:rFonts w:ascii="Times New Roman" w:hAnsi="Times New Roman"/>
                <w:sz w:val="20"/>
                <w:szCs w:val="20"/>
              </w:rPr>
              <w:t xml:space="preserve"> </w:t>
            </w:r>
            <w:r w:rsidRPr="00A8375B">
              <w:rPr>
                <w:rFonts w:ascii="Times New Roman" w:hAnsi="Times New Roman"/>
                <w:sz w:val="20"/>
              </w:rPr>
              <w:t>dans les cadres légaux et réglementaires existants ;</w:t>
            </w:r>
          </w:p>
          <w:p w14:paraId="65D44F89" w14:textId="0BF32B0F"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La définition des domaines de compétence et de responsabilités des différentes</w:t>
            </w:r>
            <w:r w:rsidR="007546A4" w:rsidRPr="00AE612A">
              <w:rPr>
                <w:rFonts w:ascii="Times New Roman" w:hAnsi="Times New Roman"/>
                <w:sz w:val="20"/>
                <w:szCs w:val="20"/>
              </w:rPr>
              <w:t xml:space="preserve"> </w:t>
            </w:r>
            <w:r w:rsidRPr="00A8375B">
              <w:rPr>
                <w:rFonts w:ascii="Times New Roman" w:hAnsi="Times New Roman"/>
                <w:sz w:val="20"/>
              </w:rPr>
              <w:t>institutions concernées aux niveaux national et local ;</w:t>
            </w:r>
          </w:p>
          <w:p w14:paraId="0FC8FE2A" w14:textId="23309A0D"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La disponibilité du matériel approprié de collecte des déchets et des équipements</w:t>
            </w:r>
            <w:r w:rsidR="007546A4" w:rsidRPr="00AE612A">
              <w:rPr>
                <w:rFonts w:ascii="Times New Roman" w:hAnsi="Times New Roman"/>
                <w:sz w:val="20"/>
                <w:szCs w:val="20"/>
              </w:rPr>
              <w:t xml:space="preserve"> </w:t>
            </w:r>
            <w:r w:rsidRPr="00A8375B">
              <w:rPr>
                <w:rFonts w:ascii="Times New Roman" w:hAnsi="Times New Roman"/>
                <w:sz w:val="20"/>
              </w:rPr>
              <w:t>de protection individuelle ;</w:t>
            </w:r>
          </w:p>
          <w:p w14:paraId="2CCB40EA" w14:textId="1A92A4A4"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La gestion des polluants organiques persistants (POP) ;</w:t>
            </w:r>
          </w:p>
          <w:p w14:paraId="0C861891" w14:textId="06C2D8BC"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 xml:space="preserve">La conservation et la protection de la biodiversité et la dégradation des </w:t>
            </w:r>
            <w:proofErr w:type="gramStart"/>
            <w:r w:rsidRPr="00A8375B">
              <w:rPr>
                <w:rFonts w:ascii="Times New Roman" w:hAnsi="Times New Roman"/>
                <w:sz w:val="20"/>
              </w:rPr>
              <w:t>écosystèmes;</w:t>
            </w:r>
            <w:proofErr w:type="gramEnd"/>
          </w:p>
          <w:p w14:paraId="0F693810" w14:textId="7C015DC3" w:rsidR="00957B6F" w:rsidRPr="00A8375B"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rPr>
            </w:pPr>
            <w:r w:rsidRPr="00A8375B">
              <w:rPr>
                <w:rFonts w:ascii="Times New Roman" w:hAnsi="Times New Roman"/>
                <w:sz w:val="20"/>
              </w:rPr>
              <w:t>Le conflit homme-faune sauvage.</w:t>
            </w:r>
          </w:p>
          <w:p w14:paraId="529878EE" w14:textId="77777777" w:rsidR="00957B6F" w:rsidRPr="00AE612A" w:rsidRDefault="00957B6F" w:rsidP="00957B6F">
            <w:pPr>
              <w:autoSpaceDE w:val="0"/>
              <w:autoSpaceDN w:val="0"/>
              <w:adjustRightInd w:val="0"/>
              <w:spacing w:line="240" w:lineRule="auto"/>
              <w:ind w:left="360"/>
              <w:contextualSpacing/>
              <w:rPr>
                <w:rFonts w:ascii="Times New Roman" w:hAnsi="Times New Roman"/>
                <w:bCs/>
                <w:sz w:val="20"/>
                <w:szCs w:val="20"/>
              </w:rPr>
            </w:pPr>
          </w:p>
        </w:tc>
        <w:tc>
          <w:tcPr>
            <w:tcW w:w="3803" w:type="dxa"/>
            <w:tcBorders>
              <w:top w:val="single" w:sz="4" w:space="0" w:color="auto"/>
              <w:left w:val="single" w:sz="4" w:space="0" w:color="auto"/>
              <w:bottom w:val="single" w:sz="4" w:space="0" w:color="auto"/>
              <w:right w:val="single" w:sz="4" w:space="0" w:color="auto"/>
            </w:tcBorders>
          </w:tcPr>
          <w:p w14:paraId="3E64285D"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Loi 14 portant régime des forêts, de la faune et des ressources halieutiques</w:t>
            </w:r>
          </w:p>
          <w:p w14:paraId="236D52D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de</w:t>
            </w:r>
            <w:proofErr w:type="gramEnd"/>
            <w:r w:rsidRPr="00AE612A">
              <w:rPr>
                <w:rFonts w:ascii="Times New Roman" w:hAnsi="Times New Roman"/>
                <w:sz w:val="20"/>
                <w:szCs w:val="20"/>
              </w:rPr>
              <w:t xml:space="preserve"> 2008 et révisée en 2014 ;</w:t>
            </w:r>
          </w:p>
          <w:p w14:paraId="340F36BB"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programme de la Banque Mondiale pour la gestion des déchets médicaux ;</w:t>
            </w:r>
          </w:p>
          <w:p w14:paraId="46B361C0"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mise en place dans le cadre du Fond des pays les moins avancés (LDCF) avec</w:t>
            </w:r>
          </w:p>
          <w:p w14:paraId="6AB9D6F8"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proofErr w:type="gramStart"/>
            <w:r w:rsidRPr="00AE612A">
              <w:rPr>
                <w:rFonts w:ascii="Times New Roman" w:hAnsi="Times New Roman"/>
                <w:sz w:val="20"/>
                <w:szCs w:val="20"/>
              </w:rPr>
              <w:t>le</w:t>
            </w:r>
            <w:proofErr w:type="gramEnd"/>
            <w:r w:rsidRPr="00AE612A">
              <w:rPr>
                <w:rFonts w:ascii="Times New Roman" w:hAnsi="Times New Roman"/>
                <w:sz w:val="20"/>
                <w:szCs w:val="20"/>
              </w:rPr>
              <w:t xml:space="preserve"> GEF, d’un programme de renforcement de la capacité d’adaptation des agroécosystèmes au changement climatique dans le bassin du lac Tchad (Lac, Kanem, Bahr El Ghazal et une partie de la province de </w:t>
            </w:r>
            <w:proofErr w:type="spellStart"/>
            <w:r w:rsidRPr="00AE612A">
              <w:rPr>
                <w:rFonts w:ascii="Times New Roman" w:hAnsi="Times New Roman"/>
                <w:sz w:val="20"/>
                <w:szCs w:val="20"/>
              </w:rPr>
              <w:t>Hadjer-Lamis</w:t>
            </w:r>
            <w:proofErr w:type="spellEnd"/>
            <w:r w:rsidRPr="00AE612A">
              <w:rPr>
                <w:rFonts w:ascii="Times New Roman" w:hAnsi="Times New Roman"/>
                <w:sz w:val="20"/>
                <w:szCs w:val="20"/>
              </w:rPr>
              <w:t>).</w:t>
            </w:r>
          </w:p>
        </w:tc>
      </w:tr>
      <w:tr w:rsidR="00AF2AE4" w:rsidRPr="00AE612A" w14:paraId="5664F5D3" w14:textId="77777777" w:rsidTr="00A8375B">
        <w:trPr>
          <w:trHeight w:val="3982"/>
        </w:trPr>
        <w:tc>
          <w:tcPr>
            <w:tcW w:w="1527" w:type="dxa"/>
            <w:tcBorders>
              <w:top w:val="single" w:sz="4" w:space="0" w:color="auto"/>
              <w:left w:val="single" w:sz="4" w:space="0" w:color="auto"/>
              <w:bottom w:val="single" w:sz="4" w:space="0" w:color="auto"/>
              <w:right w:val="single" w:sz="4" w:space="0" w:color="auto"/>
            </w:tcBorders>
            <w:hideMark/>
          </w:tcPr>
          <w:p w14:paraId="12A634A3" w14:textId="77777777" w:rsidR="00957B6F" w:rsidRPr="00AE612A" w:rsidRDefault="00957B6F" w:rsidP="00957B6F">
            <w:pPr>
              <w:spacing w:after="0" w:line="240" w:lineRule="auto"/>
              <w:contextualSpacing/>
              <w:rPr>
                <w:rFonts w:ascii="Times New Roman" w:hAnsi="Times New Roman"/>
                <w:b/>
                <w:sz w:val="20"/>
                <w:szCs w:val="20"/>
              </w:rPr>
            </w:pPr>
            <w:r w:rsidRPr="00AE612A">
              <w:rPr>
                <w:rFonts w:ascii="Times New Roman" w:hAnsi="Times New Roman"/>
                <w:b/>
                <w:sz w:val="20"/>
                <w:szCs w:val="20"/>
              </w:rPr>
              <w:lastRenderedPageBreak/>
              <w:t>ODD 13 : Mesures relatives à la lutte contre les changements climatiques</w:t>
            </w:r>
          </w:p>
        </w:tc>
        <w:tc>
          <w:tcPr>
            <w:tcW w:w="4984" w:type="dxa"/>
            <w:tcBorders>
              <w:top w:val="single" w:sz="4" w:space="0" w:color="auto"/>
              <w:left w:val="single" w:sz="4" w:space="0" w:color="auto"/>
              <w:bottom w:val="single" w:sz="4" w:space="0" w:color="auto"/>
              <w:right w:val="single" w:sz="4" w:space="0" w:color="auto"/>
            </w:tcBorders>
          </w:tcPr>
          <w:p w14:paraId="1F18CE0B" w14:textId="016ABCBE"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 mise en </w:t>
            </w:r>
            <w:proofErr w:type="spellStart"/>
            <w:r w:rsidRPr="00AE612A">
              <w:rPr>
                <w:rFonts w:ascii="Times New Roman" w:hAnsi="Times New Roman"/>
                <w:sz w:val="20"/>
                <w:szCs w:val="20"/>
              </w:rPr>
              <w:t>oeuvre</w:t>
            </w:r>
            <w:proofErr w:type="spellEnd"/>
            <w:r w:rsidRPr="00AE612A">
              <w:rPr>
                <w:rFonts w:ascii="Times New Roman" w:hAnsi="Times New Roman"/>
                <w:sz w:val="20"/>
                <w:szCs w:val="20"/>
              </w:rPr>
              <w:t xml:space="preserve"> effective des politiques de changements climatiques dans les politiques</w:t>
            </w:r>
            <w:r w:rsidR="003022BF" w:rsidRPr="00AE612A">
              <w:rPr>
                <w:rFonts w:ascii="Times New Roman" w:hAnsi="Times New Roman"/>
                <w:sz w:val="20"/>
                <w:szCs w:val="20"/>
              </w:rPr>
              <w:t xml:space="preserve"> </w:t>
            </w:r>
            <w:r w:rsidRPr="00AE612A">
              <w:rPr>
                <w:rFonts w:ascii="Times New Roman" w:hAnsi="Times New Roman"/>
                <w:sz w:val="20"/>
                <w:szCs w:val="20"/>
              </w:rPr>
              <w:t>nationales et sectorielles ;</w:t>
            </w:r>
          </w:p>
          <w:p w14:paraId="15A54A99" w14:textId="76D7726D"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gouvernance climatique ;</w:t>
            </w:r>
          </w:p>
          <w:p w14:paraId="0DC6BB92" w14:textId="6CCDC535" w:rsidR="004C6AD2" w:rsidRPr="00AE612A" w:rsidRDefault="00B427D1"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L’appui de la communauté internationale pour relever les défis humanitaires et de développement qui découlent des </w:t>
            </w:r>
            <w:r w:rsidR="00DA7B0D" w:rsidRPr="00AE612A">
              <w:rPr>
                <w:rFonts w:ascii="Times New Roman" w:hAnsi="Times New Roman"/>
                <w:sz w:val="20"/>
                <w:szCs w:val="20"/>
              </w:rPr>
              <w:t>déplacements forcés ;</w:t>
            </w:r>
          </w:p>
          <w:p w14:paraId="006BE44D" w14:textId="3C3133D8"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mobilisation de ressources extérieures pour le financement des activités de lutte</w:t>
            </w:r>
            <w:r w:rsidR="003022BF" w:rsidRPr="00AE612A">
              <w:rPr>
                <w:rFonts w:ascii="Times New Roman" w:hAnsi="Times New Roman"/>
                <w:sz w:val="20"/>
                <w:szCs w:val="20"/>
              </w:rPr>
              <w:t xml:space="preserve"> </w:t>
            </w:r>
            <w:r w:rsidRPr="00AE612A">
              <w:rPr>
                <w:rFonts w:ascii="Times New Roman" w:hAnsi="Times New Roman"/>
                <w:sz w:val="20"/>
                <w:szCs w:val="20"/>
              </w:rPr>
              <w:t>contre les changements climatiques ;</w:t>
            </w:r>
          </w:p>
          <w:p w14:paraId="46221A5E" w14:textId="469EC1A1"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résilience des communautés face aux changements climatiques ;</w:t>
            </w:r>
          </w:p>
          <w:p w14:paraId="255A568F" w14:textId="5377275C"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L’éducation environnementale de la population et plus particulièrement les </w:t>
            </w:r>
            <w:proofErr w:type="gramStart"/>
            <w:r w:rsidRPr="00AE612A">
              <w:rPr>
                <w:rFonts w:ascii="Times New Roman" w:hAnsi="Times New Roman"/>
                <w:sz w:val="20"/>
                <w:szCs w:val="20"/>
              </w:rPr>
              <w:t>femmes;</w:t>
            </w:r>
            <w:proofErr w:type="gramEnd"/>
          </w:p>
          <w:p w14:paraId="15B78557" w14:textId="1D2DE784"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L’implication des femmes dans la lutte contre les effets des changements </w:t>
            </w:r>
            <w:proofErr w:type="gramStart"/>
            <w:r w:rsidRPr="00AE612A">
              <w:rPr>
                <w:rFonts w:ascii="Times New Roman" w:hAnsi="Times New Roman"/>
                <w:sz w:val="20"/>
                <w:szCs w:val="20"/>
              </w:rPr>
              <w:t>climatiques;</w:t>
            </w:r>
            <w:proofErr w:type="gramEnd"/>
          </w:p>
          <w:p w14:paraId="3C8328D5" w14:textId="0517666F"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 xml:space="preserve">La mise en </w:t>
            </w:r>
            <w:proofErr w:type="spellStart"/>
            <w:r w:rsidRPr="00AE612A">
              <w:rPr>
                <w:rFonts w:ascii="Times New Roman" w:hAnsi="Times New Roman"/>
                <w:sz w:val="20"/>
                <w:szCs w:val="20"/>
              </w:rPr>
              <w:t>oeuvre</w:t>
            </w:r>
            <w:proofErr w:type="spellEnd"/>
            <w:r w:rsidRPr="00AE612A">
              <w:rPr>
                <w:rFonts w:ascii="Times New Roman" w:hAnsi="Times New Roman"/>
                <w:sz w:val="20"/>
                <w:szCs w:val="20"/>
              </w:rPr>
              <w:t xml:space="preserve"> de la PNE.</w:t>
            </w:r>
          </w:p>
        </w:tc>
        <w:tc>
          <w:tcPr>
            <w:tcW w:w="3803" w:type="dxa"/>
            <w:tcBorders>
              <w:top w:val="single" w:sz="4" w:space="0" w:color="auto"/>
              <w:left w:val="single" w:sz="4" w:space="0" w:color="auto"/>
              <w:bottom w:val="single" w:sz="4" w:space="0" w:color="auto"/>
              <w:right w:val="single" w:sz="4" w:space="0" w:color="auto"/>
            </w:tcBorders>
            <w:hideMark/>
          </w:tcPr>
          <w:p w14:paraId="0EC23F22" w14:textId="77777777" w:rsidR="00957B6F" w:rsidRPr="00AE612A" w:rsidRDefault="00957B6F" w:rsidP="00957B6F">
            <w:pPr>
              <w:rPr>
                <w:rFonts w:ascii="Times New Roman" w:hAnsi="Times New Roman"/>
                <w:sz w:val="20"/>
                <w:szCs w:val="20"/>
              </w:rPr>
            </w:pPr>
            <w:r w:rsidRPr="00AE612A">
              <w:rPr>
                <w:rFonts w:ascii="Times New Roman" w:hAnsi="Times New Roman"/>
                <w:sz w:val="20"/>
                <w:szCs w:val="20"/>
              </w:rPr>
              <w:t>• La validation de la Contribution Prévue Déterminée au niveau National (CPDN) de la République du Tchad en mai 2019 ;</w:t>
            </w:r>
          </w:p>
          <w:p w14:paraId="4CFCC75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Politique Nationale de Protection de l’Environnement (PNPE) en 2018 ;</w:t>
            </w:r>
          </w:p>
          <w:p w14:paraId="1877C26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Projet de renforcement des capacités du secteur de l’environnement (humaine,</w:t>
            </w:r>
          </w:p>
          <w:p w14:paraId="4569979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technique</w:t>
            </w:r>
            <w:proofErr w:type="gramEnd"/>
            <w:r w:rsidRPr="00AE612A">
              <w:rPr>
                <w:rFonts w:ascii="Times New Roman" w:hAnsi="Times New Roman"/>
                <w:sz w:val="20"/>
                <w:szCs w:val="20"/>
              </w:rPr>
              <w:t>, institutionnelle, matérielle, etc.);</w:t>
            </w:r>
          </w:p>
          <w:p w14:paraId="7EE8B80B"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Projet Alliance Mondiale pour le Changement Climatique (AMCC+ 2020) ;</w:t>
            </w:r>
          </w:p>
          <w:p w14:paraId="40E96F70" w14:textId="77777777" w:rsidR="00957B6F" w:rsidRPr="00AE612A"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 Le Programme National d’Adaptation aux Changements Climatiques (PNA 2020).</w:t>
            </w:r>
          </w:p>
        </w:tc>
      </w:tr>
      <w:tr w:rsidR="00AF2AE4" w:rsidRPr="00AE612A" w14:paraId="4AAE9E4E" w14:textId="77777777" w:rsidTr="00A8375B">
        <w:tc>
          <w:tcPr>
            <w:tcW w:w="1527" w:type="dxa"/>
            <w:tcBorders>
              <w:top w:val="single" w:sz="4" w:space="0" w:color="auto"/>
              <w:left w:val="single" w:sz="4" w:space="0" w:color="auto"/>
              <w:bottom w:val="single" w:sz="4" w:space="0" w:color="auto"/>
              <w:right w:val="single" w:sz="4" w:space="0" w:color="auto"/>
            </w:tcBorders>
            <w:hideMark/>
          </w:tcPr>
          <w:p w14:paraId="7A378D32"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15 : Protection de la Faune et de la Flore Terrestre</w:t>
            </w:r>
          </w:p>
        </w:tc>
        <w:tc>
          <w:tcPr>
            <w:tcW w:w="4984" w:type="dxa"/>
            <w:tcBorders>
              <w:top w:val="single" w:sz="4" w:space="0" w:color="auto"/>
              <w:left w:val="single" w:sz="4" w:space="0" w:color="auto"/>
              <w:bottom w:val="single" w:sz="4" w:space="0" w:color="auto"/>
              <w:right w:val="single" w:sz="4" w:space="0" w:color="auto"/>
            </w:tcBorders>
            <w:hideMark/>
          </w:tcPr>
          <w:p w14:paraId="4030A66F" w14:textId="6DC15BA1"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 mise en </w:t>
            </w:r>
            <w:proofErr w:type="spellStart"/>
            <w:r w:rsidRPr="00AE612A">
              <w:rPr>
                <w:rFonts w:ascii="Times New Roman" w:hAnsi="Times New Roman"/>
                <w:sz w:val="20"/>
                <w:szCs w:val="20"/>
              </w:rPr>
              <w:t>oeuvre</w:t>
            </w:r>
            <w:proofErr w:type="spellEnd"/>
            <w:r w:rsidRPr="00AE612A">
              <w:rPr>
                <w:rFonts w:ascii="Times New Roman" w:hAnsi="Times New Roman"/>
                <w:sz w:val="20"/>
                <w:szCs w:val="20"/>
              </w:rPr>
              <w:t xml:space="preserve"> de la politique de formation en environnement ; </w:t>
            </w:r>
          </w:p>
          <w:p w14:paraId="256DC020" w14:textId="2DE52F3E"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L’implication des populations dans les opérations de conservation de l’environnement ;</w:t>
            </w:r>
          </w:p>
          <w:p w14:paraId="5F99570C" w14:textId="5F976347" w:rsidR="00FE1DF6" w:rsidRPr="00AE612A" w:rsidRDefault="00FE1DF6"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L’environnement et le développement de systèmes agricoles de résilience dans les zones d’accueil des réfugiés ;</w:t>
            </w:r>
          </w:p>
          <w:p w14:paraId="35C3DC81" w14:textId="07681061"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valorisation des pratiques et savoirs traditionnels en matière de conservation</w:t>
            </w:r>
            <w:r w:rsidR="003022BF" w:rsidRPr="00AE612A">
              <w:rPr>
                <w:rFonts w:ascii="Times New Roman" w:hAnsi="Times New Roman"/>
                <w:sz w:val="20"/>
                <w:szCs w:val="20"/>
              </w:rPr>
              <w:t xml:space="preserve"> </w:t>
            </w:r>
            <w:r w:rsidRPr="00AE612A">
              <w:rPr>
                <w:rFonts w:ascii="Times New Roman" w:hAnsi="Times New Roman"/>
                <w:sz w:val="20"/>
                <w:szCs w:val="20"/>
              </w:rPr>
              <w:t>et d’adaptation aux effets des changements climatiques ;</w:t>
            </w:r>
          </w:p>
          <w:p w14:paraId="35EF0353" w14:textId="3E48FABB"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L’entretien, la gestion et l’augmentation du réseau des aires protégées ;</w:t>
            </w:r>
          </w:p>
          <w:p w14:paraId="2D5F656A" w14:textId="10C7B932"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mobilisation des fonds pour le changement climatique ;</w:t>
            </w:r>
          </w:p>
          <w:p w14:paraId="3FC25A51" w14:textId="59185DCC"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L’intégration du Tchad au projet SCEE-ASP pour la production des comptes économiques et environnementaux sur l’agriculture, les forêts et la pêche. </w:t>
            </w:r>
          </w:p>
        </w:tc>
        <w:tc>
          <w:tcPr>
            <w:tcW w:w="3803" w:type="dxa"/>
            <w:tcBorders>
              <w:top w:val="single" w:sz="4" w:space="0" w:color="auto"/>
              <w:left w:val="single" w:sz="4" w:space="0" w:color="auto"/>
              <w:bottom w:val="single" w:sz="4" w:space="0" w:color="auto"/>
              <w:right w:val="single" w:sz="4" w:space="0" w:color="auto"/>
            </w:tcBorders>
            <w:hideMark/>
          </w:tcPr>
          <w:p w14:paraId="1E0FA1DB" w14:textId="77777777" w:rsidR="00957B6F" w:rsidRPr="00AE612A" w:rsidRDefault="00957B6F" w:rsidP="00957B6F">
            <w:pPr>
              <w:autoSpaceDE w:val="0"/>
              <w:autoSpaceDN w:val="0"/>
              <w:adjustRightInd w:val="0"/>
              <w:spacing w:line="240" w:lineRule="auto"/>
              <w:rPr>
                <w:rFonts w:ascii="Times New Roman" w:hAnsi="Times New Roman"/>
                <w:sz w:val="20"/>
                <w:szCs w:val="20"/>
              </w:rPr>
            </w:pPr>
            <w:r w:rsidRPr="00AE612A">
              <w:rPr>
                <w:rFonts w:ascii="Times New Roman" w:hAnsi="Times New Roman"/>
                <w:sz w:val="20"/>
                <w:szCs w:val="20"/>
              </w:rPr>
              <w:t>• La Contribution Déterminée au niveau National (CDN) ;</w:t>
            </w:r>
          </w:p>
          <w:p w14:paraId="58C10C86"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plan de convergence de la Commission des Forêts d’Afrique Centrale (COMIFAC</w:t>
            </w:r>
            <w:proofErr w:type="gramStart"/>
            <w:r w:rsidRPr="00AE612A">
              <w:rPr>
                <w:rFonts w:ascii="Times New Roman" w:hAnsi="Times New Roman"/>
                <w:sz w:val="20"/>
                <w:szCs w:val="20"/>
              </w:rPr>
              <w:t>);</w:t>
            </w:r>
            <w:proofErr w:type="gramEnd"/>
          </w:p>
          <w:p w14:paraId="010A52D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Loi 14 portant régime des forêts, de la faune et des ressources halieutiques ;</w:t>
            </w:r>
          </w:p>
          <w:p w14:paraId="0418B3A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des mécanismes de financement climat ;</w:t>
            </w:r>
          </w:p>
          <w:p w14:paraId="42B02A2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 L’intégration de la biodiversité dans les systèmes de comptabilité et de </w:t>
            </w:r>
            <w:proofErr w:type="spellStart"/>
            <w:r w:rsidRPr="00AE612A">
              <w:rPr>
                <w:rFonts w:ascii="Times New Roman" w:hAnsi="Times New Roman"/>
                <w:sz w:val="20"/>
                <w:szCs w:val="20"/>
              </w:rPr>
              <w:t>reporting</w:t>
            </w:r>
            <w:proofErr w:type="spellEnd"/>
          </w:p>
          <w:p w14:paraId="7B4E6A3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à</w:t>
            </w:r>
            <w:proofErr w:type="gramEnd"/>
            <w:r w:rsidRPr="00AE612A">
              <w:rPr>
                <w:rFonts w:ascii="Times New Roman" w:hAnsi="Times New Roman"/>
                <w:sz w:val="20"/>
                <w:szCs w:val="20"/>
              </w:rPr>
              <w:t xml:space="preserve"> travers la mise en </w:t>
            </w:r>
            <w:proofErr w:type="spellStart"/>
            <w:r w:rsidRPr="00AE612A">
              <w:rPr>
                <w:rFonts w:ascii="Times New Roman" w:hAnsi="Times New Roman"/>
                <w:sz w:val="20"/>
                <w:szCs w:val="20"/>
              </w:rPr>
              <w:t>oeuvre</w:t>
            </w:r>
            <w:proofErr w:type="spellEnd"/>
            <w:r w:rsidRPr="00AE612A">
              <w:rPr>
                <w:rFonts w:ascii="Times New Roman" w:hAnsi="Times New Roman"/>
                <w:sz w:val="20"/>
                <w:szCs w:val="20"/>
              </w:rPr>
              <w:t xml:space="preserve"> du système de comptabilité environnementale et</w:t>
            </w:r>
          </w:p>
          <w:p w14:paraId="0A4D186C" w14:textId="77777777" w:rsidR="00957B6F" w:rsidRPr="00AE612A" w:rsidRDefault="00957B6F" w:rsidP="00957B6F">
            <w:pPr>
              <w:autoSpaceDE w:val="0"/>
              <w:autoSpaceDN w:val="0"/>
              <w:adjustRightInd w:val="0"/>
              <w:spacing w:line="240" w:lineRule="auto"/>
              <w:rPr>
                <w:rFonts w:ascii="Times New Roman" w:hAnsi="Times New Roman"/>
                <w:bCs/>
                <w:sz w:val="20"/>
                <w:szCs w:val="20"/>
              </w:rPr>
            </w:pPr>
            <w:proofErr w:type="spellStart"/>
            <w:r w:rsidRPr="00AE612A">
              <w:rPr>
                <w:rFonts w:ascii="Times New Roman" w:hAnsi="Times New Roman"/>
                <w:sz w:val="20"/>
                <w:szCs w:val="20"/>
                <w:lang w:val="en-US"/>
              </w:rPr>
              <w:t>économique</w:t>
            </w:r>
            <w:proofErr w:type="spellEnd"/>
            <w:r w:rsidRPr="00AE612A">
              <w:rPr>
                <w:rFonts w:ascii="Times New Roman" w:hAnsi="Times New Roman"/>
                <w:sz w:val="20"/>
                <w:szCs w:val="20"/>
                <w:lang w:val="en-US"/>
              </w:rPr>
              <w:t>.</w:t>
            </w:r>
          </w:p>
        </w:tc>
      </w:tr>
      <w:tr w:rsidR="00AF2AE4" w:rsidRPr="00AE612A" w14:paraId="6009F6D5" w14:textId="77777777" w:rsidTr="00A8375B">
        <w:tc>
          <w:tcPr>
            <w:tcW w:w="1527" w:type="dxa"/>
            <w:tcBorders>
              <w:top w:val="single" w:sz="4" w:space="0" w:color="auto"/>
              <w:left w:val="single" w:sz="4" w:space="0" w:color="auto"/>
              <w:bottom w:val="single" w:sz="4" w:space="0" w:color="auto"/>
              <w:right w:val="single" w:sz="4" w:space="0" w:color="auto"/>
            </w:tcBorders>
            <w:hideMark/>
          </w:tcPr>
          <w:p w14:paraId="27FC0395"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t>ODD 16 : Paix, Justice et Institutions efficaces</w:t>
            </w:r>
          </w:p>
        </w:tc>
        <w:tc>
          <w:tcPr>
            <w:tcW w:w="4984" w:type="dxa"/>
            <w:tcBorders>
              <w:top w:val="single" w:sz="4" w:space="0" w:color="auto"/>
              <w:left w:val="single" w:sz="4" w:space="0" w:color="auto"/>
              <w:bottom w:val="single" w:sz="4" w:space="0" w:color="auto"/>
              <w:right w:val="single" w:sz="4" w:space="0" w:color="auto"/>
            </w:tcBorders>
          </w:tcPr>
          <w:p w14:paraId="0A223E87" w14:textId="77777777"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respect des Lois de la République au détriment des règlements communautaires</w:t>
            </w:r>
          </w:p>
          <w:p w14:paraId="5EC57AE3" w14:textId="77777777"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des</w:t>
            </w:r>
            <w:proofErr w:type="gramEnd"/>
            <w:r w:rsidRPr="00AE612A">
              <w:rPr>
                <w:rFonts w:ascii="Times New Roman" w:hAnsi="Times New Roman"/>
                <w:sz w:val="20"/>
                <w:szCs w:val="20"/>
              </w:rPr>
              <w:t xml:space="preserve"> homicides et d’autres formes de morts violentes ;</w:t>
            </w:r>
          </w:p>
          <w:p w14:paraId="590838FF" w14:textId="16D34283"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redevabilité des institutions à tous les niveaux ;</w:t>
            </w:r>
          </w:p>
          <w:p w14:paraId="075543CD" w14:textId="41AB688B" w:rsidR="0083131A"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 </w:t>
            </w:r>
            <w:r w:rsidR="00741AC0" w:rsidRPr="00AE612A">
              <w:rPr>
                <w:rFonts w:ascii="Times New Roman" w:hAnsi="Times New Roman"/>
                <w:sz w:val="20"/>
                <w:szCs w:val="20"/>
              </w:rPr>
              <w:t>p</w:t>
            </w:r>
            <w:r w:rsidR="00034226" w:rsidRPr="00AE612A">
              <w:rPr>
                <w:rFonts w:ascii="Times New Roman" w:hAnsi="Times New Roman"/>
                <w:sz w:val="20"/>
                <w:szCs w:val="20"/>
              </w:rPr>
              <w:t xml:space="preserve">orosité des </w:t>
            </w:r>
            <w:proofErr w:type="gramStart"/>
            <w:r w:rsidR="00034226" w:rsidRPr="00AE612A">
              <w:rPr>
                <w:rFonts w:ascii="Times New Roman" w:hAnsi="Times New Roman"/>
                <w:sz w:val="20"/>
                <w:szCs w:val="20"/>
              </w:rPr>
              <w:t>frontières</w:t>
            </w:r>
            <w:r w:rsidRPr="00AE612A">
              <w:rPr>
                <w:rFonts w:ascii="Times New Roman" w:hAnsi="Times New Roman"/>
                <w:sz w:val="20"/>
                <w:szCs w:val="20"/>
              </w:rPr>
              <w:t>;</w:t>
            </w:r>
            <w:proofErr w:type="gramEnd"/>
          </w:p>
          <w:p w14:paraId="1C03AC63" w14:textId="384DE9C4" w:rsidR="0019323C" w:rsidRPr="00AE612A" w:rsidRDefault="0019323C"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 rapatriement volontaire</w:t>
            </w:r>
            <w:r w:rsidR="00AB42B8" w:rsidRPr="00AE612A">
              <w:rPr>
                <w:rFonts w:ascii="Times New Roman" w:hAnsi="Times New Roman"/>
                <w:sz w:val="20"/>
                <w:szCs w:val="20"/>
              </w:rPr>
              <w:t xml:space="preserve"> des réfugiés</w:t>
            </w:r>
            <w:r w:rsidRPr="00AE612A">
              <w:rPr>
                <w:rFonts w:ascii="Times New Roman" w:hAnsi="Times New Roman"/>
                <w:sz w:val="20"/>
                <w:szCs w:val="20"/>
              </w:rPr>
              <w:t> ;</w:t>
            </w:r>
          </w:p>
          <w:p w14:paraId="69AC0617" w14:textId="4362991F" w:rsidR="0036412F" w:rsidRPr="00AE612A" w:rsidRDefault="007B5EA1"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w:t>
            </w:r>
            <w:r w:rsidR="00192A27" w:rsidRPr="00AE612A">
              <w:rPr>
                <w:rFonts w:ascii="Times New Roman" w:hAnsi="Times New Roman"/>
                <w:sz w:val="20"/>
                <w:szCs w:val="20"/>
              </w:rPr>
              <w:t>a coexistence pacifique entre les communautés et la protection des enfants</w:t>
            </w:r>
            <w:r w:rsidR="0036412F" w:rsidRPr="00AE612A">
              <w:rPr>
                <w:rFonts w:ascii="Times New Roman" w:hAnsi="Times New Roman"/>
                <w:sz w:val="20"/>
                <w:szCs w:val="20"/>
              </w:rPr>
              <w:t> ;</w:t>
            </w:r>
          </w:p>
          <w:p w14:paraId="0BFDC700" w14:textId="6F82772C" w:rsidR="0019323C" w:rsidRPr="00AE612A" w:rsidRDefault="0036412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w:t>
            </w:r>
            <w:r w:rsidR="00192A27" w:rsidRPr="00AE612A">
              <w:rPr>
                <w:rFonts w:ascii="Times New Roman" w:hAnsi="Times New Roman"/>
                <w:sz w:val="20"/>
                <w:szCs w:val="20"/>
              </w:rPr>
              <w:t>accès</w:t>
            </w:r>
            <w:r w:rsidRPr="00AE612A">
              <w:rPr>
                <w:rFonts w:ascii="Times New Roman" w:hAnsi="Times New Roman"/>
                <w:sz w:val="20"/>
                <w:szCs w:val="20"/>
              </w:rPr>
              <w:t xml:space="preserve"> des réfugiés</w:t>
            </w:r>
            <w:r w:rsidR="00192A27" w:rsidRPr="00AE612A">
              <w:rPr>
                <w:rFonts w:ascii="Times New Roman" w:hAnsi="Times New Roman"/>
                <w:sz w:val="20"/>
                <w:szCs w:val="20"/>
              </w:rPr>
              <w:t xml:space="preserve"> à l’enregistrement civil, y compris l’enregistrement des naissances</w:t>
            </w:r>
            <w:r w:rsidR="00615A42" w:rsidRPr="00AE612A">
              <w:rPr>
                <w:rFonts w:ascii="Times New Roman" w:hAnsi="Times New Roman"/>
                <w:sz w:val="20"/>
                <w:szCs w:val="20"/>
              </w:rPr>
              <w:t> ;</w:t>
            </w:r>
          </w:p>
          <w:p w14:paraId="51060B6F" w14:textId="2D637FEF"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L’effectivité du système d’état civil ;</w:t>
            </w:r>
          </w:p>
          <w:p w14:paraId="6FF174A4" w14:textId="5D2FC592"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 désarmement des civils ;</w:t>
            </w:r>
          </w:p>
          <w:p w14:paraId="1D14B72F" w14:textId="77777777"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lutte contre le terrorisme.</w:t>
            </w:r>
          </w:p>
          <w:p w14:paraId="3EC44670" w14:textId="0CBB5266"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Faible niveau d’enregistrement des naissances, limitant la jouissance des droits et l’accès aux services </w:t>
            </w:r>
          </w:p>
          <w:p w14:paraId="0ACF11A7" w14:textId="77777777" w:rsidR="00957B6F" w:rsidRPr="00AE612A" w:rsidRDefault="00957B6F" w:rsidP="00957B6F">
            <w:pPr>
              <w:autoSpaceDE w:val="0"/>
              <w:autoSpaceDN w:val="0"/>
              <w:adjustRightInd w:val="0"/>
              <w:spacing w:line="240" w:lineRule="auto"/>
              <w:ind w:left="360"/>
              <w:contextualSpacing/>
              <w:rPr>
                <w:rFonts w:ascii="Times New Roman" w:hAnsi="Times New Roman"/>
                <w:bCs/>
                <w:sz w:val="20"/>
                <w:szCs w:val="20"/>
              </w:rPr>
            </w:pPr>
          </w:p>
        </w:tc>
        <w:tc>
          <w:tcPr>
            <w:tcW w:w="3803" w:type="dxa"/>
            <w:tcBorders>
              <w:top w:val="single" w:sz="4" w:space="0" w:color="auto"/>
              <w:left w:val="single" w:sz="4" w:space="0" w:color="auto"/>
              <w:bottom w:val="single" w:sz="4" w:space="0" w:color="auto"/>
              <w:right w:val="single" w:sz="4" w:space="0" w:color="auto"/>
            </w:tcBorders>
          </w:tcPr>
          <w:p w14:paraId="44E4FAC6" w14:textId="77777777" w:rsidR="00957B6F" w:rsidRPr="00AE612A" w:rsidRDefault="00957B6F" w:rsidP="00957B6F">
            <w:pPr>
              <w:rPr>
                <w:rFonts w:ascii="Times New Roman" w:hAnsi="Times New Roman"/>
                <w:sz w:val="20"/>
                <w:szCs w:val="20"/>
              </w:rPr>
            </w:pPr>
            <w:r w:rsidRPr="00AE612A">
              <w:rPr>
                <w:rFonts w:ascii="Times New Roman" w:hAnsi="Times New Roman"/>
                <w:sz w:val="20"/>
                <w:szCs w:val="20"/>
              </w:rPr>
              <w:lastRenderedPageBreak/>
              <w:t>•  Statut des ONG et le protocole d’accord d’établissement des ONG ;</w:t>
            </w:r>
          </w:p>
          <w:p w14:paraId="75DFB947" w14:textId="17B53A06"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ratification de la Convention Anti-corruption ;</w:t>
            </w:r>
            <w:r w:rsidR="008C1E1C" w:rsidRPr="00AE612A">
              <w:rPr>
                <w:rFonts w:ascii="Times New Roman" w:hAnsi="Times New Roman"/>
                <w:sz w:val="20"/>
                <w:szCs w:val="20"/>
              </w:rPr>
              <w:t xml:space="preserve"> et </w:t>
            </w:r>
            <w:proofErr w:type="gramStart"/>
            <w:r w:rsidR="008C1E1C" w:rsidRPr="00AE612A">
              <w:rPr>
                <w:rFonts w:ascii="Times New Roman" w:hAnsi="Times New Roman"/>
                <w:sz w:val="20"/>
                <w:szCs w:val="20"/>
              </w:rPr>
              <w:t xml:space="preserve">de </w:t>
            </w:r>
            <w:r w:rsidRPr="00AE612A">
              <w:rPr>
                <w:rFonts w:ascii="Times New Roman" w:hAnsi="Times New Roman"/>
                <w:sz w:val="20"/>
                <w:szCs w:val="20"/>
              </w:rPr>
              <w:t xml:space="preserve"> la</w:t>
            </w:r>
            <w:proofErr w:type="gramEnd"/>
            <w:r w:rsidRPr="00AE612A">
              <w:rPr>
                <w:rFonts w:ascii="Times New Roman" w:hAnsi="Times New Roman"/>
                <w:sz w:val="20"/>
                <w:szCs w:val="20"/>
              </w:rPr>
              <w:t xml:space="preserve"> Convention sur la protection des personnes handicapées.</w:t>
            </w:r>
          </w:p>
          <w:p w14:paraId="22D3BC7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d’un plan d’amélioration de l’état civil ;</w:t>
            </w:r>
          </w:p>
          <w:p w14:paraId="2FF151BC"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création de l’Agence Nationale des Titres Sécurisés (ANATS) ;</w:t>
            </w:r>
          </w:p>
          <w:p w14:paraId="57D9577C" w14:textId="1E7FC0A3"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 </w:t>
            </w:r>
          </w:p>
          <w:p w14:paraId="331DC39D" w14:textId="10DDAB75" w:rsidR="00196788" w:rsidRPr="00AE612A" w:rsidRDefault="00196788" w:rsidP="00BC1AE3">
            <w:pPr>
              <w:pStyle w:val="Paragraphedeliste"/>
              <w:numPr>
                <w:ilvl w:val="0"/>
                <w:numId w:val="47"/>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Adoption de la loi No 026/PR/2017 portant réforme de la Commission Nationale des Droits de l’Homme</w:t>
            </w:r>
            <w:r w:rsidR="00D47F40" w:rsidRPr="00AE612A">
              <w:rPr>
                <w:rFonts w:ascii="Times New Roman" w:hAnsi="Times New Roman"/>
                <w:sz w:val="20"/>
                <w:szCs w:val="20"/>
              </w:rPr>
              <w:t> ;</w:t>
            </w:r>
          </w:p>
          <w:p w14:paraId="47FE271C"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Fonds National du Développement de la Statistique (FNDS) ;</w:t>
            </w:r>
          </w:p>
          <w:p w14:paraId="7C2F28B2"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lastRenderedPageBreak/>
              <w:t>• La loi 003/2020 du 20 mai 2020 portant répression des actes de terrorisme en</w:t>
            </w:r>
          </w:p>
          <w:p w14:paraId="38393877"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République du Tchad ;</w:t>
            </w:r>
          </w:p>
          <w:p w14:paraId="0637F431"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Loi n° 006/PR/2020 portant ratification de l’ordonnance 002/PR/2020 du 14 février</w:t>
            </w:r>
          </w:p>
          <w:p w14:paraId="2B9FAFCD"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2020 portant organisation de l’état civil en République du Tchad ;</w:t>
            </w:r>
            <w:r w:rsidR="002A427A" w:rsidRPr="00A8375B">
              <w:rPr>
                <w:rFonts w:ascii="Arial" w:hAnsi="Arial"/>
                <w:color w:val="4D5156"/>
                <w:sz w:val="20"/>
                <w:shd w:val="clear" w:color="auto" w:fill="FFFFFF"/>
              </w:rPr>
              <w:t xml:space="preserve"> </w:t>
            </w:r>
          </w:p>
          <w:p w14:paraId="35B8F0D5" w14:textId="120EE4B1" w:rsidR="002A427A" w:rsidRPr="00AE612A" w:rsidRDefault="002A427A"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Loi n° 006/PR/</w:t>
            </w:r>
            <w:r w:rsidRPr="00AE612A">
              <w:rPr>
                <w:rFonts w:ascii="Times New Roman" w:hAnsi="Times New Roman"/>
                <w:b/>
                <w:bCs/>
                <w:sz w:val="20"/>
                <w:szCs w:val="20"/>
              </w:rPr>
              <w:t>2018</w:t>
            </w:r>
            <w:r w:rsidRPr="00AE612A">
              <w:rPr>
                <w:rFonts w:ascii="Times New Roman" w:hAnsi="Times New Roman"/>
                <w:sz w:val="20"/>
                <w:szCs w:val="20"/>
              </w:rPr>
              <w:t xml:space="preserve"> portant lutte contre la </w:t>
            </w:r>
            <w:r w:rsidRPr="00A8375B">
              <w:rPr>
                <w:rFonts w:ascii="Times New Roman" w:hAnsi="Times New Roman"/>
                <w:sz w:val="20"/>
              </w:rPr>
              <w:t>traite des personnes</w:t>
            </w:r>
            <w:r w:rsidRPr="00AE612A">
              <w:rPr>
                <w:rFonts w:ascii="Times New Roman" w:hAnsi="Times New Roman"/>
                <w:sz w:val="20"/>
                <w:szCs w:val="20"/>
              </w:rPr>
              <w:t> en République du </w:t>
            </w:r>
            <w:r w:rsidRPr="00A8375B">
              <w:rPr>
                <w:rFonts w:ascii="Times New Roman" w:hAnsi="Times New Roman"/>
                <w:sz w:val="20"/>
              </w:rPr>
              <w:t>Tchad</w:t>
            </w:r>
            <w:r w:rsidRPr="00AE612A">
              <w:rPr>
                <w:rFonts w:ascii="Times New Roman" w:hAnsi="Times New Roman"/>
                <w:sz w:val="20"/>
                <w:szCs w:val="20"/>
              </w:rPr>
              <w:t>.</w:t>
            </w:r>
          </w:p>
          <w:p w14:paraId="28282790"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Politique Sectorielle de la Justice 2018-2027 (PSJ 2018-2027) ;</w:t>
            </w:r>
          </w:p>
          <w:p w14:paraId="27827BDB"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Stratégie régionale de stabilisation, de redressement et de résilience des zones</w:t>
            </w:r>
          </w:p>
          <w:p w14:paraId="53D65168"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du</w:t>
            </w:r>
            <w:proofErr w:type="gramEnd"/>
            <w:r w:rsidRPr="00AE612A">
              <w:rPr>
                <w:rFonts w:ascii="Times New Roman" w:hAnsi="Times New Roman"/>
                <w:sz w:val="20"/>
                <w:szCs w:val="20"/>
              </w:rPr>
              <w:t xml:space="preserve"> Bassin du Lac-Tchad ;</w:t>
            </w:r>
          </w:p>
          <w:p w14:paraId="5FFDDC3E"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Fonds pour la stabilisation la région du Lac-Tchad</w:t>
            </w:r>
          </w:p>
          <w:p w14:paraId="28F73215"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 Les </w:t>
            </w:r>
            <w:proofErr w:type="spellStart"/>
            <w:r w:rsidRPr="00AE612A">
              <w:rPr>
                <w:rFonts w:ascii="Times New Roman" w:hAnsi="Times New Roman"/>
                <w:sz w:val="20"/>
                <w:szCs w:val="20"/>
              </w:rPr>
              <w:t>medias</w:t>
            </w:r>
            <w:proofErr w:type="spellEnd"/>
            <w:r w:rsidRPr="00AE612A">
              <w:rPr>
                <w:rFonts w:ascii="Times New Roman" w:hAnsi="Times New Roman"/>
                <w:sz w:val="20"/>
                <w:szCs w:val="20"/>
              </w:rPr>
              <w:t xml:space="preserve"> publics et privés ;</w:t>
            </w:r>
          </w:p>
          <w:p w14:paraId="2E491743"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décret d’application du 14 octobre 2020 de la loi n°006 portant santé de la</w:t>
            </w:r>
          </w:p>
          <w:p w14:paraId="450E31B1"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reproduction</w:t>
            </w:r>
            <w:proofErr w:type="gramEnd"/>
            <w:r w:rsidRPr="00AE612A">
              <w:rPr>
                <w:rFonts w:ascii="Times New Roman" w:hAnsi="Times New Roman"/>
                <w:sz w:val="20"/>
                <w:szCs w:val="20"/>
              </w:rPr>
              <w:t xml:space="preserve"> adoptée en 2002 ;</w:t>
            </w:r>
          </w:p>
          <w:p w14:paraId="4C9530A9" w14:textId="2025A2AA"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 Plan National de Mise en </w:t>
            </w:r>
            <w:proofErr w:type="gramStart"/>
            <w:r w:rsidR="00220457" w:rsidRPr="00AE612A">
              <w:rPr>
                <w:rFonts w:ascii="Times New Roman" w:hAnsi="Times New Roman"/>
                <w:sz w:val="20"/>
                <w:szCs w:val="20"/>
              </w:rPr>
              <w:t xml:space="preserve">œuvre </w:t>
            </w:r>
            <w:r w:rsidRPr="00AE612A">
              <w:rPr>
                <w:rFonts w:ascii="Times New Roman" w:hAnsi="Times New Roman"/>
                <w:sz w:val="20"/>
                <w:szCs w:val="20"/>
              </w:rPr>
              <w:t xml:space="preserve"> des</w:t>
            </w:r>
            <w:proofErr w:type="gramEnd"/>
            <w:r w:rsidRPr="00AE612A">
              <w:rPr>
                <w:rFonts w:ascii="Times New Roman" w:hAnsi="Times New Roman"/>
                <w:sz w:val="20"/>
                <w:szCs w:val="20"/>
              </w:rPr>
              <w:t xml:space="preserve"> Recommandations de l’Examen Périodique Universel</w:t>
            </w:r>
          </w:p>
          <w:p w14:paraId="1278A9AD" w14:textId="29F752BB"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(EPU) (élaboré en 2020) ;</w:t>
            </w:r>
          </w:p>
          <w:p w14:paraId="64CD9E7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présentation de rapports nationaux périodiques relatifs aux droits civils et politiques économiques, sociaux et culturels aux organes de traités au niveau international.</w:t>
            </w:r>
          </w:p>
        </w:tc>
      </w:tr>
      <w:tr w:rsidR="00AF2AE4" w:rsidRPr="00AE612A" w14:paraId="3FDA218A" w14:textId="77777777" w:rsidTr="00A8375B">
        <w:tc>
          <w:tcPr>
            <w:tcW w:w="1527" w:type="dxa"/>
            <w:tcBorders>
              <w:top w:val="single" w:sz="4" w:space="0" w:color="auto"/>
              <w:left w:val="single" w:sz="4" w:space="0" w:color="auto"/>
              <w:bottom w:val="single" w:sz="4" w:space="0" w:color="auto"/>
              <w:right w:val="single" w:sz="4" w:space="0" w:color="auto"/>
            </w:tcBorders>
          </w:tcPr>
          <w:p w14:paraId="794F2F6E" w14:textId="77777777" w:rsidR="00957B6F" w:rsidRPr="00AE612A" w:rsidRDefault="00957B6F" w:rsidP="00957B6F">
            <w:pPr>
              <w:spacing w:after="0" w:line="240" w:lineRule="auto"/>
              <w:contextualSpacing/>
              <w:jc w:val="both"/>
              <w:rPr>
                <w:rFonts w:ascii="Times New Roman" w:hAnsi="Times New Roman"/>
                <w:b/>
                <w:sz w:val="20"/>
                <w:szCs w:val="20"/>
              </w:rPr>
            </w:pPr>
            <w:r w:rsidRPr="00AE612A">
              <w:rPr>
                <w:rFonts w:ascii="Times New Roman" w:hAnsi="Times New Roman"/>
                <w:b/>
                <w:sz w:val="20"/>
                <w:szCs w:val="20"/>
              </w:rPr>
              <w:lastRenderedPageBreak/>
              <w:t>17 Partenariat pour la réalisation des objectifs</w:t>
            </w:r>
          </w:p>
        </w:tc>
        <w:tc>
          <w:tcPr>
            <w:tcW w:w="4984" w:type="dxa"/>
            <w:tcBorders>
              <w:top w:val="single" w:sz="4" w:space="0" w:color="auto"/>
              <w:left w:val="single" w:sz="4" w:space="0" w:color="auto"/>
              <w:bottom w:val="single" w:sz="4" w:space="0" w:color="auto"/>
              <w:right w:val="single" w:sz="4" w:space="0" w:color="auto"/>
            </w:tcBorders>
          </w:tcPr>
          <w:p w14:paraId="6DDB77EF" w14:textId="260DF97E"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fluctuation des cours internationaux du pétrole qui affecte régulièrement les prévisions</w:t>
            </w:r>
          </w:p>
          <w:p w14:paraId="1794F819" w14:textId="77777777"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budgétaires</w:t>
            </w:r>
            <w:proofErr w:type="gramEnd"/>
            <w:r w:rsidRPr="00AE612A">
              <w:rPr>
                <w:rFonts w:ascii="Times New Roman" w:hAnsi="Times New Roman"/>
                <w:sz w:val="20"/>
                <w:szCs w:val="20"/>
              </w:rPr>
              <w:t xml:space="preserve"> ;</w:t>
            </w:r>
          </w:p>
          <w:p w14:paraId="48FE9CB1" w14:textId="01292D2B"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mobilisation des ressources internes et externes ;</w:t>
            </w:r>
          </w:p>
          <w:p w14:paraId="6ACE0252" w14:textId="23B68EA8"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Le climat des affaires ;</w:t>
            </w:r>
          </w:p>
          <w:p w14:paraId="6CB8C218" w14:textId="5A8DF46A" w:rsidR="00125BC5" w:rsidRPr="00AE612A" w:rsidRDefault="001E44C3"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Financement</w:t>
            </w:r>
            <w:r w:rsidR="00125BC5" w:rsidRPr="00AE612A">
              <w:rPr>
                <w:rFonts w:ascii="Times New Roman" w:hAnsi="Times New Roman"/>
                <w:sz w:val="20"/>
                <w:szCs w:val="20"/>
              </w:rPr>
              <w:t xml:space="preserve"> y compris un soutien au renforcement des capacités pour soutenir les réponses des réfugiés provenant</w:t>
            </w:r>
            <w:r w:rsidR="00AB72EA" w:rsidRPr="00AE612A">
              <w:rPr>
                <w:rFonts w:ascii="Times New Roman" w:hAnsi="Times New Roman"/>
                <w:sz w:val="20"/>
                <w:szCs w:val="20"/>
              </w:rPr>
              <w:t> ;</w:t>
            </w:r>
          </w:p>
          <w:p w14:paraId="4EA43050" w14:textId="053B3CE3" w:rsidR="00C60FE8" w:rsidRPr="00AE612A" w:rsidRDefault="00533FE3"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w:t>
            </w:r>
            <w:r w:rsidR="00C60FE8" w:rsidRPr="00AE612A">
              <w:rPr>
                <w:rFonts w:ascii="Times New Roman" w:hAnsi="Times New Roman"/>
                <w:sz w:val="20"/>
                <w:szCs w:val="20"/>
              </w:rPr>
              <w:t>approche multipartite et cherche à attirer un large éventail de parties prenantes intéressées ;</w:t>
            </w:r>
          </w:p>
          <w:p w14:paraId="7C3C03B0" w14:textId="2D8B9A2D"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contribution du secteur privé tchadien à la réalisation des ODD ;</w:t>
            </w:r>
          </w:p>
          <w:p w14:paraId="2566798A" w14:textId="5FA678D7"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La contribution de la société civile au développement ;</w:t>
            </w:r>
          </w:p>
          <w:p w14:paraId="5DA14182" w14:textId="520FD2E4" w:rsidR="00E66000" w:rsidRPr="00AE612A" w:rsidRDefault="00947EED"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 collecte et l’utilisation de données de haute qualité, actuelles et fiables dans les réponses </w:t>
            </w:r>
            <w:r w:rsidR="0046505D" w:rsidRPr="00AE612A">
              <w:rPr>
                <w:rFonts w:ascii="Times New Roman" w:hAnsi="Times New Roman"/>
                <w:sz w:val="20"/>
                <w:szCs w:val="20"/>
              </w:rPr>
              <w:t>en faveur des</w:t>
            </w:r>
            <w:r w:rsidRPr="00AE612A">
              <w:rPr>
                <w:rFonts w:ascii="Times New Roman" w:hAnsi="Times New Roman"/>
                <w:sz w:val="20"/>
                <w:szCs w:val="20"/>
              </w:rPr>
              <w:t xml:space="preserve"> réfugiés ;</w:t>
            </w:r>
          </w:p>
          <w:p w14:paraId="67516DAF" w14:textId="1076B30D"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xml:space="preserve">La rationalisation des dépenses </w:t>
            </w:r>
            <w:r w:rsidR="00522009" w:rsidRPr="00AE612A">
              <w:rPr>
                <w:rFonts w:ascii="Times New Roman" w:hAnsi="Times New Roman"/>
                <w:sz w:val="20"/>
                <w:szCs w:val="20"/>
              </w:rPr>
              <w:t>publiques ;</w:t>
            </w:r>
          </w:p>
          <w:p w14:paraId="39E9C883" w14:textId="34BFBAE9" w:rsidR="00957B6F" w:rsidRPr="00AE612A" w:rsidRDefault="00957B6F" w:rsidP="00BC1AE3">
            <w:pPr>
              <w:pStyle w:val="Paragraphedeliste"/>
              <w:numPr>
                <w:ilvl w:val="0"/>
                <w:numId w:val="46"/>
              </w:num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L’élaboration régulière des Lois de règlements ;</w:t>
            </w:r>
          </w:p>
          <w:p w14:paraId="58BE1FAE" w14:textId="3A725789" w:rsidR="00957B6F" w:rsidRPr="00AE612A" w:rsidDel="007D7C7E" w:rsidRDefault="00957B6F" w:rsidP="00BC1AE3">
            <w:pPr>
              <w:pStyle w:val="Paragraphedeliste"/>
              <w:numPr>
                <w:ilvl w:val="0"/>
                <w:numId w:val="46"/>
              </w:num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La transparence des dépenses publiques.</w:t>
            </w:r>
          </w:p>
        </w:tc>
        <w:tc>
          <w:tcPr>
            <w:tcW w:w="3803" w:type="dxa"/>
            <w:tcBorders>
              <w:top w:val="single" w:sz="4" w:space="0" w:color="auto"/>
              <w:left w:val="single" w:sz="4" w:space="0" w:color="auto"/>
              <w:bottom w:val="single" w:sz="4" w:space="0" w:color="auto"/>
              <w:right w:val="single" w:sz="4" w:space="0" w:color="auto"/>
            </w:tcBorders>
          </w:tcPr>
          <w:p w14:paraId="10D24B1A"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L’exploitation des sources novatrices de mobilisation de ressources telles que les</w:t>
            </w:r>
          </w:p>
          <w:p w14:paraId="6E97E5B5"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proofErr w:type="gramStart"/>
            <w:r w:rsidRPr="00AE612A">
              <w:rPr>
                <w:rFonts w:ascii="Times New Roman" w:hAnsi="Times New Roman"/>
                <w:sz w:val="20"/>
                <w:szCs w:val="20"/>
              </w:rPr>
              <w:t>fonds</w:t>
            </w:r>
            <w:proofErr w:type="gramEnd"/>
            <w:r w:rsidRPr="00AE612A">
              <w:rPr>
                <w:rFonts w:ascii="Times New Roman" w:hAnsi="Times New Roman"/>
                <w:sz w:val="20"/>
                <w:szCs w:val="20"/>
              </w:rPr>
              <w:t xml:space="preserve"> de la Diaspora et les ressources des fonds spéciaux et des Fondations;</w:t>
            </w:r>
          </w:p>
          <w:p w14:paraId="5454329C"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Zone de Libre Echange Continental Africaine (ZLECAF) ;</w:t>
            </w:r>
          </w:p>
          <w:p w14:paraId="3D266D3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conseil présidentiel pour l’amélioration du climat des affaires au Tchad ;</w:t>
            </w:r>
          </w:p>
          <w:p w14:paraId="0638384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L’existence de la Loi organique relative aux Lois des finances de 2014 ;</w:t>
            </w:r>
          </w:p>
          <w:p w14:paraId="35D32A0C"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L’instrument de programmation budgétaire (CBMT-CDMT) ;</w:t>
            </w:r>
          </w:p>
          <w:p w14:paraId="0100E1AF"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L’Observatoire Tchadien des Finances Publiques (</w:t>
            </w:r>
            <w:proofErr w:type="spellStart"/>
            <w:r w:rsidRPr="00AE612A">
              <w:rPr>
                <w:rFonts w:ascii="Times New Roman" w:hAnsi="Times New Roman"/>
                <w:sz w:val="20"/>
                <w:szCs w:val="20"/>
              </w:rPr>
              <w:t>OTFiP</w:t>
            </w:r>
            <w:proofErr w:type="spellEnd"/>
            <w:r w:rsidRPr="00AE612A">
              <w:rPr>
                <w:rFonts w:ascii="Times New Roman" w:hAnsi="Times New Roman"/>
                <w:sz w:val="20"/>
                <w:szCs w:val="20"/>
              </w:rPr>
              <w:t>) ;</w:t>
            </w:r>
          </w:p>
          <w:p w14:paraId="19DEA974"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La Commission nationale de gestion des investissements publics (CONAGIP).</w:t>
            </w:r>
          </w:p>
          <w:p w14:paraId="0E17876F"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 Le Plan Directeur de l’Industrialisation et de Diversification de l’Economie (PDIDE</w:t>
            </w:r>
          </w:p>
          <w:p w14:paraId="37B36675" w14:textId="77777777" w:rsidR="00957B6F" w:rsidRPr="00AE612A" w:rsidRDefault="00957B6F" w:rsidP="00957B6F">
            <w:pPr>
              <w:autoSpaceDE w:val="0"/>
              <w:autoSpaceDN w:val="0"/>
              <w:adjustRightInd w:val="0"/>
              <w:spacing w:after="0" w:line="240" w:lineRule="auto"/>
              <w:rPr>
                <w:rFonts w:ascii="Times New Roman" w:hAnsi="Times New Roman"/>
                <w:sz w:val="20"/>
                <w:szCs w:val="20"/>
              </w:rPr>
            </w:pPr>
            <w:r w:rsidRPr="00AE612A">
              <w:rPr>
                <w:rFonts w:ascii="Times New Roman" w:hAnsi="Times New Roman"/>
                <w:sz w:val="20"/>
                <w:szCs w:val="20"/>
              </w:rPr>
              <w:t>2020) ;</w:t>
            </w:r>
          </w:p>
          <w:p w14:paraId="786E7061" w14:textId="77777777" w:rsidR="00957B6F" w:rsidRPr="00AE612A" w:rsidDel="00124D83" w:rsidRDefault="00957B6F" w:rsidP="00957B6F">
            <w:pPr>
              <w:autoSpaceDE w:val="0"/>
              <w:autoSpaceDN w:val="0"/>
              <w:adjustRightInd w:val="0"/>
              <w:spacing w:after="0" w:line="240" w:lineRule="auto"/>
              <w:rPr>
                <w:rFonts w:ascii="Times New Roman" w:hAnsi="Times New Roman"/>
                <w:bCs/>
                <w:sz w:val="20"/>
                <w:szCs w:val="20"/>
              </w:rPr>
            </w:pPr>
            <w:r w:rsidRPr="00AE612A">
              <w:rPr>
                <w:rFonts w:ascii="Times New Roman" w:hAnsi="Times New Roman"/>
                <w:sz w:val="20"/>
                <w:szCs w:val="20"/>
              </w:rPr>
              <w:t>• La Stratégie Nationale de Développement du Secteur Privé 2018-2021. ;</w:t>
            </w:r>
          </w:p>
        </w:tc>
      </w:tr>
    </w:tbl>
    <w:p w14:paraId="2E457EFB" w14:textId="77777777" w:rsidR="00957B6F" w:rsidRPr="00957B6F" w:rsidRDefault="00957B6F" w:rsidP="00957B6F"/>
    <w:p w14:paraId="29DD7DCA" w14:textId="77777777" w:rsidR="002833F9" w:rsidRPr="00A8375B" w:rsidRDefault="002833F9">
      <w:pPr>
        <w:spacing w:after="0" w:line="240" w:lineRule="auto"/>
        <w:rPr>
          <w:rFonts w:asciiTheme="minorHAnsi" w:hAnsiTheme="minorHAnsi"/>
          <w:b/>
          <w:color w:val="FF0000"/>
          <w:shd w:val="clear" w:color="auto" w:fill="FFFFFF"/>
        </w:rPr>
      </w:pPr>
      <w:r w:rsidRPr="00A8375B">
        <w:rPr>
          <w:b/>
          <w:color w:val="FF0000"/>
          <w:shd w:val="clear" w:color="auto" w:fill="FFFFFF"/>
        </w:rPr>
        <w:lastRenderedPageBreak/>
        <w:br w:type="page"/>
      </w:r>
    </w:p>
    <w:p w14:paraId="2F05A55B" w14:textId="2D9FAEC8" w:rsidR="005C0FDC" w:rsidRDefault="005C0FDC" w:rsidP="00A8375B">
      <w:pPr>
        <w:pStyle w:val="Titre1"/>
        <w:rPr>
          <w:rFonts w:ascii="Times New Roman" w:hAnsi="Times New Roman"/>
          <w:b/>
          <w:bCs/>
        </w:rPr>
      </w:pPr>
      <w:bookmarkStart w:id="358" w:name="_Toc90910821"/>
      <w:bookmarkStart w:id="359" w:name="_Toc51745213"/>
      <w:bookmarkStart w:id="360" w:name="_Toc55372914"/>
      <w:bookmarkStart w:id="361" w:name="_Toc55539116"/>
      <w:bookmarkStart w:id="362" w:name="_Toc61523620"/>
      <w:r>
        <w:rPr>
          <w:rFonts w:ascii="Times New Roman" w:hAnsi="Times New Roman"/>
          <w:b/>
          <w:bCs/>
        </w:rPr>
        <w:lastRenderedPageBreak/>
        <w:t>CONCLUSION</w:t>
      </w:r>
    </w:p>
    <w:p w14:paraId="7C75420F" w14:textId="620109B1" w:rsidR="005C0FDC" w:rsidRDefault="005C0FDC" w:rsidP="005C0FDC"/>
    <w:bookmarkEnd w:id="358"/>
    <w:p w14:paraId="1270BE9E" w14:textId="77777777" w:rsidR="0001783A" w:rsidRDefault="0001783A" w:rsidP="0001783A">
      <w:pPr>
        <w:spacing w:after="0"/>
        <w:jc w:val="both"/>
        <w:rPr>
          <w:rFonts w:ascii="Times New Roman" w:hAnsi="Times New Roman"/>
          <w:sz w:val="24"/>
        </w:rPr>
      </w:pPr>
    </w:p>
    <w:p w14:paraId="3109CA73" w14:textId="4091ADA3" w:rsidR="0001783A" w:rsidRDefault="009402BE" w:rsidP="0001783A">
      <w:pPr>
        <w:spacing w:after="0"/>
        <w:jc w:val="both"/>
        <w:rPr>
          <w:rFonts w:ascii="Times New Roman" w:hAnsi="Times New Roman"/>
          <w:sz w:val="24"/>
        </w:rPr>
      </w:pPr>
      <w:r w:rsidRPr="009402BE">
        <w:rPr>
          <w:rFonts w:ascii="Times New Roman" w:hAnsi="Times New Roman"/>
          <w:sz w:val="24"/>
        </w:rPr>
        <w:t>L</w:t>
      </w:r>
      <w:r>
        <w:rPr>
          <w:rFonts w:ascii="Times New Roman" w:hAnsi="Times New Roman"/>
          <w:sz w:val="24"/>
        </w:rPr>
        <w:t xml:space="preserve">a présente </w:t>
      </w:r>
      <w:r w:rsidRPr="009402BE">
        <w:rPr>
          <w:rFonts w:ascii="Times New Roman" w:hAnsi="Times New Roman"/>
          <w:sz w:val="24"/>
        </w:rPr>
        <w:t>analyse commune de pays</w:t>
      </w:r>
      <w:r>
        <w:rPr>
          <w:rFonts w:ascii="Times New Roman" w:hAnsi="Times New Roman"/>
          <w:sz w:val="24"/>
        </w:rPr>
        <w:t xml:space="preserve"> (CCA)</w:t>
      </w:r>
      <w:r w:rsidRPr="009402BE">
        <w:rPr>
          <w:rFonts w:ascii="Times New Roman" w:hAnsi="Times New Roman"/>
          <w:sz w:val="24"/>
        </w:rPr>
        <w:t xml:space="preserve"> est une étape majeure dans le processus du Plan cadre de Coopération du système des Nations Unies pour le Développement Durable</w:t>
      </w:r>
      <w:r>
        <w:rPr>
          <w:rFonts w:ascii="Times New Roman" w:hAnsi="Times New Roman"/>
          <w:sz w:val="24"/>
        </w:rPr>
        <w:t xml:space="preserve"> </w:t>
      </w:r>
      <w:r w:rsidRPr="009402BE">
        <w:rPr>
          <w:rFonts w:ascii="Times New Roman" w:hAnsi="Times New Roman"/>
          <w:sz w:val="24"/>
        </w:rPr>
        <w:t xml:space="preserve">(UNSDCF 2023 – 2027). Elle </w:t>
      </w:r>
      <w:r>
        <w:rPr>
          <w:rFonts w:ascii="Times New Roman" w:hAnsi="Times New Roman"/>
          <w:sz w:val="24"/>
        </w:rPr>
        <w:t>fournit une</w:t>
      </w:r>
      <w:r w:rsidRPr="009402BE">
        <w:rPr>
          <w:rFonts w:ascii="Times New Roman" w:hAnsi="Times New Roman"/>
          <w:sz w:val="24"/>
        </w:rPr>
        <w:t xml:space="preserve"> analyse approfondi</w:t>
      </w:r>
      <w:r>
        <w:rPr>
          <w:rFonts w:ascii="Times New Roman" w:hAnsi="Times New Roman"/>
          <w:sz w:val="24"/>
        </w:rPr>
        <w:t>e</w:t>
      </w:r>
      <w:r w:rsidRPr="009402BE">
        <w:rPr>
          <w:rFonts w:ascii="Times New Roman" w:hAnsi="Times New Roman"/>
          <w:sz w:val="24"/>
        </w:rPr>
        <w:t xml:space="preserve"> sur les trois dimensions du développement durable (économique, sociale et environnementale), ainsi que des principales tendances et difficultés constatées en matière politique, conflit, des droits de l’homme, économique, sociale et environnementale qui influent sur la réalisation de l’Agenda 2030, et ne laissent personne de côté.</w:t>
      </w:r>
    </w:p>
    <w:p w14:paraId="03D6AC28" w14:textId="5D9739C5" w:rsidR="009402BE" w:rsidRDefault="009402BE" w:rsidP="0001783A">
      <w:pPr>
        <w:spacing w:after="0"/>
        <w:jc w:val="both"/>
        <w:rPr>
          <w:rFonts w:ascii="Times New Roman" w:hAnsi="Times New Roman"/>
          <w:sz w:val="24"/>
        </w:rPr>
      </w:pPr>
    </w:p>
    <w:p w14:paraId="51AB126B" w14:textId="0157476E" w:rsidR="0007014E" w:rsidRDefault="009402BE" w:rsidP="00A8375B">
      <w:pPr>
        <w:spacing w:after="0"/>
        <w:jc w:val="both"/>
        <w:rPr>
          <w:rFonts w:ascii="Times New Roman" w:hAnsi="Times New Roman"/>
          <w:sz w:val="24"/>
        </w:rPr>
      </w:pPr>
      <w:r w:rsidRPr="0001783A">
        <w:rPr>
          <w:rFonts w:ascii="Times New Roman" w:hAnsi="Times New Roman"/>
          <w:sz w:val="24"/>
        </w:rPr>
        <w:t>Le</w:t>
      </w:r>
      <w:r>
        <w:rPr>
          <w:rFonts w:ascii="Times New Roman" w:hAnsi="Times New Roman"/>
          <w:sz w:val="24"/>
        </w:rPr>
        <w:t xml:space="preserve"> cadre de coopération actuel entre le Tchad et les Nations Unies </w:t>
      </w:r>
      <w:r w:rsidR="005C676A">
        <w:rPr>
          <w:rFonts w:ascii="Times New Roman" w:hAnsi="Times New Roman"/>
          <w:sz w:val="24"/>
        </w:rPr>
        <w:t>dénommé</w:t>
      </w:r>
      <w:r>
        <w:rPr>
          <w:rFonts w:ascii="Times New Roman" w:hAnsi="Times New Roman"/>
          <w:sz w:val="24"/>
        </w:rPr>
        <w:t xml:space="preserve"> </w:t>
      </w:r>
      <w:r w:rsidRPr="0001783A">
        <w:rPr>
          <w:rFonts w:ascii="Times New Roman" w:hAnsi="Times New Roman"/>
          <w:sz w:val="24"/>
        </w:rPr>
        <w:t>Plan cadre des Nations Unies d’Assistance au Développement du Tchad (UNDAF 2017 – 2021)</w:t>
      </w:r>
      <w:r w:rsidR="005C676A">
        <w:rPr>
          <w:rFonts w:ascii="Times New Roman" w:hAnsi="Times New Roman"/>
          <w:sz w:val="24"/>
        </w:rPr>
        <w:t xml:space="preserve"> </w:t>
      </w:r>
      <w:r>
        <w:rPr>
          <w:rFonts w:ascii="Times New Roman" w:hAnsi="Times New Roman"/>
          <w:sz w:val="24"/>
        </w:rPr>
        <w:t xml:space="preserve">et qui </w:t>
      </w:r>
      <w:r w:rsidRPr="0001783A">
        <w:rPr>
          <w:rFonts w:ascii="Times New Roman" w:hAnsi="Times New Roman"/>
          <w:sz w:val="24"/>
        </w:rPr>
        <w:t xml:space="preserve">a bénéficié d’une extension d’un an </w:t>
      </w:r>
      <w:r>
        <w:rPr>
          <w:rFonts w:ascii="Times New Roman" w:hAnsi="Times New Roman"/>
          <w:sz w:val="24"/>
        </w:rPr>
        <w:t>jusqu’</w:t>
      </w:r>
      <w:r w:rsidRPr="0001783A">
        <w:rPr>
          <w:rFonts w:ascii="Times New Roman" w:hAnsi="Times New Roman"/>
          <w:sz w:val="24"/>
        </w:rPr>
        <w:t>en décembre 2022</w:t>
      </w:r>
      <w:r w:rsidR="005C676A">
        <w:rPr>
          <w:rFonts w:ascii="Times New Roman" w:hAnsi="Times New Roman"/>
          <w:sz w:val="24"/>
        </w:rPr>
        <w:t xml:space="preserve"> tire à sa fin.  </w:t>
      </w:r>
      <w:r w:rsidR="00AE1E26" w:rsidRPr="00A8375B">
        <w:rPr>
          <w:rFonts w:ascii="Times New Roman" w:hAnsi="Times New Roman"/>
          <w:sz w:val="24"/>
        </w:rPr>
        <w:t>La mise en œuvre de l’UNDAF 2017-2021 a permis de tirer de nombreuses leçons, on peut relever les points ci-dessous.</w:t>
      </w:r>
      <w:r w:rsidR="005C676A">
        <w:rPr>
          <w:rFonts w:ascii="Times New Roman" w:hAnsi="Times New Roman"/>
          <w:sz w:val="24"/>
        </w:rPr>
        <w:t xml:space="preserve"> </w:t>
      </w:r>
    </w:p>
    <w:p w14:paraId="54874E8F" w14:textId="77777777" w:rsidR="005C676A" w:rsidRPr="00A8375B" w:rsidRDefault="005C676A" w:rsidP="00A8375B">
      <w:pPr>
        <w:spacing w:after="0"/>
        <w:jc w:val="both"/>
        <w:rPr>
          <w:rFonts w:ascii="Times New Roman" w:hAnsi="Times New Roman"/>
          <w:sz w:val="24"/>
        </w:rPr>
      </w:pPr>
    </w:p>
    <w:p w14:paraId="66460A30" w14:textId="131C5995" w:rsidR="00AE1E26" w:rsidRPr="00A8375B" w:rsidRDefault="00AE1E26" w:rsidP="00BC1AE3">
      <w:pPr>
        <w:pStyle w:val="Paragraphedeliste"/>
        <w:numPr>
          <w:ilvl w:val="0"/>
          <w:numId w:val="50"/>
        </w:numPr>
        <w:spacing w:after="0"/>
        <w:jc w:val="both"/>
        <w:rPr>
          <w:rFonts w:ascii="Times New Roman" w:hAnsi="Times New Roman"/>
          <w:sz w:val="24"/>
        </w:rPr>
      </w:pPr>
      <w:r w:rsidRPr="00A8375B">
        <w:rPr>
          <w:rFonts w:ascii="Times New Roman" w:hAnsi="Times New Roman"/>
          <w:sz w:val="24"/>
        </w:rPr>
        <w:t xml:space="preserve">Malgré l’alignement des interventions des agences du système des Nations Unies à l’UNDAF, les agences ont souvent des thématiques d’intervention préétablies qu’elles tiennent de leur mandat spécifique, ou des exigences des bailleurs. Cette insuffisance de concertation peut conduire à la dispersion des interventions et à une faible exploitation des opportunités de synergie. Il est également important de renforcer l’alignement des plans de travail des agences avec les Plans de Travail Conjoints du cadre de coopération. </w:t>
      </w:r>
    </w:p>
    <w:p w14:paraId="31F920C6" w14:textId="77777777" w:rsidR="006C5E7A" w:rsidRPr="00A8375B" w:rsidRDefault="006C5E7A" w:rsidP="00A8375B">
      <w:pPr>
        <w:pStyle w:val="Paragraphedeliste"/>
        <w:spacing w:after="0"/>
        <w:ind w:left="360"/>
        <w:jc w:val="both"/>
        <w:rPr>
          <w:rFonts w:ascii="Times New Roman" w:hAnsi="Times New Roman"/>
          <w:sz w:val="24"/>
        </w:rPr>
      </w:pPr>
    </w:p>
    <w:p w14:paraId="6569970E" w14:textId="77777777" w:rsidR="00AE1E26" w:rsidRPr="00A8375B" w:rsidRDefault="00AE1E26" w:rsidP="00BC1AE3">
      <w:pPr>
        <w:pStyle w:val="Paragraphedeliste"/>
        <w:numPr>
          <w:ilvl w:val="0"/>
          <w:numId w:val="50"/>
        </w:numPr>
        <w:spacing w:after="0"/>
        <w:jc w:val="both"/>
        <w:rPr>
          <w:rFonts w:ascii="Times New Roman" w:hAnsi="Times New Roman"/>
          <w:sz w:val="24"/>
        </w:rPr>
      </w:pPr>
      <w:r w:rsidRPr="00A8375B">
        <w:rPr>
          <w:rFonts w:ascii="Times New Roman" w:hAnsi="Times New Roman"/>
          <w:sz w:val="24"/>
        </w:rPr>
        <w:t>Le renforcement de l’appui au système statistique national</w:t>
      </w:r>
    </w:p>
    <w:p w14:paraId="40785232" w14:textId="2DD703C4" w:rsidR="006C5E7A" w:rsidRPr="00A8375B" w:rsidRDefault="00AE1E26" w:rsidP="00BC1AE3">
      <w:pPr>
        <w:pStyle w:val="Paragraphedeliste"/>
        <w:numPr>
          <w:ilvl w:val="0"/>
          <w:numId w:val="50"/>
        </w:numPr>
        <w:spacing w:after="0"/>
        <w:jc w:val="both"/>
        <w:rPr>
          <w:rFonts w:ascii="Times New Roman" w:hAnsi="Times New Roman"/>
          <w:sz w:val="24"/>
        </w:rPr>
      </w:pPr>
      <w:r w:rsidRPr="00A8375B">
        <w:rPr>
          <w:rFonts w:ascii="Times New Roman" w:hAnsi="Times New Roman"/>
          <w:sz w:val="24"/>
        </w:rPr>
        <w:t>La faiblesse des données statistiques rend complexe le suivi des indicateurs et donc la poursuite des résultats de l’UNDAF</w:t>
      </w:r>
      <w:r w:rsidR="007D4B38">
        <w:rPr>
          <w:rFonts w:ascii="Times New Roman" w:hAnsi="Times New Roman"/>
          <w:sz w:val="24"/>
        </w:rPr>
        <w:t xml:space="preserve">. </w:t>
      </w:r>
      <w:r w:rsidRPr="00A8375B">
        <w:rPr>
          <w:rFonts w:ascii="Times New Roman" w:hAnsi="Times New Roman"/>
          <w:sz w:val="24"/>
        </w:rPr>
        <w:t>En effet, la signature de plans de travail annuel conjoints permet un meilleur engagement de tous les acteurs qui sont ainsi tenus par cet engagement formalisé ; cela permet aussi de renforcer la synergie entre les agences dans la mise en œuvre du cadre de coopération pour faire respecter les engagements pris par les différentes parties.</w:t>
      </w:r>
    </w:p>
    <w:p w14:paraId="157DE951" w14:textId="77777777" w:rsidR="006C5E7A" w:rsidRPr="00A8375B" w:rsidRDefault="006C5E7A" w:rsidP="00A8375B">
      <w:pPr>
        <w:pStyle w:val="Paragraphedeliste"/>
        <w:spacing w:after="0"/>
        <w:ind w:left="360"/>
        <w:jc w:val="both"/>
        <w:rPr>
          <w:rFonts w:ascii="Times New Roman" w:hAnsi="Times New Roman"/>
          <w:sz w:val="24"/>
        </w:rPr>
      </w:pPr>
    </w:p>
    <w:p w14:paraId="585FC743" w14:textId="38E01BB8" w:rsidR="006C5E7A" w:rsidRPr="00A8375B" w:rsidRDefault="00AE1E26" w:rsidP="00BC1AE3">
      <w:pPr>
        <w:pStyle w:val="Paragraphedeliste"/>
        <w:numPr>
          <w:ilvl w:val="0"/>
          <w:numId w:val="50"/>
        </w:numPr>
        <w:spacing w:after="0"/>
        <w:jc w:val="both"/>
        <w:rPr>
          <w:rFonts w:ascii="Times New Roman" w:hAnsi="Times New Roman"/>
          <w:sz w:val="24"/>
        </w:rPr>
      </w:pPr>
      <w:r w:rsidRPr="00A8375B">
        <w:rPr>
          <w:rFonts w:ascii="Times New Roman" w:hAnsi="Times New Roman"/>
          <w:sz w:val="24"/>
        </w:rPr>
        <w:t>Les acteurs et principaux point focaux de la partie gouvernementale changent trop fréquemment ce qui rend difficile et ralenti parfois la mise en œuvre des programmes compte du temps d’appropriation rendu nécessaire après chaque changement. Il est donc très important de prévoir un volet renforcement des capacités de la partie gouvernementale aussi souvent que possible.</w:t>
      </w:r>
    </w:p>
    <w:p w14:paraId="6D6C36E5" w14:textId="77777777" w:rsidR="006C5E7A" w:rsidRPr="00A8375B" w:rsidRDefault="006C5E7A" w:rsidP="00A8375B">
      <w:pPr>
        <w:pStyle w:val="Paragraphedeliste"/>
        <w:rPr>
          <w:rFonts w:ascii="Times New Roman" w:hAnsi="Times New Roman"/>
          <w:sz w:val="24"/>
        </w:rPr>
      </w:pPr>
    </w:p>
    <w:p w14:paraId="56093583" w14:textId="3D51B1A4" w:rsidR="00AE1E26" w:rsidRPr="00A8375B" w:rsidRDefault="00AE1E26" w:rsidP="00BC1AE3">
      <w:pPr>
        <w:pStyle w:val="Paragraphedeliste"/>
        <w:numPr>
          <w:ilvl w:val="0"/>
          <w:numId w:val="50"/>
        </w:numPr>
        <w:spacing w:after="0"/>
        <w:jc w:val="both"/>
        <w:rPr>
          <w:rFonts w:ascii="Times New Roman" w:hAnsi="Times New Roman"/>
          <w:sz w:val="24"/>
        </w:rPr>
      </w:pPr>
      <w:r w:rsidRPr="00A8375B">
        <w:rPr>
          <w:rFonts w:ascii="Times New Roman" w:hAnsi="Times New Roman"/>
          <w:sz w:val="24"/>
        </w:rPr>
        <w:t xml:space="preserve">La communication qui accompagne la mise en œuvre du cadre de coopération doit être dynamique et destinée à toutes les parties prenantes. L’approche communautaire de la mise en œuvre du cadre de coopération produit de très bons résultats. La mise en œuvre du cadre de coopération par l’approche communautaire (éducation, santé, eau, assainissement et hygiène, consolidation de la paix) ainsi que la stratégie d’intervention simultanée conformément aux guidelines UNDG en la matière devrait être considère comme de bonnes pratiques. </w:t>
      </w:r>
    </w:p>
    <w:p w14:paraId="296F8841" w14:textId="77777777" w:rsidR="006C5E7A" w:rsidRPr="00A8375B" w:rsidRDefault="006C5E7A" w:rsidP="00A8375B">
      <w:pPr>
        <w:spacing w:after="0"/>
        <w:rPr>
          <w:rFonts w:ascii="Times New Roman" w:hAnsi="Times New Roman"/>
          <w:sz w:val="24"/>
        </w:rPr>
      </w:pPr>
    </w:p>
    <w:p w14:paraId="20516E6F" w14:textId="1A32C9AC" w:rsidR="00AE1E26" w:rsidRPr="00A8375B" w:rsidRDefault="00AE1E26" w:rsidP="00A8375B">
      <w:pPr>
        <w:spacing w:after="0"/>
        <w:rPr>
          <w:rFonts w:ascii="Times New Roman" w:hAnsi="Times New Roman"/>
          <w:sz w:val="24"/>
        </w:rPr>
      </w:pPr>
      <w:r w:rsidRPr="00A8375B">
        <w:rPr>
          <w:rFonts w:ascii="Times New Roman" w:hAnsi="Times New Roman"/>
          <w:sz w:val="24"/>
        </w:rPr>
        <w:t xml:space="preserve">En vue de faciliter la programmation du prochain cadre de coopération, les leçons apprises amènent à la formulation de quelques recommandations qui devraient être capitalisées pour le prochain cadre de coopération. </w:t>
      </w:r>
    </w:p>
    <w:p w14:paraId="6F0666C6" w14:textId="77777777" w:rsidR="00AE1E26" w:rsidRPr="00A8375B" w:rsidRDefault="00AE1E26" w:rsidP="00BC1AE3">
      <w:pPr>
        <w:pStyle w:val="Paragraphedeliste"/>
        <w:numPr>
          <w:ilvl w:val="0"/>
          <w:numId w:val="51"/>
        </w:numPr>
        <w:spacing w:after="0"/>
        <w:rPr>
          <w:rFonts w:ascii="Times New Roman" w:hAnsi="Times New Roman"/>
          <w:sz w:val="24"/>
        </w:rPr>
      </w:pPr>
      <w:r w:rsidRPr="00A8375B">
        <w:rPr>
          <w:rFonts w:ascii="Times New Roman" w:hAnsi="Times New Roman"/>
          <w:sz w:val="24"/>
        </w:rPr>
        <w:t xml:space="preserve">Renforcer davantage le pilotage stratégique et la coordination programmatique qui sont décisifs pour la cohérence du système des Nations Unies </w:t>
      </w:r>
    </w:p>
    <w:p w14:paraId="00F7E59D" w14:textId="224FB87C" w:rsidR="00AE1E26" w:rsidRPr="00A8375B" w:rsidRDefault="00AE1E26" w:rsidP="00BC1AE3">
      <w:pPr>
        <w:pStyle w:val="Paragraphedeliste"/>
        <w:numPr>
          <w:ilvl w:val="0"/>
          <w:numId w:val="51"/>
        </w:numPr>
        <w:spacing w:after="0"/>
        <w:rPr>
          <w:rFonts w:ascii="Times New Roman" w:hAnsi="Times New Roman"/>
          <w:sz w:val="24"/>
        </w:rPr>
      </w:pPr>
      <w:r w:rsidRPr="00A8375B">
        <w:rPr>
          <w:rFonts w:ascii="Times New Roman" w:hAnsi="Times New Roman"/>
          <w:sz w:val="24"/>
        </w:rPr>
        <w:t xml:space="preserve">Finaliser le document BOS (Business Operations </w:t>
      </w:r>
      <w:proofErr w:type="spellStart"/>
      <w:r w:rsidRPr="00A8375B">
        <w:rPr>
          <w:rFonts w:ascii="Times New Roman" w:hAnsi="Times New Roman"/>
          <w:sz w:val="24"/>
        </w:rPr>
        <w:t>Strategy</w:t>
      </w:r>
      <w:proofErr w:type="spellEnd"/>
      <w:r w:rsidRPr="00A8375B">
        <w:rPr>
          <w:rFonts w:ascii="Times New Roman" w:hAnsi="Times New Roman"/>
          <w:sz w:val="24"/>
        </w:rPr>
        <w:t>)</w:t>
      </w:r>
      <w:r w:rsidR="007D4B38">
        <w:rPr>
          <w:rFonts w:ascii="Times New Roman" w:hAnsi="Times New Roman"/>
          <w:sz w:val="24"/>
        </w:rPr>
        <w:t xml:space="preserve"> </w:t>
      </w:r>
      <w:r w:rsidRPr="00A8375B">
        <w:rPr>
          <w:rFonts w:ascii="Times New Roman" w:hAnsi="Times New Roman"/>
          <w:sz w:val="24"/>
        </w:rPr>
        <w:t xml:space="preserve">Veiller au fonctionnement efficace de l’instance de pilotage stratégique du cadre de coopération et permettre au Gouvernement de jouer pleinement son rôle dans le pilotage stratégique et le suivi de la mise en œuvre du cadre de coopération.    </w:t>
      </w:r>
    </w:p>
    <w:p w14:paraId="77070FE0" w14:textId="09C9B321" w:rsidR="00AE1E26" w:rsidRPr="00A8375B" w:rsidRDefault="00AE1E26" w:rsidP="00BC1AE3">
      <w:pPr>
        <w:pStyle w:val="Paragraphedeliste"/>
        <w:numPr>
          <w:ilvl w:val="0"/>
          <w:numId w:val="51"/>
        </w:numPr>
        <w:spacing w:after="0"/>
        <w:rPr>
          <w:rFonts w:ascii="Times New Roman" w:hAnsi="Times New Roman"/>
          <w:sz w:val="24"/>
        </w:rPr>
      </w:pPr>
      <w:r w:rsidRPr="00A8375B">
        <w:rPr>
          <w:rFonts w:ascii="Times New Roman" w:hAnsi="Times New Roman"/>
          <w:sz w:val="24"/>
        </w:rPr>
        <w:t xml:space="preserve">Redynamiser le Comité National de Pilotage conjoint </w:t>
      </w:r>
    </w:p>
    <w:p w14:paraId="3F8ABB03" w14:textId="19E9B994" w:rsidR="00AE1E26" w:rsidRPr="00A8375B" w:rsidRDefault="00AE1E26" w:rsidP="00BC1AE3">
      <w:pPr>
        <w:pStyle w:val="Paragraphedeliste"/>
        <w:numPr>
          <w:ilvl w:val="0"/>
          <w:numId w:val="51"/>
        </w:numPr>
        <w:spacing w:after="0"/>
        <w:rPr>
          <w:rFonts w:ascii="Times New Roman" w:hAnsi="Times New Roman"/>
          <w:sz w:val="24"/>
        </w:rPr>
      </w:pPr>
      <w:r w:rsidRPr="00A8375B">
        <w:rPr>
          <w:rFonts w:ascii="Times New Roman" w:hAnsi="Times New Roman"/>
          <w:sz w:val="24"/>
        </w:rPr>
        <w:t xml:space="preserve">Promouvoir la communication autour de l’UNDAF/UNDSCF, particulièrement sur ses résultats en mettant l’accent sur les autres groupes de travail UNCG  </w:t>
      </w:r>
    </w:p>
    <w:p w14:paraId="7FD41C53" w14:textId="20C7EAE6" w:rsidR="00AE1E26" w:rsidRPr="00A8375B" w:rsidRDefault="00AE1E26" w:rsidP="00BC1AE3">
      <w:pPr>
        <w:pStyle w:val="Paragraphedeliste"/>
        <w:numPr>
          <w:ilvl w:val="0"/>
          <w:numId w:val="51"/>
        </w:numPr>
        <w:spacing w:after="0"/>
        <w:rPr>
          <w:rFonts w:ascii="Times New Roman" w:hAnsi="Times New Roman"/>
          <w:sz w:val="24"/>
        </w:rPr>
      </w:pPr>
      <w:r w:rsidRPr="00A8375B">
        <w:rPr>
          <w:rFonts w:ascii="Times New Roman" w:hAnsi="Times New Roman"/>
          <w:sz w:val="24"/>
        </w:rPr>
        <w:t xml:space="preserve">Renforcer les capacités des membres de l’Equipe Pays en organisant des sessions de recyclage et de perfectionnement sur la GAR, le suivi et l’évaluation. </w:t>
      </w:r>
    </w:p>
    <w:p w14:paraId="127374BA" w14:textId="308B41B6" w:rsidR="00AE1E26" w:rsidRPr="00A8375B" w:rsidRDefault="00AE1E26" w:rsidP="00BC1AE3">
      <w:pPr>
        <w:pStyle w:val="Paragraphedeliste"/>
        <w:numPr>
          <w:ilvl w:val="0"/>
          <w:numId w:val="51"/>
        </w:numPr>
        <w:spacing w:after="0"/>
        <w:rPr>
          <w:rFonts w:ascii="Times New Roman" w:hAnsi="Times New Roman"/>
          <w:sz w:val="24"/>
        </w:rPr>
      </w:pPr>
      <w:r w:rsidRPr="00A8375B">
        <w:rPr>
          <w:rFonts w:ascii="Times New Roman" w:hAnsi="Times New Roman"/>
          <w:sz w:val="24"/>
        </w:rPr>
        <w:t xml:space="preserve">Veiller, au cours du prochain cycle de programmation, à l’alignement du système de suivi et évaluation national au système de suivi et évaluation des Nations Unies en mettant à profit les avancées espérées en matière de renforcement des capacités nationales en suivi et évaluation. </w:t>
      </w:r>
    </w:p>
    <w:p w14:paraId="672CCAEB" w14:textId="77777777" w:rsidR="002F08FF" w:rsidRPr="00A8375B" w:rsidRDefault="002F08FF" w:rsidP="00A8375B">
      <w:pPr>
        <w:pStyle w:val="Titre1"/>
        <w:spacing w:before="0"/>
        <w:rPr>
          <w:rFonts w:ascii="Times New Roman" w:hAnsi="Times New Roman"/>
          <w:b/>
          <w:sz w:val="24"/>
        </w:rPr>
      </w:pPr>
    </w:p>
    <w:p w14:paraId="1621261F" w14:textId="3F790F60" w:rsidR="00AE1E26" w:rsidRDefault="00AE1E26" w:rsidP="00BC1AE3">
      <w:pPr>
        <w:pStyle w:val="Paragraphedeliste"/>
        <w:numPr>
          <w:ilvl w:val="1"/>
          <w:numId w:val="21"/>
        </w:numPr>
        <w:spacing w:after="0"/>
        <w:ind w:left="708"/>
        <w:jc w:val="both"/>
        <w:rPr>
          <w:rFonts w:ascii="Times New Roman" w:hAnsi="Times New Roman"/>
          <w:sz w:val="24"/>
        </w:rPr>
      </w:pPr>
      <w:r w:rsidRPr="00A8375B">
        <w:rPr>
          <w:rFonts w:ascii="Times New Roman" w:hAnsi="Times New Roman"/>
          <w:sz w:val="24"/>
        </w:rPr>
        <w:t>Le mandat et l’expertise des agences du système des Nations Unies (SNU) lui donnent un certain nombre d’avantages comparatifs quant à la mise en œuvre de l’UNDAF/UNDSCF et l’atteinte des ODD. Au rang de ces avantages comparatifs on peut citer</w:t>
      </w:r>
      <w:r w:rsidR="002F08FF" w:rsidRPr="00A8375B">
        <w:rPr>
          <w:rFonts w:ascii="Times New Roman" w:hAnsi="Times New Roman"/>
          <w:sz w:val="24"/>
        </w:rPr>
        <w:t> :</w:t>
      </w:r>
      <w:r w:rsidR="007D4B38">
        <w:rPr>
          <w:rFonts w:ascii="Times New Roman" w:hAnsi="Times New Roman"/>
          <w:sz w:val="24"/>
        </w:rPr>
        <w:t xml:space="preserve"> </w:t>
      </w:r>
      <w:r w:rsidRPr="00A8375B">
        <w:rPr>
          <w:rFonts w:ascii="Times New Roman" w:hAnsi="Times New Roman"/>
          <w:sz w:val="24"/>
        </w:rPr>
        <w:t>Avantage comparatif lié à la nature des Agences (Fonds, Agences spécialisées, Agences affiliées, etc.) Le SNU peut plus facilement contribuer à la consolidation de la paix de façon intersectorielle en adressant les causes sous-jacentes et faisant le suivi des violations des droits de l’homme et la prévention des violations à travers de la formation des agents de l’état ainsi que des détenteurs de droits.</w:t>
      </w:r>
    </w:p>
    <w:p w14:paraId="2268BB4C" w14:textId="0D693292" w:rsidR="007D4B38" w:rsidRDefault="007D4B38" w:rsidP="007D4B38">
      <w:pPr>
        <w:spacing w:after="0"/>
        <w:jc w:val="both"/>
        <w:rPr>
          <w:rFonts w:ascii="Times New Roman" w:hAnsi="Times New Roman"/>
          <w:sz w:val="24"/>
        </w:rPr>
      </w:pPr>
    </w:p>
    <w:p w14:paraId="17C5C197" w14:textId="07E5EC7F" w:rsidR="007D4B38" w:rsidRDefault="007D4B38" w:rsidP="007D4B38">
      <w:pPr>
        <w:spacing w:after="0"/>
        <w:jc w:val="both"/>
        <w:rPr>
          <w:rFonts w:ascii="Times New Roman" w:hAnsi="Times New Roman"/>
          <w:sz w:val="24"/>
        </w:rPr>
      </w:pPr>
    </w:p>
    <w:p w14:paraId="1AAE7298" w14:textId="0C5BFEB6" w:rsidR="007D4B38" w:rsidRDefault="007D4B38" w:rsidP="007D4B38">
      <w:pPr>
        <w:spacing w:after="0"/>
        <w:jc w:val="both"/>
        <w:rPr>
          <w:rFonts w:ascii="Times New Roman" w:hAnsi="Times New Roman"/>
          <w:sz w:val="24"/>
        </w:rPr>
      </w:pPr>
    </w:p>
    <w:p w14:paraId="1861D77B" w14:textId="77777777" w:rsidR="00CB692A" w:rsidRDefault="00CB692A" w:rsidP="00CB692A">
      <w:pPr>
        <w:spacing w:after="0" w:line="240" w:lineRule="auto"/>
        <w:ind w:left="360"/>
        <w:jc w:val="both"/>
        <w:rPr>
          <w:rFonts w:ascii="Times New Roman" w:hAnsi="Times New Roman"/>
          <w:sz w:val="24"/>
        </w:rPr>
      </w:pPr>
      <w:r w:rsidRPr="005F2935">
        <w:rPr>
          <w:rFonts w:ascii="Times New Roman" w:hAnsi="Times New Roman"/>
          <w:sz w:val="24"/>
        </w:rPr>
        <w:t xml:space="preserve">En vue de faciliter la programmation du prochain cadre de coopération, les leçons apprises amènent à la formulation de quelques recommandations. Celles-ci prennent en compte le fait que ce cadre de coopération sera la contribution du Système des Nations Unies à la mise en œuvre du Plan de Développement (PND) 2022-2026.  </w:t>
      </w:r>
    </w:p>
    <w:p w14:paraId="21A37EA8" w14:textId="7C945B0D" w:rsidR="00CB692A" w:rsidRDefault="00CB692A" w:rsidP="00CB692A">
      <w:pPr>
        <w:spacing w:after="0" w:line="240" w:lineRule="auto"/>
        <w:ind w:left="360"/>
        <w:jc w:val="both"/>
        <w:rPr>
          <w:rFonts w:ascii="Times New Roman" w:hAnsi="Times New Roman"/>
          <w:sz w:val="24"/>
          <w:szCs w:val="24"/>
        </w:rPr>
      </w:pPr>
      <w:r w:rsidRPr="005F2935">
        <w:rPr>
          <w:rFonts w:ascii="Times New Roman" w:hAnsi="Times New Roman"/>
          <w:sz w:val="24"/>
        </w:rPr>
        <w:t>Ainsi, les Nations Unies retiendront entre autres priorités, l`appui à l</w:t>
      </w:r>
      <w:r w:rsidRPr="005F2935">
        <w:rPr>
          <w:rFonts w:ascii="Times New Roman" w:hAnsi="Times New Roman"/>
          <w:sz w:val="24"/>
          <w:szCs w:val="24"/>
        </w:rPr>
        <w:t xml:space="preserve">a réalisation de </w:t>
      </w:r>
      <w:r w:rsidRPr="005F2935">
        <w:rPr>
          <w:rFonts w:ascii="TimesNewRomanPSMT" w:hAnsi="TimesNewRomanPSMT" w:cs="TimesNewRomanPSMT"/>
          <w:sz w:val="24"/>
          <w:szCs w:val="24"/>
        </w:rPr>
        <w:t>l’</w:t>
      </w:r>
      <w:r w:rsidRPr="005F2935">
        <w:rPr>
          <w:rFonts w:ascii="Times New Roman" w:hAnsi="Times New Roman"/>
          <w:sz w:val="24"/>
          <w:szCs w:val="24"/>
        </w:rPr>
        <w:t>offre industrielle par le Gouvernement. Cette offre nécessite le développement des infrast</w:t>
      </w:r>
      <w:r w:rsidRPr="005F2935">
        <w:rPr>
          <w:rFonts w:ascii="TimesNewRomanPSMT" w:hAnsi="TimesNewRomanPSMT" w:cs="TimesNewRomanPSMT"/>
          <w:sz w:val="24"/>
          <w:szCs w:val="24"/>
        </w:rPr>
        <w:t xml:space="preserve">ructures d’appui à l’industrie (énergies, transports, télécommunications, eau et assainissement, gestion, traitement et </w:t>
      </w:r>
      <w:r w:rsidRPr="005F2935">
        <w:rPr>
          <w:rFonts w:ascii="Times New Roman" w:hAnsi="Times New Roman"/>
          <w:sz w:val="24"/>
          <w:szCs w:val="24"/>
        </w:rPr>
        <w:t xml:space="preserve">recyclage des déchets, technologique, etc.). Il faudra également le développement des compétences, les réformes adéquates pour une meilleure articulation entre la planification stratégique et le cadre macro-économique, institutionnel et règlementaire des affaires et, enfin, une offre de financement de long terme. </w:t>
      </w:r>
      <w:r w:rsidRPr="005F2935">
        <w:rPr>
          <w:rFonts w:ascii="TimesNewRomanPSMT" w:hAnsi="TimesNewRomanPSMT" w:cs="TimesNewRomanPSMT"/>
          <w:sz w:val="24"/>
          <w:szCs w:val="24"/>
        </w:rPr>
        <w:t xml:space="preserve">L’objectif </w:t>
      </w:r>
      <w:r w:rsidRPr="005F2935">
        <w:rPr>
          <w:rFonts w:ascii="Times New Roman" w:hAnsi="Times New Roman"/>
          <w:sz w:val="24"/>
          <w:szCs w:val="24"/>
        </w:rPr>
        <w:t xml:space="preserve">global sera </w:t>
      </w:r>
      <w:r w:rsidRPr="005F2935">
        <w:rPr>
          <w:rFonts w:ascii="TimesNewRomanPSMT" w:hAnsi="TimesNewRomanPSMT" w:cs="TimesNewRomanPSMT"/>
          <w:sz w:val="24"/>
          <w:szCs w:val="24"/>
        </w:rPr>
        <w:t>de favoriser l’éclosion de petite</w:t>
      </w:r>
      <w:r w:rsidRPr="005F2935">
        <w:rPr>
          <w:rFonts w:ascii="Times New Roman" w:hAnsi="Times New Roman"/>
          <w:sz w:val="24"/>
          <w:szCs w:val="24"/>
        </w:rPr>
        <w:t xml:space="preserve">s, moyennes et grandes entreprises industrielles au Tchad en investissant massivement dans les secteurs porteurs de croissance et </w:t>
      </w:r>
      <w:r w:rsidRPr="005F2935">
        <w:rPr>
          <w:rFonts w:ascii="TimesNewRomanPSMT" w:hAnsi="TimesNewRomanPSMT" w:cs="TimesNewRomanPSMT"/>
          <w:sz w:val="24"/>
          <w:szCs w:val="24"/>
        </w:rPr>
        <w:t xml:space="preserve">d’emploi, afin de porter la part de l’industrie manufacturière dans le PIB de son niveau </w:t>
      </w:r>
      <w:r w:rsidRPr="005F2935">
        <w:rPr>
          <w:rFonts w:ascii="TimesNewRomanPSMT" w:hAnsi="TimesNewRomanPSMT" w:cs="TimesNewRomanPSMT"/>
          <w:sz w:val="24"/>
          <w:szCs w:val="24"/>
        </w:rPr>
        <w:lastRenderedPageBreak/>
        <w:t>actuel de 8% à 16% et la part de l’ex</w:t>
      </w:r>
      <w:r w:rsidRPr="005F2935">
        <w:rPr>
          <w:rFonts w:ascii="Times New Roman" w:hAnsi="Times New Roman"/>
          <w:sz w:val="24"/>
          <w:szCs w:val="24"/>
        </w:rPr>
        <w:t>portation des produits manufacturiers dans les exportations totales de 2% à 6% en 2030.</w:t>
      </w:r>
    </w:p>
    <w:p w14:paraId="62760BF7" w14:textId="65B5E183" w:rsidR="00CB692A" w:rsidRDefault="00CB692A" w:rsidP="00CB692A">
      <w:pPr>
        <w:spacing w:after="0" w:line="240" w:lineRule="auto"/>
        <w:ind w:left="360"/>
        <w:jc w:val="both"/>
        <w:rPr>
          <w:rFonts w:ascii="Times New Roman" w:hAnsi="Times New Roman"/>
          <w:sz w:val="24"/>
          <w:szCs w:val="24"/>
        </w:rPr>
      </w:pPr>
    </w:p>
    <w:p w14:paraId="0D99562E" w14:textId="77777777" w:rsidR="00CB692A" w:rsidRPr="005F2935" w:rsidRDefault="00CB692A" w:rsidP="00CB692A">
      <w:pPr>
        <w:spacing w:after="0" w:line="240" w:lineRule="auto"/>
        <w:ind w:left="360"/>
        <w:jc w:val="both"/>
        <w:rPr>
          <w:rFonts w:ascii="Times New Roman" w:hAnsi="Times New Roman"/>
          <w:sz w:val="24"/>
          <w:szCs w:val="24"/>
        </w:rPr>
      </w:pPr>
    </w:p>
    <w:p w14:paraId="183EC156" w14:textId="1640DFEF" w:rsidR="00CB692A" w:rsidRPr="005F2935" w:rsidRDefault="00CB692A" w:rsidP="00CB692A">
      <w:pPr>
        <w:spacing w:after="0" w:line="240" w:lineRule="auto"/>
        <w:ind w:left="360"/>
        <w:jc w:val="both"/>
        <w:rPr>
          <w:rFonts w:ascii="Times New Roman" w:hAnsi="Times New Roman"/>
          <w:sz w:val="24"/>
        </w:rPr>
      </w:pPr>
      <w:r w:rsidRPr="005F2935">
        <w:rPr>
          <w:rFonts w:ascii="Times New Roman" w:hAnsi="Times New Roman"/>
          <w:sz w:val="24"/>
          <w:szCs w:val="24"/>
        </w:rPr>
        <w:t>Les points ci-après seront aussi pris en compte</w:t>
      </w:r>
      <w:r>
        <w:rPr>
          <w:rFonts w:ascii="Times New Roman" w:hAnsi="Times New Roman"/>
          <w:sz w:val="24"/>
          <w:szCs w:val="24"/>
        </w:rPr>
        <w:t xml:space="preserve"> dans la préparation du prochain cadre de coopération</w:t>
      </w:r>
      <w:r w:rsidRPr="005F2935">
        <w:rPr>
          <w:rFonts w:ascii="Times New Roman" w:hAnsi="Times New Roman"/>
          <w:sz w:val="24"/>
          <w:szCs w:val="24"/>
        </w:rPr>
        <w:t> :</w:t>
      </w:r>
    </w:p>
    <w:p w14:paraId="3A8BAC9A" w14:textId="77777777" w:rsidR="00CB692A" w:rsidRPr="005D2A4A" w:rsidRDefault="00CB692A" w:rsidP="00CB692A">
      <w:pPr>
        <w:spacing w:after="0" w:line="240" w:lineRule="auto"/>
        <w:ind w:left="360"/>
        <w:jc w:val="both"/>
        <w:rPr>
          <w:rFonts w:ascii="Times New Roman" w:hAnsi="Times New Roman"/>
          <w:color w:val="000000"/>
          <w:sz w:val="24"/>
        </w:rPr>
      </w:pPr>
    </w:p>
    <w:p w14:paraId="1B6957CE" w14:textId="77777777" w:rsidR="00CB692A" w:rsidRDefault="00CB692A" w:rsidP="00CB692A">
      <w:pPr>
        <w:numPr>
          <w:ilvl w:val="0"/>
          <w:numId w:val="60"/>
        </w:numPr>
        <w:spacing w:after="0" w:line="240" w:lineRule="auto"/>
        <w:jc w:val="both"/>
        <w:rPr>
          <w:rFonts w:ascii="Times New Roman" w:hAnsi="Times New Roman"/>
          <w:color w:val="000000"/>
          <w:sz w:val="24"/>
        </w:rPr>
      </w:pPr>
      <w:r w:rsidRPr="005D2A4A">
        <w:rPr>
          <w:rFonts w:ascii="Times New Roman" w:hAnsi="Times New Roman"/>
          <w:color w:val="000000"/>
          <w:sz w:val="24"/>
        </w:rPr>
        <w:t xml:space="preserve">Renforcer davantage le pilotage stratégique et la coordination programmatique qui sont décisifs pour la cohérence du système des Nations Unies </w:t>
      </w:r>
    </w:p>
    <w:p w14:paraId="335A34BB" w14:textId="77777777" w:rsidR="00CB692A" w:rsidRPr="00033444" w:rsidRDefault="00CB692A" w:rsidP="00CB692A">
      <w:pPr>
        <w:spacing w:after="0" w:line="240" w:lineRule="auto"/>
        <w:ind w:left="360"/>
        <w:jc w:val="both"/>
        <w:rPr>
          <w:rFonts w:ascii="Times New Roman" w:hAnsi="Times New Roman"/>
          <w:color w:val="000000"/>
          <w:sz w:val="18"/>
          <w:szCs w:val="16"/>
        </w:rPr>
      </w:pPr>
    </w:p>
    <w:p w14:paraId="26A5BAEF" w14:textId="77777777" w:rsidR="00CB692A" w:rsidRPr="00324290" w:rsidRDefault="00CB692A" w:rsidP="00CB692A">
      <w:pPr>
        <w:numPr>
          <w:ilvl w:val="0"/>
          <w:numId w:val="60"/>
        </w:numPr>
        <w:spacing w:after="0" w:line="240" w:lineRule="auto"/>
        <w:jc w:val="both"/>
        <w:rPr>
          <w:rFonts w:ascii="Times New Roman" w:hAnsi="Times New Roman"/>
          <w:strike/>
          <w:color w:val="000000"/>
          <w:sz w:val="24"/>
        </w:rPr>
      </w:pPr>
      <w:r w:rsidRPr="005D2A4A">
        <w:rPr>
          <w:rFonts w:ascii="Times New Roman" w:hAnsi="Times New Roman"/>
          <w:color w:val="000000"/>
          <w:sz w:val="24"/>
        </w:rPr>
        <w:t xml:space="preserve"> </w:t>
      </w:r>
      <w:r w:rsidRPr="00740CAD">
        <w:rPr>
          <w:rFonts w:ascii="Times New Roman" w:hAnsi="Times New Roman"/>
          <w:color w:val="000000"/>
          <w:sz w:val="24"/>
        </w:rPr>
        <w:t xml:space="preserve">Finaliser le document BOS (Business Operations </w:t>
      </w:r>
      <w:proofErr w:type="spellStart"/>
      <w:r w:rsidRPr="00740CAD">
        <w:rPr>
          <w:rFonts w:ascii="Times New Roman" w:hAnsi="Times New Roman"/>
          <w:color w:val="000000"/>
          <w:sz w:val="24"/>
        </w:rPr>
        <w:t>Strategy</w:t>
      </w:r>
      <w:proofErr w:type="spellEnd"/>
      <w:r w:rsidRPr="00740CAD">
        <w:rPr>
          <w:rFonts w:ascii="Times New Roman" w:hAnsi="Times New Roman"/>
          <w:color w:val="000000"/>
          <w:sz w:val="24"/>
        </w:rPr>
        <w:t>)</w:t>
      </w:r>
      <w:r>
        <w:rPr>
          <w:rFonts w:ascii="Times New Roman" w:hAnsi="Times New Roman"/>
          <w:color w:val="000000"/>
          <w:sz w:val="24"/>
        </w:rPr>
        <w:t> </w:t>
      </w:r>
    </w:p>
    <w:p w14:paraId="3F0123DD" w14:textId="77777777" w:rsidR="00CB692A" w:rsidRPr="00033444" w:rsidRDefault="00CB692A" w:rsidP="00CB692A">
      <w:pPr>
        <w:spacing w:after="0" w:line="240" w:lineRule="auto"/>
        <w:ind w:left="360"/>
        <w:jc w:val="both"/>
        <w:rPr>
          <w:rFonts w:ascii="Times New Roman" w:hAnsi="Times New Roman"/>
          <w:strike/>
          <w:color w:val="000000"/>
          <w:sz w:val="20"/>
          <w:szCs w:val="18"/>
        </w:rPr>
      </w:pPr>
    </w:p>
    <w:p w14:paraId="3D0A87CE" w14:textId="7FC9B9B8" w:rsidR="00CB692A" w:rsidRPr="00CB692A" w:rsidRDefault="00CB692A" w:rsidP="00CB692A">
      <w:pPr>
        <w:numPr>
          <w:ilvl w:val="0"/>
          <w:numId w:val="60"/>
        </w:numPr>
        <w:spacing w:after="0" w:line="240" w:lineRule="auto"/>
        <w:jc w:val="both"/>
        <w:rPr>
          <w:rFonts w:ascii="Times New Roman" w:hAnsi="Times New Roman"/>
          <w:color w:val="000000"/>
          <w:sz w:val="24"/>
        </w:rPr>
      </w:pPr>
      <w:r>
        <w:rPr>
          <w:rFonts w:ascii="Times New Roman" w:hAnsi="Times New Roman"/>
          <w:color w:val="000000"/>
          <w:sz w:val="24"/>
        </w:rPr>
        <w:t>Veiller au fonctionnement efficace de</w:t>
      </w:r>
      <w:r w:rsidRPr="00740CAD">
        <w:rPr>
          <w:rFonts w:ascii="Times New Roman" w:hAnsi="Times New Roman"/>
          <w:color w:val="000000"/>
          <w:sz w:val="24"/>
        </w:rPr>
        <w:t xml:space="preserve"> l’instance de pilotage stratégique du cadre de coopération et permettre au Gouvernement de jouer pleinement son rôle dans le pilotage stratégique et le suivi de la mise en œuvre du cadre de coopération.    </w:t>
      </w:r>
    </w:p>
    <w:p w14:paraId="5808C459" w14:textId="77777777" w:rsidR="00CB692A" w:rsidRPr="00740CAD" w:rsidRDefault="00CB692A" w:rsidP="00CB692A">
      <w:pPr>
        <w:spacing w:after="0" w:line="240" w:lineRule="auto"/>
        <w:jc w:val="both"/>
        <w:rPr>
          <w:rFonts w:ascii="Times New Roman" w:hAnsi="Times New Roman"/>
          <w:color w:val="000000"/>
          <w:sz w:val="24"/>
          <w:highlight w:val="yellow"/>
        </w:rPr>
      </w:pPr>
    </w:p>
    <w:p w14:paraId="6361745B" w14:textId="3EF1C475" w:rsidR="00CB692A" w:rsidRPr="005D2A4A" w:rsidRDefault="00CB692A" w:rsidP="00CB692A">
      <w:pPr>
        <w:numPr>
          <w:ilvl w:val="0"/>
          <w:numId w:val="60"/>
        </w:numPr>
        <w:spacing w:after="0" w:line="240" w:lineRule="auto"/>
        <w:jc w:val="both"/>
        <w:rPr>
          <w:rFonts w:ascii="Times New Roman" w:hAnsi="Times New Roman"/>
          <w:color w:val="000000"/>
          <w:sz w:val="24"/>
        </w:rPr>
      </w:pPr>
      <w:r w:rsidRPr="005D2A4A">
        <w:rPr>
          <w:rFonts w:ascii="Times New Roman" w:hAnsi="Times New Roman"/>
          <w:color w:val="000000"/>
          <w:sz w:val="24"/>
        </w:rPr>
        <w:t xml:space="preserve">Promouvoir la communication autour de </w:t>
      </w:r>
      <w:r>
        <w:rPr>
          <w:rFonts w:ascii="Times New Roman" w:hAnsi="Times New Roman"/>
          <w:color w:val="000000"/>
          <w:sz w:val="24"/>
        </w:rPr>
        <w:t>l’UNDSCF</w:t>
      </w:r>
      <w:r w:rsidRPr="005D2A4A">
        <w:rPr>
          <w:rFonts w:ascii="Times New Roman" w:hAnsi="Times New Roman"/>
          <w:color w:val="000000"/>
          <w:sz w:val="24"/>
        </w:rPr>
        <w:t xml:space="preserve">, particulièrement sur ses résultats en mettant l’accent sur les autres groupes de travail UNCG </w:t>
      </w:r>
      <w:r>
        <w:rPr>
          <w:rFonts w:ascii="Times New Roman" w:hAnsi="Times New Roman"/>
          <w:color w:val="000000"/>
          <w:sz w:val="24"/>
        </w:rPr>
        <w:t xml:space="preserve"> </w:t>
      </w:r>
    </w:p>
    <w:p w14:paraId="2CB9A1B9" w14:textId="77777777" w:rsidR="00CB692A" w:rsidRPr="00033444" w:rsidRDefault="00CB692A" w:rsidP="00CB692A">
      <w:pPr>
        <w:spacing w:after="0" w:line="240" w:lineRule="auto"/>
        <w:ind w:left="360"/>
        <w:jc w:val="both"/>
        <w:rPr>
          <w:rFonts w:ascii="Times New Roman" w:hAnsi="Times New Roman"/>
          <w:color w:val="000000"/>
          <w:sz w:val="18"/>
          <w:szCs w:val="16"/>
        </w:rPr>
      </w:pPr>
    </w:p>
    <w:p w14:paraId="687E07CD" w14:textId="77777777" w:rsidR="00CB692A" w:rsidRPr="00324290" w:rsidRDefault="00CB692A" w:rsidP="00CB692A">
      <w:pPr>
        <w:numPr>
          <w:ilvl w:val="0"/>
          <w:numId w:val="60"/>
        </w:numPr>
        <w:spacing w:after="0" w:line="240" w:lineRule="auto"/>
        <w:jc w:val="both"/>
        <w:rPr>
          <w:rFonts w:ascii="Times New Roman" w:hAnsi="Times New Roman"/>
          <w:color w:val="000000"/>
          <w:sz w:val="24"/>
        </w:rPr>
      </w:pPr>
      <w:r w:rsidRPr="005D2A4A">
        <w:rPr>
          <w:rFonts w:ascii="Times New Roman" w:hAnsi="Times New Roman"/>
          <w:color w:val="000000"/>
          <w:sz w:val="24"/>
        </w:rPr>
        <w:t xml:space="preserve">Renforcer les capacités des membres de l’Equipe Pays en organisant des sessions de recyclage et de perfectionnement sur la GAR, le suivi et l’évaluation. </w:t>
      </w:r>
    </w:p>
    <w:p w14:paraId="45FE3C42" w14:textId="77777777" w:rsidR="00CB692A" w:rsidRPr="00033444" w:rsidRDefault="00CB692A" w:rsidP="00CB692A">
      <w:pPr>
        <w:spacing w:after="0" w:line="240" w:lineRule="auto"/>
        <w:ind w:left="360"/>
        <w:jc w:val="both"/>
        <w:rPr>
          <w:rFonts w:ascii="Times New Roman" w:hAnsi="Times New Roman"/>
          <w:color w:val="000000"/>
          <w:sz w:val="18"/>
          <w:szCs w:val="16"/>
        </w:rPr>
      </w:pPr>
    </w:p>
    <w:p w14:paraId="455A8253" w14:textId="6180A781" w:rsidR="00CB692A" w:rsidRDefault="00CB692A" w:rsidP="00CB692A">
      <w:pPr>
        <w:numPr>
          <w:ilvl w:val="0"/>
          <w:numId w:val="60"/>
        </w:numPr>
        <w:spacing w:after="0" w:line="240" w:lineRule="auto"/>
        <w:jc w:val="both"/>
        <w:rPr>
          <w:rFonts w:ascii="Times New Roman" w:hAnsi="Times New Roman"/>
          <w:color w:val="000000"/>
          <w:sz w:val="24"/>
        </w:rPr>
      </w:pPr>
      <w:r w:rsidRPr="005D2A4A">
        <w:rPr>
          <w:rFonts w:ascii="Times New Roman" w:hAnsi="Times New Roman"/>
          <w:color w:val="000000"/>
          <w:sz w:val="24"/>
        </w:rPr>
        <w:t xml:space="preserve">Veiller, au cours du prochain cycle de programmation, à l’alignement du système de suivi et évaluation national au système de suivi et évaluation des Nations Unies en mettant à profit les avancées espérées en matière de renforcement des capacités nationales en suivi et évaluation. </w:t>
      </w:r>
    </w:p>
    <w:p w14:paraId="5EFD7FEE" w14:textId="77777777" w:rsidR="00CB692A" w:rsidRDefault="00CB692A" w:rsidP="00CB692A">
      <w:pPr>
        <w:pStyle w:val="Paragraphedeliste"/>
        <w:rPr>
          <w:rFonts w:ascii="Times New Roman" w:hAnsi="Times New Roman"/>
          <w:color w:val="000000"/>
          <w:sz w:val="24"/>
        </w:rPr>
      </w:pPr>
    </w:p>
    <w:p w14:paraId="1FA6D9C8" w14:textId="46A25CA9" w:rsidR="00CB692A" w:rsidRDefault="00CB692A" w:rsidP="00CB692A">
      <w:pPr>
        <w:numPr>
          <w:ilvl w:val="0"/>
          <w:numId w:val="60"/>
        </w:numPr>
        <w:spacing w:after="0" w:line="240" w:lineRule="auto"/>
        <w:jc w:val="both"/>
        <w:rPr>
          <w:rFonts w:ascii="Times New Roman" w:hAnsi="Times New Roman"/>
          <w:color w:val="000000"/>
          <w:sz w:val="24"/>
        </w:rPr>
      </w:pPr>
      <w:r>
        <w:rPr>
          <w:rFonts w:ascii="Times New Roman" w:hAnsi="Times New Roman"/>
          <w:color w:val="000000"/>
          <w:sz w:val="24"/>
        </w:rPr>
        <w:t>Renforcer la prise en compte des piliers de la stratégie intégrée des Nations Unies pour le Sahel (SINUS) dans le prochain cadre de coopération</w:t>
      </w:r>
    </w:p>
    <w:p w14:paraId="3C467588" w14:textId="77777777" w:rsidR="00CB692A" w:rsidRPr="00033444" w:rsidRDefault="00CB692A" w:rsidP="00CB692A">
      <w:pPr>
        <w:spacing w:after="0" w:line="240" w:lineRule="auto"/>
        <w:ind w:left="360"/>
        <w:jc w:val="both"/>
        <w:rPr>
          <w:rFonts w:ascii="Times New Roman" w:hAnsi="Times New Roman"/>
          <w:color w:val="000000"/>
          <w:sz w:val="18"/>
          <w:szCs w:val="16"/>
        </w:rPr>
      </w:pPr>
    </w:p>
    <w:p w14:paraId="7617B1E7" w14:textId="662C9B76" w:rsidR="00CB692A" w:rsidRPr="00E00499" w:rsidRDefault="00CB692A" w:rsidP="00CB692A">
      <w:pPr>
        <w:pStyle w:val="Paragraphedeliste"/>
        <w:numPr>
          <w:ilvl w:val="0"/>
          <w:numId w:val="60"/>
        </w:numPr>
        <w:jc w:val="both"/>
        <w:rPr>
          <w:rFonts w:ascii="Times New Roman" w:hAnsi="Times New Roman"/>
          <w:color w:val="000000"/>
          <w:sz w:val="24"/>
        </w:rPr>
      </w:pPr>
      <w:r w:rsidRPr="00E00499">
        <w:rPr>
          <w:rFonts w:ascii="Times New Roman" w:hAnsi="Times New Roman"/>
          <w:color w:val="000000"/>
          <w:sz w:val="24"/>
        </w:rPr>
        <w:t>Veiller, au cours d</w:t>
      </w:r>
      <w:r>
        <w:rPr>
          <w:rFonts w:ascii="Times New Roman" w:hAnsi="Times New Roman"/>
          <w:color w:val="000000"/>
          <w:sz w:val="24"/>
        </w:rPr>
        <w:t>e la préparation du</w:t>
      </w:r>
      <w:r w:rsidRPr="00E00499">
        <w:rPr>
          <w:rFonts w:ascii="Times New Roman" w:hAnsi="Times New Roman"/>
          <w:color w:val="000000"/>
          <w:sz w:val="24"/>
        </w:rPr>
        <w:t xml:space="preserve"> prochain c</w:t>
      </w:r>
      <w:r>
        <w:rPr>
          <w:rFonts w:ascii="Times New Roman" w:hAnsi="Times New Roman"/>
          <w:color w:val="000000"/>
          <w:sz w:val="24"/>
        </w:rPr>
        <w:t>adre de coopération</w:t>
      </w:r>
      <w:r w:rsidRPr="00E00499">
        <w:rPr>
          <w:rFonts w:ascii="Times New Roman" w:hAnsi="Times New Roman"/>
          <w:color w:val="000000"/>
          <w:sz w:val="24"/>
        </w:rPr>
        <w:t>, à l</w:t>
      </w:r>
      <w:r>
        <w:rPr>
          <w:rFonts w:ascii="Times New Roman" w:hAnsi="Times New Roman"/>
          <w:color w:val="000000"/>
          <w:sz w:val="24"/>
        </w:rPr>
        <w:t>a prise en compte</w:t>
      </w:r>
      <w:r w:rsidRPr="00E00499">
        <w:rPr>
          <w:rFonts w:ascii="Times New Roman" w:hAnsi="Times New Roman"/>
          <w:color w:val="000000"/>
          <w:sz w:val="24"/>
        </w:rPr>
        <w:t xml:space="preserve"> </w:t>
      </w:r>
      <w:r>
        <w:rPr>
          <w:rFonts w:ascii="Times New Roman" w:hAnsi="Times New Roman"/>
          <w:color w:val="000000"/>
          <w:sz w:val="24"/>
        </w:rPr>
        <w:t>des priorités nationales déclinées dans le prochain programme national de développement (PND 2022-2026) ainsi que dans le Plan Directeur d’Industrialisation et de Diversification Economique (PDIDE) récemment adopté par le Tchad</w:t>
      </w:r>
      <w:r w:rsidRPr="00E00499">
        <w:rPr>
          <w:rFonts w:ascii="Times New Roman" w:hAnsi="Times New Roman"/>
          <w:color w:val="000000"/>
          <w:sz w:val="24"/>
        </w:rPr>
        <w:t xml:space="preserve">. </w:t>
      </w:r>
    </w:p>
    <w:p w14:paraId="404744FD" w14:textId="092E7E16" w:rsidR="005C676A" w:rsidRDefault="005C676A" w:rsidP="007D4B38">
      <w:pPr>
        <w:spacing w:after="0"/>
        <w:jc w:val="both"/>
        <w:rPr>
          <w:rFonts w:ascii="Times New Roman" w:hAnsi="Times New Roman"/>
          <w:sz w:val="24"/>
        </w:rPr>
      </w:pPr>
    </w:p>
    <w:p w14:paraId="57A7B775" w14:textId="5835D673" w:rsidR="005C676A" w:rsidRDefault="005C676A" w:rsidP="007D4B38">
      <w:pPr>
        <w:spacing w:after="0"/>
        <w:jc w:val="both"/>
        <w:rPr>
          <w:rFonts w:ascii="Times New Roman" w:hAnsi="Times New Roman"/>
          <w:sz w:val="24"/>
        </w:rPr>
      </w:pPr>
    </w:p>
    <w:p w14:paraId="2470D68A" w14:textId="17E34108" w:rsidR="005C676A" w:rsidRDefault="005C676A" w:rsidP="007D4B38">
      <w:pPr>
        <w:spacing w:after="0"/>
        <w:jc w:val="both"/>
        <w:rPr>
          <w:rFonts w:ascii="Times New Roman" w:hAnsi="Times New Roman"/>
          <w:sz w:val="24"/>
        </w:rPr>
      </w:pPr>
    </w:p>
    <w:p w14:paraId="04427BAB" w14:textId="058F0599" w:rsidR="005C676A" w:rsidRDefault="005C676A" w:rsidP="007D4B38">
      <w:pPr>
        <w:spacing w:after="0"/>
        <w:jc w:val="both"/>
        <w:rPr>
          <w:rFonts w:ascii="Times New Roman" w:hAnsi="Times New Roman"/>
          <w:sz w:val="24"/>
        </w:rPr>
      </w:pPr>
    </w:p>
    <w:p w14:paraId="5AD67414" w14:textId="703017A0" w:rsidR="005C676A" w:rsidRDefault="005C676A" w:rsidP="007D4B38">
      <w:pPr>
        <w:spacing w:after="0"/>
        <w:jc w:val="both"/>
        <w:rPr>
          <w:rFonts w:ascii="Times New Roman" w:hAnsi="Times New Roman"/>
          <w:sz w:val="24"/>
        </w:rPr>
      </w:pPr>
    </w:p>
    <w:p w14:paraId="000758B4" w14:textId="34E2A35E" w:rsidR="005C676A" w:rsidRDefault="005C676A" w:rsidP="007D4B38">
      <w:pPr>
        <w:spacing w:after="0"/>
        <w:jc w:val="both"/>
        <w:rPr>
          <w:rFonts w:ascii="Times New Roman" w:hAnsi="Times New Roman"/>
          <w:sz w:val="24"/>
        </w:rPr>
      </w:pPr>
    </w:p>
    <w:p w14:paraId="75A22CE8" w14:textId="69A1AD00" w:rsidR="005C676A" w:rsidRDefault="005C676A" w:rsidP="007D4B38">
      <w:pPr>
        <w:spacing w:after="0"/>
        <w:jc w:val="both"/>
        <w:rPr>
          <w:rFonts w:ascii="Times New Roman" w:hAnsi="Times New Roman"/>
          <w:sz w:val="24"/>
        </w:rPr>
      </w:pPr>
    </w:p>
    <w:p w14:paraId="7A76C86A" w14:textId="39F38E88" w:rsidR="005C676A" w:rsidRDefault="005C676A" w:rsidP="007D4B38">
      <w:pPr>
        <w:spacing w:after="0"/>
        <w:jc w:val="both"/>
        <w:rPr>
          <w:rFonts w:ascii="Times New Roman" w:hAnsi="Times New Roman"/>
          <w:sz w:val="24"/>
        </w:rPr>
      </w:pPr>
    </w:p>
    <w:p w14:paraId="4FAFD358" w14:textId="274BABF0" w:rsidR="005C676A" w:rsidRDefault="005C676A" w:rsidP="007D4B38">
      <w:pPr>
        <w:spacing w:after="0"/>
        <w:jc w:val="both"/>
        <w:rPr>
          <w:rFonts w:ascii="Times New Roman" w:hAnsi="Times New Roman"/>
          <w:sz w:val="24"/>
        </w:rPr>
      </w:pPr>
    </w:p>
    <w:p w14:paraId="1D0FEF48" w14:textId="77777777" w:rsidR="005C676A" w:rsidRDefault="005C676A" w:rsidP="007D4B38">
      <w:pPr>
        <w:spacing w:after="0"/>
        <w:jc w:val="both"/>
        <w:rPr>
          <w:rFonts w:ascii="Times New Roman" w:hAnsi="Times New Roman"/>
          <w:sz w:val="24"/>
        </w:rPr>
      </w:pPr>
    </w:p>
    <w:p w14:paraId="58EBC326" w14:textId="2F8F2E70" w:rsidR="007D4B38" w:rsidRDefault="007D4B38" w:rsidP="007D4B38">
      <w:pPr>
        <w:spacing w:after="0"/>
        <w:jc w:val="both"/>
        <w:rPr>
          <w:rFonts w:ascii="Times New Roman" w:hAnsi="Times New Roman"/>
          <w:sz w:val="24"/>
        </w:rPr>
      </w:pPr>
    </w:p>
    <w:p w14:paraId="1DEA4580" w14:textId="77777777" w:rsidR="007D4B38" w:rsidRPr="00AE1E26" w:rsidRDefault="007D4B38" w:rsidP="007D4B38">
      <w:pPr>
        <w:pStyle w:val="Titre1"/>
        <w:rPr>
          <w:rFonts w:ascii="Times New Roman" w:hAnsi="Times New Roman"/>
          <w:b/>
          <w:bCs/>
        </w:rPr>
      </w:pPr>
      <w:r>
        <w:rPr>
          <w:rFonts w:ascii="Times New Roman" w:hAnsi="Times New Roman"/>
          <w:b/>
          <w:bCs/>
        </w:rPr>
        <w:lastRenderedPageBreak/>
        <w:t xml:space="preserve">ANNEXE 1 : </w:t>
      </w:r>
      <w:r w:rsidRPr="00AE1E26">
        <w:rPr>
          <w:rFonts w:ascii="Times New Roman" w:hAnsi="Times New Roman"/>
          <w:b/>
          <w:bCs/>
        </w:rPr>
        <w:t xml:space="preserve">  </w:t>
      </w:r>
    </w:p>
    <w:p w14:paraId="22F551B6" w14:textId="77777777" w:rsidR="007D4B38" w:rsidRPr="007D4B38" w:rsidRDefault="007D4B38" w:rsidP="007D4B38">
      <w:pPr>
        <w:spacing w:after="0"/>
        <w:jc w:val="both"/>
        <w:rPr>
          <w:rFonts w:ascii="Times New Roman" w:hAnsi="Times New Roman"/>
          <w:sz w:val="24"/>
        </w:rPr>
      </w:pPr>
    </w:p>
    <w:p w14:paraId="44260CDA" w14:textId="294E640D" w:rsidR="00311F98" w:rsidRDefault="00DA7AB5" w:rsidP="00A8375B">
      <w:pPr>
        <w:pStyle w:val="Titre1"/>
        <w:rPr>
          <w:rFonts w:ascii="Times New Roman" w:hAnsi="Times New Roman"/>
          <w:b/>
          <w:bCs/>
        </w:rPr>
      </w:pPr>
      <w:bookmarkStart w:id="363" w:name="_Toc90910822"/>
      <w:r w:rsidRPr="0095279A">
        <w:rPr>
          <w:rFonts w:ascii="Times New Roman" w:hAnsi="Times New Roman"/>
          <w:b/>
          <w:bCs/>
        </w:rPr>
        <w:t>VARIATIONS DE LA PREVALENCE DE LA VIOLENCE</w:t>
      </w:r>
      <w:r w:rsidR="00E25FAD" w:rsidRPr="0095279A">
        <w:rPr>
          <w:rFonts w:ascii="Times New Roman" w:hAnsi="Times New Roman"/>
          <w:b/>
          <w:bCs/>
        </w:rPr>
        <w:t xml:space="preserve"> BASEE SUR LE GENRE</w:t>
      </w:r>
      <w:bookmarkEnd w:id="359"/>
      <w:bookmarkEnd w:id="360"/>
      <w:bookmarkEnd w:id="361"/>
      <w:bookmarkEnd w:id="362"/>
      <w:bookmarkEnd w:id="363"/>
    </w:p>
    <w:tbl>
      <w:tblPr>
        <w:tblStyle w:val="Grilledutableau"/>
        <w:tblW w:w="5000" w:type="pct"/>
        <w:tblLook w:val="04A0" w:firstRow="1" w:lastRow="0" w:firstColumn="1" w:lastColumn="0" w:noHBand="0" w:noVBand="1"/>
      </w:tblPr>
      <w:tblGrid>
        <w:gridCol w:w="1120"/>
        <w:gridCol w:w="1441"/>
        <w:gridCol w:w="1441"/>
        <w:gridCol w:w="1441"/>
        <w:gridCol w:w="1441"/>
        <w:gridCol w:w="1370"/>
        <w:gridCol w:w="1657"/>
      </w:tblGrid>
      <w:tr w:rsidR="002833F9" w:rsidRPr="002A58F8" w14:paraId="4AE292FE" w14:textId="77777777" w:rsidTr="00EC38E8">
        <w:tc>
          <w:tcPr>
            <w:tcW w:w="5000" w:type="pct"/>
            <w:gridSpan w:val="7"/>
          </w:tcPr>
          <w:p w14:paraId="02C7ED2D" w14:textId="77777777" w:rsidR="00311F98" w:rsidRPr="00A8375B" w:rsidRDefault="00311F98" w:rsidP="00A8375B">
            <w:pPr>
              <w:spacing w:after="0" w:line="240" w:lineRule="auto"/>
              <w:jc w:val="center"/>
              <w:rPr>
                <w:rFonts w:ascii="Vrinda" w:hAnsi="Vrinda"/>
                <w:b/>
                <w:sz w:val="20"/>
              </w:rPr>
            </w:pPr>
            <w:r w:rsidRPr="00A8375B">
              <w:rPr>
                <w:rFonts w:ascii="Vrinda" w:hAnsi="Vrinda"/>
                <w:b/>
                <w:sz w:val="20"/>
              </w:rPr>
              <w:t>Variations de la prévalence de la violence en fonction de groupe d’âge</w:t>
            </w:r>
          </w:p>
        </w:tc>
      </w:tr>
      <w:tr w:rsidR="002833F9" w:rsidRPr="002A58F8" w14:paraId="03E86833" w14:textId="77777777" w:rsidTr="00EC38E8">
        <w:tc>
          <w:tcPr>
            <w:tcW w:w="565" w:type="pct"/>
            <w:vMerge w:val="restart"/>
          </w:tcPr>
          <w:p w14:paraId="712DE43A" w14:textId="77777777" w:rsidR="00311F98" w:rsidRPr="00A8375B" w:rsidRDefault="00311F98" w:rsidP="00A8375B">
            <w:pPr>
              <w:spacing w:after="0" w:line="240" w:lineRule="auto"/>
              <w:rPr>
                <w:rFonts w:ascii="Vrinda" w:hAnsi="Vrinda"/>
                <w:b/>
                <w:sz w:val="20"/>
              </w:rPr>
            </w:pPr>
            <w:r w:rsidRPr="00A8375B">
              <w:rPr>
                <w:rFonts w:ascii="Vrinda" w:hAnsi="Vrinda"/>
                <w:b/>
                <w:sz w:val="20"/>
              </w:rPr>
              <w:t>Groupes d’âge</w:t>
            </w:r>
          </w:p>
        </w:tc>
        <w:tc>
          <w:tcPr>
            <w:tcW w:w="4435" w:type="pct"/>
            <w:gridSpan w:val="6"/>
          </w:tcPr>
          <w:p w14:paraId="089980A1" w14:textId="77777777" w:rsidR="00311F98" w:rsidRPr="00A8375B" w:rsidRDefault="00311F98" w:rsidP="00A8375B">
            <w:pPr>
              <w:autoSpaceDE w:val="0"/>
              <w:autoSpaceDN w:val="0"/>
              <w:adjustRightInd w:val="0"/>
              <w:spacing w:after="0" w:line="240" w:lineRule="auto"/>
              <w:jc w:val="both"/>
              <w:rPr>
                <w:rFonts w:ascii="Vrinda" w:hAnsi="Vrinda"/>
                <w:i/>
                <w:sz w:val="20"/>
              </w:rPr>
            </w:pPr>
            <w:r w:rsidRPr="00A8375B">
              <w:rPr>
                <w:rFonts w:ascii="Vrinda" w:hAnsi="Vrinda"/>
                <w:i/>
                <w:sz w:val="20"/>
              </w:rPr>
              <w:t xml:space="preserve">Pourcentage de femmes ayant subi des actes de violence à un moment quelconque </w:t>
            </w:r>
          </w:p>
        </w:tc>
      </w:tr>
      <w:tr w:rsidR="002833F9" w:rsidRPr="002A58F8" w14:paraId="06781ECB" w14:textId="77777777" w:rsidTr="00D34A39">
        <w:tc>
          <w:tcPr>
            <w:tcW w:w="565" w:type="pct"/>
            <w:vMerge/>
          </w:tcPr>
          <w:p w14:paraId="05F2197D" w14:textId="77777777" w:rsidR="00311F98" w:rsidRPr="00A8375B" w:rsidRDefault="00311F98" w:rsidP="00A8375B">
            <w:pPr>
              <w:spacing w:after="0" w:line="240" w:lineRule="auto"/>
              <w:rPr>
                <w:rFonts w:ascii="Vrinda" w:hAnsi="Vrinda"/>
                <w:sz w:val="20"/>
              </w:rPr>
            </w:pPr>
          </w:p>
        </w:tc>
        <w:tc>
          <w:tcPr>
            <w:tcW w:w="727" w:type="pct"/>
          </w:tcPr>
          <w:p w14:paraId="33C8834A" w14:textId="77777777" w:rsidR="00311F98" w:rsidRPr="00A8375B" w:rsidRDefault="00311F98" w:rsidP="00A8375B">
            <w:pPr>
              <w:spacing w:after="0" w:line="240" w:lineRule="auto"/>
              <w:jc w:val="center"/>
              <w:rPr>
                <w:rFonts w:ascii="Vrinda" w:hAnsi="Vrinda"/>
                <w:b/>
                <w:sz w:val="20"/>
              </w:rPr>
            </w:pPr>
            <w:r w:rsidRPr="00A8375B">
              <w:rPr>
                <w:rFonts w:ascii="Vrinda" w:hAnsi="Vrinda"/>
                <w:b/>
                <w:sz w:val="20"/>
              </w:rPr>
              <w:t>Violence physique domestique</w:t>
            </w:r>
          </w:p>
        </w:tc>
        <w:tc>
          <w:tcPr>
            <w:tcW w:w="727" w:type="pct"/>
          </w:tcPr>
          <w:p w14:paraId="2E616E2C" w14:textId="77777777" w:rsidR="00311F98" w:rsidRPr="00A8375B" w:rsidRDefault="00311F98" w:rsidP="00A8375B">
            <w:pPr>
              <w:spacing w:after="0" w:line="240" w:lineRule="auto"/>
              <w:jc w:val="center"/>
              <w:rPr>
                <w:rFonts w:ascii="Vrinda" w:hAnsi="Vrinda"/>
                <w:b/>
                <w:sz w:val="20"/>
              </w:rPr>
            </w:pPr>
            <w:r w:rsidRPr="00A8375B">
              <w:rPr>
                <w:rFonts w:ascii="Vrinda" w:hAnsi="Vrinda"/>
                <w:b/>
                <w:sz w:val="20"/>
              </w:rPr>
              <w:t>Violence sexuelle</w:t>
            </w:r>
          </w:p>
          <w:p w14:paraId="6ACC61FA" w14:textId="77777777" w:rsidR="00311F98" w:rsidRPr="00A8375B" w:rsidRDefault="00311F98" w:rsidP="00A8375B">
            <w:pPr>
              <w:spacing w:after="0" w:line="240" w:lineRule="auto"/>
              <w:jc w:val="center"/>
              <w:rPr>
                <w:rFonts w:ascii="Vrinda" w:hAnsi="Vrinda"/>
                <w:b/>
                <w:sz w:val="20"/>
              </w:rPr>
            </w:pPr>
            <w:proofErr w:type="gramStart"/>
            <w:r w:rsidRPr="00A8375B">
              <w:rPr>
                <w:rFonts w:ascii="Vrinda" w:hAnsi="Vrinda"/>
                <w:b/>
                <w:sz w:val="20"/>
              </w:rPr>
              <w:t>domestique</w:t>
            </w:r>
            <w:proofErr w:type="gramEnd"/>
          </w:p>
        </w:tc>
        <w:tc>
          <w:tcPr>
            <w:tcW w:w="727" w:type="pct"/>
          </w:tcPr>
          <w:p w14:paraId="3DD7A569" w14:textId="77777777" w:rsidR="00311F98" w:rsidRPr="00A8375B" w:rsidRDefault="00311F98" w:rsidP="00A8375B">
            <w:pPr>
              <w:spacing w:after="0" w:line="240" w:lineRule="auto"/>
              <w:jc w:val="center"/>
              <w:rPr>
                <w:rFonts w:ascii="Vrinda" w:hAnsi="Vrinda"/>
                <w:b/>
                <w:sz w:val="20"/>
              </w:rPr>
            </w:pPr>
            <w:r w:rsidRPr="00A8375B">
              <w:rPr>
                <w:rFonts w:ascii="Vrinda" w:hAnsi="Vrinda"/>
                <w:b/>
                <w:sz w:val="20"/>
              </w:rPr>
              <w:t xml:space="preserve">Violence physique </w:t>
            </w:r>
            <w:proofErr w:type="gramStart"/>
            <w:r w:rsidRPr="00A8375B">
              <w:rPr>
                <w:rFonts w:ascii="Vrinda" w:hAnsi="Vrinda"/>
                <w:b/>
                <w:sz w:val="20"/>
              </w:rPr>
              <w:t>et  sexuelle</w:t>
            </w:r>
            <w:proofErr w:type="gramEnd"/>
          </w:p>
          <w:p w14:paraId="14F19513" w14:textId="77777777" w:rsidR="00311F98" w:rsidRPr="00A8375B" w:rsidRDefault="00311F98" w:rsidP="00A8375B">
            <w:pPr>
              <w:spacing w:after="0" w:line="240" w:lineRule="auto"/>
              <w:jc w:val="center"/>
              <w:rPr>
                <w:rFonts w:ascii="Vrinda" w:hAnsi="Vrinda"/>
                <w:b/>
                <w:sz w:val="20"/>
              </w:rPr>
            </w:pPr>
            <w:proofErr w:type="gramStart"/>
            <w:r w:rsidRPr="00A8375B">
              <w:rPr>
                <w:rFonts w:ascii="Vrinda" w:hAnsi="Vrinda"/>
                <w:b/>
                <w:sz w:val="20"/>
              </w:rPr>
              <w:t>domestique</w:t>
            </w:r>
            <w:proofErr w:type="gramEnd"/>
          </w:p>
        </w:tc>
        <w:tc>
          <w:tcPr>
            <w:tcW w:w="727" w:type="pct"/>
          </w:tcPr>
          <w:p w14:paraId="12F0AAE9" w14:textId="77777777" w:rsidR="00311F98" w:rsidRPr="00A8375B" w:rsidRDefault="00311F98" w:rsidP="00A8375B">
            <w:pPr>
              <w:spacing w:after="0" w:line="240" w:lineRule="auto"/>
              <w:jc w:val="center"/>
              <w:rPr>
                <w:rFonts w:ascii="Vrinda" w:hAnsi="Vrinda"/>
                <w:b/>
                <w:sz w:val="20"/>
              </w:rPr>
            </w:pPr>
            <w:r w:rsidRPr="00A8375B">
              <w:rPr>
                <w:rFonts w:ascii="Vrinda" w:hAnsi="Vrinda"/>
                <w:b/>
                <w:sz w:val="20"/>
              </w:rPr>
              <w:t xml:space="preserve">Violence physique </w:t>
            </w:r>
            <w:proofErr w:type="gramStart"/>
            <w:r w:rsidRPr="00A8375B">
              <w:rPr>
                <w:rFonts w:ascii="Vrinda" w:hAnsi="Vrinda"/>
                <w:b/>
                <w:sz w:val="20"/>
              </w:rPr>
              <w:t>ou  sexuelle</w:t>
            </w:r>
            <w:proofErr w:type="gramEnd"/>
          </w:p>
          <w:p w14:paraId="35D9582E" w14:textId="77777777" w:rsidR="00311F98" w:rsidRPr="00A8375B" w:rsidRDefault="00311F98" w:rsidP="00A8375B">
            <w:pPr>
              <w:spacing w:after="0" w:line="240" w:lineRule="auto"/>
              <w:jc w:val="center"/>
              <w:rPr>
                <w:rFonts w:ascii="Vrinda" w:hAnsi="Vrinda"/>
                <w:b/>
                <w:sz w:val="20"/>
              </w:rPr>
            </w:pPr>
            <w:proofErr w:type="gramStart"/>
            <w:r w:rsidRPr="00A8375B">
              <w:rPr>
                <w:rFonts w:ascii="Vrinda" w:hAnsi="Vrinda"/>
                <w:b/>
                <w:sz w:val="20"/>
              </w:rPr>
              <w:t>domestique</w:t>
            </w:r>
            <w:proofErr w:type="gramEnd"/>
          </w:p>
        </w:tc>
        <w:tc>
          <w:tcPr>
            <w:tcW w:w="691" w:type="pct"/>
          </w:tcPr>
          <w:p w14:paraId="6E18A4A4" w14:textId="77777777" w:rsidR="00311F98" w:rsidRPr="00A8375B" w:rsidRDefault="00311F98" w:rsidP="00A8375B">
            <w:pPr>
              <w:spacing w:after="0" w:line="240" w:lineRule="auto"/>
              <w:jc w:val="center"/>
              <w:rPr>
                <w:rFonts w:ascii="Vrinda" w:hAnsi="Vrinda"/>
                <w:b/>
                <w:sz w:val="20"/>
              </w:rPr>
            </w:pPr>
            <w:r w:rsidRPr="00A8375B">
              <w:rPr>
                <w:rFonts w:ascii="Vrinda" w:hAnsi="Vrinda"/>
                <w:b/>
                <w:sz w:val="20"/>
              </w:rPr>
              <w:t>En union avant d’atteindre 18 ans</w:t>
            </w:r>
          </w:p>
        </w:tc>
        <w:tc>
          <w:tcPr>
            <w:tcW w:w="836" w:type="pct"/>
          </w:tcPr>
          <w:p w14:paraId="42710FCE" w14:textId="77777777" w:rsidR="00311F98" w:rsidRPr="00A8375B" w:rsidRDefault="00311F98" w:rsidP="00A8375B">
            <w:pPr>
              <w:spacing w:after="0" w:line="240" w:lineRule="auto"/>
              <w:jc w:val="center"/>
              <w:rPr>
                <w:rFonts w:ascii="Vrinda" w:hAnsi="Vrinda"/>
                <w:b/>
                <w:sz w:val="20"/>
              </w:rPr>
            </w:pPr>
            <w:r w:rsidRPr="00A8375B">
              <w:rPr>
                <w:rFonts w:ascii="Vrinda" w:hAnsi="Vrinda"/>
                <w:b/>
                <w:sz w:val="20"/>
              </w:rPr>
              <w:t>MGF/Excision</w:t>
            </w:r>
          </w:p>
        </w:tc>
      </w:tr>
      <w:tr w:rsidR="002833F9" w:rsidRPr="002A58F8" w14:paraId="1CB6FD40" w14:textId="77777777" w:rsidTr="00D34A39">
        <w:tc>
          <w:tcPr>
            <w:tcW w:w="565" w:type="pct"/>
          </w:tcPr>
          <w:p w14:paraId="4941F3C3" w14:textId="77777777" w:rsidR="00311F98" w:rsidRPr="00A8375B" w:rsidRDefault="00311F98" w:rsidP="00A8375B">
            <w:pPr>
              <w:spacing w:after="0" w:line="240" w:lineRule="auto"/>
              <w:rPr>
                <w:rFonts w:ascii="Vrinda" w:hAnsi="Vrinda"/>
                <w:sz w:val="20"/>
              </w:rPr>
            </w:pPr>
            <w:r w:rsidRPr="00A8375B">
              <w:rPr>
                <w:rFonts w:ascii="Vrinda" w:hAnsi="Vrinda"/>
                <w:sz w:val="20"/>
              </w:rPr>
              <w:t>Moins de cinq ans</w:t>
            </w:r>
          </w:p>
        </w:tc>
        <w:tc>
          <w:tcPr>
            <w:tcW w:w="727" w:type="pct"/>
          </w:tcPr>
          <w:p w14:paraId="02316B84" w14:textId="77777777" w:rsidR="00311F98" w:rsidRPr="00A8375B" w:rsidRDefault="00311F98" w:rsidP="00A8375B">
            <w:pPr>
              <w:spacing w:after="0" w:line="240" w:lineRule="auto"/>
              <w:jc w:val="center"/>
              <w:rPr>
                <w:rFonts w:ascii="Vrinda" w:hAnsi="Vrinda"/>
                <w:sz w:val="20"/>
              </w:rPr>
            </w:pPr>
          </w:p>
        </w:tc>
        <w:tc>
          <w:tcPr>
            <w:tcW w:w="727" w:type="pct"/>
          </w:tcPr>
          <w:p w14:paraId="3CF65B1B" w14:textId="77777777" w:rsidR="00311F98" w:rsidRPr="00A8375B" w:rsidRDefault="00311F98" w:rsidP="00A8375B">
            <w:pPr>
              <w:spacing w:after="0" w:line="240" w:lineRule="auto"/>
              <w:jc w:val="center"/>
              <w:rPr>
                <w:rFonts w:ascii="Vrinda" w:hAnsi="Vrinda"/>
                <w:sz w:val="20"/>
              </w:rPr>
            </w:pPr>
          </w:p>
        </w:tc>
        <w:tc>
          <w:tcPr>
            <w:tcW w:w="727" w:type="pct"/>
          </w:tcPr>
          <w:p w14:paraId="5211DE78" w14:textId="77777777" w:rsidR="00311F98" w:rsidRPr="00A8375B" w:rsidRDefault="00311F98" w:rsidP="00A8375B">
            <w:pPr>
              <w:spacing w:after="0" w:line="240" w:lineRule="auto"/>
              <w:jc w:val="center"/>
              <w:rPr>
                <w:rFonts w:ascii="Vrinda" w:hAnsi="Vrinda"/>
                <w:sz w:val="20"/>
              </w:rPr>
            </w:pPr>
          </w:p>
        </w:tc>
        <w:tc>
          <w:tcPr>
            <w:tcW w:w="727" w:type="pct"/>
          </w:tcPr>
          <w:p w14:paraId="12909343" w14:textId="77777777" w:rsidR="00311F98" w:rsidRPr="00A8375B" w:rsidRDefault="00311F98" w:rsidP="00A8375B">
            <w:pPr>
              <w:spacing w:after="0" w:line="240" w:lineRule="auto"/>
              <w:jc w:val="center"/>
              <w:rPr>
                <w:rFonts w:ascii="Vrinda" w:hAnsi="Vrinda"/>
                <w:sz w:val="20"/>
              </w:rPr>
            </w:pPr>
          </w:p>
        </w:tc>
        <w:tc>
          <w:tcPr>
            <w:tcW w:w="691" w:type="pct"/>
          </w:tcPr>
          <w:p w14:paraId="4F6E39DF" w14:textId="77777777" w:rsidR="00311F98" w:rsidRPr="00A8375B" w:rsidRDefault="00311F98" w:rsidP="00A8375B">
            <w:pPr>
              <w:spacing w:after="0" w:line="240" w:lineRule="auto"/>
              <w:jc w:val="center"/>
              <w:rPr>
                <w:rFonts w:ascii="Vrinda" w:hAnsi="Vrinda"/>
                <w:sz w:val="20"/>
              </w:rPr>
            </w:pPr>
          </w:p>
        </w:tc>
        <w:tc>
          <w:tcPr>
            <w:tcW w:w="836" w:type="pct"/>
          </w:tcPr>
          <w:p w14:paraId="52AEF342"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8 %</w:t>
            </w:r>
          </w:p>
        </w:tc>
      </w:tr>
      <w:tr w:rsidR="002833F9" w:rsidRPr="002A58F8" w14:paraId="48377A49" w14:textId="77777777" w:rsidTr="00D34A39">
        <w:tc>
          <w:tcPr>
            <w:tcW w:w="565" w:type="pct"/>
          </w:tcPr>
          <w:p w14:paraId="331E44A9" w14:textId="77777777" w:rsidR="00311F98" w:rsidRPr="00A8375B" w:rsidRDefault="00311F98" w:rsidP="00A8375B">
            <w:pPr>
              <w:spacing w:after="0" w:line="240" w:lineRule="auto"/>
              <w:rPr>
                <w:rFonts w:ascii="Vrinda" w:hAnsi="Vrinda"/>
                <w:sz w:val="20"/>
              </w:rPr>
            </w:pPr>
            <w:r w:rsidRPr="00A8375B">
              <w:rPr>
                <w:rFonts w:ascii="Vrinda" w:hAnsi="Vrinda"/>
                <w:sz w:val="20"/>
              </w:rPr>
              <w:t>5 et 14 ans</w:t>
            </w:r>
          </w:p>
        </w:tc>
        <w:tc>
          <w:tcPr>
            <w:tcW w:w="727" w:type="pct"/>
          </w:tcPr>
          <w:p w14:paraId="2B3CDB04" w14:textId="77777777" w:rsidR="00311F98" w:rsidRPr="00A8375B" w:rsidRDefault="00311F98" w:rsidP="00A8375B">
            <w:pPr>
              <w:spacing w:after="0" w:line="240" w:lineRule="auto"/>
              <w:jc w:val="center"/>
              <w:rPr>
                <w:rFonts w:ascii="Vrinda" w:hAnsi="Vrinda"/>
                <w:sz w:val="20"/>
              </w:rPr>
            </w:pPr>
          </w:p>
        </w:tc>
        <w:tc>
          <w:tcPr>
            <w:tcW w:w="727" w:type="pct"/>
          </w:tcPr>
          <w:p w14:paraId="58AAF734" w14:textId="77777777" w:rsidR="00311F98" w:rsidRPr="00A8375B" w:rsidRDefault="00311F98" w:rsidP="00A8375B">
            <w:pPr>
              <w:spacing w:after="0" w:line="240" w:lineRule="auto"/>
              <w:jc w:val="center"/>
              <w:rPr>
                <w:rFonts w:ascii="Vrinda" w:hAnsi="Vrinda"/>
                <w:sz w:val="20"/>
              </w:rPr>
            </w:pPr>
          </w:p>
        </w:tc>
        <w:tc>
          <w:tcPr>
            <w:tcW w:w="727" w:type="pct"/>
          </w:tcPr>
          <w:p w14:paraId="31DA5C0F" w14:textId="77777777" w:rsidR="00311F98" w:rsidRPr="00A8375B" w:rsidRDefault="00311F98" w:rsidP="00A8375B">
            <w:pPr>
              <w:spacing w:after="0" w:line="240" w:lineRule="auto"/>
              <w:jc w:val="center"/>
              <w:rPr>
                <w:rFonts w:ascii="Vrinda" w:hAnsi="Vrinda"/>
                <w:sz w:val="20"/>
              </w:rPr>
            </w:pPr>
          </w:p>
        </w:tc>
        <w:tc>
          <w:tcPr>
            <w:tcW w:w="727" w:type="pct"/>
          </w:tcPr>
          <w:p w14:paraId="210A80F2" w14:textId="77777777" w:rsidR="00311F98" w:rsidRPr="00A8375B" w:rsidRDefault="00311F98" w:rsidP="00A8375B">
            <w:pPr>
              <w:spacing w:after="0" w:line="240" w:lineRule="auto"/>
              <w:jc w:val="center"/>
              <w:rPr>
                <w:rFonts w:ascii="Vrinda" w:hAnsi="Vrinda"/>
                <w:sz w:val="20"/>
              </w:rPr>
            </w:pPr>
          </w:p>
        </w:tc>
        <w:tc>
          <w:tcPr>
            <w:tcW w:w="691" w:type="pct"/>
          </w:tcPr>
          <w:p w14:paraId="2B01810F" w14:textId="77777777" w:rsidR="00311F98" w:rsidRPr="00A8375B" w:rsidRDefault="00311F98" w:rsidP="00A8375B">
            <w:pPr>
              <w:spacing w:after="0" w:line="240" w:lineRule="auto"/>
              <w:jc w:val="center"/>
              <w:rPr>
                <w:rFonts w:ascii="Vrinda" w:hAnsi="Vrinda"/>
                <w:sz w:val="20"/>
              </w:rPr>
            </w:pPr>
          </w:p>
        </w:tc>
        <w:tc>
          <w:tcPr>
            <w:tcW w:w="836" w:type="pct"/>
          </w:tcPr>
          <w:p w14:paraId="73C0D850"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84 %</w:t>
            </w:r>
          </w:p>
        </w:tc>
      </w:tr>
      <w:tr w:rsidR="002833F9" w:rsidRPr="002A58F8" w14:paraId="1AF6223C" w14:textId="77777777" w:rsidTr="00D34A39">
        <w:tc>
          <w:tcPr>
            <w:tcW w:w="565" w:type="pct"/>
          </w:tcPr>
          <w:p w14:paraId="135B1ADD" w14:textId="77777777" w:rsidR="00311F98" w:rsidRPr="00A8375B" w:rsidRDefault="00311F98" w:rsidP="00A8375B">
            <w:pPr>
              <w:spacing w:after="0" w:line="240" w:lineRule="auto"/>
              <w:rPr>
                <w:rFonts w:ascii="Vrinda" w:hAnsi="Vrinda"/>
                <w:sz w:val="20"/>
              </w:rPr>
            </w:pPr>
            <w:r w:rsidRPr="00A8375B">
              <w:rPr>
                <w:rFonts w:ascii="Vrinda" w:hAnsi="Vrinda"/>
                <w:sz w:val="20"/>
              </w:rPr>
              <w:t>15 ans ou plus</w:t>
            </w:r>
          </w:p>
        </w:tc>
        <w:tc>
          <w:tcPr>
            <w:tcW w:w="727" w:type="pct"/>
          </w:tcPr>
          <w:p w14:paraId="292249AF" w14:textId="77777777" w:rsidR="00311F98" w:rsidRPr="00A8375B" w:rsidRDefault="00311F98" w:rsidP="00A8375B">
            <w:pPr>
              <w:spacing w:after="0" w:line="240" w:lineRule="auto"/>
              <w:jc w:val="center"/>
              <w:rPr>
                <w:rFonts w:ascii="Vrinda" w:hAnsi="Vrinda"/>
                <w:sz w:val="20"/>
              </w:rPr>
            </w:pPr>
          </w:p>
        </w:tc>
        <w:tc>
          <w:tcPr>
            <w:tcW w:w="727" w:type="pct"/>
          </w:tcPr>
          <w:p w14:paraId="2371774C" w14:textId="77777777" w:rsidR="00311F98" w:rsidRPr="00A8375B" w:rsidRDefault="00311F98" w:rsidP="00A8375B">
            <w:pPr>
              <w:spacing w:after="0" w:line="240" w:lineRule="auto"/>
              <w:jc w:val="center"/>
              <w:rPr>
                <w:rFonts w:ascii="Vrinda" w:hAnsi="Vrinda"/>
                <w:sz w:val="20"/>
              </w:rPr>
            </w:pPr>
          </w:p>
        </w:tc>
        <w:tc>
          <w:tcPr>
            <w:tcW w:w="727" w:type="pct"/>
          </w:tcPr>
          <w:p w14:paraId="52FA6557" w14:textId="77777777" w:rsidR="00311F98" w:rsidRPr="00A8375B" w:rsidRDefault="00311F98" w:rsidP="00A8375B">
            <w:pPr>
              <w:spacing w:after="0" w:line="240" w:lineRule="auto"/>
              <w:jc w:val="center"/>
              <w:rPr>
                <w:rFonts w:ascii="Vrinda" w:hAnsi="Vrinda"/>
                <w:sz w:val="20"/>
              </w:rPr>
            </w:pPr>
          </w:p>
        </w:tc>
        <w:tc>
          <w:tcPr>
            <w:tcW w:w="727" w:type="pct"/>
          </w:tcPr>
          <w:p w14:paraId="6B0EA66D" w14:textId="77777777" w:rsidR="00311F98" w:rsidRPr="00A8375B" w:rsidRDefault="00311F98" w:rsidP="00A8375B">
            <w:pPr>
              <w:spacing w:after="0" w:line="240" w:lineRule="auto"/>
              <w:jc w:val="center"/>
              <w:rPr>
                <w:rFonts w:ascii="Vrinda" w:hAnsi="Vrinda"/>
                <w:sz w:val="20"/>
              </w:rPr>
            </w:pPr>
          </w:p>
        </w:tc>
        <w:tc>
          <w:tcPr>
            <w:tcW w:w="691" w:type="pct"/>
          </w:tcPr>
          <w:p w14:paraId="2C138C0D" w14:textId="77777777" w:rsidR="00311F98" w:rsidRPr="00A8375B" w:rsidRDefault="00311F98" w:rsidP="00A8375B">
            <w:pPr>
              <w:spacing w:after="0" w:line="240" w:lineRule="auto"/>
              <w:jc w:val="center"/>
              <w:rPr>
                <w:rFonts w:ascii="Vrinda" w:hAnsi="Vrinda"/>
                <w:sz w:val="20"/>
              </w:rPr>
            </w:pPr>
          </w:p>
        </w:tc>
        <w:tc>
          <w:tcPr>
            <w:tcW w:w="836" w:type="pct"/>
          </w:tcPr>
          <w:p w14:paraId="04F08A4B"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3 %</w:t>
            </w:r>
          </w:p>
        </w:tc>
      </w:tr>
      <w:tr w:rsidR="002833F9" w:rsidRPr="002A58F8" w14:paraId="25A84A4B" w14:textId="77777777" w:rsidTr="00D34A39">
        <w:tc>
          <w:tcPr>
            <w:tcW w:w="565" w:type="pct"/>
          </w:tcPr>
          <w:p w14:paraId="6F8C1A1B" w14:textId="77777777" w:rsidR="00311F98" w:rsidRPr="00A8375B" w:rsidRDefault="00311F98" w:rsidP="00A8375B">
            <w:pPr>
              <w:spacing w:after="0" w:line="240" w:lineRule="auto"/>
              <w:rPr>
                <w:rFonts w:ascii="Vrinda" w:hAnsi="Vrinda"/>
                <w:sz w:val="20"/>
              </w:rPr>
            </w:pPr>
            <w:r w:rsidRPr="00A8375B">
              <w:rPr>
                <w:rFonts w:ascii="Vrinda" w:hAnsi="Vrinda"/>
                <w:sz w:val="20"/>
              </w:rPr>
              <w:t>15-19 ans</w:t>
            </w:r>
          </w:p>
        </w:tc>
        <w:tc>
          <w:tcPr>
            <w:tcW w:w="727" w:type="pct"/>
          </w:tcPr>
          <w:p w14:paraId="6CD2747E"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17,9%</w:t>
            </w:r>
          </w:p>
        </w:tc>
        <w:tc>
          <w:tcPr>
            <w:tcW w:w="727" w:type="pct"/>
          </w:tcPr>
          <w:p w14:paraId="60CBFB2F"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5,2%</w:t>
            </w:r>
          </w:p>
        </w:tc>
        <w:tc>
          <w:tcPr>
            <w:tcW w:w="727" w:type="pct"/>
          </w:tcPr>
          <w:p w14:paraId="0C702C32"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2,6%</w:t>
            </w:r>
          </w:p>
        </w:tc>
        <w:tc>
          <w:tcPr>
            <w:tcW w:w="727" w:type="pct"/>
          </w:tcPr>
          <w:p w14:paraId="465C1FC7"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20,5%</w:t>
            </w:r>
          </w:p>
        </w:tc>
        <w:tc>
          <w:tcPr>
            <w:tcW w:w="691" w:type="pct"/>
          </w:tcPr>
          <w:p w14:paraId="573BF62D" w14:textId="77777777" w:rsidR="00311F98" w:rsidRPr="00A8375B" w:rsidRDefault="00311F98" w:rsidP="00A8375B">
            <w:pPr>
              <w:spacing w:after="0" w:line="240" w:lineRule="auto"/>
              <w:jc w:val="center"/>
              <w:rPr>
                <w:rFonts w:ascii="Vrinda" w:hAnsi="Vrinda"/>
                <w:sz w:val="20"/>
              </w:rPr>
            </w:pPr>
            <w:proofErr w:type="gramStart"/>
            <w:r w:rsidRPr="00A8375B">
              <w:rPr>
                <w:rFonts w:ascii="Vrinda" w:hAnsi="Vrinda"/>
                <w:sz w:val="20"/>
              </w:rPr>
              <w:t>na</w:t>
            </w:r>
            <w:proofErr w:type="gramEnd"/>
          </w:p>
        </w:tc>
        <w:tc>
          <w:tcPr>
            <w:tcW w:w="836" w:type="pct"/>
          </w:tcPr>
          <w:p w14:paraId="325FF0DE"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31,8%</w:t>
            </w:r>
          </w:p>
        </w:tc>
      </w:tr>
      <w:tr w:rsidR="002833F9" w:rsidRPr="002A58F8" w14:paraId="3740545C" w14:textId="77777777" w:rsidTr="00D34A39">
        <w:tc>
          <w:tcPr>
            <w:tcW w:w="565" w:type="pct"/>
          </w:tcPr>
          <w:p w14:paraId="4436EA53" w14:textId="77777777" w:rsidR="00311F98" w:rsidRPr="00A8375B" w:rsidRDefault="00311F98" w:rsidP="00A8375B">
            <w:pPr>
              <w:spacing w:after="0" w:line="240" w:lineRule="auto"/>
              <w:rPr>
                <w:rFonts w:ascii="Vrinda" w:hAnsi="Vrinda"/>
                <w:sz w:val="20"/>
              </w:rPr>
            </w:pPr>
            <w:r w:rsidRPr="00A8375B">
              <w:rPr>
                <w:rFonts w:ascii="Vrinda" w:hAnsi="Vrinda"/>
                <w:sz w:val="20"/>
              </w:rPr>
              <w:t xml:space="preserve">20-24 </w:t>
            </w:r>
          </w:p>
        </w:tc>
        <w:tc>
          <w:tcPr>
            <w:tcW w:w="727" w:type="pct"/>
          </w:tcPr>
          <w:p w14:paraId="09C84C25"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28,5%</w:t>
            </w:r>
          </w:p>
        </w:tc>
        <w:tc>
          <w:tcPr>
            <w:tcW w:w="727" w:type="pct"/>
          </w:tcPr>
          <w:p w14:paraId="641DE0AF"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14,6%</w:t>
            </w:r>
          </w:p>
        </w:tc>
        <w:tc>
          <w:tcPr>
            <w:tcW w:w="727" w:type="pct"/>
          </w:tcPr>
          <w:p w14:paraId="69419115"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9%</w:t>
            </w:r>
          </w:p>
        </w:tc>
        <w:tc>
          <w:tcPr>
            <w:tcW w:w="727" w:type="pct"/>
          </w:tcPr>
          <w:p w14:paraId="1367C7F8"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34,1%</w:t>
            </w:r>
          </w:p>
        </w:tc>
        <w:tc>
          <w:tcPr>
            <w:tcW w:w="691" w:type="pct"/>
          </w:tcPr>
          <w:p w14:paraId="0F6F39CE"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66,9%</w:t>
            </w:r>
          </w:p>
        </w:tc>
        <w:tc>
          <w:tcPr>
            <w:tcW w:w="836" w:type="pct"/>
          </w:tcPr>
          <w:p w14:paraId="39095CF7"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38,1%</w:t>
            </w:r>
          </w:p>
        </w:tc>
      </w:tr>
      <w:tr w:rsidR="002833F9" w:rsidRPr="002A58F8" w14:paraId="53223639" w14:textId="77777777" w:rsidTr="00D34A39">
        <w:tc>
          <w:tcPr>
            <w:tcW w:w="565" w:type="pct"/>
          </w:tcPr>
          <w:p w14:paraId="39F12517" w14:textId="77777777" w:rsidR="00311F98" w:rsidRPr="00A8375B" w:rsidRDefault="00311F98" w:rsidP="00A8375B">
            <w:pPr>
              <w:spacing w:after="0" w:line="240" w:lineRule="auto"/>
              <w:rPr>
                <w:rFonts w:ascii="Vrinda" w:hAnsi="Vrinda"/>
                <w:sz w:val="20"/>
              </w:rPr>
            </w:pPr>
            <w:r w:rsidRPr="00A8375B">
              <w:rPr>
                <w:rFonts w:ascii="Vrinda" w:hAnsi="Vrinda"/>
                <w:sz w:val="20"/>
              </w:rPr>
              <w:t xml:space="preserve">25-29 </w:t>
            </w:r>
          </w:p>
        </w:tc>
        <w:tc>
          <w:tcPr>
            <w:tcW w:w="727" w:type="pct"/>
          </w:tcPr>
          <w:p w14:paraId="7328AAC2"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32,3%</w:t>
            </w:r>
          </w:p>
        </w:tc>
        <w:tc>
          <w:tcPr>
            <w:tcW w:w="727" w:type="pct"/>
          </w:tcPr>
          <w:p w14:paraId="7A2BD8A6"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13,8%</w:t>
            </w:r>
          </w:p>
        </w:tc>
        <w:tc>
          <w:tcPr>
            <w:tcW w:w="727" w:type="pct"/>
          </w:tcPr>
          <w:p w14:paraId="7F234206"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10,2%</w:t>
            </w:r>
          </w:p>
        </w:tc>
        <w:tc>
          <w:tcPr>
            <w:tcW w:w="727" w:type="pct"/>
          </w:tcPr>
          <w:p w14:paraId="06A8EBC6"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35,9%</w:t>
            </w:r>
          </w:p>
        </w:tc>
        <w:tc>
          <w:tcPr>
            <w:tcW w:w="691" w:type="pct"/>
          </w:tcPr>
          <w:p w14:paraId="1969CDB2"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70,3%</w:t>
            </w:r>
          </w:p>
        </w:tc>
        <w:tc>
          <w:tcPr>
            <w:tcW w:w="836" w:type="pct"/>
          </w:tcPr>
          <w:p w14:paraId="0B04D313"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41,5%</w:t>
            </w:r>
          </w:p>
        </w:tc>
      </w:tr>
      <w:tr w:rsidR="002833F9" w:rsidRPr="002A58F8" w14:paraId="35388B44" w14:textId="77777777" w:rsidTr="00D34A39">
        <w:tc>
          <w:tcPr>
            <w:tcW w:w="565" w:type="pct"/>
          </w:tcPr>
          <w:p w14:paraId="62871CFE" w14:textId="77777777" w:rsidR="00311F98" w:rsidRPr="00A8375B" w:rsidRDefault="00311F98" w:rsidP="00A8375B">
            <w:pPr>
              <w:spacing w:after="0" w:line="240" w:lineRule="auto"/>
              <w:rPr>
                <w:rFonts w:ascii="Vrinda" w:hAnsi="Vrinda"/>
                <w:sz w:val="20"/>
              </w:rPr>
            </w:pPr>
            <w:r w:rsidRPr="00A8375B">
              <w:rPr>
                <w:rFonts w:ascii="Vrinda" w:hAnsi="Vrinda"/>
                <w:sz w:val="20"/>
              </w:rPr>
              <w:t>30-34</w:t>
            </w:r>
          </w:p>
        </w:tc>
        <w:tc>
          <w:tcPr>
            <w:tcW w:w="727" w:type="pct"/>
          </w:tcPr>
          <w:p w14:paraId="747038E0" w14:textId="77777777" w:rsidR="00311F98" w:rsidRPr="00A8375B" w:rsidRDefault="00311F98" w:rsidP="00A8375B">
            <w:pPr>
              <w:spacing w:after="0" w:line="240" w:lineRule="auto"/>
              <w:jc w:val="center"/>
              <w:rPr>
                <w:rFonts w:ascii="Vrinda" w:hAnsi="Vrinda"/>
                <w:sz w:val="20"/>
              </w:rPr>
            </w:pPr>
          </w:p>
        </w:tc>
        <w:tc>
          <w:tcPr>
            <w:tcW w:w="727" w:type="pct"/>
          </w:tcPr>
          <w:p w14:paraId="1042EC34" w14:textId="77777777" w:rsidR="00311F98" w:rsidRPr="00A8375B" w:rsidRDefault="00311F98" w:rsidP="00A8375B">
            <w:pPr>
              <w:spacing w:after="0" w:line="240" w:lineRule="auto"/>
              <w:jc w:val="center"/>
              <w:rPr>
                <w:rFonts w:ascii="Vrinda" w:hAnsi="Vrinda"/>
                <w:sz w:val="20"/>
              </w:rPr>
            </w:pPr>
          </w:p>
        </w:tc>
        <w:tc>
          <w:tcPr>
            <w:tcW w:w="727" w:type="pct"/>
          </w:tcPr>
          <w:p w14:paraId="726C400F" w14:textId="77777777" w:rsidR="00311F98" w:rsidRPr="00A8375B" w:rsidRDefault="00311F98" w:rsidP="00A8375B">
            <w:pPr>
              <w:spacing w:after="0" w:line="240" w:lineRule="auto"/>
              <w:jc w:val="center"/>
              <w:rPr>
                <w:rFonts w:ascii="Vrinda" w:hAnsi="Vrinda"/>
                <w:sz w:val="20"/>
              </w:rPr>
            </w:pPr>
          </w:p>
        </w:tc>
        <w:tc>
          <w:tcPr>
            <w:tcW w:w="727" w:type="pct"/>
          </w:tcPr>
          <w:p w14:paraId="3DE26FFE" w14:textId="77777777" w:rsidR="00311F98" w:rsidRPr="00A8375B" w:rsidRDefault="00311F98" w:rsidP="00A8375B">
            <w:pPr>
              <w:spacing w:after="0" w:line="240" w:lineRule="auto"/>
              <w:jc w:val="center"/>
              <w:rPr>
                <w:rFonts w:ascii="Vrinda" w:hAnsi="Vrinda"/>
                <w:sz w:val="20"/>
              </w:rPr>
            </w:pPr>
          </w:p>
        </w:tc>
        <w:tc>
          <w:tcPr>
            <w:tcW w:w="691" w:type="pct"/>
          </w:tcPr>
          <w:p w14:paraId="32EF3685"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72,5%</w:t>
            </w:r>
          </w:p>
        </w:tc>
        <w:tc>
          <w:tcPr>
            <w:tcW w:w="836" w:type="pct"/>
          </w:tcPr>
          <w:p w14:paraId="1E0B5E97"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40,7%</w:t>
            </w:r>
          </w:p>
        </w:tc>
      </w:tr>
      <w:tr w:rsidR="002833F9" w:rsidRPr="002A58F8" w14:paraId="62574A30" w14:textId="77777777" w:rsidTr="00D34A39">
        <w:tc>
          <w:tcPr>
            <w:tcW w:w="565" w:type="pct"/>
          </w:tcPr>
          <w:p w14:paraId="55438352" w14:textId="77777777" w:rsidR="00311F98" w:rsidRPr="00A8375B" w:rsidRDefault="00311F98" w:rsidP="00A8375B">
            <w:pPr>
              <w:spacing w:after="0" w:line="240" w:lineRule="auto"/>
              <w:rPr>
                <w:rFonts w:ascii="Vrinda" w:hAnsi="Vrinda"/>
                <w:sz w:val="20"/>
              </w:rPr>
            </w:pPr>
            <w:r w:rsidRPr="00A8375B">
              <w:rPr>
                <w:rFonts w:ascii="Vrinda" w:hAnsi="Vrinda"/>
                <w:sz w:val="20"/>
              </w:rPr>
              <w:t xml:space="preserve">30-39 </w:t>
            </w:r>
          </w:p>
        </w:tc>
        <w:tc>
          <w:tcPr>
            <w:tcW w:w="727" w:type="pct"/>
          </w:tcPr>
          <w:p w14:paraId="1A11D5E8"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35,1%</w:t>
            </w:r>
          </w:p>
        </w:tc>
        <w:tc>
          <w:tcPr>
            <w:tcW w:w="727" w:type="pct"/>
          </w:tcPr>
          <w:p w14:paraId="3947D516"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14%</w:t>
            </w:r>
          </w:p>
        </w:tc>
        <w:tc>
          <w:tcPr>
            <w:tcW w:w="727" w:type="pct"/>
          </w:tcPr>
          <w:p w14:paraId="13C6827D"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10,7%</w:t>
            </w:r>
          </w:p>
        </w:tc>
        <w:tc>
          <w:tcPr>
            <w:tcW w:w="727" w:type="pct"/>
          </w:tcPr>
          <w:p w14:paraId="4188B28D"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38,3%</w:t>
            </w:r>
          </w:p>
        </w:tc>
        <w:tc>
          <w:tcPr>
            <w:tcW w:w="691" w:type="pct"/>
          </w:tcPr>
          <w:p w14:paraId="3436AD74"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66,3%</w:t>
            </w:r>
          </w:p>
        </w:tc>
        <w:tc>
          <w:tcPr>
            <w:tcW w:w="836" w:type="pct"/>
          </w:tcPr>
          <w:p w14:paraId="30A91A00" w14:textId="77777777" w:rsidR="00311F98" w:rsidRPr="00A8375B" w:rsidRDefault="00311F98" w:rsidP="00A8375B">
            <w:pPr>
              <w:spacing w:after="0" w:line="240" w:lineRule="auto"/>
              <w:jc w:val="center"/>
              <w:rPr>
                <w:rFonts w:ascii="Vrinda" w:hAnsi="Vrinda"/>
                <w:sz w:val="20"/>
              </w:rPr>
            </w:pPr>
          </w:p>
        </w:tc>
      </w:tr>
      <w:tr w:rsidR="002833F9" w:rsidRPr="002A58F8" w14:paraId="3DB4FEF5" w14:textId="77777777" w:rsidTr="00D34A39">
        <w:tc>
          <w:tcPr>
            <w:tcW w:w="565" w:type="pct"/>
          </w:tcPr>
          <w:p w14:paraId="49C60B9F" w14:textId="77777777" w:rsidR="00311F98" w:rsidRPr="00A8375B" w:rsidRDefault="00311F98" w:rsidP="00A8375B">
            <w:pPr>
              <w:spacing w:after="0" w:line="240" w:lineRule="auto"/>
              <w:rPr>
                <w:rFonts w:ascii="Vrinda" w:hAnsi="Vrinda"/>
                <w:sz w:val="20"/>
              </w:rPr>
            </w:pPr>
            <w:r w:rsidRPr="00A8375B">
              <w:rPr>
                <w:rFonts w:ascii="Vrinda" w:hAnsi="Vrinda"/>
                <w:sz w:val="20"/>
              </w:rPr>
              <w:t>35-39</w:t>
            </w:r>
          </w:p>
        </w:tc>
        <w:tc>
          <w:tcPr>
            <w:tcW w:w="727" w:type="pct"/>
          </w:tcPr>
          <w:p w14:paraId="4DB8BA16" w14:textId="77777777" w:rsidR="00311F98" w:rsidRPr="00A8375B" w:rsidRDefault="00311F98" w:rsidP="00A8375B">
            <w:pPr>
              <w:spacing w:after="0" w:line="240" w:lineRule="auto"/>
              <w:jc w:val="center"/>
              <w:rPr>
                <w:rFonts w:ascii="Vrinda" w:hAnsi="Vrinda"/>
                <w:sz w:val="20"/>
              </w:rPr>
            </w:pPr>
          </w:p>
        </w:tc>
        <w:tc>
          <w:tcPr>
            <w:tcW w:w="727" w:type="pct"/>
          </w:tcPr>
          <w:p w14:paraId="42C7CA57" w14:textId="77777777" w:rsidR="00311F98" w:rsidRPr="00A8375B" w:rsidRDefault="00311F98" w:rsidP="00A8375B">
            <w:pPr>
              <w:spacing w:after="0" w:line="240" w:lineRule="auto"/>
              <w:jc w:val="center"/>
              <w:rPr>
                <w:rFonts w:ascii="Vrinda" w:hAnsi="Vrinda"/>
                <w:sz w:val="20"/>
              </w:rPr>
            </w:pPr>
          </w:p>
        </w:tc>
        <w:tc>
          <w:tcPr>
            <w:tcW w:w="727" w:type="pct"/>
          </w:tcPr>
          <w:p w14:paraId="05AA381C" w14:textId="77777777" w:rsidR="00311F98" w:rsidRPr="00A8375B" w:rsidRDefault="00311F98" w:rsidP="00A8375B">
            <w:pPr>
              <w:spacing w:after="0" w:line="240" w:lineRule="auto"/>
              <w:jc w:val="center"/>
              <w:rPr>
                <w:rFonts w:ascii="Vrinda" w:hAnsi="Vrinda"/>
                <w:sz w:val="20"/>
              </w:rPr>
            </w:pPr>
          </w:p>
        </w:tc>
        <w:tc>
          <w:tcPr>
            <w:tcW w:w="727" w:type="pct"/>
          </w:tcPr>
          <w:p w14:paraId="6E374F1A" w14:textId="77777777" w:rsidR="00311F98" w:rsidRPr="00A8375B" w:rsidRDefault="00311F98" w:rsidP="00A8375B">
            <w:pPr>
              <w:spacing w:after="0" w:line="240" w:lineRule="auto"/>
              <w:jc w:val="center"/>
              <w:rPr>
                <w:rFonts w:ascii="Vrinda" w:hAnsi="Vrinda"/>
                <w:sz w:val="20"/>
              </w:rPr>
            </w:pPr>
          </w:p>
        </w:tc>
        <w:tc>
          <w:tcPr>
            <w:tcW w:w="691" w:type="pct"/>
          </w:tcPr>
          <w:p w14:paraId="5AE29CD8" w14:textId="77777777" w:rsidR="00311F98" w:rsidRPr="00A8375B" w:rsidRDefault="00311F98" w:rsidP="00A8375B">
            <w:pPr>
              <w:spacing w:after="0" w:line="240" w:lineRule="auto"/>
              <w:jc w:val="center"/>
              <w:rPr>
                <w:rFonts w:ascii="Vrinda" w:hAnsi="Vrinda"/>
                <w:sz w:val="20"/>
              </w:rPr>
            </w:pPr>
          </w:p>
        </w:tc>
        <w:tc>
          <w:tcPr>
            <w:tcW w:w="836" w:type="pct"/>
          </w:tcPr>
          <w:p w14:paraId="42A7E2CF"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40,4%</w:t>
            </w:r>
          </w:p>
        </w:tc>
      </w:tr>
      <w:tr w:rsidR="002833F9" w:rsidRPr="002A58F8" w14:paraId="214E68E5" w14:textId="77777777" w:rsidTr="00D34A39">
        <w:tc>
          <w:tcPr>
            <w:tcW w:w="565" w:type="pct"/>
          </w:tcPr>
          <w:p w14:paraId="63A5DC16" w14:textId="77777777" w:rsidR="00311F98" w:rsidRPr="00A8375B" w:rsidRDefault="00311F98" w:rsidP="00A8375B">
            <w:pPr>
              <w:spacing w:after="0" w:line="240" w:lineRule="auto"/>
              <w:rPr>
                <w:rFonts w:ascii="Vrinda" w:hAnsi="Vrinda"/>
                <w:sz w:val="20"/>
              </w:rPr>
            </w:pPr>
            <w:r w:rsidRPr="00A8375B">
              <w:rPr>
                <w:rFonts w:ascii="Vrinda" w:hAnsi="Vrinda"/>
                <w:sz w:val="20"/>
              </w:rPr>
              <w:t>40-44</w:t>
            </w:r>
          </w:p>
        </w:tc>
        <w:tc>
          <w:tcPr>
            <w:tcW w:w="727" w:type="pct"/>
          </w:tcPr>
          <w:p w14:paraId="6CF92516" w14:textId="77777777" w:rsidR="00311F98" w:rsidRPr="00A8375B" w:rsidRDefault="00311F98" w:rsidP="00A8375B">
            <w:pPr>
              <w:spacing w:after="0" w:line="240" w:lineRule="auto"/>
              <w:jc w:val="center"/>
              <w:rPr>
                <w:rFonts w:ascii="Vrinda" w:hAnsi="Vrinda"/>
                <w:sz w:val="20"/>
              </w:rPr>
            </w:pPr>
          </w:p>
        </w:tc>
        <w:tc>
          <w:tcPr>
            <w:tcW w:w="727" w:type="pct"/>
          </w:tcPr>
          <w:p w14:paraId="2D10A8D1" w14:textId="77777777" w:rsidR="00311F98" w:rsidRPr="00A8375B" w:rsidRDefault="00311F98" w:rsidP="00A8375B">
            <w:pPr>
              <w:spacing w:after="0" w:line="240" w:lineRule="auto"/>
              <w:jc w:val="center"/>
              <w:rPr>
                <w:rFonts w:ascii="Vrinda" w:hAnsi="Vrinda"/>
                <w:sz w:val="20"/>
              </w:rPr>
            </w:pPr>
          </w:p>
        </w:tc>
        <w:tc>
          <w:tcPr>
            <w:tcW w:w="727" w:type="pct"/>
          </w:tcPr>
          <w:p w14:paraId="73291C16" w14:textId="77777777" w:rsidR="00311F98" w:rsidRPr="00A8375B" w:rsidRDefault="00311F98" w:rsidP="00A8375B">
            <w:pPr>
              <w:spacing w:after="0" w:line="240" w:lineRule="auto"/>
              <w:jc w:val="center"/>
              <w:rPr>
                <w:rFonts w:ascii="Vrinda" w:hAnsi="Vrinda"/>
                <w:sz w:val="20"/>
              </w:rPr>
            </w:pPr>
          </w:p>
        </w:tc>
        <w:tc>
          <w:tcPr>
            <w:tcW w:w="727" w:type="pct"/>
          </w:tcPr>
          <w:p w14:paraId="0B2760BF" w14:textId="77777777" w:rsidR="00311F98" w:rsidRPr="00A8375B" w:rsidRDefault="00311F98" w:rsidP="00A8375B">
            <w:pPr>
              <w:spacing w:after="0" w:line="240" w:lineRule="auto"/>
              <w:jc w:val="center"/>
              <w:rPr>
                <w:rFonts w:ascii="Vrinda" w:hAnsi="Vrinda"/>
                <w:sz w:val="20"/>
              </w:rPr>
            </w:pPr>
          </w:p>
        </w:tc>
        <w:tc>
          <w:tcPr>
            <w:tcW w:w="691" w:type="pct"/>
          </w:tcPr>
          <w:p w14:paraId="00B73078"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67,8%</w:t>
            </w:r>
          </w:p>
        </w:tc>
        <w:tc>
          <w:tcPr>
            <w:tcW w:w="836" w:type="pct"/>
          </w:tcPr>
          <w:p w14:paraId="0ECB1E19" w14:textId="77777777" w:rsidR="00311F98" w:rsidRPr="00A8375B" w:rsidRDefault="00311F98" w:rsidP="00A8375B">
            <w:pPr>
              <w:spacing w:after="0" w:line="240" w:lineRule="auto"/>
              <w:jc w:val="center"/>
              <w:rPr>
                <w:rFonts w:ascii="Vrinda" w:hAnsi="Vrinda"/>
                <w:sz w:val="20"/>
              </w:rPr>
            </w:pPr>
          </w:p>
        </w:tc>
      </w:tr>
      <w:tr w:rsidR="002833F9" w:rsidRPr="002A58F8" w14:paraId="1781F338" w14:textId="77777777" w:rsidTr="00D34A39">
        <w:tc>
          <w:tcPr>
            <w:tcW w:w="565" w:type="pct"/>
          </w:tcPr>
          <w:p w14:paraId="581AE6EE" w14:textId="77777777" w:rsidR="00311F98" w:rsidRPr="00A8375B" w:rsidRDefault="00311F98" w:rsidP="00A8375B">
            <w:pPr>
              <w:spacing w:after="0" w:line="240" w:lineRule="auto"/>
              <w:rPr>
                <w:rFonts w:ascii="Vrinda" w:hAnsi="Vrinda"/>
                <w:sz w:val="20"/>
              </w:rPr>
            </w:pPr>
            <w:r w:rsidRPr="00A8375B">
              <w:rPr>
                <w:rFonts w:ascii="Vrinda" w:hAnsi="Vrinda"/>
                <w:sz w:val="20"/>
              </w:rPr>
              <w:t xml:space="preserve">40-49 </w:t>
            </w:r>
          </w:p>
        </w:tc>
        <w:tc>
          <w:tcPr>
            <w:tcW w:w="727" w:type="pct"/>
          </w:tcPr>
          <w:p w14:paraId="1B1A1078"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31,2%</w:t>
            </w:r>
          </w:p>
        </w:tc>
        <w:tc>
          <w:tcPr>
            <w:tcW w:w="727" w:type="pct"/>
          </w:tcPr>
          <w:p w14:paraId="51F678DA"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10,8%</w:t>
            </w:r>
          </w:p>
        </w:tc>
        <w:tc>
          <w:tcPr>
            <w:tcW w:w="727" w:type="pct"/>
          </w:tcPr>
          <w:p w14:paraId="778711F1"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7,5</w:t>
            </w:r>
          </w:p>
        </w:tc>
        <w:tc>
          <w:tcPr>
            <w:tcW w:w="727" w:type="pct"/>
          </w:tcPr>
          <w:p w14:paraId="13C84716"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34,5%</w:t>
            </w:r>
          </w:p>
        </w:tc>
        <w:tc>
          <w:tcPr>
            <w:tcW w:w="691" w:type="pct"/>
          </w:tcPr>
          <w:p w14:paraId="055BC647" w14:textId="77777777" w:rsidR="00311F98" w:rsidRPr="00A8375B" w:rsidRDefault="00311F98" w:rsidP="00A8375B">
            <w:pPr>
              <w:spacing w:after="0" w:line="240" w:lineRule="auto"/>
              <w:jc w:val="center"/>
              <w:rPr>
                <w:rFonts w:ascii="Vrinda" w:hAnsi="Vrinda"/>
                <w:sz w:val="20"/>
              </w:rPr>
            </w:pPr>
          </w:p>
        </w:tc>
        <w:tc>
          <w:tcPr>
            <w:tcW w:w="836" w:type="pct"/>
          </w:tcPr>
          <w:p w14:paraId="2CD23682"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42,2%</w:t>
            </w:r>
          </w:p>
        </w:tc>
      </w:tr>
      <w:tr w:rsidR="002833F9" w:rsidRPr="002A58F8" w14:paraId="6B7CA905" w14:textId="77777777" w:rsidTr="00D34A39">
        <w:tc>
          <w:tcPr>
            <w:tcW w:w="565" w:type="pct"/>
          </w:tcPr>
          <w:p w14:paraId="6F5C6496" w14:textId="77777777" w:rsidR="00311F98" w:rsidRPr="00A8375B" w:rsidRDefault="00311F98" w:rsidP="00A8375B">
            <w:pPr>
              <w:spacing w:after="0" w:line="240" w:lineRule="auto"/>
              <w:rPr>
                <w:rFonts w:ascii="Vrinda" w:hAnsi="Vrinda"/>
                <w:sz w:val="20"/>
              </w:rPr>
            </w:pPr>
            <w:r w:rsidRPr="00A8375B">
              <w:rPr>
                <w:rFonts w:ascii="Vrinda" w:hAnsi="Vrinda"/>
                <w:sz w:val="20"/>
              </w:rPr>
              <w:t>45-49</w:t>
            </w:r>
          </w:p>
        </w:tc>
        <w:tc>
          <w:tcPr>
            <w:tcW w:w="727" w:type="pct"/>
          </w:tcPr>
          <w:p w14:paraId="468BC601" w14:textId="77777777" w:rsidR="00311F98" w:rsidRPr="00A8375B" w:rsidRDefault="00311F98" w:rsidP="00A8375B">
            <w:pPr>
              <w:spacing w:after="0" w:line="240" w:lineRule="auto"/>
              <w:jc w:val="center"/>
              <w:rPr>
                <w:rFonts w:ascii="Vrinda" w:hAnsi="Vrinda"/>
                <w:sz w:val="20"/>
              </w:rPr>
            </w:pPr>
          </w:p>
        </w:tc>
        <w:tc>
          <w:tcPr>
            <w:tcW w:w="727" w:type="pct"/>
          </w:tcPr>
          <w:p w14:paraId="7B37E369" w14:textId="77777777" w:rsidR="00311F98" w:rsidRPr="00A8375B" w:rsidRDefault="00311F98" w:rsidP="00A8375B">
            <w:pPr>
              <w:spacing w:after="0" w:line="240" w:lineRule="auto"/>
              <w:jc w:val="center"/>
              <w:rPr>
                <w:rFonts w:ascii="Vrinda" w:hAnsi="Vrinda"/>
                <w:sz w:val="20"/>
              </w:rPr>
            </w:pPr>
          </w:p>
        </w:tc>
        <w:tc>
          <w:tcPr>
            <w:tcW w:w="727" w:type="pct"/>
          </w:tcPr>
          <w:p w14:paraId="2A1C2530" w14:textId="77777777" w:rsidR="00311F98" w:rsidRPr="00A8375B" w:rsidRDefault="00311F98" w:rsidP="00A8375B">
            <w:pPr>
              <w:spacing w:after="0" w:line="240" w:lineRule="auto"/>
              <w:jc w:val="center"/>
              <w:rPr>
                <w:rFonts w:ascii="Vrinda" w:hAnsi="Vrinda"/>
                <w:sz w:val="20"/>
              </w:rPr>
            </w:pPr>
          </w:p>
        </w:tc>
        <w:tc>
          <w:tcPr>
            <w:tcW w:w="727" w:type="pct"/>
          </w:tcPr>
          <w:p w14:paraId="14CB6799" w14:textId="77777777" w:rsidR="00311F98" w:rsidRPr="00A8375B" w:rsidRDefault="00311F98" w:rsidP="00A8375B">
            <w:pPr>
              <w:spacing w:after="0" w:line="240" w:lineRule="auto"/>
              <w:jc w:val="center"/>
              <w:rPr>
                <w:rFonts w:ascii="Vrinda" w:hAnsi="Vrinda"/>
                <w:sz w:val="20"/>
              </w:rPr>
            </w:pPr>
          </w:p>
        </w:tc>
        <w:tc>
          <w:tcPr>
            <w:tcW w:w="691" w:type="pct"/>
          </w:tcPr>
          <w:p w14:paraId="5A522528"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69,2%</w:t>
            </w:r>
          </w:p>
        </w:tc>
        <w:tc>
          <w:tcPr>
            <w:tcW w:w="836" w:type="pct"/>
          </w:tcPr>
          <w:p w14:paraId="1C6861CD"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39,4%</w:t>
            </w:r>
          </w:p>
        </w:tc>
      </w:tr>
      <w:tr w:rsidR="002833F9" w:rsidRPr="002A58F8" w14:paraId="4856F1E9" w14:textId="77777777" w:rsidTr="00D34A39">
        <w:tc>
          <w:tcPr>
            <w:tcW w:w="565" w:type="pct"/>
          </w:tcPr>
          <w:p w14:paraId="286D23D2" w14:textId="77777777" w:rsidR="00311F98" w:rsidRPr="00A8375B" w:rsidRDefault="00311F98" w:rsidP="00A8375B">
            <w:pPr>
              <w:spacing w:after="0" w:line="240" w:lineRule="auto"/>
              <w:rPr>
                <w:rFonts w:ascii="Vrinda" w:hAnsi="Vrinda"/>
                <w:sz w:val="20"/>
              </w:rPr>
            </w:pPr>
            <w:r w:rsidRPr="00A8375B">
              <w:rPr>
                <w:rFonts w:ascii="Vrinda" w:hAnsi="Vrinda"/>
                <w:sz w:val="20"/>
              </w:rPr>
              <w:t>Ensemble</w:t>
            </w:r>
          </w:p>
        </w:tc>
        <w:tc>
          <w:tcPr>
            <w:tcW w:w="727" w:type="pct"/>
          </w:tcPr>
          <w:p w14:paraId="7E0404A1"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29 %</w:t>
            </w:r>
          </w:p>
        </w:tc>
        <w:tc>
          <w:tcPr>
            <w:tcW w:w="727" w:type="pct"/>
          </w:tcPr>
          <w:p w14:paraId="7B32906B"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12 %</w:t>
            </w:r>
          </w:p>
        </w:tc>
        <w:tc>
          <w:tcPr>
            <w:tcW w:w="727" w:type="pct"/>
          </w:tcPr>
          <w:p w14:paraId="5DDB437E"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8%</w:t>
            </w:r>
          </w:p>
        </w:tc>
        <w:tc>
          <w:tcPr>
            <w:tcW w:w="727" w:type="pct"/>
          </w:tcPr>
          <w:p w14:paraId="3FB924E5"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32,6%</w:t>
            </w:r>
          </w:p>
        </w:tc>
        <w:tc>
          <w:tcPr>
            <w:tcW w:w="691" w:type="pct"/>
          </w:tcPr>
          <w:p w14:paraId="3CC94327"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 xml:space="preserve">69% </w:t>
            </w:r>
          </w:p>
          <w:p w14:paraId="10220078"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(20-49 ans)</w:t>
            </w:r>
          </w:p>
        </w:tc>
        <w:tc>
          <w:tcPr>
            <w:tcW w:w="836" w:type="pct"/>
          </w:tcPr>
          <w:p w14:paraId="0378B225" w14:textId="77777777" w:rsidR="00311F98" w:rsidRPr="00A8375B" w:rsidRDefault="00311F98" w:rsidP="00A8375B">
            <w:pPr>
              <w:spacing w:after="0" w:line="240" w:lineRule="auto"/>
              <w:jc w:val="center"/>
              <w:rPr>
                <w:rFonts w:ascii="Vrinda" w:hAnsi="Vrinda"/>
                <w:sz w:val="20"/>
              </w:rPr>
            </w:pPr>
            <w:r w:rsidRPr="00A8375B">
              <w:rPr>
                <w:rFonts w:ascii="Vrinda" w:hAnsi="Vrinda"/>
                <w:sz w:val="20"/>
              </w:rPr>
              <w:t>38,4%</w:t>
            </w:r>
          </w:p>
        </w:tc>
      </w:tr>
    </w:tbl>
    <w:p w14:paraId="4A8B4186" w14:textId="15771808" w:rsidR="00311F98" w:rsidRPr="00D34A39" w:rsidRDefault="00EC38E8" w:rsidP="00311F98">
      <w:pPr>
        <w:pStyle w:val="Sansinterligne"/>
        <w:rPr>
          <w:sz w:val="20"/>
          <w:shd w:val="clear" w:color="auto" w:fill="FFFFFF"/>
        </w:rPr>
      </w:pPr>
      <w:r w:rsidRPr="00EC38E8">
        <w:rPr>
          <w:rFonts w:cstheme="minorHAnsi"/>
          <w:b/>
          <w:i/>
          <w:iCs/>
          <w:sz w:val="20"/>
          <w:szCs w:val="20"/>
          <w:u w:val="single"/>
          <w:shd w:val="clear" w:color="auto" w:fill="FFFFFF"/>
        </w:rPr>
        <w:t>Source</w:t>
      </w:r>
      <w:r w:rsidRPr="00EC38E8">
        <w:rPr>
          <w:rFonts w:cstheme="minorHAnsi"/>
          <w:bCs/>
          <w:sz w:val="20"/>
          <w:szCs w:val="20"/>
          <w:shd w:val="clear" w:color="auto" w:fill="FFFFFF"/>
        </w:rPr>
        <w:t> : Extrait des données de l'</w:t>
      </w:r>
      <w:r w:rsidR="000152A1">
        <w:t xml:space="preserve">Enquête </w:t>
      </w:r>
      <w:r w:rsidR="000152A1" w:rsidRPr="000152A1">
        <w:rPr>
          <w:rFonts w:cstheme="minorHAnsi"/>
          <w:bCs/>
          <w:sz w:val="20"/>
          <w:szCs w:val="20"/>
          <w:shd w:val="clear" w:color="auto" w:fill="FFFFFF"/>
        </w:rPr>
        <w:t xml:space="preserve">Démographique et de Santé et à Indicateurs Multiples </w:t>
      </w:r>
      <w:r w:rsidRPr="00EC38E8">
        <w:rPr>
          <w:rFonts w:cstheme="minorHAnsi"/>
          <w:bCs/>
          <w:sz w:val="20"/>
          <w:szCs w:val="20"/>
          <w:shd w:val="clear" w:color="auto" w:fill="FFFFFF"/>
        </w:rPr>
        <w:t>2014-2015</w:t>
      </w:r>
    </w:p>
    <w:p w14:paraId="5B5D8F44" w14:textId="7AFA1631" w:rsidR="00311F98" w:rsidRPr="008277A9" w:rsidRDefault="00311F98" w:rsidP="00311F98">
      <w:pPr>
        <w:pStyle w:val="Sansinterligne"/>
        <w:rPr>
          <w:rFonts w:cstheme="minorHAnsi"/>
          <w:b/>
          <w:color w:val="FF0000"/>
          <w:shd w:val="clear" w:color="auto" w:fill="FFFFFF"/>
        </w:rPr>
      </w:pPr>
    </w:p>
    <w:tbl>
      <w:tblPr>
        <w:tblStyle w:val="Grilledutableau"/>
        <w:tblW w:w="5000" w:type="pct"/>
        <w:tblLook w:val="04A0" w:firstRow="1" w:lastRow="0" w:firstColumn="1" w:lastColumn="0" w:noHBand="0" w:noVBand="1"/>
      </w:tblPr>
      <w:tblGrid>
        <w:gridCol w:w="2579"/>
        <w:gridCol w:w="2529"/>
        <w:gridCol w:w="2724"/>
        <w:gridCol w:w="2079"/>
      </w:tblGrid>
      <w:tr w:rsidR="008277A9" w:rsidRPr="00EC38E8" w14:paraId="5D43F7D5" w14:textId="77777777" w:rsidTr="00923462">
        <w:trPr>
          <w:tblHeader/>
        </w:trPr>
        <w:tc>
          <w:tcPr>
            <w:tcW w:w="5000" w:type="pct"/>
            <w:gridSpan w:val="4"/>
          </w:tcPr>
          <w:p w14:paraId="2F4DF886" w14:textId="77777777" w:rsidR="00311F98" w:rsidRPr="00D34A39" w:rsidRDefault="00311F98" w:rsidP="00D34A39">
            <w:pPr>
              <w:spacing w:after="0"/>
              <w:jc w:val="center"/>
              <w:rPr>
                <w:rFonts w:asciiTheme="majorHAnsi" w:hAnsiTheme="majorHAnsi"/>
                <w:b/>
                <w:sz w:val="20"/>
              </w:rPr>
            </w:pPr>
            <w:r w:rsidRPr="00D34A39">
              <w:rPr>
                <w:rFonts w:asciiTheme="majorHAnsi" w:hAnsiTheme="majorHAnsi"/>
                <w:b/>
                <w:sz w:val="20"/>
              </w:rPr>
              <w:t xml:space="preserve">Variations de la prévalence de la violence en fonction des </w:t>
            </w:r>
            <w:r w:rsidRPr="00D34A39">
              <w:rPr>
                <w:rFonts w:asciiTheme="majorHAnsi" w:hAnsiTheme="majorHAnsi"/>
                <w:b/>
                <w:sz w:val="20"/>
                <w:shd w:val="clear" w:color="auto" w:fill="FFFFFF"/>
              </w:rPr>
              <w:t>couches sociales</w:t>
            </w:r>
          </w:p>
        </w:tc>
      </w:tr>
      <w:tr w:rsidR="002833F9" w:rsidRPr="00EC38E8" w14:paraId="515FC9BB" w14:textId="77777777" w:rsidTr="00923462">
        <w:trPr>
          <w:tblHeader/>
        </w:trPr>
        <w:tc>
          <w:tcPr>
            <w:tcW w:w="5000" w:type="pct"/>
            <w:gridSpan w:val="4"/>
          </w:tcPr>
          <w:p w14:paraId="13878757" w14:textId="77777777" w:rsidR="00311F98" w:rsidRPr="00D34A39" w:rsidRDefault="00311F98" w:rsidP="00D34A39">
            <w:pPr>
              <w:autoSpaceDE w:val="0"/>
              <w:autoSpaceDN w:val="0"/>
              <w:adjustRightInd w:val="0"/>
              <w:spacing w:after="0"/>
              <w:jc w:val="both"/>
              <w:rPr>
                <w:rFonts w:asciiTheme="majorHAnsi" w:hAnsiTheme="majorHAnsi"/>
                <w:i/>
                <w:sz w:val="20"/>
              </w:rPr>
            </w:pPr>
            <w:r w:rsidRPr="00D34A39">
              <w:rPr>
                <w:rFonts w:asciiTheme="majorHAnsi" w:hAnsiTheme="majorHAnsi"/>
                <w:i/>
                <w:sz w:val="20"/>
              </w:rPr>
              <w:t>Pourcentage de femmes ayant subi des actes de violence à un moment quelconque par couche sociale</w:t>
            </w:r>
          </w:p>
        </w:tc>
      </w:tr>
      <w:tr w:rsidR="002833F9" w:rsidRPr="00EC38E8" w14:paraId="16075C77" w14:textId="77777777" w:rsidTr="00923462">
        <w:trPr>
          <w:tblHeader/>
        </w:trPr>
        <w:tc>
          <w:tcPr>
            <w:tcW w:w="1301" w:type="pct"/>
          </w:tcPr>
          <w:p w14:paraId="62CADC74" w14:textId="77777777" w:rsidR="00311F98" w:rsidRPr="00D34A39" w:rsidRDefault="00311F98" w:rsidP="00D34A39">
            <w:pPr>
              <w:spacing w:after="0"/>
              <w:rPr>
                <w:rFonts w:asciiTheme="majorHAnsi" w:hAnsiTheme="majorHAnsi"/>
                <w:b/>
                <w:sz w:val="20"/>
              </w:rPr>
            </w:pPr>
            <w:r w:rsidRPr="00D34A39">
              <w:rPr>
                <w:rFonts w:asciiTheme="majorHAnsi" w:hAnsiTheme="majorHAnsi"/>
                <w:b/>
                <w:sz w:val="20"/>
              </w:rPr>
              <w:t>Catégories sociales</w:t>
            </w:r>
          </w:p>
        </w:tc>
        <w:tc>
          <w:tcPr>
            <w:tcW w:w="1276" w:type="pct"/>
          </w:tcPr>
          <w:p w14:paraId="1B783FF6" w14:textId="77777777" w:rsidR="00311F98" w:rsidRPr="00D34A39" w:rsidRDefault="00311F98" w:rsidP="00D34A39">
            <w:pPr>
              <w:autoSpaceDE w:val="0"/>
              <w:autoSpaceDN w:val="0"/>
              <w:adjustRightInd w:val="0"/>
              <w:spacing w:after="0"/>
              <w:jc w:val="both"/>
              <w:rPr>
                <w:rFonts w:asciiTheme="majorHAnsi" w:hAnsiTheme="majorHAnsi"/>
                <w:b/>
                <w:sz w:val="20"/>
              </w:rPr>
            </w:pPr>
            <w:r w:rsidRPr="00D34A39">
              <w:rPr>
                <w:rFonts w:asciiTheme="majorHAnsi" w:hAnsiTheme="majorHAnsi"/>
                <w:b/>
                <w:sz w:val="20"/>
              </w:rPr>
              <w:t>Violence physique domestique depuis l’âge de 15 ans</w:t>
            </w:r>
          </w:p>
        </w:tc>
        <w:tc>
          <w:tcPr>
            <w:tcW w:w="1374" w:type="pct"/>
          </w:tcPr>
          <w:p w14:paraId="6F3A7078" w14:textId="77777777" w:rsidR="00311F98" w:rsidRPr="00D34A39" w:rsidRDefault="00311F98" w:rsidP="00D34A39">
            <w:pPr>
              <w:autoSpaceDE w:val="0"/>
              <w:autoSpaceDN w:val="0"/>
              <w:adjustRightInd w:val="0"/>
              <w:spacing w:after="0"/>
              <w:jc w:val="both"/>
              <w:rPr>
                <w:rFonts w:asciiTheme="majorHAnsi" w:hAnsiTheme="majorHAnsi"/>
                <w:b/>
                <w:sz w:val="20"/>
              </w:rPr>
            </w:pPr>
            <w:r w:rsidRPr="00D34A39">
              <w:rPr>
                <w:rFonts w:asciiTheme="majorHAnsi" w:hAnsiTheme="majorHAnsi"/>
                <w:b/>
                <w:sz w:val="20"/>
              </w:rPr>
              <w:t>Violence sexuelle domestique depuis l’âge de 15 ans</w:t>
            </w:r>
          </w:p>
        </w:tc>
        <w:tc>
          <w:tcPr>
            <w:tcW w:w="1049" w:type="pct"/>
          </w:tcPr>
          <w:p w14:paraId="2FF99CF6" w14:textId="77777777" w:rsidR="00311F98" w:rsidRPr="00D34A39" w:rsidRDefault="00311F98" w:rsidP="00D34A39">
            <w:pPr>
              <w:autoSpaceDE w:val="0"/>
              <w:autoSpaceDN w:val="0"/>
              <w:adjustRightInd w:val="0"/>
              <w:spacing w:after="0"/>
              <w:jc w:val="both"/>
              <w:rPr>
                <w:rFonts w:asciiTheme="majorHAnsi" w:hAnsiTheme="majorHAnsi"/>
                <w:b/>
                <w:sz w:val="20"/>
              </w:rPr>
            </w:pPr>
            <w:r w:rsidRPr="00D34A39">
              <w:rPr>
                <w:rFonts w:asciiTheme="majorHAnsi" w:hAnsiTheme="majorHAnsi"/>
                <w:b/>
                <w:sz w:val="20"/>
              </w:rPr>
              <w:t>MGF/Excision</w:t>
            </w:r>
          </w:p>
        </w:tc>
      </w:tr>
      <w:tr w:rsidR="002833F9" w:rsidRPr="00EC38E8" w14:paraId="1E20337E" w14:textId="77777777" w:rsidTr="00D34A39">
        <w:tc>
          <w:tcPr>
            <w:tcW w:w="1301" w:type="pct"/>
          </w:tcPr>
          <w:p w14:paraId="33730591"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t xml:space="preserve">Sans religion </w:t>
            </w:r>
          </w:p>
        </w:tc>
        <w:tc>
          <w:tcPr>
            <w:tcW w:w="1276" w:type="pct"/>
          </w:tcPr>
          <w:p w14:paraId="5EA9585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59,2%</w:t>
            </w:r>
          </w:p>
        </w:tc>
        <w:tc>
          <w:tcPr>
            <w:tcW w:w="1374" w:type="pct"/>
          </w:tcPr>
          <w:p w14:paraId="21AE616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14,5%</w:t>
            </w:r>
          </w:p>
        </w:tc>
        <w:tc>
          <w:tcPr>
            <w:tcW w:w="1049" w:type="pct"/>
          </w:tcPr>
          <w:p w14:paraId="39DAE8C2"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8,1%</w:t>
            </w:r>
          </w:p>
        </w:tc>
      </w:tr>
      <w:tr w:rsidR="002833F9" w:rsidRPr="00EC38E8" w14:paraId="6B410005" w14:textId="77777777" w:rsidTr="00D34A39">
        <w:tc>
          <w:tcPr>
            <w:tcW w:w="1301" w:type="pct"/>
          </w:tcPr>
          <w:p w14:paraId="54643A85"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t>Animiste</w:t>
            </w:r>
          </w:p>
        </w:tc>
        <w:tc>
          <w:tcPr>
            <w:tcW w:w="1276" w:type="pct"/>
          </w:tcPr>
          <w:p w14:paraId="2425E0AD"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c>
          <w:tcPr>
            <w:tcW w:w="1374" w:type="pct"/>
          </w:tcPr>
          <w:p w14:paraId="5C2916F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c>
          <w:tcPr>
            <w:tcW w:w="1049" w:type="pct"/>
          </w:tcPr>
          <w:p w14:paraId="2F625AC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31,6%</w:t>
            </w:r>
          </w:p>
        </w:tc>
      </w:tr>
      <w:tr w:rsidR="002833F9" w:rsidRPr="00EC38E8" w14:paraId="17FD707A" w14:textId="77777777" w:rsidTr="00D34A39">
        <w:tc>
          <w:tcPr>
            <w:tcW w:w="1301" w:type="pct"/>
          </w:tcPr>
          <w:p w14:paraId="37AAB275"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t xml:space="preserve">Catholique </w:t>
            </w:r>
          </w:p>
        </w:tc>
        <w:tc>
          <w:tcPr>
            <w:tcW w:w="1276" w:type="pct"/>
          </w:tcPr>
          <w:p w14:paraId="2A8D090C"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43,0%</w:t>
            </w:r>
          </w:p>
        </w:tc>
        <w:tc>
          <w:tcPr>
            <w:tcW w:w="1374" w:type="pct"/>
          </w:tcPr>
          <w:p w14:paraId="7FA0E354"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10,4%</w:t>
            </w:r>
          </w:p>
        </w:tc>
        <w:tc>
          <w:tcPr>
            <w:tcW w:w="1049" w:type="pct"/>
          </w:tcPr>
          <w:p w14:paraId="5A3E02C7"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40,1%</w:t>
            </w:r>
          </w:p>
        </w:tc>
      </w:tr>
      <w:tr w:rsidR="002833F9" w:rsidRPr="00EC38E8" w14:paraId="2C76F576" w14:textId="77777777" w:rsidTr="00D34A39">
        <w:tc>
          <w:tcPr>
            <w:tcW w:w="1301" w:type="pct"/>
          </w:tcPr>
          <w:p w14:paraId="70D0A62C"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t xml:space="preserve">Protestant </w:t>
            </w:r>
          </w:p>
        </w:tc>
        <w:tc>
          <w:tcPr>
            <w:tcW w:w="1276" w:type="pct"/>
          </w:tcPr>
          <w:p w14:paraId="0F83EC7C"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37,6%</w:t>
            </w:r>
          </w:p>
        </w:tc>
        <w:tc>
          <w:tcPr>
            <w:tcW w:w="1374" w:type="pct"/>
          </w:tcPr>
          <w:p w14:paraId="53140652"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12%</w:t>
            </w:r>
          </w:p>
        </w:tc>
        <w:tc>
          <w:tcPr>
            <w:tcW w:w="1049" w:type="pct"/>
          </w:tcPr>
          <w:p w14:paraId="4243573F"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14,9%</w:t>
            </w:r>
          </w:p>
        </w:tc>
      </w:tr>
      <w:tr w:rsidR="002833F9" w:rsidRPr="00EC38E8" w14:paraId="1A721C8E" w14:textId="77777777" w:rsidTr="00D34A39">
        <w:tc>
          <w:tcPr>
            <w:tcW w:w="1301" w:type="pct"/>
          </w:tcPr>
          <w:p w14:paraId="6AB38715"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t xml:space="preserve">Musulman </w:t>
            </w:r>
          </w:p>
        </w:tc>
        <w:tc>
          <w:tcPr>
            <w:tcW w:w="1276" w:type="pct"/>
          </w:tcPr>
          <w:p w14:paraId="04521AF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18,9%</w:t>
            </w:r>
          </w:p>
        </w:tc>
        <w:tc>
          <w:tcPr>
            <w:tcW w:w="1374" w:type="pct"/>
          </w:tcPr>
          <w:p w14:paraId="5CE0D2D0"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11,8%</w:t>
            </w:r>
          </w:p>
        </w:tc>
        <w:tc>
          <w:tcPr>
            <w:tcW w:w="1049" w:type="pct"/>
          </w:tcPr>
          <w:p w14:paraId="38045D0A"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50,4%</w:t>
            </w:r>
          </w:p>
        </w:tc>
      </w:tr>
      <w:tr w:rsidR="002833F9" w:rsidRPr="00EC38E8" w14:paraId="7A06156A" w14:textId="77777777" w:rsidTr="00D34A39">
        <w:tc>
          <w:tcPr>
            <w:tcW w:w="1301" w:type="pct"/>
          </w:tcPr>
          <w:p w14:paraId="26BE37D9"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t>Célibataire</w:t>
            </w:r>
          </w:p>
        </w:tc>
        <w:tc>
          <w:tcPr>
            <w:tcW w:w="1276" w:type="pct"/>
          </w:tcPr>
          <w:p w14:paraId="6A71458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14,4%</w:t>
            </w:r>
          </w:p>
        </w:tc>
        <w:tc>
          <w:tcPr>
            <w:tcW w:w="1374" w:type="pct"/>
          </w:tcPr>
          <w:p w14:paraId="1684AFF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3,1%</w:t>
            </w:r>
          </w:p>
        </w:tc>
        <w:tc>
          <w:tcPr>
            <w:tcW w:w="1049" w:type="pct"/>
          </w:tcPr>
          <w:p w14:paraId="7B5EAC54"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7418F98D" w14:textId="77777777" w:rsidTr="00D34A39">
        <w:tc>
          <w:tcPr>
            <w:tcW w:w="1301" w:type="pct"/>
          </w:tcPr>
          <w:p w14:paraId="567069EF"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lastRenderedPageBreak/>
              <w:t xml:space="preserve">En union </w:t>
            </w:r>
          </w:p>
        </w:tc>
        <w:tc>
          <w:tcPr>
            <w:tcW w:w="1276" w:type="pct"/>
          </w:tcPr>
          <w:p w14:paraId="319CDB5A"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30%</w:t>
            </w:r>
          </w:p>
        </w:tc>
        <w:tc>
          <w:tcPr>
            <w:tcW w:w="1374" w:type="pct"/>
          </w:tcPr>
          <w:p w14:paraId="6997EA41"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12,5%</w:t>
            </w:r>
          </w:p>
        </w:tc>
        <w:tc>
          <w:tcPr>
            <w:tcW w:w="1049" w:type="pct"/>
          </w:tcPr>
          <w:p w14:paraId="0402A24C"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8277A9" w:rsidRPr="00EC38E8" w14:paraId="032990E6" w14:textId="77777777" w:rsidTr="00D34A39">
        <w:tc>
          <w:tcPr>
            <w:tcW w:w="1301" w:type="pct"/>
          </w:tcPr>
          <w:p w14:paraId="7D2A7C0C" w14:textId="77777777" w:rsidR="00311F98" w:rsidRPr="00D34A39" w:rsidRDefault="00311F98" w:rsidP="00D34A39">
            <w:pPr>
              <w:spacing w:after="0"/>
              <w:rPr>
                <w:rFonts w:asciiTheme="majorHAnsi" w:hAnsiTheme="majorHAnsi"/>
                <w:sz w:val="20"/>
              </w:rPr>
            </w:pPr>
            <w:r w:rsidRPr="00D34A39">
              <w:rPr>
                <w:rFonts w:asciiTheme="majorHAnsi" w:hAnsiTheme="majorHAnsi"/>
                <w:sz w:val="20"/>
              </w:rPr>
              <w:t>En rupture d’union</w:t>
            </w:r>
          </w:p>
        </w:tc>
        <w:tc>
          <w:tcPr>
            <w:tcW w:w="1276" w:type="pct"/>
          </w:tcPr>
          <w:p w14:paraId="61E5D2DE"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49,4%</w:t>
            </w:r>
          </w:p>
        </w:tc>
        <w:tc>
          <w:tcPr>
            <w:tcW w:w="1374" w:type="pct"/>
          </w:tcPr>
          <w:p w14:paraId="48D767E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19,4%</w:t>
            </w:r>
          </w:p>
        </w:tc>
        <w:tc>
          <w:tcPr>
            <w:tcW w:w="1049" w:type="pct"/>
          </w:tcPr>
          <w:p w14:paraId="0AB9561F" w14:textId="77777777" w:rsidR="00311F98" w:rsidRPr="00D34A39" w:rsidRDefault="00311F98" w:rsidP="00D34A39">
            <w:pPr>
              <w:spacing w:after="0"/>
              <w:jc w:val="center"/>
              <w:rPr>
                <w:rFonts w:asciiTheme="majorHAnsi" w:hAnsiTheme="majorHAnsi"/>
                <w:sz w:val="20"/>
              </w:rPr>
            </w:pPr>
          </w:p>
        </w:tc>
      </w:tr>
      <w:tr w:rsidR="002833F9" w:rsidRPr="00EC38E8" w14:paraId="25BEF2E8" w14:textId="77777777" w:rsidTr="00D34A39">
        <w:tc>
          <w:tcPr>
            <w:tcW w:w="1301" w:type="pct"/>
          </w:tcPr>
          <w:p w14:paraId="6CA86C6B"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Employée ayant</w:t>
            </w:r>
          </w:p>
          <w:p w14:paraId="14542CCD" w14:textId="77777777" w:rsidR="00311F98" w:rsidRPr="00D34A39" w:rsidRDefault="00311F98" w:rsidP="00D34A39">
            <w:pPr>
              <w:autoSpaceDE w:val="0"/>
              <w:autoSpaceDN w:val="0"/>
              <w:adjustRightInd w:val="0"/>
              <w:spacing w:after="0"/>
              <w:rPr>
                <w:rFonts w:asciiTheme="majorHAnsi" w:hAnsiTheme="majorHAnsi"/>
                <w:sz w:val="20"/>
              </w:rPr>
            </w:pPr>
            <w:proofErr w:type="gramStart"/>
            <w:r w:rsidRPr="00D34A39">
              <w:rPr>
                <w:rFonts w:asciiTheme="majorHAnsi" w:hAnsiTheme="majorHAnsi"/>
                <w:sz w:val="20"/>
              </w:rPr>
              <w:t>travaillé</w:t>
            </w:r>
            <w:proofErr w:type="gramEnd"/>
            <w:r w:rsidRPr="00D34A39">
              <w:rPr>
                <w:rFonts w:asciiTheme="majorHAnsi" w:hAnsiTheme="majorHAnsi"/>
                <w:sz w:val="20"/>
              </w:rPr>
              <w:t xml:space="preserve"> et  été payée en argent</w:t>
            </w:r>
          </w:p>
        </w:tc>
        <w:tc>
          <w:tcPr>
            <w:tcW w:w="1276" w:type="pct"/>
          </w:tcPr>
          <w:p w14:paraId="7C477C7A"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37,1%</w:t>
            </w:r>
          </w:p>
        </w:tc>
        <w:tc>
          <w:tcPr>
            <w:tcW w:w="1374" w:type="pct"/>
          </w:tcPr>
          <w:p w14:paraId="5D7F438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10,8%</w:t>
            </w:r>
          </w:p>
        </w:tc>
        <w:tc>
          <w:tcPr>
            <w:tcW w:w="1049" w:type="pct"/>
          </w:tcPr>
          <w:p w14:paraId="764DE7B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3D72BE67" w14:textId="77777777" w:rsidTr="00D34A39">
        <w:tc>
          <w:tcPr>
            <w:tcW w:w="1301" w:type="pct"/>
          </w:tcPr>
          <w:p w14:paraId="29797457"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Employée ayant</w:t>
            </w:r>
          </w:p>
          <w:p w14:paraId="33710114" w14:textId="77777777" w:rsidR="00311F98" w:rsidRPr="00D34A39" w:rsidRDefault="00311F98" w:rsidP="00D34A39">
            <w:pPr>
              <w:autoSpaceDE w:val="0"/>
              <w:autoSpaceDN w:val="0"/>
              <w:adjustRightInd w:val="0"/>
              <w:spacing w:after="0"/>
              <w:rPr>
                <w:rFonts w:asciiTheme="majorHAnsi" w:hAnsiTheme="majorHAnsi"/>
                <w:sz w:val="20"/>
              </w:rPr>
            </w:pPr>
            <w:proofErr w:type="gramStart"/>
            <w:r w:rsidRPr="00D34A39">
              <w:rPr>
                <w:rFonts w:asciiTheme="majorHAnsi" w:hAnsiTheme="majorHAnsi"/>
                <w:sz w:val="20"/>
              </w:rPr>
              <w:t>travaillé</w:t>
            </w:r>
            <w:proofErr w:type="gramEnd"/>
            <w:r w:rsidRPr="00D34A39">
              <w:rPr>
                <w:rFonts w:asciiTheme="majorHAnsi" w:hAnsiTheme="majorHAnsi"/>
                <w:sz w:val="20"/>
              </w:rPr>
              <w:t xml:space="preserve"> et  n’ayant pas été payée en argent</w:t>
            </w:r>
          </w:p>
        </w:tc>
        <w:tc>
          <w:tcPr>
            <w:tcW w:w="1276" w:type="pct"/>
          </w:tcPr>
          <w:p w14:paraId="11431D1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29,1%</w:t>
            </w:r>
          </w:p>
        </w:tc>
        <w:tc>
          <w:tcPr>
            <w:tcW w:w="1374" w:type="pct"/>
          </w:tcPr>
          <w:p w14:paraId="56BF66AD"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9,8%</w:t>
            </w:r>
          </w:p>
        </w:tc>
        <w:tc>
          <w:tcPr>
            <w:tcW w:w="1049" w:type="pct"/>
          </w:tcPr>
          <w:p w14:paraId="07D2CF98"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4A25C2EF" w14:textId="77777777" w:rsidTr="00D34A39">
        <w:tc>
          <w:tcPr>
            <w:tcW w:w="1301" w:type="pct"/>
          </w:tcPr>
          <w:p w14:paraId="75FF5A7E"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N’ayant pas travaillé</w:t>
            </w:r>
          </w:p>
        </w:tc>
        <w:tc>
          <w:tcPr>
            <w:tcW w:w="1276" w:type="pct"/>
          </w:tcPr>
          <w:p w14:paraId="603F953F"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22,6%</w:t>
            </w:r>
          </w:p>
        </w:tc>
        <w:tc>
          <w:tcPr>
            <w:tcW w:w="1374" w:type="pct"/>
          </w:tcPr>
          <w:p w14:paraId="024D8D4C"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12,8%</w:t>
            </w:r>
          </w:p>
        </w:tc>
        <w:tc>
          <w:tcPr>
            <w:tcW w:w="1049" w:type="pct"/>
          </w:tcPr>
          <w:p w14:paraId="7432564D"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63D94D7E" w14:textId="77777777" w:rsidTr="00D34A39">
        <w:tc>
          <w:tcPr>
            <w:tcW w:w="1301" w:type="pct"/>
          </w:tcPr>
          <w:p w14:paraId="25B41814"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N’ayant aucun niveau d’instruction</w:t>
            </w:r>
          </w:p>
        </w:tc>
        <w:tc>
          <w:tcPr>
            <w:tcW w:w="1276" w:type="pct"/>
          </w:tcPr>
          <w:p w14:paraId="090C7529"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26,3%</w:t>
            </w:r>
          </w:p>
        </w:tc>
        <w:tc>
          <w:tcPr>
            <w:tcW w:w="1374" w:type="pct"/>
          </w:tcPr>
          <w:p w14:paraId="3DF75AB8"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12,1%</w:t>
            </w:r>
          </w:p>
        </w:tc>
        <w:tc>
          <w:tcPr>
            <w:tcW w:w="1049" w:type="pct"/>
          </w:tcPr>
          <w:p w14:paraId="556020DB"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7168FBD0" w14:textId="77777777" w:rsidTr="00D34A39">
        <w:tc>
          <w:tcPr>
            <w:tcW w:w="1301" w:type="pct"/>
          </w:tcPr>
          <w:p w14:paraId="227ED61C"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Ayant niveau d’instruction primaire</w:t>
            </w:r>
          </w:p>
        </w:tc>
        <w:tc>
          <w:tcPr>
            <w:tcW w:w="1276" w:type="pct"/>
          </w:tcPr>
          <w:p w14:paraId="76E8A2E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37%</w:t>
            </w:r>
          </w:p>
        </w:tc>
        <w:tc>
          <w:tcPr>
            <w:tcW w:w="1374" w:type="pct"/>
          </w:tcPr>
          <w:p w14:paraId="55BE2A4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11,2%</w:t>
            </w:r>
          </w:p>
        </w:tc>
        <w:tc>
          <w:tcPr>
            <w:tcW w:w="1049" w:type="pct"/>
          </w:tcPr>
          <w:p w14:paraId="7B68754D"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1C10C4CA" w14:textId="77777777" w:rsidTr="00D34A39">
        <w:tc>
          <w:tcPr>
            <w:tcW w:w="1301" w:type="pct"/>
          </w:tcPr>
          <w:p w14:paraId="639149AE"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Ayant niveau d’instruction secondaire</w:t>
            </w:r>
          </w:p>
        </w:tc>
        <w:tc>
          <w:tcPr>
            <w:tcW w:w="1276" w:type="pct"/>
          </w:tcPr>
          <w:p w14:paraId="57C4806F"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29,6%</w:t>
            </w:r>
          </w:p>
        </w:tc>
        <w:tc>
          <w:tcPr>
            <w:tcW w:w="1374" w:type="pct"/>
          </w:tcPr>
          <w:p w14:paraId="28801591"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9,5%</w:t>
            </w:r>
          </w:p>
        </w:tc>
        <w:tc>
          <w:tcPr>
            <w:tcW w:w="1049" w:type="pct"/>
          </w:tcPr>
          <w:p w14:paraId="54C81D16"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6002DB3F" w14:textId="77777777" w:rsidTr="00D34A39">
        <w:tc>
          <w:tcPr>
            <w:tcW w:w="1301" w:type="pct"/>
          </w:tcPr>
          <w:p w14:paraId="4A5A2D28"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Ayant niveau d’instruction supérieur</w:t>
            </w:r>
          </w:p>
        </w:tc>
        <w:tc>
          <w:tcPr>
            <w:tcW w:w="1276" w:type="pct"/>
          </w:tcPr>
          <w:p w14:paraId="0083451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21,6%</w:t>
            </w:r>
          </w:p>
        </w:tc>
        <w:tc>
          <w:tcPr>
            <w:tcW w:w="1374" w:type="pct"/>
          </w:tcPr>
          <w:p w14:paraId="46FDD92C"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12,1%</w:t>
            </w:r>
          </w:p>
        </w:tc>
        <w:tc>
          <w:tcPr>
            <w:tcW w:w="1049" w:type="pct"/>
          </w:tcPr>
          <w:p w14:paraId="13813CB6"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w:t>
            </w:r>
          </w:p>
        </w:tc>
      </w:tr>
      <w:tr w:rsidR="002833F9" w:rsidRPr="00EC38E8" w14:paraId="0708C0BB" w14:textId="77777777" w:rsidTr="00D34A39">
        <w:tc>
          <w:tcPr>
            <w:tcW w:w="1301" w:type="pct"/>
          </w:tcPr>
          <w:p w14:paraId="68A1E483"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Quintiles de bien-être</w:t>
            </w:r>
          </w:p>
          <w:p w14:paraId="25C8739F"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Economique le plus bas</w:t>
            </w:r>
          </w:p>
        </w:tc>
        <w:tc>
          <w:tcPr>
            <w:tcW w:w="1276" w:type="pct"/>
          </w:tcPr>
          <w:p w14:paraId="1608622C"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32,6</w:t>
            </w:r>
          </w:p>
        </w:tc>
        <w:tc>
          <w:tcPr>
            <w:tcW w:w="1374" w:type="pct"/>
          </w:tcPr>
          <w:p w14:paraId="5AAAE96E"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11,6%</w:t>
            </w:r>
          </w:p>
        </w:tc>
        <w:tc>
          <w:tcPr>
            <w:tcW w:w="1049" w:type="pct"/>
          </w:tcPr>
          <w:p w14:paraId="69CA0AAF"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10,5%</w:t>
            </w:r>
          </w:p>
        </w:tc>
      </w:tr>
      <w:tr w:rsidR="002833F9" w:rsidRPr="00EC38E8" w14:paraId="406236EC" w14:textId="77777777" w:rsidTr="00D34A39">
        <w:tc>
          <w:tcPr>
            <w:tcW w:w="1301" w:type="pct"/>
          </w:tcPr>
          <w:p w14:paraId="75D681A6"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Quintiles de bien-être</w:t>
            </w:r>
          </w:p>
          <w:p w14:paraId="4138B497"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Economique second</w:t>
            </w:r>
          </w:p>
        </w:tc>
        <w:tc>
          <w:tcPr>
            <w:tcW w:w="1276" w:type="pct"/>
          </w:tcPr>
          <w:p w14:paraId="3774E54A"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32,4</w:t>
            </w:r>
          </w:p>
        </w:tc>
        <w:tc>
          <w:tcPr>
            <w:tcW w:w="1374" w:type="pct"/>
          </w:tcPr>
          <w:p w14:paraId="1A8D18F5"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10,6%</w:t>
            </w:r>
          </w:p>
        </w:tc>
        <w:tc>
          <w:tcPr>
            <w:tcW w:w="1049" w:type="pct"/>
          </w:tcPr>
          <w:p w14:paraId="3203370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9,9%</w:t>
            </w:r>
          </w:p>
        </w:tc>
      </w:tr>
      <w:tr w:rsidR="002833F9" w:rsidRPr="00EC38E8" w14:paraId="21637552" w14:textId="77777777" w:rsidTr="00D34A39">
        <w:tc>
          <w:tcPr>
            <w:tcW w:w="1301" w:type="pct"/>
          </w:tcPr>
          <w:p w14:paraId="12E1C47E"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Quintiles de bien-être</w:t>
            </w:r>
          </w:p>
          <w:p w14:paraId="7A3BD78F"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Economique moyen</w:t>
            </w:r>
          </w:p>
        </w:tc>
        <w:tc>
          <w:tcPr>
            <w:tcW w:w="1276" w:type="pct"/>
          </w:tcPr>
          <w:p w14:paraId="64C97538"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28,9</w:t>
            </w:r>
          </w:p>
        </w:tc>
        <w:tc>
          <w:tcPr>
            <w:tcW w:w="1374" w:type="pct"/>
          </w:tcPr>
          <w:p w14:paraId="1FA2D151"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11,1%</w:t>
            </w:r>
          </w:p>
        </w:tc>
        <w:tc>
          <w:tcPr>
            <w:tcW w:w="1049" w:type="pct"/>
          </w:tcPr>
          <w:p w14:paraId="4444E07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11,2%</w:t>
            </w:r>
          </w:p>
        </w:tc>
      </w:tr>
      <w:tr w:rsidR="002833F9" w:rsidRPr="00EC38E8" w14:paraId="58293442" w14:textId="77777777" w:rsidTr="00D34A39">
        <w:tc>
          <w:tcPr>
            <w:tcW w:w="1301" w:type="pct"/>
          </w:tcPr>
          <w:p w14:paraId="7F988096"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Quintiles de bien-être</w:t>
            </w:r>
          </w:p>
          <w:p w14:paraId="1889E45E"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Economique quatrième</w:t>
            </w:r>
          </w:p>
        </w:tc>
        <w:tc>
          <w:tcPr>
            <w:tcW w:w="1276" w:type="pct"/>
          </w:tcPr>
          <w:p w14:paraId="7D0AB6F2"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24,9</w:t>
            </w:r>
          </w:p>
        </w:tc>
        <w:tc>
          <w:tcPr>
            <w:tcW w:w="1374" w:type="pct"/>
          </w:tcPr>
          <w:p w14:paraId="1F196916"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12,7%</w:t>
            </w:r>
          </w:p>
        </w:tc>
        <w:tc>
          <w:tcPr>
            <w:tcW w:w="1049" w:type="pct"/>
          </w:tcPr>
          <w:p w14:paraId="2CE13E8B"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9,8%</w:t>
            </w:r>
          </w:p>
        </w:tc>
      </w:tr>
      <w:tr w:rsidR="008277A9" w:rsidRPr="00EC38E8" w14:paraId="7FF84490" w14:textId="77777777" w:rsidTr="00D34A39">
        <w:tc>
          <w:tcPr>
            <w:tcW w:w="1301" w:type="pct"/>
          </w:tcPr>
          <w:p w14:paraId="3FC6B90B"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Quintiles de bien-être</w:t>
            </w:r>
          </w:p>
          <w:p w14:paraId="45B5B882" w14:textId="77777777" w:rsidR="00311F98" w:rsidRPr="00D34A39" w:rsidRDefault="00311F98" w:rsidP="00D34A39">
            <w:pPr>
              <w:autoSpaceDE w:val="0"/>
              <w:autoSpaceDN w:val="0"/>
              <w:adjustRightInd w:val="0"/>
              <w:spacing w:after="0"/>
              <w:rPr>
                <w:rFonts w:asciiTheme="majorHAnsi" w:hAnsiTheme="majorHAnsi"/>
                <w:sz w:val="20"/>
              </w:rPr>
            </w:pPr>
            <w:r w:rsidRPr="00D34A39">
              <w:rPr>
                <w:rFonts w:asciiTheme="majorHAnsi" w:hAnsiTheme="majorHAnsi"/>
                <w:sz w:val="20"/>
              </w:rPr>
              <w:t>Economique le plus élevé</w:t>
            </w:r>
          </w:p>
        </w:tc>
        <w:tc>
          <w:tcPr>
            <w:tcW w:w="1276" w:type="pct"/>
          </w:tcPr>
          <w:p w14:paraId="67742113"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26,9</w:t>
            </w:r>
          </w:p>
        </w:tc>
        <w:tc>
          <w:tcPr>
            <w:tcW w:w="1374" w:type="pct"/>
          </w:tcPr>
          <w:p w14:paraId="6D25CB8A"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11,9%</w:t>
            </w:r>
          </w:p>
        </w:tc>
        <w:tc>
          <w:tcPr>
            <w:tcW w:w="1049" w:type="pct"/>
          </w:tcPr>
          <w:p w14:paraId="5DFE4DB7" w14:textId="77777777" w:rsidR="00311F98" w:rsidRPr="00D34A39" w:rsidRDefault="00311F98" w:rsidP="00D34A39">
            <w:pPr>
              <w:spacing w:after="0"/>
              <w:jc w:val="center"/>
              <w:rPr>
                <w:rFonts w:asciiTheme="majorHAnsi" w:hAnsiTheme="majorHAnsi"/>
                <w:sz w:val="20"/>
              </w:rPr>
            </w:pPr>
            <w:r w:rsidRPr="00D34A39">
              <w:rPr>
                <w:rFonts w:asciiTheme="majorHAnsi" w:hAnsiTheme="majorHAnsi"/>
                <w:sz w:val="20"/>
              </w:rPr>
              <w:t>7,6%</w:t>
            </w:r>
          </w:p>
        </w:tc>
      </w:tr>
    </w:tbl>
    <w:p w14:paraId="726B3568" w14:textId="569B5AB9" w:rsidR="00311F98" w:rsidRPr="00D34A39" w:rsidRDefault="00EC38E8" w:rsidP="00311F98">
      <w:pPr>
        <w:rPr>
          <w:sz w:val="20"/>
        </w:rPr>
      </w:pPr>
      <w:r w:rsidRPr="00EC38E8">
        <w:rPr>
          <w:rFonts w:cstheme="minorHAnsi"/>
          <w:b/>
          <w:bCs/>
          <w:i/>
          <w:iCs/>
          <w:sz w:val="20"/>
          <w:szCs w:val="20"/>
          <w:u w:val="single"/>
        </w:rPr>
        <w:t>Source</w:t>
      </w:r>
      <w:r w:rsidRPr="00EC38E8">
        <w:rPr>
          <w:rFonts w:cstheme="minorHAnsi"/>
          <w:sz w:val="20"/>
          <w:szCs w:val="20"/>
        </w:rPr>
        <w:t xml:space="preserve"> : Extrait des données de l'EDS2014-2015</w:t>
      </w:r>
    </w:p>
    <w:p w14:paraId="15ECC29B" w14:textId="67323FAC" w:rsidR="00311F98" w:rsidRPr="008277A9" w:rsidRDefault="00311F98" w:rsidP="00311F98">
      <w:pPr>
        <w:pStyle w:val="Sansinterligne"/>
        <w:rPr>
          <w:rFonts w:cstheme="minorHAnsi"/>
          <w:b/>
          <w:color w:val="FF0000"/>
          <w:shd w:val="clear" w:color="auto" w:fill="FFFFFF"/>
        </w:rPr>
      </w:pPr>
    </w:p>
    <w:tbl>
      <w:tblPr>
        <w:tblStyle w:val="Grilledutableau"/>
        <w:tblW w:w="5000" w:type="pct"/>
        <w:tblLook w:val="04A0" w:firstRow="1" w:lastRow="0" w:firstColumn="1" w:lastColumn="0" w:noHBand="0" w:noVBand="1"/>
      </w:tblPr>
      <w:tblGrid>
        <w:gridCol w:w="1621"/>
        <w:gridCol w:w="1659"/>
        <w:gridCol w:w="1657"/>
        <w:gridCol w:w="1810"/>
        <w:gridCol w:w="1883"/>
        <w:gridCol w:w="1281"/>
      </w:tblGrid>
      <w:tr w:rsidR="008277A9" w:rsidRPr="00EC38E8" w14:paraId="0EB7C259" w14:textId="77777777" w:rsidTr="00923462">
        <w:trPr>
          <w:tblHeader/>
        </w:trPr>
        <w:tc>
          <w:tcPr>
            <w:tcW w:w="5000" w:type="pct"/>
            <w:gridSpan w:val="6"/>
          </w:tcPr>
          <w:p w14:paraId="36F27679" w14:textId="77777777" w:rsidR="00311F98" w:rsidRPr="00D34A39" w:rsidRDefault="00311F98" w:rsidP="002833F9">
            <w:pPr>
              <w:spacing w:after="0"/>
              <w:jc w:val="center"/>
              <w:rPr>
                <w:rFonts w:asciiTheme="majorHAnsi" w:hAnsiTheme="majorHAnsi"/>
                <w:b/>
                <w:sz w:val="20"/>
              </w:rPr>
            </w:pPr>
            <w:r w:rsidRPr="00D34A39">
              <w:rPr>
                <w:rFonts w:asciiTheme="majorHAnsi" w:hAnsiTheme="majorHAnsi"/>
                <w:b/>
                <w:sz w:val="20"/>
              </w:rPr>
              <w:t>Variations de la prévalence de la violence en fonction de la région de résidence</w:t>
            </w:r>
          </w:p>
        </w:tc>
      </w:tr>
      <w:tr w:rsidR="008277A9" w:rsidRPr="00EC38E8" w14:paraId="4716B245" w14:textId="77777777" w:rsidTr="00923462">
        <w:trPr>
          <w:tblHeader/>
        </w:trPr>
        <w:tc>
          <w:tcPr>
            <w:tcW w:w="5000" w:type="pct"/>
            <w:gridSpan w:val="6"/>
          </w:tcPr>
          <w:p w14:paraId="3AA78143" w14:textId="77777777" w:rsidR="00311F98" w:rsidRPr="00D34A39" w:rsidRDefault="00311F98" w:rsidP="002833F9">
            <w:pPr>
              <w:autoSpaceDE w:val="0"/>
              <w:autoSpaceDN w:val="0"/>
              <w:adjustRightInd w:val="0"/>
              <w:spacing w:after="0"/>
              <w:jc w:val="center"/>
              <w:rPr>
                <w:rFonts w:asciiTheme="majorHAnsi" w:hAnsiTheme="majorHAnsi"/>
                <w:i/>
                <w:sz w:val="20"/>
              </w:rPr>
            </w:pPr>
            <w:r w:rsidRPr="00D34A39">
              <w:rPr>
                <w:rFonts w:asciiTheme="majorHAnsi" w:hAnsiTheme="majorHAnsi"/>
                <w:i/>
                <w:sz w:val="20"/>
              </w:rPr>
              <w:t xml:space="preserve">Pourcentage de femmes de 15-49 ans ayant subi, à un moment quelconque, des actes de violence </w:t>
            </w:r>
          </w:p>
        </w:tc>
      </w:tr>
      <w:tr w:rsidR="008277A9" w:rsidRPr="00EC38E8" w14:paraId="375A1CD3" w14:textId="77777777" w:rsidTr="00923462">
        <w:trPr>
          <w:tblHeader/>
        </w:trPr>
        <w:tc>
          <w:tcPr>
            <w:tcW w:w="1655" w:type="pct"/>
            <w:gridSpan w:val="2"/>
          </w:tcPr>
          <w:p w14:paraId="4CC1CD1E" w14:textId="77777777" w:rsidR="00311F98" w:rsidRPr="00D34A39" w:rsidRDefault="00311F98" w:rsidP="002833F9">
            <w:pPr>
              <w:autoSpaceDE w:val="0"/>
              <w:autoSpaceDN w:val="0"/>
              <w:adjustRightInd w:val="0"/>
              <w:spacing w:after="0"/>
              <w:jc w:val="center"/>
              <w:rPr>
                <w:rFonts w:asciiTheme="majorHAnsi" w:hAnsiTheme="majorHAnsi"/>
                <w:b/>
                <w:sz w:val="20"/>
              </w:rPr>
            </w:pPr>
            <w:r w:rsidRPr="00D34A39">
              <w:rPr>
                <w:rFonts w:asciiTheme="majorHAnsi" w:hAnsiTheme="majorHAnsi"/>
                <w:b/>
                <w:sz w:val="20"/>
              </w:rPr>
              <w:t>Violence physique domestique</w:t>
            </w:r>
          </w:p>
        </w:tc>
        <w:tc>
          <w:tcPr>
            <w:tcW w:w="1749" w:type="pct"/>
            <w:gridSpan w:val="2"/>
          </w:tcPr>
          <w:p w14:paraId="41E6DFC0" w14:textId="77777777" w:rsidR="00311F98" w:rsidRPr="00D34A39" w:rsidRDefault="00311F98" w:rsidP="002833F9">
            <w:pPr>
              <w:autoSpaceDE w:val="0"/>
              <w:autoSpaceDN w:val="0"/>
              <w:adjustRightInd w:val="0"/>
              <w:spacing w:after="0"/>
              <w:jc w:val="center"/>
              <w:rPr>
                <w:rFonts w:asciiTheme="majorHAnsi" w:hAnsiTheme="majorHAnsi"/>
                <w:b/>
                <w:sz w:val="20"/>
              </w:rPr>
            </w:pPr>
            <w:r w:rsidRPr="00D34A39">
              <w:rPr>
                <w:rFonts w:asciiTheme="majorHAnsi" w:hAnsiTheme="majorHAnsi"/>
                <w:b/>
                <w:sz w:val="20"/>
              </w:rPr>
              <w:t>Violence sexuelle domestique</w:t>
            </w:r>
          </w:p>
        </w:tc>
        <w:tc>
          <w:tcPr>
            <w:tcW w:w="1596" w:type="pct"/>
            <w:gridSpan w:val="2"/>
          </w:tcPr>
          <w:p w14:paraId="51229926" w14:textId="77777777" w:rsidR="00311F98" w:rsidRPr="00D34A39" w:rsidRDefault="00311F98" w:rsidP="002833F9">
            <w:pPr>
              <w:spacing w:after="0"/>
              <w:jc w:val="center"/>
              <w:rPr>
                <w:rFonts w:asciiTheme="majorHAnsi" w:hAnsiTheme="majorHAnsi"/>
                <w:b/>
                <w:sz w:val="20"/>
              </w:rPr>
            </w:pPr>
            <w:r w:rsidRPr="00D34A39">
              <w:rPr>
                <w:rFonts w:asciiTheme="majorHAnsi" w:hAnsiTheme="majorHAnsi"/>
                <w:b/>
                <w:sz w:val="20"/>
              </w:rPr>
              <w:t>MGF/Excision</w:t>
            </w:r>
          </w:p>
        </w:tc>
      </w:tr>
      <w:tr w:rsidR="008277A9" w:rsidRPr="00EC38E8" w14:paraId="0314A325" w14:textId="77777777" w:rsidTr="00D34A39">
        <w:tc>
          <w:tcPr>
            <w:tcW w:w="818" w:type="pct"/>
          </w:tcPr>
          <w:p w14:paraId="17109236"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Tandjilé</w:t>
            </w:r>
            <w:proofErr w:type="spellEnd"/>
            <w:r w:rsidRPr="00D34A39">
              <w:rPr>
                <w:rFonts w:asciiTheme="majorHAnsi" w:hAnsiTheme="majorHAnsi"/>
                <w:sz w:val="20"/>
              </w:rPr>
              <w:t xml:space="preserve"> </w:t>
            </w:r>
          </w:p>
        </w:tc>
        <w:tc>
          <w:tcPr>
            <w:tcW w:w="837" w:type="pct"/>
          </w:tcPr>
          <w:p w14:paraId="71C5E700"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57,8%</w:t>
            </w:r>
          </w:p>
        </w:tc>
        <w:tc>
          <w:tcPr>
            <w:tcW w:w="836" w:type="pct"/>
          </w:tcPr>
          <w:p w14:paraId="503BCC7B"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 xml:space="preserve">Mayo </w:t>
            </w:r>
            <w:proofErr w:type="spellStart"/>
            <w:r w:rsidRPr="00D34A39">
              <w:rPr>
                <w:rFonts w:asciiTheme="majorHAnsi" w:hAnsiTheme="majorHAnsi"/>
                <w:sz w:val="20"/>
              </w:rPr>
              <w:t>Kebbi</w:t>
            </w:r>
            <w:proofErr w:type="spellEnd"/>
            <w:r w:rsidRPr="00D34A39">
              <w:rPr>
                <w:rFonts w:asciiTheme="majorHAnsi" w:hAnsiTheme="majorHAnsi"/>
                <w:sz w:val="20"/>
              </w:rPr>
              <w:t xml:space="preserve"> Ouest </w:t>
            </w:r>
          </w:p>
        </w:tc>
        <w:tc>
          <w:tcPr>
            <w:tcW w:w="913" w:type="pct"/>
          </w:tcPr>
          <w:p w14:paraId="212070AA"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19,1%</w:t>
            </w:r>
          </w:p>
        </w:tc>
        <w:tc>
          <w:tcPr>
            <w:tcW w:w="950" w:type="pct"/>
          </w:tcPr>
          <w:p w14:paraId="748EE566"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Salamat</w:t>
            </w:r>
            <w:proofErr w:type="spellEnd"/>
            <w:r w:rsidRPr="00D34A39">
              <w:rPr>
                <w:rFonts w:asciiTheme="majorHAnsi" w:hAnsiTheme="majorHAnsi"/>
                <w:sz w:val="20"/>
              </w:rPr>
              <w:t xml:space="preserve"> </w:t>
            </w:r>
          </w:p>
        </w:tc>
        <w:tc>
          <w:tcPr>
            <w:tcW w:w="646" w:type="pct"/>
          </w:tcPr>
          <w:p w14:paraId="29036A60"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(96,1%)</w:t>
            </w:r>
          </w:p>
        </w:tc>
      </w:tr>
      <w:tr w:rsidR="008277A9" w:rsidRPr="00EC38E8" w14:paraId="3857FDFF" w14:textId="77777777" w:rsidTr="00D34A39">
        <w:tc>
          <w:tcPr>
            <w:tcW w:w="818" w:type="pct"/>
          </w:tcPr>
          <w:p w14:paraId="49C373BE"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Mayo </w:t>
            </w:r>
            <w:proofErr w:type="spellStart"/>
            <w:r w:rsidRPr="00D34A39">
              <w:rPr>
                <w:rFonts w:asciiTheme="majorHAnsi" w:hAnsiTheme="majorHAnsi"/>
                <w:sz w:val="20"/>
              </w:rPr>
              <w:t>Kebbi</w:t>
            </w:r>
            <w:proofErr w:type="spellEnd"/>
            <w:r w:rsidRPr="00D34A39">
              <w:rPr>
                <w:rFonts w:asciiTheme="majorHAnsi" w:hAnsiTheme="majorHAnsi"/>
                <w:sz w:val="20"/>
              </w:rPr>
              <w:t xml:space="preserve"> Est </w:t>
            </w:r>
          </w:p>
        </w:tc>
        <w:tc>
          <w:tcPr>
            <w:tcW w:w="837" w:type="pct"/>
          </w:tcPr>
          <w:p w14:paraId="6A3C2DCB"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45,3%</w:t>
            </w:r>
          </w:p>
        </w:tc>
        <w:tc>
          <w:tcPr>
            <w:tcW w:w="836" w:type="pct"/>
          </w:tcPr>
          <w:p w14:paraId="21B5B990"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Tandjilé</w:t>
            </w:r>
            <w:proofErr w:type="spellEnd"/>
            <w:r w:rsidRPr="00D34A39">
              <w:rPr>
                <w:rFonts w:asciiTheme="majorHAnsi" w:hAnsiTheme="majorHAnsi"/>
                <w:sz w:val="20"/>
              </w:rPr>
              <w:t xml:space="preserve"> </w:t>
            </w:r>
          </w:p>
        </w:tc>
        <w:tc>
          <w:tcPr>
            <w:tcW w:w="913" w:type="pct"/>
          </w:tcPr>
          <w:p w14:paraId="539C839B"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18,8%</w:t>
            </w:r>
          </w:p>
        </w:tc>
        <w:tc>
          <w:tcPr>
            <w:tcW w:w="950" w:type="pct"/>
          </w:tcPr>
          <w:p w14:paraId="3671B749"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Sila </w:t>
            </w:r>
          </w:p>
        </w:tc>
        <w:tc>
          <w:tcPr>
            <w:tcW w:w="646" w:type="pct"/>
          </w:tcPr>
          <w:p w14:paraId="43914D87"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(93,2%)</w:t>
            </w:r>
          </w:p>
        </w:tc>
      </w:tr>
      <w:tr w:rsidR="008277A9" w:rsidRPr="00EC38E8" w14:paraId="1F7C9AFE" w14:textId="77777777" w:rsidTr="00D34A39">
        <w:tc>
          <w:tcPr>
            <w:tcW w:w="818" w:type="pct"/>
          </w:tcPr>
          <w:p w14:paraId="22B80431"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Mayo </w:t>
            </w:r>
            <w:proofErr w:type="spellStart"/>
            <w:r w:rsidRPr="00D34A39">
              <w:rPr>
                <w:rFonts w:asciiTheme="majorHAnsi" w:hAnsiTheme="majorHAnsi"/>
                <w:sz w:val="20"/>
              </w:rPr>
              <w:t>Kebbi</w:t>
            </w:r>
            <w:proofErr w:type="spellEnd"/>
            <w:r w:rsidRPr="00D34A39">
              <w:rPr>
                <w:rFonts w:asciiTheme="majorHAnsi" w:hAnsiTheme="majorHAnsi"/>
                <w:sz w:val="20"/>
              </w:rPr>
              <w:t xml:space="preserve"> Ouest </w:t>
            </w:r>
          </w:p>
        </w:tc>
        <w:tc>
          <w:tcPr>
            <w:tcW w:w="837" w:type="pct"/>
          </w:tcPr>
          <w:p w14:paraId="08859C81"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41,8%</w:t>
            </w:r>
          </w:p>
        </w:tc>
        <w:tc>
          <w:tcPr>
            <w:tcW w:w="836" w:type="pct"/>
          </w:tcPr>
          <w:p w14:paraId="08D1A608"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Hadjer-Lamis</w:t>
            </w:r>
            <w:proofErr w:type="spellEnd"/>
            <w:r w:rsidRPr="00D34A39">
              <w:rPr>
                <w:rFonts w:asciiTheme="majorHAnsi" w:hAnsiTheme="majorHAnsi"/>
                <w:sz w:val="20"/>
              </w:rPr>
              <w:t xml:space="preserve"> </w:t>
            </w:r>
          </w:p>
        </w:tc>
        <w:tc>
          <w:tcPr>
            <w:tcW w:w="913" w:type="pct"/>
          </w:tcPr>
          <w:p w14:paraId="6DDB37FA"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18,5%</w:t>
            </w:r>
          </w:p>
        </w:tc>
        <w:tc>
          <w:tcPr>
            <w:tcW w:w="950" w:type="pct"/>
          </w:tcPr>
          <w:p w14:paraId="0DFF5F12" w14:textId="77777777" w:rsidR="00311F98" w:rsidRPr="00D34A39" w:rsidRDefault="00311F98" w:rsidP="002833F9">
            <w:pPr>
              <w:autoSpaceDE w:val="0"/>
              <w:autoSpaceDN w:val="0"/>
              <w:adjustRightInd w:val="0"/>
              <w:spacing w:after="0"/>
              <w:jc w:val="both"/>
              <w:rPr>
                <w:rFonts w:asciiTheme="majorHAnsi" w:hAnsiTheme="majorHAnsi"/>
                <w:sz w:val="20"/>
              </w:rPr>
            </w:pPr>
            <w:proofErr w:type="spellStart"/>
            <w:r w:rsidRPr="00D34A39">
              <w:rPr>
                <w:rFonts w:asciiTheme="majorHAnsi" w:hAnsiTheme="majorHAnsi"/>
                <w:sz w:val="20"/>
              </w:rPr>
              <w:t>Guéra</w:t>
            </w:r>
            <w:proofErr w:type="spellEnd"/>
            <w:r w:rsidRPr="00D34A39">
              <w:rPr>
                <w:rFonts w:asciiTheme="majorHAnsi" w:hAnsiTheme="majorHAnsi"/>
                <w:sz w:val="20"/>
              </w:rPr>
              <w:t xml:space="preserve"> </w:t>
            </w:r>
          </w:p>
        </w:tc>
        <w:tc>
          <w:tcPr>
            <w:tcW w:w="646" w:type="pct"/>
          </w:tcPr>
          <w:p w14:paraId="18EEE2B9"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(90%)</w:t>
            </w:r>
          </w:p>
        </w:tc>
      </w:tr>
      <w:tr w:rsidR="008277A9" w:rsidRPr="00EC38E8" w14:paraId="0D5C1CB5" w14:textId="77777777" w:rsidTr="00D34A39">
        <w:tc>
          <w:tcPr>
            <w:tcW w:w="818" w:type="pct"/>
          </w:tcPr>
          <w:p w14:paraId="0A52B634"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Logone Occidental </w:t>
            </w:r>
          </w:p>
        </w:tc>
        <w:tc>
          <w:tcPr>
            <w:tcW w:w="837" w:type="pct"/>
          </w:tcPr>
          <w:p w14:paraId="222497A6"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38,8%</w:t>
            </w:r>
          </w:p>
        </w:tc>
        <w:tc>
          <w:tcPr>
            <w:tcW w:w="836" w:type="pct"/>
          </w:tcPr>
          <w:p w14:paraId="70DA7BF7"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Batha</w:t>
            </w:r>
            <w:proofErr w:type="spellEnd"/>
            <w:r w:rsidRPr="00D34A39">
              <w:rPr>
                <w:rFonts w:asciiTheme="majorHAnsi" w:hAnsiTheme="majorHAnsi"/>
                <w:sz w:val="20"/>
              </w:rPr>
              <w:t xml:space="preserve"> </w:t>
            </w:r>
          </w:p>
        </w:tc>
        <w:tc>
          <w:tcPr>
            <w:tcW w:w="913" w:type="pct"/>
          </w:tcPr>
          <w:p w14:paraId="08D2A992"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18,2%</w:t>
            </w:r>
          </w:p>
        </w:tc>
        <w:tc>
          <w:tcPr>
            <w:tcW w:w="950" w:type="pct"/>
          </w:tcPr>
          <w:p w14:paraId="14BFFCD1" w14:textId="77777777" w:rsidR="00311F98" w:rsidRPr="00D34A39" w:rsidRDefault="00311F98" w:rsidP="002833F9">
            <w:pPr>
              <w:autoSpaceDE w:val="0"/>
              <w:autoSpaceDN w:val="0"/>
              <w:adjustRightInd w:val="0"/>
              <w:spacing w:after="0"/>
              <w:jc w:val="both"/>
              <w:rPr>
                <w:rFonts w:asciiTheme="majorHAnsi" w:hAnsiTheme="majorHAnsi"/>
                <w:sz w:val="20"/>
              </w:rPr>
            </w:pPr>
            <w:proofErr w:type="spellStart"/>
            <w:r w:rsidRPr="00D34A39">
              <w:rPr>
                <w:rFonts w:asciiTheme="majorHAnsi" w:hAnsiTheme="majorHAnsi"/>
                <w:sz w:val="20"/>
              </w:rPr>
              <w:t>Mandoul</w:t>
            </w:r>
            <w:proofErr w:type="spellEnd"/>
            <w:r w:rsidRPr="00D34A39">
              <w:rPr>
                <w:rFonts w:asciiTheme="majorHAnsi" w:hAnsiTheme="majorHAnsi"/>
                <w:sz w:val="20"/>
              </w:rPr>
              <w:t xml:space="preserve"> </w:t>
            </w:r>
          </w:p>
        </w:tc>
        <w:tc>
          <w:tcPr>
            <w:tcW w:w="646" w:type="pct"/>
          </w:tcPr>
          <w:p w14:paraId="245288F0"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(82,9%)</w:t>
            </w:r>
          </w:p>
        </w:tc>
      </w:tr>
      <w:tr w:rsidR="008277A9" w:rsidRPr="00EC38E8" w14:paraId="3574AF0C" w14:textId="77777777" w:rsidTr="00D34A39">
        <w:tc>
          <w:tcPr>
            <w:tcW w:w="818" w:type="pct"/>
          </w:tcPr>
          <w:p w14:paraId="21C6041A"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Logone Oriental </w:t>
            </w:r>
          </w:p>
        </w:tc>
        <w:tc>
          <w:tcPr>
            <w:tcW w:w="837" w:type="pct"/>
          </w:tcPr>
          <w:p w14:paraId="449823B3"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35,9%</w:t>
            </w:r>
          </w:p>
        </w:tc>
        <w:tc>
          <w:tcPr>
            <w:tcW w:w="836" w:type="pct"/>
          </w:tcPr>
          <w:p w14:paraId="1B9E6418"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Barh</w:t>
            </w:r>
            <w:proofErr w:type="spellEnd"/>
            <w:r w:rsidRPr="00D34A39">
              <w:rPr>
                <w:rFonts w:asciiTheme="majorHAnsi" w:hAnsiTheme="majorHAnsi"/>
                <w:sz w:val="20"/>
              </w:rPr>
              <w:t xml:space="preserve"> El Gazal </w:t>
            </w:r>
          </w:p>
        </w:tc>
        <w:tc>
          <w:tcPr>
            <w:tcW w:w="913" w:type="pct"/>
          </w:tcPr>
          <w:p w14:paraId="2672ACEF"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18%</w:t>
            </w:r>
          </w:p>
        </w:tc>
        <w:tc>
          <w:tcPr>
            <w:tcW w:w="950" w:type="pct"/>
          </w:tcPr>
          <w:p w14:paraId="186119DA"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Ouaddaï </w:t>
            </w:r>
          </w:p>
        </w:tc>
        <w:tc>
          <w:tcPr>
            <w:tcW w:w="646" w:type="pct"/>
          </w:tcPr>
          <w:p w14:paraId="60298F8B"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(82%)</w:t>
            </w:r>
          </w:p>
        </w:tc>
      </w:tr>
      <w:tr w:rsidR="008277A9" w:rsidRPr="00EC38E8" w14:paraId="537F9063" w14:textId="77777777" w:rsidTr="00D34A39">
        <w:tc>
          <w:tcPr>
            <w:tcW w:w="818" w:type="pct"/>
          </w:tcPr>
          <w:p w14:paraId="586C3A3F"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lastRenderedPageBreak/>
              <w:t xml:space="preserve">Moyen Chari </w:t>
            </w:r>
          </w:p>
        </w:tc>
        <w:tc>
          <w:tcPr>
            <w:tcW w:w="837" w:type="pct"/>
          </w:tcPr>
          <w:p w14:paraId="4B036963"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33,8%</w:t>
            </w:r>
          </w:p>
        </w:tc>
        <w:tc>
          <w:tcPr>
            <w:tcW w:w="836" w:type="pct"/>
          </w:tcPr>
          <w:p w14:paraId="5CEEE762"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Ennedi Est, Ennedi Ouest </w:t>
            </w:r>
          </w:p>
        </w:tc>
        <w:tc>
          <w:tcPr>
            <w:tcW w:w="913" w:type="pct"/>
          </w:tcPr>
          <w:p w14:paraId="542F946F"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15,2%</w:t>
            </w:r>
          </w:p>
        </w:tc>
        <w:tc>
          <w:tcPr>
            <w:tcW w:w="950" w:type="pct"/>
          </w:tcPr>
          <w:p w14:paraId="405E4D80" w14:textId="77777777" w:rsidR="00311F98" w:rsidRPr="00D34A39" w:rsidRDefault="00311F98" w:rsidP="002833F9">
            <w:pPr>
              <w:autoSpaceDE w:val="0"/>
              <w:autoSpaceDN w:val="0"/>
              <w:adjustRightInd w:val="0"/>
              <w:spacing w:after="0"/>
              <w:jc w:val="both"/>
              <w:rPr>
                <w:rFonts w:asciiTheme="majorHAnsi" w:hAnsiTheme="majorHAnsi"/>
                <w:sz w:val="20"/>
              </w:rPr>
            </w:pPr>
            <w:proofErr w:type="spellStart"/>
            <w:r w:rsidRPr="00D34A39">
              <w:rPr>
                <w:rFonts w:asciiTheme="majorHAnsi" w:hAnsiTheme="majorHAnsi"/>
                <w:sz w:val="20"/>
              </w:rPr>
              <w:t>Batha</w:t>
            </w:r>
            <w:proofErr w:type="spellEnd"/>
            <w:r w:rsidRPr="00D34A39">
              <w:rPr>
                <w:rFonts w:asciiTheme="majorHAnsi" w:hAnsiTheme="majorHAnsi"/>
                <w:sz w:val="20"/>
              </w:rPr>
              <w:t xml:space="preserve"> </w:t>
            </w:r>
          </w:p>
        </w:tc>
        <w:tc>
          <w:tcPr>
            <w:tcW w:w="646" w:type="pct"/>
          </w:tcPr>
          <w:p w14:paraId="7CD005E8"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(79,4%)</w:t>
            </w:r>
          </w:p>
        </w:tc>
      </w:tr>
      <w:tr w:rsidR="008277A9" w:rsidRPr="00EC38E8" w14:paraId="377665D5" w14:textId="77777777" w:rsidTr="00D34A39">
        <w:tc>
          <w:tcPr>
            <w:tcW w:w="818" w:type="pct"/>
          </w:tcPr>
          <w:p w14:paraId="5FD31096"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N’Djaména </w:t>
            </w:r>
          </w:p>
        </w:tc>
        <w:tc>
          <w:tcPr>
            <w:tcW w:w="837" w:type="pct"/>
          </w:tcPr>
          <w:p w14:paraId="3F30368A"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30,2%</w:t>
            </w:r>
          </w:p>
        </w:tc>
        <w:tc>
          <w:tcPr>
            <w:tcW w:w="836" w:type="pct"/>
          </w:tcPr>
          <w:p w14:paraId="37A92320"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Kanem </w:t>
            </w:r>
          </w:p>
        </w:tc>
        <w:tc>
          <w:tcPr>
            <w:tcW w:w="913" w:type="pct"/>
          </w:tcPr>
          <w:p w14:paraId="6EB5580A"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13,8%</w:t>
            </w:r>
          </w:p>
        </w:tc>
        <w:tc>
          <w:tcPr>
            <w:tcW w:w="950" w:type="pct"/>
          </w:tcPr>
          <w:p w14:paraId="3DFF7A88"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Moyen Chari </w:t>
            </w:r>
          </w:p>
        </w:tc>
        <w:tc>
          <w:tcPr>
            <w:tcW w:w="646" w:type="pct"/>
          </w:tcPr>
          <w:p w14:paraId="0D0C99D6"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(53,5%)</w:t>
            </w:r>
          </w:p>
        </w:tc>
      </w:tr>
      <w:tr w:rsidR="008277A9" w:rsidRPr="00EC38E8" w14:paraId="7646DF48" w14:textId="77777777" w:rsidTr="00D34A39">
        <w:tc>
          <w:tcPr>
            <w:tcW w:w="818" w:type="pct"/>
          </w:tcPr>
          <w:p w14:paraId="542D73F8"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Mandoul</w:t>
            </w:r>
            <w:proofErr w:type="spellEnd"/>
            <w:r w:rsidRPr="00D34A39">
              <w:rPr>
                <w:rFonts w:asciiTheme="majorHAnsi" w:hAnsiTheme="majorHAnsi"/>
                <w:sz w:val="20"/>
              </w:rPr>
              <w:t xml:space="preserve"> </w:t>
            </w:r>
          </w:p>
        </w:tc>
        <w:tc>
          <w:tcPr>
            <w:tcW w:w="837" w:type="pct"/>
          </w:tcPr>
          <w:p w14:paraId="6EC6D7E5"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29,7%</w:t>
            </w:r>
          </w:p>
        </w:tc>
        <w:tc>
          <w:tcPr>
            <w:tcW w:w="836" w:type="pct"/>
          </w:tcPr>
          <w:p w14:paraId="5D554E1F"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Lac </w:t>
            </w:r>
          </w:p>
        </w:tc>
        <w:tc>
          <w:tcPr>
            <w:tcW w:w="913" w:type="pct"/>
          </w:tcPr>
          <w:p w14:paraId="2CA2E4B0"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13,8%</w:t>
            </w:r>
          </w:p>
        </w:tc>
        <w:tc>
          <w:tcPr>
            <w:tcW w:w="950" w:type="pct"/>
          </w:tcPr>
          <w:p w14:paraId="002BFD39"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Wadi </w:t>
            </w:r>
            <w:proofErr w:type="spellStart"/>
            <w:r w:rsidRPr="00D34A39">
              <w:rPr>
                <w:rFonts w:asciiTheme="majorHAnsi" w:hAnsiTheme="majorHAnsi"/>
                <w:sz w:val="20"/>
              </w:rPr>
              <w:t>Fira</w:t>
            </w:r>
            <w:proofErr w:type="spellEnd"/>
            <w:r w:rsidRPr="00D34A39">
              <w:rPr>
                <w:rFonts w:asciiTheme="majorHAnsi" w:hAnsiTheme="majorHAnsi"/>
                <w:sz w:val="20"/>
              </w:rPr>
              <w:t xml:space="preserve"> </w:t>
            </w:r>
          </w:p>
        </w:tc>
        <w:tc>
          <w:tcPr>
            <w:tcW w:w="646" w:type="pct"/>
          </w:tcPr>
          <w:p w14:paraId="329E198C"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(51,8%)</w:t>
            </w:r>
          </w:p>
        </w:tc>
      </w:tr>
      <w:tr w:rsidR="008277A9" w:rsidRPr="00EC38E8" w14:paraId="39197C3B" w14:textId="77777777" w:rsidTr="00D34A39">
        <w:tc>
          <w:tcPr>
            <w:tcW w:w="818" w:type="pct"/>
          </w:tcPr>
          <w:p w14:paraId="17F0CA11"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Chari Baguirmi </w:t>
            </w:r>
          </w:p>
        </w:tc>
        <w:tc>
          <w:tcPr>
            <w:tcW w:w="837" w:type="pct"/>
          </w:tcPr>
          <w:p w14:paraId="0B8499DD"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23,9%</w:t>
            </w:r>
          </w:p>
        </w:tc>
        <w:tc>
          <w:tcPr>
            <w:tcW w:w="836" w:type="pct"/>
          </w:tcPr>
          <w:p w14:paraId="790F62C9"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Mayo </w:t>
            </w:r>
            <w:proofErr w:type="spellStart"/>
            <w:r w:rsidRPr="00D34A39">
              <w:rPr>
                <w:rFonts w:asciiTheme="majorHAnsi" w:hAnsiTheme="majorHAnsi"/>
                <w:sz w:val="20"/>
              </w:rPr>
              <w:t>Kebbi</w:t>
            </w:r>
            <w:proofErr w:type="spellEnd"/>
            <w:r w:rsidRPr="00D34A39">
              <w:rPr>
                <w:rFonts w:asciiTheme="majorHAnsi" w:hAnsiTheme="majorHAnsi"/>
                <w:sz w:val="20"/>
              </w:rPr>
              <w:t xml:space="preserve"> Est </w:t>
            </w:r>
          </w:p>
        </w:tc>
        <w:tc>
          <w:tcPr>
            <w:tcW w:w="913" w:type="pct"/>
          </w:tcPr>
          <w:p w14:paraId="5E4DBF5D"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13%</w:t>
            </w:r>
          </w:p>
        </w:tc>
        <w:tc>
          <w:tcPr>
            <w:tcW w:w="950" w:type="pct"/>
          </w:tcPr>
          <w:p w14:paraId="67B346D9" w14:textId="77777777" w:rsidR="00311F98" w:rsidRPr="00D34A39" w:rsidRDefault="00311F98" w:rsidP="002833F9">
            <w:pPr>
              <w:autoSpaceDE w:val="0"/>
              <w:autoSpaceDN w:val="0"/>
              <w:adjustRightInd w:val="0"/>
              <w:spacing w:after="0"/>
              <w:jc w:val="both"/>
              <w:rPr>
                <w:rFonts w:asciiTheme="majorHAnsi" w:hAnsiTheme="majorHAnsi"/>
                <w:sz w:val="20"/>
              </w:rPr>
            </w:pPr>
            <w:proofErr w:type="spellStart"/>
            <w:r w:rsidRPr="00D34A39">
              <w:rPr>
                <w:rFonts w:asciiTheme="majorHAnsi" w:hAnsiTheme="majorHAnsi"/>
                <w:sz w:val="20"/>
              </w:rPr>
              <w:t>Hadjer-Lamis</w:t>
            </w:r>
            <w:proofErr w:type="spellEnd"/>
            <w:r w:rsidRPr="00D34A39">
              <w:rPr>
                <w:rFonts w:asciiTheme="majorHAnsi" w:hAnsiTheme="majorHAnsi"/>
                <w:sz w:val="20"/>
              </w:rPr>
              <w:t xml:space="preserve"> </w:t>
            </w:r>
          </w:p>
        </w:tc>
        <w:tc>
          <w:tcPr>
            <w:tcW w:w="646" w:type="pct"/>
          </w:tcPr>
          <w:p w14:paraId="63B1DA88"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(46%)</w:t>
            </w:r>
          </w:p>
        </w:tc>
      </w:tr>
      <w:tr w:rsidR="008277A9" w:rsidRPr="00EC38E8" w14:paraId="3C7BAD32" w14:textId="77777777" w:rsidTr="00D34A39">
        <w:tc>
          <w:tcPr>
            <w:tcW w:w="818" w:type="pct"/>
          </w:tcPr>
          <w:p w14:paraId="21BFC1B2"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Wadi </w:t>
            </w:r>
            <w:proofErr w:type="spellStart"/>
            <w:r w:rsidRPr="00D34A39">
              <w:rPr>
                <w:rFonts w:asciiTheme="majorHAnsi" w:hAnsiTheme="majorHAnsi"/>
                <w:sz w:val="20"/>
              </w:rPr>
              <w:t>Fira</w:t>
            </w:r>
            <w:proofErr w:type="spellEnd"/>
            <w:r w:rsidRPr="00D34A39">
              <w:rPr>
                <w:rFonts w:asciiTheme="majorHAnsi" w:hAnsiTheme="majorHAnsi"/>
                <w:sz w:val="20"/>
              </w:rPr>
              <w:t xml:space="preserve"> </w:t>
            </w:r>
          </w:p>
        </w:tc>
        <w:tc>
          <w:tcPr>
            <w:tcW w:w="837" w:type="pct"/>
          </w:tcPr>
          <w:p w14:paraId="54769078"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22%</w:t>
            </w:r>
          </w:p>
        </w:tc>
        <w:tc>
          <w:tcPr>
            <w:tcW w:w="836" w:type="pct"/>
          </w:tcPr>
          <w:p w14:paraId="63913E62"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Wadi </w:t>
            </w:r>
            <w:proofErr w:type="spellStart"/>
            <w:r w:rsidRPr="00D34A39">
              <w:rPr>
                <w:rFonts w:asciiTheme="majorHAnsi" w:hAnsiTheme="majorHAnsi"/>
                <w:sz w:val="20"/>
              </w:rPr>
              <w:t>Fira</w:t>
            </w:r>
            <w:proofErr w:type="spellEnd"/>
            <w:r w:rsidRPr="00D34A39">
              <w:rPr>
                <w:rFonts w:asciiTheme="majorHAnsi" w:hAnsiTheme="majorHAnsi"/>
                <w:sz w:val="20"/>
              </w:rPr>
              <w:t xml:space="preserve"> </w:t>
            </w:r>
          </w:p>
        </w:tc>
        <w:tc>
          <w:tcPr>
            <w:tcW w:w="913" w:type="pct"/>
          </w:tcPr>
          <w:p w14:paraId="561319EE"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11,7%</w:t>
            </w:r>
          </w:p>
        </w:tc>
        <w:tc>
          <w:tcPr>
            <w:tcW w:w="950" w:type="pct"/>
          </w:tcPr>
          <w:p w14:paraId="35D6A19E"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Chari Baguirmi </w:t>
            </w:r>
          </w:p>
        </w:tc>
        <w:tc>
          <w:tcPr>
            <w:tcW w:w="646" w:type="pct"/>
          </w:tcPr>
          <w:p w14:paraId="0603024B"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(42,2%)</w:t>
            </w:r>
          </w:p>
        </w:tc>
      </w:tr>
      <w:tr w:rsidR="008277A9" w:rsidRPr="00EC38E8" w14:paraId="0E181291" w14:textId="77777777" w:rsidTr="00D34A39">
        <w:tc>
          <w:tcPr>
            <w:tcW w:w="818" w:type="pct"/>
          </w:tcPr>
          <w:p w14:paraId="6FB0289C"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Salamat</w:t>
            </w:r>
            <w:proofErr w:type="spellEnd"/>
            <w:r w:rsidRPr="00D34A39">
              <w:rPr>
                <w:rFonts w:asciiTheme="majorHAnsi" w:hAnsiTheme="majorHAnsi"/>
                <w:sz w:val="20"/>
              </w:rPr>
              <w:t xml:space="preserve"> </w:t>
            </w:r>
          </w:p>
        </w:tc>
        <w:tc>
          <w:tcPr>
            <w:tcW w:w="837" w:type="pct"/>
          </w:tcPr>
          <w:p w14:paraId="5412D385"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21,3%</w:t>
            </w:r>
          </w:p>
        </w:tc>
        <w:tc>
          <w:tcPr>
            <w:tcW w:w="836" w:type="pct"/>
          </w:tcPr>
          <w:p w14:paraId="7149700D"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N’Djaména </w:t>
            </w:r>
          </w:p>
        </w:tc>
        <w:tc>
          <w:tcPr>
            <w:tcW w:w="913" w:type="pct"/>
          </w:tcPr>
          <w:p w14:paraId="295CA1A7"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11,4%</w:t>
            </w:r>
          </w:p>
        </w:tc>
        <w:tc>
          <w:tcPr>
            <w:tcW w:w="950" w:type="pct"/>
          </w:tcPr>
          <w:p w14:paraId="61B2521E"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N’Djaména </w:t>
            </w:r>
          </w:p>
        </w:tc>
        <w:tc>
          <w:tcPr>
            <w:tcW w:w="646" w:type="pct"/>
          </w:tcPr>
          <w:p w14:paraId="1105298F"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(37,6%)</w:t>
            </w:r>
          </w:p>
        </w:tc>
      </w:tr>
      <w:tr w:rsidR="008277A9" w:rsidRPr="00EC38E8" w14:paraId="174FC4E5" w14:textId="77777777" w:rsidTr="00D34A39">
        <w:tc>
          <w:tcPr>
            <w:tcW w:w="818" w:type="pct"/>
          </w:tcPr>
          <w:p w14:paraId="4C8D0051"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Sila </w:t>
            </w:r>
          </w:p>
        </w:tc>
        <w:tc>
          <w:tcPr>
            <w:tcW w:w="837" w:type="pct"/>
          </w:tcPr>
          <w:p w14:paraId="585213BE"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21,3</w:t>
            </w:r>
          </w:p>
        </w:tc>
        <w:tc>
          <w:tcPr>
            <w:tcW w:w="836" w:type="pct"/>
          </w:tcPr>
          <w:p w14:paraId="5FCC4493"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Sila </w:t>
            </w:r>
          </w:p>
        </w:tc>
        <w:tc>
          <w:tcPr>
            <w:tcW w:w="913" w:type="pct"/>
          </w:tcPr>
          <w:p w14:paraId="3A6FB277"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11,1%</w:t>
            </w:r>
          </w:p>
        </w:tc>
        <w:tc>
          <w:tcPr>
            <w:tcW w:w="950" w:type="pct"/>
          </w:tcPr>
          <w:p w14:paraId="6A1E4AC2"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Logone Oriental </w:t>
            </w:r>
          </w:p>
        </w:tc>
        <w:tc>
          <w:tcPr>
            <w:tcW w:w="646" w:type="pct"/>
          </w:tcPr>
          <w:p w14:paraId="2726D1EA"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(24,5%)</w:t>
            </w:r>
          </w:p>
        </w:tc>
      </w:tr>
      <w:tr w:rsidR="008277A9" w:rsidRPr="00EC38E8" w14:paraId="42AAA750" w14:textId="77777777" w:rsidTr="00D34A39">
        <w:tc>
          <w:tcPr>
            <w:tcW w:w="818" w:type="pct"/>
          </w:tcPr>
          <w:p w14:paraId="6A413239"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Batha</w:t>
            </w:r>
            <w:proofErr w:type="spellEnd"/>
            <w:r w:rsidRPr="00D34A39">
              <w:rPr>
                <w:rFonts w:asciiTheme="majorHAnsi" w:hAnsiTheme="majorHAnsi"/>
                <w:sz w:val="20"/>
              </w:rPr>
              <w:t xml:space="preserve"> </w:t>
            </w:r>
          </w:p>
        </w:tc>
        <w:tc>
          <w:tcPr>
            <w:tcW w:w="837" w:type="pct"/>
          </w:tcPr>
          <w:p w14:paraId="623094EA"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21,1%</w:t>
            </w:r>
          </w:p>
        </w:tc>
        <w:tc>
          <w:tcPr>
            <w:tcW w:w="836" w:type="pct"/>
          </w:tcPr>
          <w:p w14:paraId="7CCDB789"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Chari Baguirmi </w:t>
            </w:r>
          </w:p>
        </w:tc>
        <w:tc>
          <w:tcPr>
            <w:tcW w:w="913" w:type="pct"/>
          </w:tcPr>
          <w:p w14:paraId="7B06FD80"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10,5</w:t>
            </w:r>
          </w:p>
        </w:tc>
        <w:tc>
          <w:tcPr>
            <w:tcW w:w="950" w:type="pct"/>
          </w:tcPr>
          <w:p w14:paraId="563805B8" w14:textId="77777777" w:rsidR="00311F98" w:rsidRPr="00D34A39" w:rsidRDefault="00311F98" w:rsidP="002833F9">
            <w:pPr>
              <w:autoSpaceDE w:val="0"/>
              <w:autoSpaceDN w:val="0"/>
              <w:adjustRightInd w:val="0"/>
              <w:spacing w:after="0"/>
              <w:jc w:val="both"/>
              <w:rPr>
                <w:rFonts w:asciiTheme="majorHAnsi" w:hAnsiTheme="majorHAnsi"/>
                <w:sz w:val="20"/>
              </w:rPr>
            </w:pPr>
            <w:proofErr w:type="spellStart"/>
            <w:r w:rsidRPr="00D34A39">
              <w:rPr>
                <w:rFonts w:asciiTheme="majorHAnsi" w:hAnsiTheme="majorHAnsi"/>
                <w:sz w:val="20"/>
              </w:rPr>
              <w:t>Tandjilé</w:t>
            </w:r>
            <w:proofErr w:type="spellEnd"/>
            <w:r w:rsidRPr="00D34A39">
              <w:rPr>
                <w:rFonts w:asciiTheme="majorHAnsi" w:hAnsiTheme="majorHAnsi"/>
                <w:sz w:val="20"/>
              </w:rPr>
              <w:t xml:space="preserve"> </w:t>
            </w:r>
          </w:p>
        </w:tc>
        <w:tc>
          <w:tcPr>
            <w:tcW w:w="646" w:type="pct"/>
          </w:tcPr>
          <w:p w14:paraId="3E40452D"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(13,9%)</w:t>
            </w:r>
          </w:p>
        </w:tc>
      </w:tr>
      <w:tr w:rsidR="008277A9" w:rsidRPr="00EC38E8" w14:paraId="6F9DFB43" w14:textId="77777777" w:rsidTr="00D34A39">
        <w:tc>
          <w:tcPr>
            <w:tcW w:w="818" w:type="pct"/>
          </w:tcPr>
          <w:p w14:paraId="27E18B58"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Barh</w:t>
            </w:r>
            <w:proofErr w:type="spellEnd"/>
            <w:r w:rsidRPr="00D34A39">
              <w:rPr>
                <w:rFonts w:asciiTheme="majorHAnsi" w:hAnsiTheme="majorHAnsi"/>
                <w:sz w:val="20"/>
              </w:rPr>
              <w:t xml:space="preserve"> El Gazal </w:t>
            </w:r>
          </w:p>
        </w:tc>
        <w:tc>
          <w:tcPr>
            <w:tcW w:w="837" w:type="pct"/>
          </w:tcPr>
          <w:p w14:paraId="12AB7C4C"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21%</w:t>
            </w:r>
          </w:p>
        </w:tc>
        <w:tc>
          <w:tcPr>
            <w:tcW w:w="836" w:type="pct"/>
          </w:tcPr>
          <w:p w14:paraId="57CC3478"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Logone Oriental </w:t>
            </w:r>
          </w:p>
        </w:tc>
        <w:tc>
          <w:tcPr>
            <w:tcW w:w="913" w:type="pct"/>
          </w:tcPr>
          <w:p w14:paraId="5005B6A9"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8,9%</w:t>
            </w:r>
          </w:p>
        </w:tc>
        <w:tc>
          <w:tcPr>
            <w:tcW w:w="950" w:type="pct"/>
          </w:tcPr>
          <w:p w14:paraId="063D4DC9"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Est, Ennedi Ouest </w:t>
            </w:r>
          </w:p>
        </w:tc>
        <w:tc>
          <w:tcPr>
            <w:tcW w:w="646" w:type="pct"/>
          </w:tcPr>
          <w:p w14:paraId="78DDCA12"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(12,4%)</w:t>
            </w:r>
          </w:p>
        </w:tc>
      </w:tr>
      <w:tr w:rsidR="008277A9" w:rsidRPr="00EC38E8" w14:paraId="29F7DC34" w14:textId="77777777" w:rsidTr="00D34A39">
        <w:tc>
          <w:tcPr>
            <w:tcW w:w="818" w:type="pct"/>
          </w:tcPr>
          <w:p w14:paraId="1ABD3ABE"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Borkou, Tibesti </w:t>
            </w:r>
          </w:p>
        </w:tc>
        <w:tc>
          <w:tcPr>
            <w:tcW w:w="837" w:type="pct"/>
          </w:tcPr>
          <w:p w14:paraId="6883592C"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20,1%</w:t>
            </w:r>
          </w:p>
        </w:tc>
        <w:tc>
          <w:tcPr>
            <w:tcW w:w="836" w:type="pct"/>
          </w:tcPr>
          <w:p w14:paraId="1200D823"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Borkou, Tibesti </w:t>
            </w:r>
          </w:p>
        </w:tc>
        <w:tc>
          <w:tcPr>
            <w:tcW w:w="913" w:type="pct"/>
          </w:tcPr>
          <w:p w14:paraId="45706073"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8,5%</w:t>
            </w:r>
          </w:p>
        </w:tc>
        <w:tc>
          <w:tcPr>
            <w:tcW w:w="950" w:type="pct"/>
          </w:tcPr>
          <w:p w14:paraId="0330FC4A"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Logone Occidental </w:t>
            </w:r>
          </w:p>
        </w:tc>
        <w:tc>
          <w:tcPr>
            <w:tcW w:w="646" w:type="pct"/>
          </w:tcPr>
          <w:p w14:paraId="094B5490"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(6%)</w:t>
            </w:r>
          </w:p>
        </w:tc>
      </w:tr>
      <w:tr w:rsidR="008277A9" w:rsidRPr="00EC38E8" w14:paraId="2C1E38D6" w14:textId="77777777" w:rsidTr="00D34A39">
        <w:tc>
          <w:tcPr>
            <w:tcW w:w="818" w:type="pct"/>
          </w:tcPr>
          <w:p w14:paraId="24C770BA"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Ouaddaï </w:t>
            </w:r>
          </w:p>
        </w:tc>
        <w:tc>
          <w:tcPr>
            <w:tcW w:w="837" w:type="pct"/>
          </w:tcPr>
          <w:p w14:paraId="123C62DB"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19,0%</w:t>
            </w:r>
          </w:p>
        </w:tc>
        <w:tc>
          <w:tcPr>
            <w:tcW w:w="836" w:type="pct"/>
          </w:tcPr>
          <w:p w14:paraId="31A92E22"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Logone Occidental </w:t>
            </w:r>
          </w:p>
        </w:tc>
        <w:tc>
          <w:tcPr>
            <w:tcW w:w="913" w:type="pct"/>
          </w:tcPr>
          <w:p w14:paraId="425BA3E2"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7,6%</w:t>
            </w:r>
          </w:p>
        </w:tc>
        <w:tc>
          <w:tcPr>
            <w:tcW w:w="950" w:type="pct"/>
          </w:tcPr>
          <w:p w14:paraId="50AAE8E8"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Mayo </w:t>
            </w:r>
            <w:proofErr w:type="spellStart"/>
            <w:r w:rsidRPr="00D34A39">
              <w:rPr>
                <w:rFonts w:asciiTheme="majorHAnsi" w:hAnsiTheme="majorHAnsi"/>
                <w:sz w:val="20"/>
              </w:rPr>
              <w:t>Kebbi</w:t>
            </w:r>
            <w:proofErr w:type="spellEnd"/>
            <w:r w:rsidRPr="00D34A39">
              <w:rPr>
                <w:rFonts w:asciiTheme="majorHAnsi" w:hAnsiTheme="majorHAnsi"/>
                <w:sz w:val="20"/>
              </w:rPr>
              <w:t xml:space="preserve"> Est </w:t>
            </w:r>
          </w:p>
        </w:tc>
        <w:tc>
          <w:tcPr>
            <w:tcW w:w="646" w:type="pct"/>
          </w:tcPr>
          <w:p w14:paraId="47B5FFAC"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(6%)</w:t>
            </w:r>
          </w:p>
        </w:tc>
      </w:tr>
      <w:tr w:rsidR="008277A9" w:rsidRPr="00EC38E8" w14:paraId="256628DF" w14:textId="77777777" w:rsidTr="00D34A39">
        <w:tc>
          <w:tcPr>
            <w:tcW w:w="818" w:type="pct"/>
          </w:tcPr>
          <w:p w14:paraId="1E772AEF"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Guéra</w:t>
            </w:r>
            <w:proofErr w:type="spellEnd"/>
            <w:r w:rsidRPr="00D34A39">
              <w:rPr>
                <w:rFonts w:asciiTheme="majorHAnsi" w:hAnsiTheme="majorHAnsi"/>
                <w:sz w:val="20"/>
              </w:rPr>
              <w:t xml:space="preserve"> </w:t>
            </w:r>
          </w:p>
        </w:tc>
        <w:tc>
          <w:tcPr>
            <w:tcW w:w="837" w:type="pct"/>
          </w:tcPr>
          <w:p w14:paraId="5CB6C759"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18,1%</w:t>
            </w:r>
          </w:p>
        </w:tc>
        <w:tc>
          <w:tcPr>
            <w:tcW w:w="836" w:type="pct"/>
          </w:tcPr>
          <w:p w14:paraId="6B0A87D5"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Guéra</w:t>
            </w:r>
            <w:proofErr w:type="spellEnd"/>
            <w:r w:rsidRPr="00D34A39">
              <w:rPr>
                <w:rFonts w:asciiTheme="majorHAnsi" w:hAnsiTheme="majorHAnsi"/>
                <w:sz w:val="20"/>
              </w:rPr>
              <w:t xml:space="preserve"> </w:t>
            </w:r>
          </w:p>
        </w:tc>
        <w:tc>
          <w:tcPr>
            <w:tcW w:w="913" w:type="pct"/>
          </w:tcPr>
          <w:p w14:paraId="0E09E2CE"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6,8%</w:t>
            </w:r>
          </w:p>
        </w:tc>
        <w:tc>
          <w:tcPr>
            <w:tcW w:w="950" w:type="pct"/>
          </w:tcPr>
          <w:p w14:paraId="2C4EA605" w14:textId="77777777" w:rsidR="00311F98" w:rsidRPr="00D34A39" w:rsidRDefault="00311F98" w:rsidP="002833F9">
            <w:pPr>
              <w:autoSpaceDE w:val="0"/>
              <w:autoSpaceDN w:val="0"/>
              <w:adjustRightInd w:val="0"/>
              <w:spacing w:after="0"/>
              <w:jc w:val="both"/>
              <w:rPr>
                <w:rFonts w:asciiTheme="majorHAnsi" w:hAnsiTheme="majorHAnsi"/>
                <w:sz w:val="20"/>
              </w:rPr>
            </w:pPr>
            <w:proofErr w:type="spellStart"/>
            <w:r w:rsidRPr="00D34A39">
              <w:rPr>
                <w:rFonts w:asciiTheme="majorHAnsi" w:hAnsiTheme="majorHAnsi"/>
                <w:sz w:val="20"/>
              </w:rPr>
              <w:t>Barh</w:t>
            </w:r>
            <w:proofErr w:type="spellEnd"/>
            <w:r w:rsidRPr="00D34A39">
              <w:rPr>
                <w:rFonts w:asciiTheme="majorHAnsi" w:hAnsiTheme="majorHAnsi"/>
                <w:sz w:val="20"/>
              </w:rPr>
              <w:t xml:space="preserve"> El Gazal </w:t>
            </w:r>
          </w:p>
        </w:tc>
        <w:tc>
          <w:tcPr>
            <w:tcW w:w="646" w:type="pct"/>
          </w:tcPr>
          <w:p w14:paraId="6043D599"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(5,5%)</w:t>
            </w:r>
          </w:p>
        </w:tc>
      </w:tr>
      <w:tr w:rsidR="008277A9" w:rsidRPr="00EC38E8" w14:paraId="3CC18036" w14:textId="77777777" w:rsidTr="00D34A39">
        <w:tc>
          <w:tcPr>
            <w:tcW w:w="818" w:type="pct"/>
          </w:tcPr>
          <w:p w14:paraId="5B3AC821"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Ennedi Est, Ennedi Ouest </w:t>
            </w:r>
          </w:p>
        </w:tc>
        <w:tc>
          <w:tcPr>
            <w:tcW w:w="837" w:type="pct"/>
          </w:tcPr>
          <w:p w14:paraId="791C8103"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14,5%</w:t>
            </w:r>
          </w:p>
        </w:tc>
        <w:tc>
          <w:tcPr>
            <w:tcW w:w="836" w:type="pct"/>
          </w:tcPr>
          <w:p w14:paraId="558E46ED"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Moyen Chari </w:t>
            </w:r>
          </w:p>
        </w:tc>
        <w:tc>
          <w:tcPr>
            <w:tcW w:w="913" w:type="pct"/>
          </w:tcPr>
          <w:p w14:paraId="4E43CF3C"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6,7%</w:t>
            </w:r>
          </w:p>
        </w:tc>
        <w:tc>
          <w:tcPr>
            <w:tcW w:w="950" w:type="pct"/>
          </w:tcPr>
          <w:p w14:paraId="1A72022C"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Mayo </w:t>
            </w:r>
            <w:proofErr w:type="spellStart"/>
            <w:r w:rsidRPr="00D34A39">
              <w:rPr>
                <w:rFonts w:asciiTheme="majorHAnsi" w:hAnsiTheme="majorHAnsi"/>
                <w:sz w:val="20"/>
              </w:rPr>
              <w:t>Kebbi</w:t>
            </w:r>
            <w:proofErr w:type="spellEnd"/>
            <w:r w:rsidRPr="00D34A39">
              <w:rPr>
                <w:rFonts w:asciiTheme="majorHAnsi" w:hAnsiTheme="majorHAnsi"/>
                <w:sz w:val="20"/>
              </w:rPr>
              <w:t xml:space="preserve"> Ouest </w:t>
            </w:r>
          </w:p>
        </w:tc>
        <w:tc>
          <w:tcPr>
            <w:tcW w:w="646" w:type="pct"/>
          </w:tcPr>
          <w:p w14:paraId="22CA0F81"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(2,7%)</w:t>
            </w:r>
          </w:p>
        </w:tc>
      </w:tr>
      <w:tr w:rsidR="008277A9" w:rsidRPr="00EC38E8" w14:paraId="345A1AEB" w14:textId="77777777" w:rsidTr="00D34A39">
        <w:tc>
          <w:tcPr>
            <w:tcW w:w="818" w:type="pct"/>
          </w:tcPr>
          <w:p w14:paraId="666061DE"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Kanem </w:t>
            </w:r>
          </w:p>
        </w:tc>
        <w:tc>
          <w:tcPr>
            <w:tcW w:w="837" w:type="pct"/>
          </w:tcPr>
          <w:p w14:paraId="1A978214"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14,4%</w:t>
            </w:r>
          </w:p>
        </w:tc>
        <w:tc>
          <w:tcPr>
            <w:tcW w:w="836" w:type="pct"/>
          </w:tcPr>
          <w:p w14:paraId="4165F97B"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Salamat</w:t>
            </w:r>
            <w:proofErr w:type="spellEnd"/>
            <w:r w:rsidRPr="00D34A39">
              <w:rPr>
                <w:rFonts w:asciiTheme="majorHAnsi" w:hAnsiTheme="majorHAnsi"/>
                <w:sz w:val="20"/>
              </w:rPr>
              <w:t xml:space="preserve"> </w:t>
            </w:r>
          </w:p>
        </w:tc>
        <w:tc>
          <w:tcPr>
            <w:tcW w:w="913" w:type="pct"/>
          </w:tcPr>
          <w:p w14:paraId="0020B0B7"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5,8%</w:t>
            </w:r>
          </w:p>
        </w:tc>
        <w:tc>
          <w:tcPr>
            <w:tcW w:w="950" w:type="pct"/>
          </w:tcPr>
          <w:p w14:paraId="01280578"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Borkou, Tibesti </w:t>
            </w:r>
          </w:p>
        </w:tc>
        <w:tc>
          <w:tcPr>
            <w:tcW w:w="646" w:type="pct"/>
          </w:tcPr>
          <w:p w14:paraId="77668DC8"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(1,8%)</w:t>
            </w:r>
          </w:p>
        </w:tc>
      </w:tr>
      <w:tr w:rsidR="008277A9" w:rsidRPr="00EC38E8" w14:paraId="563E316A" w14:textId="77777777" w:rsidTr="00D34A39">
        <w:tc>
          <w:tcPr>
            <w:tcW w:w="818" w:type="pct"/>
          </w:tcPr>
          <w:p w14:paraId="7FC77FC3"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Hadjer-Lamis</w:t>
            </w:r>
            <w:proofErr w:type="spellEnd"/>
            <w:r w:rsidRPr="00D34A39">
              <w:rPr>
                <w:rFonts w:asciiTheme="majorHAnsi" w:hAnsiTheme="majorHAnsi"/>
                <w:sz w:val="20"/>
              </w:rPr>
              <w:t xml:space="preserve"> </w:t>
            </w:r>
          </w:p>
        </w:tc>
        <w:tc>
          <w:tcPr>
            <w:tcW w:w="837" w:type="pct"/>
          </w:tcPr>
          <w:p w14:paraId="237D463D"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14,3%</w:t>
            </w:r>
          </w:p>
        </w:tc>
        <w:tc>
          <w:tcPr>
            <w:tcW w:w="836" w:type="pct"/>
          </w:tcPr>
          <w:p w14:paraId="17FC694E"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Ouaddaï </w:t>
            </w:r>
          </w:p>
        </w:tc>
        <w:tc>
          <w:tcPr>
            <w:tcW w:w="913" w:type="pct"/>
          </w:tcPr>
          <w:p w14:paraId="49609254"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5,3%</w:t>
            </w:r>
          </w:p>
        </w:tc>
        <w:tc>
          <w:tcPr>
            <w:tcW w:w="950" w:type="pct"/>
          </w:tcPr>
          <w:p w14:paraId="18DA74D0"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Kanem </w:t>
            </w:r>
          </w:p>
        </w:tc>
        <w:tc>
          <w:tcPr>
            <w:tcW w:w="646" w:type="pct"/>
          </w:tcPr>
          <w:p w14:paraId="0FC0104E"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(0,7%)</w:t>
            </w:r>
          </w:p>
        </w:tc>
      </w:tr>
      <w:tr w:rsidR="008277A9" w:rsidRPr="00EC38E8" w14:paraId="7511FFED" w14:textId="77777777" w:rsidTr="00D34A39">
        <w:tc>
          <w:tcPr>
            <w:tcW w:w="818" w:type="pct"/>
          </w:tcPr>
          <w:p w14:paraId="2AFA8860"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Lac </w:t>
            </w:r>
          </w:p>
        </w:tc>
        <w:tc>
          <w:tcPr>
            <w:tcW w:w="837" w:type="pct"/>
          </w:tcPr>
          <w:p w14:paraId="684E8EAF"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8,2%</w:t>
            </w:r>
          </w:p>
        </w:tc>
        <w:tc>
          <w:tcPr>
            <w:tcW w:w="836" w:type="pct"/>
          </w:tcPr>
          <w:p w14:paraId="28C4B82D" w14:textId="77777777" w:rsidR="00311F98" w:rsidRPr="00D34A39" w:rsidRDefault="00311F98" w:rsidP="002833F9">
            <w:pPr>
              <w:spacing w:after="0"/>
              <w:rPr>
                <w:rFonts w:asciiTheme="majorHAnsi" w:hAnsiTheme="majorHAnsi"/>
                <w:sz w:val="20"/>
              </w:rPr>
            </w:pPr>
            <w:proofErr w:type="spellStart"/>
            <w:r w:rsidRPr="00D34A39">
              <w:rPr>
                <w:rFonts w:asciiTheme="majorHAnsi" w:hAnsiTheme="majorHAnsi"/>
                <w:sz w:val="20"/>
              </w:rPr>
              <w:t>Mandoul</w:t>
            </w:r>
            <w:proofErr w:type="spellEnd"/>
            <w:r w:rsidRPr="00D34A39">
              <w:rPr>
                <w:rFonts w:asciiTheme="majorHAnsi" w:hAnsiTheme="majorHAnsi"/>
                <w:sz w:val="20"/>
              </w:rPr>
              <w:t xml:space="preserve"> </w:t>
            </w:r>
          </w:p>
        </w:tc>
        <w:tc>
          <w:tcPr>
            <w:tcW w:w="913" w:type="pct"/>
          </w:tcPr>
          <w:p w14:paraId="1DDA5FB4"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4,9%</w:t>
            </w:r>
          </w:p>
        </w:tc>
        <w:tc>
          <w:tcPr>
            <w:tcW w:w="950" w:type="pct"/>
          </w:tcPr>
          <w:p w14:paraId="5D964F8F" w14:textId="77777777" w:rsidR="00311F98" w:rsidRPr="00D34A39" w:rsidRDefault="00311F98" w:rsidP="002833F9">
            <w:pPr>
              <w:autoSpaceDE w:val="0"/>
              <w:autoSpaceDN w:val="0"/>
              <w:adjustRightInd w:val="0"/>
              <w:spacing w:after="0"/>
              <w:jc w:val="both"/>
              <w:rPr>
                <w:rFonts w:asciiTheme="majorHAnsi" w:hAnsiTheme="majorHAnsi"/>
                <w:sz w:val="20"/>
              </w:rPr>
            </w:pPr>
            <w:r w:rsidRPr="00D34A39">
              <w:rPr>
                <w:rFonts w:asciiTheme="majorHAnsi" w:hAnsiTheme="majorHAnsi"/>
                <w:sz w:val="20"/>
              </w:rPr>
              <w:t xml:space="preserve">Lac </w:t>
            </w:r>
          </w:p>
        </w:tc>
        <w:tc>
          <w:tcPr>
            <w:tcW w:w="646" w:type="pct"/>
          </w:tcPr>
          <w:p w14:paraId="6A77129D" w14:textId="77777777" w:rsidR="00311F98" w:rsidRPr="00D34A39" w:rsidRDefault="00311F98" w:rsidP="002833F9">
            <w:pPr>
              <w:autoSpaceDE w:val="0"/>
              <w:autoSpaceDN w:val="0"/>
              <w:adjustRightInd w:val="0"/>
              <w:spacing w:after="0"/>
              <w:jc w:val="center"/>
              <w:rPr>
                <w:rFonts w:asciiTheme="majorHAnsi" w:hAnsiTheme="majorHAnsi"/>
                <w:sz w:val="20"/>
              </w:rPr>
            </w:pPr>
            <w:r w:rsidRPr="00D34A39">
              <w:rPr>
                <w:rFonts w:asciiTheme="majorHAnsi" w:hAnsiTheme="majorHAnsi"/>
                <w:sz w:val="20"/>
              </w:rPr>
              <w:t>(0,7%)</w:t>
            </w:r>
          </w:p>
        </w:tc>
      </w:tr>
    </w:tbl>
    <w:p w14:paraId="4E9420B5" w14:textId="2C45D696" w:rsidR="00311F98" w:rsidRPr="00D34A39" w:rsidRDefault="00EC38E8" w:rsidP="00D34A39">
      <w:pPr>
        <w:pStyle w:val="Sansinterligne"/>
        <w:rPr>
          <w:sz w:val="20"/>
        </w:rPr>
      </w:pPr>
      <w:r w:rsidRPr="00EC38E8">
        <w:rPr>
          <w:rFonts w:cstheme="minorHAnsi"/>
          <w:b/>
          <w:i/>
          <w:iCs/>
          <w:sz w:val="20"/>
          <w:szCs w:val="20"/>
          <w:u w:val="single"/>
        </w:rPr>
        <w:t>Source</w:t>
      </w:r>
      <w:r w:rsidRPr="00EC38E8">
        <w:rPr>
          <w:rFonts w:cstheme="minorHAnsi"/>
          <w:bCs/>
          <w:sz w:val="20"/>
          <w:szCs w:val="20"/>
        </w:rPr>
        <w:t xml:space="preserve"> : Extrait des données de l'EDS2014-2015</w:t>
      </w:r>
    </w:p>
    <w:p w14:paraId="54CF4903" w14:textId="2F30E4D0" w:rsidR="00333A75" w:rsidRDefault="00333A75" w:rsidP="00311F98">
      <w:pPr>
        <w:pStyle w:val="Sansinterligne"/>
        <w:jc w:val="center"/>
        <w:rPr>
          <w:rFonts w:cstheme="minorHAnsi"/>
          <w:b/>
          <w:color w:val="FF0000"/>
        </w:rPr>
      </w:pPr>
    </w:p>
    <w:p w14:paraId="23B7921A" w14:textId="569CB563" w:rsidR="00311F98" w:rsidRPr="008277A9" w:rsidRDefault="00311F98" w:rsidP="00311F98">
      <w:pPr>
        <w:pStyle w:val="Sansinterligne"/>
        <w:rPr>
          <w:rFonts w:cstheme="minorHAnsi"/>
          <w:b/>
          <w:color w:val="FF0000"/>
          <w:shd w:val="clear" w:color="auto" w:fill="FFFFFF"/>
        </w:rPr>
      </w:pPr>
    </w:p>
    <w:tbl>
      <w:tblPr>
        <w:tblStyle w:val="Grilledutableau"/>
        <w:tblW w:w="5000" w:type="pct"/>
        <w:tblLook w:val="04A0" w:firstRow="1" w:lastRow="0" w:firstColumn="1" w:lastColumn="0" w:noHBand="0" w:noVBand="1"/>
      </w:tblPr>
      <w:tblGrid>
        <w:gridCol w:w="6521"/>
        <w:gridCol w:w="3390"/>
      </w:tblGrid>
      <w:tr w:rsidR="009F3B64" w:rsidRPr="00EC38E8" w14:paraId="15F115A2" w14:textId="77777777" w:rsidTr="009F3B64">
        <w:tc>
          <w:tcPr>
            <w:tcW w:w="5000" w:type="pct"/>
            <w:gridSpan w:val="2"/>
          </w:tcPr>
          <w:p w14:paraId="4079A664" w14:textId="285B6E21" w:rsidR="009F3B64" w:rsidRPr="009F3B64" w:rsidRDefault="009F3B64" w:rsidP="00343600">
            <w:pPr>
              <w:spacing w:after="0"/>
              <w:jc w:val="center"/>
              <w:rPr>
                <w:rFonts w:asciiTheme="majorHAnsi" w:hAnsiTheme="majorHAnsi"/>
                <w:b/>
                <w:sz w:val="20"/>
              </w:rPr>
            </w:pPr>
            <w:r w:rsidRPr="009F3B64">
              <w:rPr>
                <w:rFonts w:asciiTheme="majorHAnsi" w:hAnsiTheme="majorHAnsi"/>
                <w:b/>
                <w:sz w:val="20"/>
              </w:rPr>
              <w:t>Variations de la prévalence de l’excision en fonction de l’appartenance ethnique</w:t>
            </w:r>
          </w:p>
        </w:tc>
      </w:tr>
      <w:tr w:rsidR="008C7A3F" w:rsidRPr="00EC38E8" w14:paraId="6A480026" w14:textId="77777777" w:rsidTr="00D34A39">
        <w:tc>
          <w:tcPr>
            <w:tcW w:w="3290" w:type="pct"/>
          </w:tcPr>
          <w:p w14:paraId="3B193AEF" w14:textId="71624BB0" w:rsidR="008C7A3F" w:rsidRPr="00D34A39" w:rsidRDefault="008C7A3F" w:rsidP="002833F9">
            <w:pPr>
              <w:spacing w:after="0"/>
              <w:jc w:val="center"/>
              <w:rPr>
                <w:rFonts w:asciiTheme="majorHAnsi" w:hAnsiTheme="majorHAnsi"/>
                <w:b/>
                <w:sz w:val="20"/>
              </w:rPr>
            </w:pPr>
            <w:r w:rsidRPr="00EC38E8">
              <w:rPr>
                <w:rFonts w:asciiTheme="majorHAnsi" w:hAnsiTheme="majorHAnsi" w:cstheme="minorHAnsi"/>
                <w:b/>
                <w:sz w:val="20"/>
                <w:szCs w:val="20"/>
              </w:rPr>
              <w:t xml:space="preserve">Groupes </w:t>
            </w:r>
            <w:r w:rsidR="00EC38E8" w:rsidRPr="00EC38E8">
              <w:rPr>
                <w:rFonts w:asciiTheme="majorHAnsi" w:hAnsiTheme="majorHAnsi" w:cstheme="minorHAnsi"/>
                <w:b/>
                <w:sz w:val="20"/>
                <w:szCs w:val="20"/>
              </w:rPr>
              <w:t>Ethniques</w:t>
            </w:r>
          </w:p>
        </w:tc>
        <w:tc>
          <w:tcPr>
            <w:tcW w:w="1710" w:type="pct"/>
          </w:tcPr>
          <w:p w14:paraId="546CBAD2" w14:textId="6E023A94" w:rsidR="008C7A3F" w:rsidRPr="00EC38E8" w:rsidRDefault="008C7A3F" w:rsidP="002833F9">
            <w:pPr>
              <w:spacing w:after="0"/>
              <w:jc w:val="center"/>
              <w:rPr>
                <w:rFonts w:asciiTheme="majorHAnsi" w:hAnsiTheme="majorHAnsi" w:cstheme="minorHAnsi"/>
                <w:b/>
                <w:sz w:val="20"/>
                <w:szCs w:val="20"/>
              </w:rPr>
            </w:pPr>
            <w:r w:rsidRPr="00EC38E8">
              <w:rPr>
                <w:rFonts w:asciiTheme="majorHAnsi" w:hAnsiTheme="majorHAnsi" w:cstheme="minorHAnsi"/>
                <w:b/>
                <w:sz w:val="20"/>
                <w:szCs w:val="20"/>
              </w:rPr>
              <w:t>Pourcentage</w:t>
            </w:r>
          </w:p>
        </w:tc>
      </w:tr>
      <w:tr w:rsidR="002833F9" w:rsidRPr="00EC38E8" w14:paraId="787EA414" w14:textId="77777777" w:rsidTr="00D34A39">
        <w:tc>
          <w:tcPr>
            <w:tcW w:w="3290" w:type="pct"/>
          </w:tcPr>
          <w:p w14:paraId="673AA74A"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Dadajo</w:t>
            </w:r>
            <w:proofErr w:type="spellEnd"/>
            <w:r w:rsidRPr="00D34A39">
              <w:rPr>
                <w:rFonts w:asciiTheme="majorHAnsi" w:hAnsiTheme="majorHAnsi"/>
                <w:sz w:val="20"/>
              </w:rPr>
              <w:t>/</w:t>
            </w:r>
            <w:proofErr w:type="spellStart"/>
            <w:r w:rsidRPr="00D34A39">
              <w:rPr>
                <w:rFonts w:asciiTheme="majorHAnsi" w:hAnsiTheme="majorHAnsi"/>
                <w:sz w:val="20"/>
              </w:rPr>
              <w:t>Kibet</w:t>
            </w:r>
            <w:proofErr w:type="spellEnd"/>
            <w:r w:rsidRPr="00D34A39">
              <w:rPr>
                <w:rFonts w:asciiTheme="majorHAnsi" w:hAnsiTheme="majorHAnsi"/>
                <w:sz w:val="20"/>
              </w:rPr>
              <w:t>/</w:t>
            </w:r>
            <w:proofErr w:type="spellStart"/>
            <w:r w:rsidRPr="00D34A39">
              <w:rPr>
                <w:rFonts w:asciiTheme="majorHAnsi" w:hAnsiTheme="majorHAnsi"/>
                <w:sz w:val="20"/>
              </w:rPr>
              <w:t>Mouro</w:t>
            </w:r>
            <w:proofErr w:type="spellEnd"/>
            <w:r w:rsidRPr="00D34A39">
              <w:rPr>
                <w:rFonts w:asciiTheme="majorHAnsi" w:hAnsiTheme="majorHAnsi"/>
                <w:sz w:val="20"/>
              </w:rPr>
              <w:t xml:space="preserve"> </w:t>
            </w:r>
          </w:p>
        </w:tc>
        <w:tc>
          <w:tcPr>
            <w:tcW w:w="1710" w:type="pct"/>
          </w:tcPr>
          <w:p w14:paraId="5030BAE4"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(92,4 %)</w:t>
            </w:r>
          </w:p>
        </w:tc>
      </w:tr>
      <w:tr w:rsidR="002833F9" w:rsidRPr="00EC38E8" w14:paraId="17ABB91C" w14:textId="77777777" w:rsidTr="00D34A39">
        <w:tc>
          <w:tcPr>
            <w:tcW w:w="3290" w:type="pct"/>
          </w:tcPr>
          <w:p w14:paraId="2D6978A5"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 ethnique Arabe </w:t>
            </w:r>
          </w:p>
        </w:tc>
        <w:tc>
          <w:tcPr>
            <w:tcW w:w="1710" w:type="pct"/>
          </w:tcPr>
          <w:p w14:paraId="424622A4"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(85,4 %)</w:t>
            </w:r>
          </w:p>
        </w:tc>
      </w:tr>
      <w:tr w:rsidR="002833F9" w:rsidRPr="00EC38E8" w14:paraId="6B94E1F6" w14:textId="77777777" w:rsidTr="00D34A39">
        <w:tc>
          <w:tcPr>
            <w:tcW w:w="3290" w:type="pct"/>
          </w:tcPr>
          <w:p w14:paraId="31E91E3F"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Bidio</w:t>
            </w:r>
            <w:proofErr w:type="spellEnd"/>
            <w:r w:rsidRPr="00D34A39">
              <w:rPr>
                <w:rFonts w:asciiTheme="majorHAnsi" w:hAnsiTheme="majorHAnsi"/>
                <w:sz w:val="20"/>
              </w:rPr>
              <w:t>/</w:t>
            </w:r>
            <w:proofErr w:type="spellStart"/>
            <w:r w:rsidRPr="00D34A39">
              <w:rPr>
                <w:rFonts w:asciiTheme="majorHAnsi" w:hAnsiTheme="majorHAnsi"/>
                <w:sz w:val="20"/>
              </w:rPr>
              <w:t>Migami</w:t>
            </w:r>
            <w:proofErr w:type="spellEnd"/>
            <w:r w:rsidRPr="00D34A39">
              <w:rPr>
                <w:rFonts w:asciiTheme="majorHAnsi" w:hAnsiTheme="majorHAnsi"/>
                <w:sz w:val="20"/>
              </w:rPr>
              <w:t>/Kenga/</w:t>
            </w:r>
            <w:proofErr w:type="spellStart"/>
            <w:r w:rsidRPr="00D34A39">
              <w:rPr>
                <w:rFonts w:asciiTheme="majorHAnsi" w:hAnsiTheme="majorHAnsi"/>
                <w:sz w:val="20"/>
              </w:rPr>
              <w:t>Dangléat</w:t>
            </w:r>
            <w:proofErr w:type="spellEnd"/>
            <w:r w:rsidRPr="00D34A39">
              <w:rPr>
                <w:rFonts w:asciiTheme="majorHAnsi" w:hAnsiTheme="majorHAnsi"/>
                <w:sz w:val="20"/>
              </w:rPr>
              <w:t xml:space="preserve"> </w:t>
            </w:r>
          </w:p>
        </w:tc>
        <w:tc>
          <w:tcPr>
            <w:tcW w:w="1710" w:type="pct"/>
          </w:tcPr>
          <w:p w14:paraId="573A1DC5"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(83 %)</w:t>
            </w:r>
          </w:p>
        </w:tc>
      </w:tr>
      <w:tr w:rsidR="002833F9" w:rsidRPr="00EC38E8" w14:paraId="17BC1432" w14:textId="77777777" w:rsidTr="00D34A39">
        <w:tc>
          <w:tcPr>
            <w:tcW w:w="3290" w:type="pct"/>
          </w:tcPr>
          <w:p w14:paraId="49AD7A93"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Groupes ethniques Ouadaï/Maba/Massalit/Mimi </w:t>
            </w:r>
          </w:p>
        </w:tc>
        <w:tc>
          <w:tcPr>
            <w:tcW w:w="1710" w:type="pct"/>
          </w:tcPr>
          <w:p w14:paraId="1F443BEF"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 xml:space="preserve"> (78,8 %)</w:t>
            </w:r>
          </w:p>
        </w:tc>
      </w:tr>
      <w:tr w:rsidR="002833F9" w:rsidRPr="00EC38E8" w14:paraId="6F41AD1E" w14:textId="77777777" w:rsidTr="00D34A39">
        <w:tc>
          <w:tcPr>
            <w:tcW w:w="3290" w:type="pct"/>
          </w:tcPr>
          <w:p w14:paraId="255F89DF"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Mesmedjé</w:t>
            </w:r>
            <w:proofErr w:type="spellEnd"/>
            <w:r w:rsidRPr="00D34A39">
              <w:rPr>
                <w:rFonts w:asciiTheme="majorHAnsi" w:hAnsiTheme="majorHAnsi"/>
                <w:sz w:val="20"/>
              </w:rPr>
              <w:t>/</w:t>
            </w:r>
            <w:proofErr w:type="spellStart"/>
            <w:r w:rsidRPr="00D34A39">
              <w:rPr>
                <w:rFonts w:asciiTheme="majorHAnsi" w:hAnsiTheme="majorHAnsi"/>
                <w:sz w:val="20"/>
              </w:rPr>
              <w:t>Massalat</w:t>
            </w:r>
            <w:proofErr w:type="spellEnd"/>
            <w:r w:rsidRPr="00D34A39">
              <w:rPr>
                <w:rFonts w:asciiTheme="majorHAnsi" w:hAnsiTheme="majorHAnsi"/>
                <w:sz w:val="20"/>
              </w:rPr>
              <w:t>/</w:t>
            </w:r>
            <w:proofErr w:type="spellStart"/>
            <w:r w:rsidRPr="00D34A39">
              <w:rPr>
                <w:rFonts w:asciiTheme="majorHAnsi" w:hAnsiTheme="majorHAnsi"/>
                <w:sz w:val="20"/>
              </w:rPr>
              <w:t>Kadjaksé</w:t>
            </w:r>
            <w:proofErr w:type="spellEnd"/>
            <w:r w:rsidRPr="00D34A39">
              <w:rPr>
                <w:rFonts w:asciiTheme="majorHAnsi" w:hAnsiTheme="majorHAnsi"/>
                <w:sz w:val="20"/>
              </w:rPr>
              <w:t xml:space="preserve"> </w:t>
            </w:r>
          </w:p>
        </w:tc>
        <w:tc>
          <w:tcPr>
            <w:tcW w:w="1710" w:type="pct"/>
          </w:tcPr>
          <w:p w14:paraId="5D390355"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(75,4%)</w:t>
            </w:r>
          </w:p>
        </w:tc>
      </w:tr>
      <w:tr w:rsidR="002833F9" w:rsidRPr="00EC38E8" w14:paraId="06789E51" w14:textId="77777777" w:rsidTr="00D34A39">
        <w:tc>
          <w:tcPr>
            <w:tcW w:w="3290" w:type="pct"/>
          </w:tcPr>
          <w:p w14:paraId="459B3E8D"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Zaghawa</w:t>
            </w:r>
            <w:proofErr w:type="spellEnd"/>
            <w:r w:rsidRPr="00D34A39">
              <w:rPr>
                <w:rFonts w:asciiTheme="majorHAnsi" w:hAnsiTheme="majorHAnsi"/>
                <w:sz w:val="20"/>
              </w:rPr>
              <w:t>/</w:t>
            </w:r>
            <w:proofErr w:type="spellStart"/>
            <w:r w:rsidRPr="00D34A39">
              <w:rPr>
                <w:rFonts w:asciiTheme="majorHAnsi" w:hAnsiTheme="majorHAnsi"/>
                <w:sz w:val="20"/>
              </w:rPr>
              <w:t>Bideyat</w:t>
            </w:r>
            <w:proofErr w:type="spellEnd"/>
            <w:r w:rsidRPr="00D34A39">
              <w:rPr>
                <w:rFonts w:asciiTheme="majorHAnsi" w:hAnsiTheme="majorHAnsi"/>
                <w:sz w:val="20"/>
              </w:rPr>
              <w:t>/</w:t>
            </w:r>
            <w:proofErr w:type="spellStart"/>
            <w:r w:rsidRPr="00D34A39">
              <w:rPr>
                <w:rFonts w:asciiTheme="majorHAnsi" w:hAnsiTheme="majorHAnsi"/>
                <w:sz w:val="20"/>
              </w:rPr>
              <w:t>Kobé</w:t>
            </w:r>
            <w:proofErr w:type="spellEnd"/>
            <w:r w:rsidRPr="00D34A39">
              <w:rPr>
                <w:rFonts w:asciiTheme="majorHAnsi" w:hAnsiTheme="majorHAnsi"/>
                <w:sz w:val="20"/>
              </w:rPr>
              <w:t xml:space="preserve"> </w:t>
            </w:r>
          </w:p>
        </w:tc>
        <w:tc>
          <w:tcPr>
            <w:tcW w:w="1710" w:type="pct"/>
          </w:tcPr>
          <w:p w14:paraId="6FBB7B5D"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(67,5%)</w:t>
            </w:r>
          </w:p>
        </w:tc>
      </w:tr>
      <w:tr w:rsidR="002833F9" w:rsidRPr="00EC38E8" w14:paraId="5823007F" w14:textId="77777777" w:rsidTr="00D34A39">
        <w:tc>
          <w:tcPr>
            <w:tcW w:w="3290" w:type="pct"/>
          </w:tcPr>
          <w:p w14:paraId="5C5E42E5"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Boulala</w:t>
            </w:r>
            <w:proofErr w:type="spellEnd"/>
            <w:r w:rsidRPr="00D34A39">
              <w:rPr>
                <w:rFonts w:asciiTheme="majorHAnsi" w:hAnsiTheme="majorHAnsi"/>
                <w:sz w:val="20"/>
              </w:rPr>
              <w:t>/</w:t>
            </w:r>
            <w:proofErr w:type="spellStart"/>
            <w:r w:rsidRPr="00D34A39">
              <w:rPr>
                <w:rFonts w:asciiTheme="majorHAnsi" w:hAnsiTheme="majorHAnsi"/>
                <w:sz w:val="20"/>
              </w:rPr>
              <w:t>Médégo</w:t>
            </w:r>
            <w:proofErr w:type="spellEnd"/>
            <w:r w:rsidRPr="00D34A39">
              <w:rPr>
                <w:rFonts w:asciiTheme="majorHAnsi" w:hAnsiTheme="majorHAnsi"/>
                <w:sz w:val="20"/>
              </w:rPr>
              <w:t>/</w:t>
            </w:r>
            <w:proofErr w:type="spellStart"/>
            <w:r w:rsidRPr="00D34A39">
              <w:rPr>
                <w:rFonts w:asciiTheme="majorHAnsi" w:hAnsiTheme="majorHAnsi"/>
                <w:sz w:val="20"/>
              </w:rPr>
              <w:t>Kouka</w:t>
            </w:r>
            <w:proofErr w:type="spellEnd"/>
            <w:r w:rsidRPr="00D34A39">
              <w:rPr>
                <w:rFonts w:asciiTheme="majorHAnsi" w:hAnsiTheme="majorHAnsi"/>
                <w:sz w:val="20"/>
              </w:rPr>
              <w:t xml:space="preserve"> </w:t>
            </w:r>
          </w:p>
        </w:tc>
        <w:tc>
          <w:tcPr>
            <w:tcW w:w="1710" w:type="pct"/>
          </w:tcPr>
          <w:p w14:paraId="2739313F"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(55,5 %)</w:t>
            </w:r>
          </w:p>
        </w:tc>
      </w:tr>
      <w:tr w:rsidR="002833F9" w:rsidRPr="00EC38E8" w14:paraId="7101B728" w14:textId="77777777" w:rsidTr="00D34A39">
        <w:tc>
          <w:tcPr>
            <w:tcW w:w="3290" w:type="pct"/>
          </w:tcPr>
          <w:p w14:paraId="51D6F455"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Groupe ethnique Sara (</w:t>
            </w:r>
            <w:proofErr w:type="spellStart"/>
            <w:r w:rsidRPr="00D34A39">
              <w:rPr>
                <w:rFonts w:asciiTheme="majorHAnsi" w:hAnsiTheme="majorHAnsi"/>
                <w:sz w:val="20"/>
              </w:rPr>
              <w:t>Ngambaye</w:t>
            </w:r>
            <w:proofErr w:type="spellEnd"/>
            <w:r w:rsidRPr="00D34A39">
              <w:rPr>
                <w:rFonts w:asciiTheme="majorHAnsi" w:hAnsiTheme="majorHAnsi"/>
                <w:sz w:val="20"/>
              </w:rPr>
              <w:t xml:space="preserve">/Sara </w:t>
            </w:r>
            <w:proofErr w:type="spellStart"/>
            <w:r w:rsidRPr="00D34A39">
              <w:rPr>
                <w:rFonts w:asciiTheme="majorHAnsi" w:hAnsiTheme="majorHAnsi"/>
                <w:sz w:val="20"/>
              </w:rPr>
              <w:t>Madjin</w:t>
            </w:r>
            <w:proofErr w:type="spellEnd"/>
            <w:r w:rsidRPr="00D34A39">
              <w:rPr>
                <w:rFonts w:asciiTheme="majorHAnsi" w:hAnsiTheme="majorHAnsi"/>
                <w:sz w:val="20"/>
              </w:rPr>
              <w:t>-</w:t>
            </w:r>
          </w:p>
          <w:p w14:paraId="3E6845CF"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Gaye/Mbaye) </w:t>
            </w:r>
          </w:p>
        </w:tc>
        <w:tc>
          <w:tcPr>
            <w:tcW w:w="1710" w:type="pct"/>
          </w:tcPr>
          <w:p w14:paraId="414AE360"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(38,8%)</w:t>
            </w:r>
          </w:p>
        </w:tc>
      </w:tr>
      <w:tr w:rsidR="002833F9" w:rsidRPr="00EC38E8" w14:paraId="2B281F81" w14:textId="77777777" w:rsidTr="00D34A39">
        <w:tc>
          <w:tcPr>
            <w:tcW w:w="3290" w:type="pct"/>
          </w:tcPr>
          <w:p w14:paraId="69DC7F33"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Groupes ethniques Tama/</w:t>
            </w:r>
            <w:proofErr w:type="spellStart"/>
            <w:r w:rsidRPr="00D34A39">
              <w:rPr>
                <w:rFonts w:asciiTheme="majorHAnsi" w:hAnsiTheme="majorHAnsi"/>
                <w:sz w:val="20"/>
              </w:rPr>
              <w:t>Assongori</w:t>
            </w:r>
            <w:proofErr w:type="spellEnd"/>
            <w:r w:rsidRPr="00D34A39">
              <w:rPr>
                <w:rFonts w:asciiTheme="majorHAnsi" w:hAnsiTheme="majorHAnsi"/>
                <w:sz w:val="20"/>
              </w:rPr>
              <w:t>/</w:t>
            </w:r>
            <w:proofErr w:type="spellStart"/>
            <w:r w:rsidRPr="00D34A39">
              <w:rPr>
                <w:rFonts w:asciiTheme="majorHAnsi" w:hAnsiTheme="majorHAnsi"/>
                <w:sz w:val="20"/>
              </w:rPr>
              <w:t>Mararit</w:t>
            </w:r>
            <w:proofErr w:type="spellEnd"/>
            <w:r w:rsidRPr="00D34A39">
              <w:rPr>
                <w:rFonts w:asciiTheme="majorHAnsi" w:hAnsiTheme="majorHAnsi"/>
                <w:sz w:val="20"/>
              </w:rPr>
              <w:t xml:space="preserve"> </w:t>
            </w:r>
          </w:p>
        </w:tc>
        <w:tc>
          <w:tcPr>
            <w:tcW w:w="1710" w:type="pct"/>
          </w:tcPr>
          <w:p w14:paraId="4B08C987"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(33,7%)</w:t>
            </w:r>
          </w:p>
        </w:tc>
      </w:tr>
      <w:tr w:rsidR="002833F9" w:rsidRPr="00EC38E8" w14:paraId="66CFCC38" w14:textId="77777777" w:rsidTr="00D34A39">
        <w:tc>
          <w:tcPr>
            <w:tcW w:w="3290" w:type="pct"/>
          </w:tcPr>
          <w:p w14:paraId="3D4D5B13"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Groupes ethniques Baguirmi/Barma </w:t>
            </w:r>
          </w:p>
        </w:tc>
        <w:tc>
          <w:tcPr>
            <w:tcW w:w="1710" w:type="pct"/>
          </w:tcPr>
          <w:p w14:paraId="5BABBF1E"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 xml:space="preserve"> (23,5 %)</w:t>
            </w:r>
          </w:p>
        </w:tc>
      </w:tr>
      <w:tr w:rsidR="002833F9" w:rsidRPr="00EC38E8" w14:paraId="11437AE7" w14:textId="77777777" w:rsidTr="00D34A39">
        <w:tc>
          <w:tcPr>
            <w:tcW w:w="3290" w:type="pct"/>
          </w:tcPr>
          <w:p w14:paraId="4CDA76E1"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Groupes ethniques Peul/Foulbé/</w:t>
            </w:r>
            <w:proofErr w:type="spellStart"/>
            <w:r w:rsidRPr="00D34A39">
              <w:rPr>
                <w:rFonts w:asciiTheme="majorHAnsi" w:hAnsiTheme="majorHAnsi"/>
                <w:sz w:val="20"/>
              </w:rPr>
              <w:t>Bodoré</w:t>
            </w:r>
            <w:proofErr w:type="spellEnd"/>
            <w:r w:rsidRPr="00D34A39">
              <w:rPr>
                <w:rFonts w:asciiTheme="majorHAnsi" w:hAnsiTheme="majorHAnsi"/>
                <w:sz w:val="20"/>
              </w:rPr>
              <w:t xml:space="preserve"> </w:t>
            </w:r>
          </w:p>
        </w:tc>
        <w:tc>
          <w:tcPr>
            <w:tcW w:w="1710" w:type="pct"/>
          </w:tcPr>
          <w:p w14:paraId="740F7D36"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(18,2%)</w:t>
            </w:r>
          </w:p>
        </w:tc>
      </w:tr>
      <w:tr w:rsidR="002833F9" w:rsidRPr="00EC38E8" w14:paraId="69AC0FAE" w14:textId="77777777" w:rsidTr="00D34A39">
        <w:tc>
          <w:tcPr>
            <w:tcW w:w="3290" w:type="pct"/>
          </w:tcPr>
          <w:p w14:paraId="64CEB42D"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 xml:space="preserve">Groupes ethniques Kanembou/Bornou/ Boudouma </w:t>
            </w:r>
          </w:p>
        </w:tc>
        <w:tc>
          <w:tcPr>
            <w:tcW w:w="1710" w:type="pct"/>
          </w:tcPr>
          <w:p w14:paraId="68E30E64"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(7 %)</w:t>
            </w:r>
          </w:p>
        </w:tc>
      </w:tr>
      <w:tr w:rsidR="002833F9" w:rsidRPr="00EC38E8" w14:paraId="7DC7F08C" w14:textId="77777777" w:rsidTr="00D34A39">
        <w:tc>
          <w:tcPr>
            <w:tcW w:w="3290" w:type="pct"/>
          </w:tcPr>
          <w:p w14:paraId="08E281FF" w14:textId="77777777" w:rsidR="00311F98" w:rsidRPr="00D34A39" w:rsidRDefault="00311F98" w:rsidP="002833F9">
            <w:pPr>
              <w:spacing w:after="0"/>
              <w:rPr>
                <w:rFonts w:asciiTheme="majorHAnsi" w:hAnsiTheme="majorHAnsi"/>
                <w:sz w:val="20"/>
              </w:rPr>
            </w:pPr>
            <w:r w:rsidRPr="00D34A39">
              <w:rPr>
                <w:rFonts w:asciiTheme="majorHAnsi" w:hAnsiTheme="majorHAnsi"/>
                <w:sz w:val="20"/>
              </w:rPr>
              <w:t xml:space="preserve">Groupe ethnique </w:t>
            </w:r>
            <w:proofErr w:type="spellStart"/>
            <w:r w:rsidRPr="00D34A39">
              <w:rPr>
                <w:rFonts w:asciiTheme="majorHAnsi" w:hAnsiTheme="majorHAnsi"/>
                <w:sz w:val="20"/>
              </w:rPr>
              <w:t>Gorane</w:t>
            </w:r>
            <w:proofErr w:type="spellEnd"/>
            <w:r w:rsidRPr="00D34A39">
              <w:rPr>
                <w:rFonts w:asciiTheme="majorHAnsi" w:hAnsiTheme="majorHAnsi"/>
                <w:sz w:val="20"/>
              </w:rPr>
              <w:t xml:space="preserve"> </w:t>
            </w:r>
          </w:p>
        </w:tc>
        <w:tc>
          <w:tcPr>
            <w:tcW w:w="1710" w:type="pct"/>
          </w:tcPr>
          <w:p w14:paraId="74A1C9CF"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(5,7 %)</w:t>
            </w:r>
          </w:p>
        </w:tc>
      </w:tr>
      <w:tr w:rsidR="002833F9" w:rsidRPr="00EC38E8" w14:paraId="64D28562" w14:textId="77777777" w:rsidTr="00D34A39">
        <w:tc>
          <w:tcPr>
            <w:tcW w:w="3290" w:type="pct"/>
          </w:tcPr>
          <w:p w14:paraId="7A642FDB"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Groupes ethniques Toupouri/</w:t>
            </w:r>
            <w:proofErr w:type="spellStart"/>
            <w:r w:rsidRPr="00D34A39">
              <w:rPr>
                <w:rFonts w:asciiTheme="majorHAnsi" w:hAnsiTheme="majorHAnsi"/>
                <w:sz w:val="20"/>
              </w:rPr>
              <w:t>Kéra</w:t>
            </w:r>
            <w:proofErr w:type="spellEnd"/>
            <w:r w:rsidRPr="00D34A39">
              <w:rPr>
                <w:rFonts w:asciiTheme="majorHAnsi" w:hAnsiTheme="majorHAnsi"/>
                <w:sz w:val="20"/>
              </w:rPr>
              <w:t xml:space="preserve"> </w:t>
            </w:r>
          </w:p>
        </w:tc>
        <w:tc>
          <w:tcPr>
            <w:tcW w:w="1710" w:type="pct"/>
          </w:tcPr>
          <w:p w14:paraId="708CCE48"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(4,4 %)</w:t>
            </w:r>
          </w:p>
        </w:tc>
      </w:tr>
      <w:tr w:rsidR="002833F9" w:rsidRPr="00EC38E8" w14:paraId="225BDE72" w14:textId="77777777" w:rsidTr="00D34A39">
        <w:tc>
          <w:tcPr>
            <w:tcW w:w="3290" w:type="pct"/>
          </w:tcPr>
          <w:p w14:paraId="7B53E9B9"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Gabri</w:t>
            </w:r>
            <w:proofErr w:type="spellEnd"/>
            <w:r w:rsidRPr="00D34A39">
              <w:rPr>
                <w:rFonts w:asciiTheme="majorHAnsi" w:hAnsiTheme="majorHAnsi"/>
                <w:sz w:val="20"/>
              </w:rPr>
              <w:t>/</w:t>
            </w:r>
            <w:proofErr w:type="spellStart"/>
            <w:r w:rsidRPr="00D34A39">
              <w:rPr>
                <w:rFonts w:asciiTheme="majorHAnsi" w:hAnsiTheme="majorHAnsi"/>
                <w:sz w:val="20"/>
              </w:rPr>
              <w:t>Kabalaye</w:t>
            </w:r>
            <w:proofErr w:type="spellEnd"/>
            <w:r w:rsidRPr="00D34A39">
              <w:rPr>
                <w:rFonts w:asciiTheme="majorHAnsi" w:hAnsiTheme="majorHAnsi"/>
                <w:sz w:val="20"/>
              </w:rPr>
              <w:t>/</w:t>
            </w:r>
            <w:proofErr w:type="spellStart"/>
            <w:r w:rsidRPr="00D34A39">
              <w:rPr>
                <w:rFonts w:asciiTheme="majorHAnsi" w:hAnsiTheme="majorHAnsi"/>
                <w:sz w:val="20"/>
              </w:rPr>
              <w:t>Nangtchéré</w:t>
            </w:r>
            <w:proofErr w:type="spellEnd"/>
            <w:r w:rsidRPr="00D34A39">
              <w:rPr>
                <w:rFonts w:asciiTheme="majorHAnsi" w:hAnsiTheme="majorHAnsi"/>
                <w:sz w:val="20"/>
              </w:rPr>
              <w:t>/</w:t>
            </w:r>
            <w:proofErr w:type="spellStart"/>
            <w:r w:rsidRPr="00D34A39">
              <w:rPr>
                <w:rFonts w:asciiTheme="majorHAnsi" w:hAnsiTheme="majorHAnsi"/>
                <w:sz w:val="20"/>
              </w:rPr>
              <w:t>Soumraye</w:t>
            </w:r>
            <w:proofErr w:type="spellEnd"/>
            <w:r w:rsidRPr="00D34A39">
              <w:rPr>
                <w:rFonts w:asciiTheme="majorHAnsi" w:hAnsiTheme="majorHAnsi"/>
                <w:sz w:val="20"/>
              </w:rPr>
              <w:t xml:space="preserve"> </w:t>
            </w:r>
          </w:p>
        </w:tc>
        <w:tc>
          <w:tcPr>
            <w:tcW w:w="1710" w:type="pct"/>
          </w:tcPr>
          <w:p w14:paraId="5D3A5857"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(3,7 %)</w:t>
            </w:r>
          </w:p>
        </w:tc>
      </w:tr>
      <w:tr w:rsidR="002833F9" w:rsidRPr="00EC38E8" w14:paraId="004C1CF1" w14:textId="77777777" w:rsidTr="00D34A39">
        <w:tc>
          <w:tcPr>
            <w:tcW w:w="3290" w:type="pct"/>
          </w:tcPr>
          <w:p w14:paraId="397170EA"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 xml:space="preserve">Groupe ethnique Moundang </w:t>
            </w:r>
          </w:p>
        </w:tc>
        <w:tc>
          <w:tcPr>
            <w:tcW w:w="1710" w:type="pct"/>
          </w:tcPr>
          <w:p w14:paraId="50058F02"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(2,4 %)</w:t>
            </w:r>
          </w:p>
        </w:tc>
      </w:tr>
      <w:tr w:rsidR="002833F9" w:rsidRPr="00EC38E8" w14:paraId="3E902AEE" w14:textId="77777777" w:rsidTr="00D34A39">
        <w:tc>
          <w:tcPr>
            <w:tcW w:w="3290" w:type="pct"/>
          </w:tcPr>
          <w:p w14:paraId="02FEFB88"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Karo</w:t>
            </w:r>
            <w:proofErr w:type="spellEnd"/>
            <w:r w:rsidRPr="00D34A39">
              <w:rPr>
                <w:rFonts w:asciiTheme="majorHAnsi" w:hAnsiTheme="majorHAnsi"/>
                <w:sz w:val="20"/>
              </w:rPr>
              <w:t>/</w:t>
            </w:r>
            <w:proofErr w:type="spellStart"/>
            <w:r w:rsidRPr="00D34A39">
              <w:rPr>
                <w:rFonts w:asciiTheme="majorHAnsi" w:hAnsiTheme="majorHAnsi"/>
                <w:sz w:val="20"/>
              </w:rPr>
              <w:t>Zimé</w:t>
            </w:r>
            <w:proofErr w:type="spellEnd"/>
            <w:r w:rsidRPr="00D34A39">
              <w:rPr>
                <w:rFonts w:asciiTheme="majorHAnsi" w:hAnsiTheme="majorHAnsi"/>
                <w:sz w:val="20"/>
              </w:rPr>
              <w:t>/</w:t>
            </w:r>
            <w:proofErr w:type="spellStart"/>
            <w:r w:rsidRPr="00D34A39">
              <w:rPr>
                <w:rFonts w:asciiTheme="majorHAnsi" w:hAnsiTheme="majorHAnsi"/>
                <w:sz w:val="20"/>
              </w:rPr>
              <w:t>Pévé</w:t>
            </w:r>
            <w:proofErr w:type="spellEnd"/>
            <w:r w:rsidRPr="00D34A39">
              <w:rPr>
                <w:rFonts w:asciiTheme="majorHAnsi" w:hAnsiTheme="majorHAnsi"/>
                <w:sz w:val="20"/>
              </w:rPr>
              <w:t xml:space="preserve"> </w:t>
            </w:r>
          </w:p>
        </w:tc>
        <w:tc>
          <w:tcPr>
            <w:tcW w:w="1710" w:type="pct"/>
          </w:tcPr>
          <w:p w14:paraId="0B0449CE"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(2,4 %)</w:t>
            </w:r>
          </w:p>
        </w:tc>
      </w:tr>
      <w:tr w:rsidR="002833F9" w:rsidRPr="00EC38E8" w14:paraId="772B1C20" w14:textId="77777777" w:rsidTr="00D34A39">
        <w:tc>
          <w:tcPr>
            <w:tcW w:w="3290" w:type="pct"/>
          </w:tcPr>
          <w:p w14:paraId="3BCBD4E0"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lastRenderedPageBreak/>
              <w:t>Groupes ethniques Massa/</w:t>
            </w:r>
            <w:proofErr w:type="spellStart"/>
            <w:r w:rsidRPr="00D34A39">
              <w:rPr>
                <w:rFonts w:asciiTheme="majorHAnsi" w:hAnsiTheme="majorHAnsi"/>
                <w:sz w:val="20"/>
              </w:rPr>
              <w:t>Mousseye</w:t>
            </w:r>
            <w:proofErr w:type="spellEnd"/>
            <w:r w:rsidRPr="00D34A39">
              <w:rPr>
                <w:rFonts w:asciiTheme="majorHAnsi" w:hAnsiTheme="majorHAnsi"/>
                <w:sz w:val="20"/>
              </w:rPr>
              <w:t>/</w:t>
            </w:r>
            <w:proofErr w:type="spellStart"/>
            <w:r w:rsidRPr="00D34A39">
              <w:rPr>
                <w:rFonts w:asciiTheme="majorHAnsi" w:hAnsiTheme="majorHAnsi"/>
                <w:sz w:val="20"/>
              </w:rPr>
              <w:t>Mousgoume</w:t>
            </w:r>
            <w:proofErr w:type="spellEnd"/>
          </w:p>
        </w:tc>
        <w:tc>
          <w:tcPr>
            <w:tcW w:w="1710" w:type="pct"/>
          </w:tcPr>
          <w:p w14:paraId="15B26075"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(2,1 %)</w:t>
            </w:r>
          </w:p>
        </w:tc>
      </w:tr>
      <w:tr w:rsidR="008277A9" w:rsidRPr="00EC38E8" w14:paraId="325A7FE9" w14:textId="77777777" w:rsidTr="00D34A39">
        <w:tc>
          <w:tcPr>
            <w:tcW w:w="3290" w:type="pct"/>
          </w:tcPr>
          <w:p w14:paraId="4BE2FD99" w14:textId="77777777" w:rsidR="00311F98" w:rsidRPr="00D34A39" w:rsidRDefault="00311F98" w:rsidP="002833F9">
            <w:pPr>
              <w:autoSpaceDE w:val="0"/>
              <w:autoSpaceDN w:val="0"/>
              <w:adjustRightInd w:val="0"/>
              <w:spacing w:after="0"/>
              <w:rPr>
                <w:rFonts w:asciiTheme="majorHAnsi" w:hAnsiTheme="majorHAnsi"/>
                <w:sz w:val="20"/>
              </w:rPr>
            </w:pPr>
            <w:r w:rsidRPr="00D34A39">
              <w:rPr>
                <w:rFonts w:asciiTheme="majorHAnsi" w:hAnsiTheme="majorHAnsi"/>
                <w:sz w:val="20"/>
              </w:rPr>
              <w:t xml:space="preserve">Groupes ethniques </w:t>
            </w:r>
            <w:proofErr w:type="spellStart"/>
            <w:r w:rsidRPr="00D34A39">
              <w:rPr>
                <w:rFonts w:asciiTheme="majorHAnsi" w:hAnsiTheme="majorHAnsi"/>
                <w:sz w:val="20"/>
              </w:rPr>
              <w:t>Marba</w:t>
            </w:r>
            <w:proofErr w:type="spellEnd"/>
            <w:r w:rsidRPr="00D34A39">
              <w:rPr>
                <w:rFonts w:asciiTheme="majorHAnsi" w:hAnsiTheme="majorHAnsi"/>
                <w:sz w:val="20"/>
              </w:rPr>
              <w:t>/</w:t>
            </w:r>
            <w:proofErr w:type="spellStart"/>
            <w:r w:rsidRPr="00D34A39">
              <w:rPr>
                <w:rFonts w:asciiTheme="majorHAnsi" w:hAnsiTheme="majorHAnsi"/>
                <w:sz w:val="20"/>
              </w:rPr>
              <w:t>Lélé</w:t>
            </w:r>
            <w:proofErr w:type="spellEnd"/>
            <w:r w:rsidRPr="00D34A39">
              <w:rPr>
                <w:rFonts w:asciiTheme="majorHAnsi" w:hAnsiTheme="majorHAnsi"/>
                <w:sz w:val="20"/>
              </w:rPr>
              <w:t>/</w:t>
            </w:r>
            <w:proofErr w:type="spellStart"/>
            <w:r w:rsidRPr="00D34A39">
              <w:rPr>
                <w:rFonts w:asciiTheme="majorHAnsi" w:hAnsiTheme="majorHAnsi"/>
                <w:sz w:val="20"/>
              </w:rPr>
              <w:t>Mesmé</w:t>
            </w:r>
            <w:proofErr w:type="spellEnd"/>
            <w:r w:rsidRPr="00D34A39">
              <w:rPr>
                <w:rFonts w:asciiTheme="majorHAnsi" w:hAnsiTheme="majorHAnsi"/>
                <w:sz w:val="20"/>
              </w:rPr>
              <w:t xml:space="preserve"> </w:t>
            </w:r>
          </w:p>
        </w:tc>
        <w:tc>
          <w:tcPr>
            <w:tcW w:w="1710" w:type="pct"/>
          </w:tcPr>
          <w:p w14:paraId="5E27A7BA" w14:textId="77777777" w:rsidR="00311F98" w:rsidRPr="00D34A39" w:rsidRDefault="00311F98" w:rsidP="002833F9">
            <w:pPr>
              <w:spacing w:after="0"/>
              <w:jc w:val="center"/>
              <w:rPr>
                <w:rFonts w:asciiTheme="majorHAnsi" w:hAnsiTheme="majorHAnsi"/>
                <w:sz w:val="20"/>
              </w:rPr>
            </w:pPr>
            <w:r w:rsidRPr="00D34A39">
              <w:rPr>
                <w:rFonts w:asciiTheme="majorHAnsi" w:hAnsiTheme="majorHAnsi"/>
                <w:sz w:val="20"/>
              </w:rPr>
              <w:t>(0,4%)</w:t>
            </w:r>
          </w:p>
        </w:tc>
      </w:tr>
    </w:tbl>
    <w:p w14:paraId="2F939476" w14:textId="10F1BEC3" w:rsidR="30DCC7F0" w:rsidRDefault="30DCC7F0"/>
    <w:p w14:paraId="75622128" w14:textId="300DDCE4" w:rsidR="00667A1F" w:rsidRPr="00D34A39" w:rsidRDefault="00EC38E8" w:rsidP="00D34A39">
      <w:pPr>
        <w:spacing w:after="0"/>
        <w:rPr>
          <w:rFonts w:ascii="Calibri Light" w:hAnsi="Calibri Light"/>
          <w:b/>
          <w:sz w:val="20"/>
          <w:u w:val="single"/>
        </w:rPr>
      </w:pPr>
      <w:r w:rsidRPr="00EC38E8">
        <w:rPr>
          <w:rFonts w:ascii="Calibri Light" w:hAnsi="Calibri Light"/>
          <w:b/>
          <w:i/>
          <w:iCs/>
          <w:sz w:val="20"/>
          <w:szCs w:val="18"/>
          <w:u w:val="single"/>
        </w:rPr>
        <w:t>Source</w:t>
      </w:r>
      <w:r w:rsidRPr="00EC38E8">
        <w:rPr>
          <w:rFonts w:ascii="Calibri Light" w:hAnsi="Calibri Light"/>
          <w:b/>
          <w:sz w:val="20"/>
          <w:szCs w:val="18"/>
          <w:u w:val="single"/>
        </w:rPr>
        <w:t xml:space="preserve"> : </w:t>
      </w:r>
      <w:r w:rsidRPr="00EC38E8">
        <w:rPr>
          <w:rFonts w:ascii="Calibri Light" w:hAnsi="Calibri Light"/>
          <w:bCs/>
          <w:sz w:val="20"/>
          <w:szCs w:val="18"/>
        </w:rPr>
        <w:t>Extrait des données de l'EDS2014-2015</w:t>
      </w:r>
    </w:p>
    <w:p w14:paraId="7E85491B" w14:textId="58358639" w:rsidR="00667A1F" w:rsidRDefault="00667A1F" w:rsidP="008B127B">
      <w:pPr>
        <w:spacing w:after="0"/>
        <w:jc w:val="center"/>
        <w:rPr>
          <w:rFonts w:ascii="Calibri Light" w:hAnsi="Calibri Light"/>
          <w:b/>
          <w:sz w:val="24"/>
          <w:u w:val="single"/>
        </w:rPr>
      </w:pPr>
    </w:p>
    <w:p w14:paraId="5657583B" w14:textId="3F610DD4" w:rsidR="003D4B79" w:rsidRPr="00913696" w:rsidRDefault="003D4B79" w:rsidP="00A8375B">
      <w:pPr>
        <w:pStyle w:val="Titre1"/>
        <w:rPr>
          <w:rFonts w:ascii="Times New Roman" w:hAnsi="Times New Roman"/>
          <w:b/>
          <w:bCs/>
        </w:rPr>
      </w:pPr>
      <w:bookmarkStart w:id="364" w:name="_Toc61523621"/>
      <w:bookmarkStart w:id="365" w:name="_Toc90910823"/>
      <w:r w:rsidRPr="00913696">
        <w:rPr>
          <w:rFonts w:ascii="Times New Roman" w:hAnsi="Times New Roman"/>
          <w:b/>
          <w:bCs/>
        </w:rPr>
        <w:t xml:space="preserve">ANNEXE </w:t>
      </w:r>
      <w:r w:rsidR="002A58F8">
        <w:rPr>
          <w:rFonts w:ascii="Times New Roman" w:hAnsi="Times New Roman"/>
          <w:b/>
          <w:bCs/>
        </w:rPr>
        <w:t>5</w:t>
      </w:r>
      <w:r w:rsidRPr="00913696">
        <w:rPr>
          <w:rFonts w:ascii="Times New Roman" w:hAnsi="Times New Roman"/>
          <w:b/>
          <w:bCs/>
        </w:rPr>
        <w:t xml:space="preserve"> : Evolution des principaux indicateurs scolaires du Tchad sur la période 2015 – 2019</w:t>
      </w:r>
      <w:bookmarkEnd w:id="364"/>
      <w:bookmarkEnd w:id="365"/>
    </w:p>
    <w:tbl>
      <w:tblPr>
        <w:tblW w:w="10943" w:type="dxa"/>
        <w:jc w:val="center"/>
        <w:tblCellMar>
          <w:left w:w="0" w:type="dxa"/>
          <w:right w:w="0" w:type="dxa"/>
        </w:tblCellMar>
        <w:tblLook w:val="04A0" w:firstRow="1" w:lastRow="0" w:firstColumn="1" w:lastColumn="0" w:noHBand="0" w:noVBand="1"/>
      </w:tblPr>
      <w:tblGrid>
        <w:gridCol w:w="2301"/>
        <w:gridCol w:w="1192"/>
        <w:gridCol w:w="1490"/>
        <w:gridCol w:w="1490"/>
        <w:gridCol w:w="1490"/>
        <w:gridCol w:w="1490"/>
        <w:gridCol w:w="1490"/>
      </w:tblGrid>
      <w:tr w:rsidR="003D4B79" w:rsidRPr="008342C9" w14:paraId="09050807" w14:textId="77777777" w:rsidTr="00913696">
        <w:trPr>
          <w:trHeight w:val="375"/>
          <w:jc w:val="center"/>
        </w:trPr>
        <w:tc>
          <w:tcPr>
            <w:tcW w:w="10943" w:type="dxa"/>
            <w:gridSpan w:val="7"/>
            <w:tcBorders>
              <w:top w:val="single" w:sz="8" w:space="0" w:color="auto"/>
              <w:left w:val="single" w:sz="8" w:space="0" w:color="auto"/>
              <w:bottom w:val="single" w:sz="8" w:space="0" w:color="auto"/>
              <w:right w:val="single" w:sz="8" w:space="0" w:color="000000"/>
            </w:tcBorders>
            <w:shd w:val="clear" w:color="auto" w:fill="F4B084"/>
            <w:noWrap/>
            <w:tcMar>
              <w:top w:w="0" w:type="dxa"/>
              <w:left w:w="70" w:type="dxa"/>
              <w:bottom w:w="0" w:type="dxa"/>
              <w:right w:w="70" w:type="dxa"/>
            </w:tcMar>
            <w:vAlign w:val="bottom"/>
            <w:hideMark/>
          </w:tcPr>
          <w:p w14:paraId="3398D3E0"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Evolution des effectifs des élèves du Tchad</w:t>
            </w:r>
          </w:p>
        </w:tc>
      </w:tr>
      <w:tr w:rsidR="003D4B79" w:rsidRPr="008342C9" w14:paraId="6E5E8C82" w14:textId="77777777" w:rsidTr="00913696">
        <w:trPr>
          <w:trHeight w:val="300"/>
          <w:jc w:val="center"/>
        </w:trPr>
        <w:tc>
          <w:tcPr>
            <w:tcW w:w="2301" w:type="dxa"/>
            <w:tcBorders>
              <w:top w:val="nil"/>
              <w:left w:val="single" w:sz="8" w:space="0" w:color="auto"/>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2111AB3E" w14:textId="689CBA0C"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3DE333ED"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Sexe</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504BF319"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2014/15</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0CB9E46C"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2015/16</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527CAAA5"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2016/17</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13AB6A9D"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2017/18</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3225C760"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2018/19</w:t>
            </w:r>
          </w:p>
        </w:tc>
      </w:tr>
      <w:tr w:rsidR="003D4B79" w:rsidRPr="008342C9" w14:paraId="7F0279E1"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3C4140E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Préscolaire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E62AFB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AFBA6E5" w14:textId="3C9E34DA" w:rsidR="003D4B79" w:rsidRPr="00A8375B" w:rsidRDefault="003D4B79" w:rsidP="00913696">
            <w:pPr>
              <w:spacing w:after="0"/>
              <w:jc w:val="center"/>
              <w:rPr>
                <w:rFonts w:ascii="Vrinda" w:hAnsi="Vrinda"/>
                <w:sz w:val="20"/>
                <w:u w:val="single"/>
              </w:rPr>
            </w:pPr>
            <w:r w:rsidRPr="00A8375B">
              <w:rPr>
                <w:rFonts w:ascii="Vrinda" w:hAnsi="Vrinda"/>
                <w:sz w:val="20"/>
                <w:u w:val="single"/>
              </w:rPr>
              <w:t>6 590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33E677F" w14:textId="6C8E9456" w:rsidR="003D4B79" w:rsidRPr="00A8375B" w:rsidRDefault="003D4B79" w:rsidP="00913696">
            <w:pPr>
              <w:spacing w:after="0"/>
              <w:jc w:val="center"/>
              <w:rPr>
                <w:rFonts w:ascii="Vrinda" w:hAnsi="Vrinda"/>
                <w:sz w:val="20"/>
                <w:u w:val="single"/>
              </w:rPr>
            </w:pPr>
            <w:r w:rsidRPr="00A8375B">
              <w:rPr>
                <w:rFonts w:ascii="Vrinda" w:hAnsi="Vrinda"/>
                <w:sz w:val="20"/>
                <w:u w:val="single"/>
              </w:rPr>
              <w:t>7 379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C1557D7" w14:textId="345CA9F5" w:rsidR="003D4B79" w:rsidRPr="00A8375B" w:rsidRDefault="003D4B79" w:rsidP="00913696">
            <w:pPr>
              <w:spacing w:after="0"/>
              <w:jc w:val="center"/>
              <w:rPr>
                <w:rFonts w:ascii="Vrinda" w:hAnsi="Vrinda"/>
                <w:sz w:val="20"/>
                <w:u w:val="single"/>
              </w:rPr>
            </w:pPr>
            <w:r w:rsidRPr="00A8375B">
              <w:rPr>
                <w:rFonts w:ascii="Vrinda" w:hAnsi="Vrinda"/>
                <w:sz w:val="20"/>
                <w:u w:val="single"/>
              </w:rPr>
              <w:t>5 837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9D7B1BD" w14:textId="73B55568" w:rsidR="003D4B79" w:rsidRPr="00A8375B" w:rsidRDefault="003D4B79" w:rsidP="00913696">
            <w:pPr>
              <w:spacing w:after="0"/>
              <w:jc w:val="center"/>
              <w:rPr>
                <w:rFonts w:ascii="Vrinda" w:hAnsi="Vrinda"/>
                <w:sz w:val="20"/>
                <w:u w:val="single"/>
              </w:rPr>
            </w:pPr>
            <w:r w:rsidRPr="00A8375B">
              <w:rPr>
                <w:rFonts w:ascii="Vrinda" w:hAnsi="Vrinda"/>
                <w:sz w:val="20"/>
                <w:u w:val="single"/>
              </w:rPr>
              <w:t>8 702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2CA8950" w14:textId="54247220" w:rsidR="003D4B79" w:rsidRPr="00A8375B" w:rsidRDefault="003D4B79" w:rsidP="00913696">
            <w:pPr>
              <w:spacing w:after="0"/>
              <w:jc w:val="center"/>
              <w:rPr>
                <w:rFonts w:ascii="Vrinda" w:hAnsi="Vrinda"/>
                <w:sz w:val="20"/>
                <w:u w:val="single"/>
              </w:rPr>
            </w:pPr>
            <w:r w:rsidRPr="00A8375B">
              <w:rPr>
                <w:rFonts w:ascii="Vrinda" w:hAnsi="Vrinda"/>
                <w:sz w:val="20"/>
                <w:u w:val="single"/>
              </w:rPr>
              <w:t>8 926</w:t>
            </w:r>
          </w:p>
        </w:tc>
      </w:tr>
      <w:tr w:rsidR="003D4B79" w:rsidRPr="008342C9" w14:paraId="79C930A2"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D0AB94E"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F73B5E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515830E" w14:textId="199B8E10" w:rsidR="003D4B79" w:rsidRPr="00A8375B" w:rsidRDefault="003D4B79" w:rsidP="00913696">
            <w:pPr>
              <w:spacing w:after="0"/>
              <w:jc w:val="center"/>
              <w:rPr>
                <w:rFonts w:ascii="Vrinda" w:hAnsi="Vrinda"/>
                <w:sz w:val="20"/>
                <w:u w:val="single"/>
              </w:rPr>
            </w:pPr>
            <w:r w:rsidRPr="00A8375B">
              <w:rPr>
                <w:rFonts w:ascii="Vrinda" w:hAnsi="Vrinda"/>
                <w:sz w:val="20"/>
                <w:u w:val="single"/>
              </w:rPr>
              <w:t>6 738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55195C4" w14:textId="158CB5AA" w:rsidR="003D4B79" w:rsidRPr="00A8375B" w:rsidRDefault="003D4B79" w:rsidP="00913696">
            <w:pPr>
              <w:spacing w:after="0"/>
              <w:jc w:val="center"/>
              <w:rPr>
                <w:rFonts w:ascii="Vrinda" w:hAnsi="Vrinda"/>
                <w:sz w:val="20"/>
                <w:u w:val="single"/>
              </w:rPr>
            </w:pPr>
            <w:r w:rsidRPr="00A8375B">
              <w:rPr>
                <w:rFonts w:ascii="Vrinda" w:hAnsi="Vrinda"/>
                <w:sz w:val="20"/>
                <w:u w:val="single"/>
              </w:rPr>
              <w:t>6 735</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5EB4657" w14:textId="7DB42353" w:rsidR="003D4B79" w:rsidRPr="00A8375B" w:rsidRDefault="003D4B79" w:rsidP="00913696">
            <w:pPr>
              <w:spacing w:after="0"/>
              <w:jc w:val="center"/>
              <w:rPr>
                <w:rFonts w:ascii="Vrinda" w:hAnsi="Vrinda"/>
                <w:sz w:val="20"/>
                <w:u w:val="single"/>
              </w:rPr>
            </w:pPr>
            <w:r w:rsidRPr="00A8375B">
              <w:rPr>
                <w:rFonts w:ascii="Vrinda" w:hAnsi="Vrinda"/>
                <w:sz w:val="20"/>
                <w:u w:val="single"/>
              </w:rPr>
              <w:t>5 400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DF62BAD" w14:textId="051C7862" w:rsidR="003D4B79" w:rsidRPr="00A8375B" w:rsidRDefault="003D4B79" w:rsidP="00913696">
            <w:pPr>
              <w:spacing w:after="0"/>
              <w:jc w:val="center"/>
              <w:rPr>
                <w:rFonts w:ascii="Vrinda" w:hAnsi="Vrinda"/>
                <w:sz w:val="20"/>
                <w:u w:val="single"/>
              </w:rPr>
            </w:pPr>
            <w:r w:rsidRPr="00A8375B">
              <w:rPr>
                <w:rFonts w:ascii="Vrinda" w:hAnsi="Vrinda"/>
                <w:sz w:val="20"/>
                <w:u w:val="single"/>
              </w:rPr>
              <w:t>8 142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7F69544" w14:textId="123D12BD" w:rsidR="003D4B79" w:rsidRPr="00A8375B" w:rsidRDefault="003D4B79" w:rsidP="00913696">
            <w:pPr>
              <w:spacing w:after="0"/>
              <w:jc w:val="center"/>
              <w:rPr>
                <w:rFonts w:ascii="Vrinda" w:hAnsi="Vrinda"/>
                <w:sz w:val="20"/>
                <w:u w:val="single"/>
              </w:rPr>
            </w:pPr>
            <w:r w:rsidRPr="00A8375B">
              <w:rPr>
                <w:rFonts w:ascii="Vrinda" w:hAnsi="Vrinda"/>
                <w:sz w:val="20"/>
                <w:u w:val="single"/>
              </w:rPr>
              <w:t>8 500</w:t>
            </w:r>
          </w:p>
        </w:tc>
      </w:tr>
      <w:tr w:rsidR="003D4B79" w:rsidRPr="008342C9" w14:paraId="36BA8804"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365BBC60"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8567CB9"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Total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8FBBAD9" w14:textId="68B0F293" w:rsidR="003D4B79" w:rsidRPr="00A8375B" w:rsidRDefault="003D4B79" w:rsidP="00913696">
            <w:pPr>
              <w:spacing w:after="0"/>
              <w:jc w:val="center"/>
              <w:rPr>
                <w:rFonts w:ascii="Vrinda" w:hAnsi="Vrinda"/>
                <w:sz w:val="20"/>
                <w:u w:val="single"/>
              </w:rPr>
            </w:pPr>
            <w:r w:rsidRPr="00A8375B">
              <w:rPr>
                <w:rFonts w:ascii="Vrinda" w:hAnsi="Vrinda"/>
                <w:b/>
                <w:sz w:val="20"/>
                <w:u w:val="single"/>
              </w:rPr>
              <w:t>13 328</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C3BD133" w14:textId="0BF00AF6" w:rsidR="003D4B79" w:rsidRPr="00A8375B" w:rsidRDefault="003D4B79" w:rsidP="00913696">
            <w:pPr>
              <w:spacing w:after="0"/>
              <w:jc w:val="center"/>
              <w:rPr>
                <w:rFonts w:ascii="Vrinda" w:hAnsi="Vrinda"/>
                <w:sz w:val="20"/>
                <w:u w:val="single"/>
              </w:rPr>
            </w:pPr>
            <w:r w:rsidRPr="00A8375B">
              <w:rPr>
                <w:rFonts w:ascii="Vrinda" w:hAnsi="Vrinda"/>
                <w:b/>
                <w:sz w:val="20"/>
                <w:u w:val="single"/>
              </w:rPr>
              <w:t>14 114</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DD57E78" w14:textId="63F27F71" w:rsidR="003D4B79" w:rsidRPr="00A8375B" w:rsidRDefault="003D4B79" w:rsidP="00913696">
            <w:pPr>
              <w:spacing w:after="0"/>
              <w:jc w:val="center"/>
              <w:rPr>
                <w:rFonts w:ascii="Vrinda" w:hAnsi="Vrinda"/>
                <w:sz w:val="20"/>
                <w:u w:val="single"/>
              </w:rPr>
            </w:pPr>
            <w:r w:rsidRPr="00A8375B">
              <w:rPr>
                <w:rFonts w:ascii="Vrinda" w:hAnsi="Vrinda"/>
                <w:b/>
                <w:sz w:val="20"/>
                <w:u w:val="single"/>
              </w:rPr>
              <w:t>11 237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261C5D9" w14:textId="251B2182" w:rsidR="003D4B79" w:rsidRPr="00A8375B" w:rsidRDefault="003D4B79" w:rsidP="00913696">
            <w:pPr>
              <w:spacing w:after="0"/>
              <w:jc w:val="center"/>
              <w:rPr>
                <w:rFonts w:ascii="Vrinda" w:hAnsi="Vrinda"/>
                <w:sz w:val="20"/>
                <w:u w:val="single"/>
              </w:rPr>
            </w:pPr>
            <w:r w:rsidRPr="00A8375B">
              <w:rPr>
                <w:rFonts w:ascii="Vrinda" w:hAnsi="Vrinda"/>
                <w:b/>
                <w:sz w:val="20"/>
                <w:u w:val="single"/>
              </w:rPr>
              <w:t>16 844</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BEFB9DF" w14:textId="079DEFD0" w:rsidR="003D4B79" w:rsidRPr="00A8375B" w:rsidRDefault="003D4B79" w:rsidP="00913696">
            <w:pPr>
              <w:spacing w:after="0"/>
              <w:jc w:val="center"/>
              <w:rPr>
                <w:rFonts w:ascii="Vrinda" w:hAnsi="Vrinda"/>
                <w:sz w:val="20"/>
                <w:u w:val="single"/>
              </w:rPr>
            </w:pPr>
            <w:r w:rsidRPr="00A8375B">
              <w:rPr>
                <w:rFonts w:ascii="Vrinda" w:hAnsi="Vrinda"/>
                <w:b/>
                <w:sz w:val="20"/>
                <w:u w:val="single"/>
              </w:rPr>
              <w:t>17 426</w:t>
            </w:r>
          </w:p>
        </w:tc>
      </w:tr>
      <w:tr w:rsidR="003D4B79" w:rsidRPr="008342C9" w14:paraId="3E5D0AA2"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2D00D08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Primaire</w:t>
            </w:r>
          </w:p>
        </w:tc>
        <w:tc>
          <w:tcPr>
            <w:tcW w:w="1192" w:type="dxa"/>
            <w:tcBorders>
              <w:top w:val="nil"/>
              <w:left w:val="nil"/>
              <w:bottom w:val="single" w:sz="8" w:space="0" w:color="auto"/>
              <w:right w:val="single" w:sz="8" w:space="0" w:color="auto"/>
            </w:tcBorders>
            <w:tcMar>
              <w:top w:w="0" w:type="dxa"/>
              <w:left w:w="70" w:type="dxa"/>
              <w:bottom w:w="0" w:type="dxa"/>
              <w:right w:w="70" w:type="dxa"/>
            </w:tcMar>
            <w:hideMark/>
          </w:tcPr>
          <w:p w14:paraId="134BB08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9C0898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1 287 413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A67FED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1 253 512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2A95EC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1 175 578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6A66AE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1 353 293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9604C5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1 391 647</w:t>
            </w:r>
          </w:p>
        </w:tc>
      </w:tr>
      <w:tr w:rsidR="003D4B79" w:rsidRPr="008342C9" w14:paraId="494C6C0C"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26DB3B5"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tcMar>
              <w:top w:w="0" w:type="dxa"/>
              <w:left w:w="70" w:type="dxa"/>
              <w:bottom w:w="0" w:type="dxa"/>
              <w:right w:w="70" w:type="dxa"/>
            </w:tcMar>
            <w:hideMark/>
          </w:tcPr>
          <w:p w14:paraId="1593EBD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6CB5CB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982 691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2B0A88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959 711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E3D366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893 858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D5CE99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1 045 317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079BCC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1 077 141</w:t>
            </w:r>
          </w:p>
        </w:tc>
      </w:tr>
      <w:tr w:rsidR="003D4B79" w:rsidRPr="008342C9" w14:paraId="3B612B0C"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3D9D9F6"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78B5E6D"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Total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8B24DF2" w14:textId="63974F47" w:rsidR="003D4B79" w:rsidRPr="00A8375B" w:rsidRDefault="003D4B79" w:rsidP="00913696">
            <w:pPr>
              <w:spacing w:after="0"/>
              <w:jc w:val="center"/>
              <w:rPr>
                <w:rFonts w:ascii="Vrinda" w:hAnsi="Vrinda"/>
                <w:sz w:val="20"/>
                <w:u w:val="single"/>
              </w:rPr>
            </w:pPr>
            <w:r w:rsidRPr="00A8375B">
              <w:rPr>
                <w:rFonts w:ascii="Vrinda" w:hAnsi="Vrinda"/>
                <w:b/>
                <w:sz w:val="20"/>
                <w:u w:val="single"/>
              </w:rPr>
              <w:t>2 213 223</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B65084A" w14:textId="4758A8A7" w:rsidR="003D4B79" w:rsidRPr="00A8375B" w:rsidRDefault="003D4B79" w:rsidP="00913696">
            <w:pPr>
              <w:spacing w:after="0"/>
              <w:jc w:val="center"/>
              <w:rPr>
                <w:rFonts w:ascii="Vrinda" w:hAnsi="Vrinda"/>
                <w:sz w:val="20"/>
                <w:u w:val="single"/>
              </w:rPr>
            </w:pPr>
            <w:r w:rsidRPr="00A8375B">
              <w:rPr>
                <w:rFonts w:ascii="Vrinda" w:hAnsi="Vrinda"/>
                <w:b/>
                <w:sz w:val="20"/>
                <w:u w:val="single"/>
              </w:rPr>
              <w:t>2 213 223</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DFBF4BF" w14:textId="68536E8F" w:rsidR="003D4B79" w:rsidRPr="00A8375B" w:rsidRDefault="003D4B79" w:rsidP="00913696">
            <w:pPr>
              <w:spacing w:after="0"/>
              <w:jc w:val="center"/>
              <w:rPr>
                <w:rFonts w:ascii="Vrinda" w:hAnsi="Vrinda"/>
                <w:sz w:val="20"/>
                <w:u w:val="single"/>
              </w:rPr>
            </w:pPr>
            <w:r w:rsidRPr="00A8375B">
              <w:rPr>
                <w:rFonts w:ascii="Vrinda" w:hAnsi="Vrinda"/>
                <w:b/>
                <w:sz w:val="20"/>
                <w:u w:val="single"/>
              </w:rPr>
              <w:t>2 069 436</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5E91283" w14:textId="250AB014" w:rsidR="003D4B79" w:rsidRPr="00A8375B" w:rsidRDefault="003D4B79" w:rsidP="00913696">
            <w:pPr>
              <w:spacing w:after="0"/>
              <w:jc w:val="center"/>
              <w:rPr>
                <w:rFonts w:ascii="Vrinda" w:hAnsi="Vrinda"/>
                <w:sz w:val="20"/>
                <w:u w:val="single"/>
              </w:rPr>
            </w:pPr>
            <w:r w:rsidRPr="00A8375B">
              <w:rPr>
                <w:rFonts w:ascii="Vrinda" w:hAnsi="Vrinda"/>
                <w:b/>
                <w:sz w:val="20"/>
                <w:u w:val="single"/>
              </w:rPr>
              <w:t>2 398 610</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6977FE3C" w14:textId="0E637BC6" w:rsidR="003D4B79" w:rsidRPr="00A8375B" w:rsidRDefault="003D4B79" w:rsidP="00913696">
            <w:pPr>
              <w:spacing w:after="0"/>
              <w:jc w:val="center"/>
              <w:rPr>
                <w:rFonts w:ascii="Vrinda" w:hAnsi="Vrinda"/>
                <w:sz w:val="20"/>
                <w:u w:val="single"/>
              </w:rPr>
            </w:pPr>
            <w:r w:rsidRPr="00A8375B">
              <w:rPr>
                <w:rFonts w:ascii="Vrinda" w:hAnsi="Vrinda"/>
                <w:b/>
                <w:sz w:val="20"/>
                <w:u w:val="single"/>
              </w:rPr>
              <w:t>2 468 788</w:t>
            </w:r>
          </w:p>
        </w:tc>
      </w:tr>
      <w:tr w:rsidR="003D4B79" w:rsidRPr="008342C9" w14:paraId="4ABF9DBF"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19BD50BD"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Moyen</w:t>
            </w:r>
          </w:p>
        </w:tc>
        <w:tc>
          <w:tcPr>
            <w:tcW w:w="1192" w:type="dxa"/>
            <w:tcBorders>
              <w:top w:val="nil"/>
              <w:left w:val="nil"/>
              <w:bottom w:val="single" w:sz="8" w:space="0" w:color="auto"/>
              <w:right w:val="single" w:sz="8" w:space="0" w:color="auto"/>
            </w:tcBorders>
            <w:tcMar>
              <w:top w:w="0" w:type="dxa"/>
              <w:left w:w="70" w:type="dxa"/>
              <w:bottom w:w="0" w:type="dxa"/>
              <w:right w:w="70" w:type="dxa"/>
            </w:tcMar>
            <w:hideMark/>
          </w:tcPr>
          <w:p w14:paraId="0ECF334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DEF3C14" w14:textId="49D5774D" w:rsidR="003D4B79" w:rsidRPr="00A8375B" w:rsidRDefault="003D4B79" w:rsidP="00913696">
            <w:pPr>
              <w:spacing w:after="0"/>
              <w:jc w:val="center"/>
              <w:rPr>
                <w:rFonts w:ascii="Vrinda" w:hAnsi="Vrinda"/>
                <w:sz w:val="20"/>
                <w:u w:val="single"/>
              </w:rPr>
            </w:pPr>
            <w:r w:rsidRPr="00A8375B">
              <w:rPr>
                <w:rFonts w:ascii="Vrinda" w:hAnsi="Vrinda"/>
                <w:sz w:val="20"/>
                <w:u w:val="single"/>
              </w:rPr>
              <w:t>239 198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DE0ACD3" w14:textId="6DE72F72" w:rsidR="003D4B79" w:rsidRPr="00A8375B" w:rsidRDefault="003D4B79" w:rsidP="00913696">
            <w:pPr>
              <w:spacing w:after="0"/>
              <w:jc w:val="center"/>
              <w:rPr>
                <w:rFonts w:ascii="Vrinda" w:hAnsi="Vrinda"/>
                <w:sz w:val="20"/>
                <w:u w:val="single"/>
              </w:rPr>
            </w:pPr>
            <w:r w:rsidRPr="00A8375B">
              <w:rPr>
                <w:rFonts w:ascii="Vrinda" w:hAnsi="Vrinda"/>
                <w:sz w:val="20"/>
                <w:u w:val="single"/>
              </w:rPr>
              <w:t>253 322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F52E129" w14:textId="72D4C4D5" w:rsidR="003D4B79" w:rsidRPr="00A8375B" w:rsidRDefault="003D4B79" w:rsidP="00913696">
            <w:pPr>
              <w:spacing w:after="0"/>
              <w:jc w:val="center"/>
              <w:rPr>
                <w:rFonts w:ascii="Vrinda" w:hAnsi="Vrinda"/>
                <w:sz w:val="20"/>
                <w:u w:val="single"/>
              </w:rPr>
            </w:pPr>
            <w:r w:rsidRPr="00A8375B">
              <w:rPr>
                <w:rFonts w:ascii="Vrinda" w:hAnsi="Vrinda"/>
                <w:sz w:val="20"/>
                <w:u w:val="single"/>
              </w:rPr>
              <w:t>228 451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994B8D0" w14:textId="1ED08C30" w:rsidR="003D4B79" w:rsidRPr="00A8375B" w:rsidRDefault="003D4B79" w:rsidP="00913696">
            <w:pPr>
              <w:spacing w:after="0"/>
              <w:jc w:val="center"/>
              <w:rPr>
                <w:rFonts w:ascii="Vrinda" w:hAnsi="Vrinda"/>
                <w:sz w:val="20"/>
                <w:u w:val="single"/>
              </w:rPr>
            </w:pPr>
            <w:r w:rsidRPr="00A8375B">
              <w:rPr>
                <w:rFonts w:ascii="Vrinda" w:hAnsi="Vrinda"/>
                <w:sz w:val="20"/>
                <w:u w:val="single"/>
              </w:rPr>
              <w:t>229 722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982D204" w14:textId="0292403A" w:rsidR="003D4B79" w:rsidRPr="00A8375B" w:rsidRDefault="003D4B79" w:rsidP="00913696">
            <w:pPr>
              <w:spacing w:after="0"/>
              <w:jc w:val="center"/>
              <w:rPr>
                <w:rFonts w:ascii="Vrinda" w:hAnsi="Vrinda"/>
                <w:sz w:val="20"/>
                <w:u w:val="single"/>
              </w:rPr>
            </w:pPr>
            <w:r w:rsidRPr="00A8375B">
              <w:rPr>
                <w:rFonts w:ascii="Vrinda" w:hAnsi="Vrinda"/>
                <w:sz w:val="20"/>
                <w:u w:val="single"/>
              </w:rPr>
              <w:t>228 032</w:t>
            </w:r>
          </w:p>
        </w:tc>
      </w:tr>
      <w:tr w:rsidR="003D4B79" w:rsidRPr="008342C9" w14:paraId="12460714"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34138E5D"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tcMar>
              <w:top w:w="0" w:type="dxa"/>
              <w:left w:w="70" w:type="dxa"/>
              <w:bottom w:w="0" w:type="dxa"/>
              <w:right w:w="70" w:type="dxa"/>
            </w:tcMar>
            <w:hideMark/>
          </w:tcPr>
          <w:p w14:paraId="6D4967C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41FA0B4" w14:textId="5C85C406" w:rsidR="003D4B79" w:rsidRPr="00A8375B" w:rsidRDefault="003D4B79" w:rsidP="00913696">
            <w:pPr>
              <w:spacing w:after="0"/>
              <w:jc w:val="center"/>
              <w:rPr>
                <w:rFonts w:ascii="Vrinda" w:hAnsi="Vrinda"/>
                <w:sz w:val="20"/>
                <w:u w:val="single"/>
              </w:rPr>
            </w:pPr>
            <w:r w:rsidRPr="00A8375B">
              <w:rPr>
                <w:rFonts w:ascii="Vrinda" w:hAnsi="Vrinda"/>
                <w:sz w:val="20"/>
                <w:u w:val="single"/>
              </w:rPr>
              <w:t>117 479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C64D7A8" w14:textId="1F15D529" w:rsidR="003D4B79" w:rsidRPr="00A8375B" w:rsidRDefault="003D4B79" w:rsidP="00913696">
            <w:pPr>
              <w:spacing w:after="0"/>
              <w:jc w:val="center"/>
              <w:rPr>
                <w:rFonts w:ascii="Vrinda" w:hAnsi="Vrinda"/>
                <w:sz w:val="20"/>
                <w:u w:val="single"/>
              </w:rPr>
            </w:pPr>
            <w:r w:rsidRPr="00A8375B">
              <w:rPr>
                <w:rFonts w:ascii="Vrinda" w:hAnsi="Vrinda"/>
                <w:sz w:val="20"/>
                <w:u w:val="single"/>
              </w:rPr>
              <w:t>124 267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3B21FB4" w14:textId="2F2C3A64" w:rsidR="003D4B79" w:rsidRPr="00A8375B" w:rsidRDefault="003D4B79" w:rsidP="00913696">
            <w:pPr>
              <w:spacing w:after="0"/>
              <w:jc w:val="center"/>
              <w:rPr>
                <w:rFonts w:ascii="Vrinda" w:hAnsi="Vrinda"/>
                <w:sz w:val="20"/>
                <w:u w:val="single"/>
              </w:rPr>
            </w:pPr>
            <w:r w:rsidRPr="00A8375B">
              <w:rPr>
                <w:rFonts w:ascii="Vrinda" w:hAnsi="Vrinda"/>
                <w:sz w:val="20"/>
                <w:u w:val="single"/>
              </w:rPr>
              <w:t>125 615</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376DD6F" w14:textId="0AADE03F" w:rsidR="003D4B79" w:rsidRPr="00A8375B" w:rsidRDefault="003D4B79" w:rsidP="00913696">
            <w:pPr>
              <w:spacing w:after="0"/>
              <w:jc w:val="center"/>
              <w:rPr>
                <w:rFonts w:ascii="Vrinda" w:hAnsi="Vrinda"/>
                <w:sz w:val="20"/>
                <w:u w:val="single"/>
              </w:rPr>
            </w:pPr>
            <w:r w:rsidRPr="00A8375B">
              <w:rPr>
                <w:rFonts w:ascii="Vrinda" w:hAnsi="Vrinda"/>
                <w:sz w:val="20"/>
                <w:u w:val="single"/>
              </w:rPr>
              <w:t>129 463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219C922" w14:textId="1EA19B98" w:rsidR="003D4B79" w:rsidRPr="00A8375B" w:rsidRDefault="003D4B79" w:rsidP="00913696">
            <w:pPr>
              <w:spacing w:after="0"/>
              <w:jc w:val="center"/>
              <w:rPr>
                <w:rFonts w:ascii="Vrinda" w:hAnsi="Vrinda"/>
                <w:sz w:val="20"/>
                <w:u w:val="single"/>
              </w:rPr>
            </w:pPr>
            <w:r w:rsidRPr="00A8375B">
              <w:rPr>
                <w:rFonts w:ascii="Vrinda" w:hAnsi="Vrinda"/>
                <w:sz w:val="20"/>
                <w:u w:val="single"/>
              </w:rPr>
              <w:t>133 071</w:t>
            </w:r>
          </w:p>
        </w:tc>
      </w:tr>
      <w:tr w:rsidR="003D4B79" w:rsidRPr="008342C9" w14:paraId="0093DF62"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238A490F"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B21802C"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Total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F3EC28C" w14:textId="3F5E21F8" w:rsidR="003D4B79" w:rsidRPr="00A8375B" w:rsidRDefault="003D4B79" w:rsidP="00913696">
            <w:pPr>
              <w:spacing w:after="0"/>
              <w:jc w:val="center"/>
              <w:rPr>
                <w:rFonts w:ascii="Vrinda" w:hAnsi="Vrinda"/>
                <w:sz w:val="20"/>
                <w:u w:val="single"/>
              </w:rPr>
            </w:pPr>
            <w:r w:rsidRPr="00A8375B">
              <w:rPr>
                <w:rFonts w:ascii="Vrinda" w:hAnsi="Vrinda"/>
                <w:b/>
                <w:sz w:val="20"/>
                <w:u w:val="single"/>
              </w:rPr>
              <w:t>356 677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5BA2EEE" w14:textId="48A51064" w:rsidR="003D4B79" w:rsidRPr="00A8375B" w:rsidRDefault="003D4B79" w:rsidP="00913696">
            <w:pPr>
              <w:spacing w:after="0"/>
              <w:jc w:val="center"/>
              <w:rPr>
                <w:rFonts w:ascii="Vrinda" w:hAnsi="Vrinda"/>
                <w:sz w:val="20"/>
                <w:u w:val="single"/>
              </w:rPr>
            </w:pPr>
            <w:r w:rsidRPr="00A8375B">
              <w:rPr>
                <w:rFonts w:ascii="Vrinda" w:hAnsi="Vrinda"/>
                <w:b/>
                <w:sz w:val="20"/>
                <w:u w:val="single"/>
              </w:rPr>
              <w:t>377 589</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2A73189" w14:textId="6C12D4A7" w:rsidR="003D4B79" w:rsidRPr="00A8375B" w:rsidRDefault="003D4B79" w:rsidP="00913696">
            <w:pPr>
              <w:spacing w:after="0"/>
              <w:jc w:val="center"/>
              <w:rPr>
                <w:rFonts w:ascii="Vrinda" w:hAnsi="Vrinda"/>
                <w:sz w:val="20"/>
                <w:u w:val="single"/>
              </w:rPr>
            </w:pPr>
            <w:r w:rsidRPr="00A8375B">
              <w:rPr>
                <w:rFonts w:ascii="Vrinda" w:hAnsi="Vrinda"/>
                <w:b/>
                <w:sz w:val="20"/>
                <w:u w:val="single"/>
              </w:rPr>
              <w:t>354 066</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33241CC7" w14:textId="08ECED3F" w:rsidR="003D4B79" w:rsidRPr="00A8375B" w:rsidRDefault="003D4B79" w:rsidP="00913696">
            <w:pPr>
              <w:spacing w:after="0"/>
              <w:jc w:val="center"/>
              <w:rPr>
                <w:rFonts w:ascii="Vrinda" w:hAnsi="Vrinda"/>
                <w:sz w:val="20"/>
                <w:u w:val="single"/>
              </w:rPr>
            </w:pPr>
            <w:r w:rsidRPr="00A8375B">
              <w:rPr>
                <w:rFonts w:ascii="Vrinda" w:hAnsi="Vrinda"/>
                <w:b/>
                <w:sz w:val="20"/>
                <w:u w:val="single"/>
              </w:rPr>
              <w:t>359 185</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B70C720" w14:textId="7CA4FD22" w:rsidR="003D4B79" w:rsidRPr="00A8375B" w:rsidRDefault="003D4B79" w:rsidP="00913696">
            <w:pPr>
              <w:spacing w:after="0"/>
              <w:jc w:val="center"/>
              <w:rPr>
                <w:rFonts w:ascii="Vrinda" w:hAnsi="Vrinda"/>
                <w:sz w:val="20"/>
                <w:u w:val="single"/>
              </w:rPr>
            </w:pPr>
            <w:r w:rsidRPr="00A8375B">
              <w:rPr>
                <w:rFonts w:ascii="Vrinda" w:hAnsi="Vrinda"/>
                <w:b/>
                <w:sz w:val="20"/>
                <w:u w:val="single"/>
              </w:rPr>
              <w:t>361 103</w:t>
            </w:r>
          </w:p>
        </w:tc>
      </w:tr>
      <w:tr w:rsidR="003D4B79" w:rsidRPr="008342C9" w14:paraId="32B9BA0C"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43ED746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Secondaire</w:t>
            </w:r>
          </w:p>
        </w:tc>
        <w:tc>
          <w:tcPr>
            <w:tcW w:w="1192" w:type="dxa"/>
            <w:tcBorders>
              <w:top w:val="nil"/>
              <w:left w:val="nil"/>
              <w:bottom w:val="single" w:sz="8" w:space="0" w:color="auto"/>
              <w:right w:val="single" w:sz="8" w:space="0" w:color="auto"/>
            </w:tcBorders>
            <w:tcMar>
              <w:top w:w="0" w:type="dxa"/>
              <w:left w:w="70" w:type="dxa"/>
              <w:bottom w:w="0" w:type="dxa"/>
              <w:right w:w="70" w:type="dxa"/>
            </w:tcMar>
            <w:hideMark/>
          </w:tcPr>
          <w:p w14:paraId="0796E63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30B8328" w14:textId="0F285B4E" w:rsidR="003D4B79" w:rsidRPr="00A8375B" w:rsidRDefault="003D4B79" w:rsidP="00913696">
            <w:pPr>
              <w:spacing w:after="0"/>
              <w:jc w:val="center"/>
              <w:rPr>
                <w:rFonts w:ascii="Vrinda" w:hAnsi="Vrinda"/>
                <w:sz w:val="20"/>
                <w:u w:val="single"/>
              </w:rPr>
            </w:pPr>
            <w:r w:rsidRPr="00A8375B">
              <w:rPr>
                <w:rFonts w:ascii="Vrinda" w:hAnsi="Vrinda"/>
                <w:sz w:val="20"/>
                <w:u w:val="single"/>
              </w:rPr>
              <w:t>110 756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BB37CEF" w14:textId="299DFB78" w:rsidR="003D4B79" w:rsidRPr="00A8375B" w:rsidRDefault="003D4B79" w:rsidP="00913696">
            <w:pPr>
              <w:spacing w:after="0"/>
              <w:jc w:val="center"/>
              <w:rPr>
                <w:rFonts w:ascii="Vrinda" w:hAnsi="Vrinda"/>
                <w:sz w:val="20"/>
                <w:u w:val="single"/>
              </w:rPr>
            </w:pPr>
            <w:r w:rsidRPr="00A8375B">
              <w:rPr>
                <w:rFonts w:ascii="Vrinda" w:hAnsi="Vrinda"/>
                <w:sz w:val="20"/>
                <w:u w:val="single"/>
              </w:rPr>
              <w:t>109 564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FCCA9C7" w14:textId="18C17C1E" w:rsidR="003D4B79" w:rsidRPr="00A8375B" w:rsidRDefault="003D4B79" w:rsidP="00913696">
            <w:pPr>
              <w:spacing w:after="0"/>
              <w:jc w:val="center"/>
              <w:rPr>
                <w:rFonts w:ascii="Vrinda" w:hAnsi="Vrinda"/>
                <w:sz w:val="20"/>
                <w:u w:val="single"/>
              </w:rPr>
            </w:pPr>
            <w:r w:rsidRPr="00A8375B">
              <w:rPr>
                <w:rFonts w:ascii="Vrinda" w:hAnsi="Vrinda"/>
                <w:sz w:val="20"/>
                <w:u w:val="single"/>
              </w:rPr>
              <w:t>105 737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999FFAD" w14:textId="4BD7C80E" w:rsidR="003D4B79" w:rsidRPr="00A8375B" w:rsidRDefault="003D4B79" w:rsidP="00913696">
            <w:pPr>
              <w:spacing w:after="0"/>
              <w:jc w:val="center"/>
              <w:rPr>
                <w:rFonts w:ascii="Vrinda" w:hAnsi="Vrinda"/>
                <w:sz w:val="20"/>
                <w:u w:val="single"/>
              </w:rPr>
            </w:pPr>
            <w:r w:rsidRPr="00A8375B">
              <w:rPr>
                <w:rFonts w:ascii="Vrinda" w:hAnsi="Vrinda"/>
                <w:sz w:val="20"/>
                <w:u w:val="single"/>
              </w:rPr>
              <w:t>102 102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3F25527" w14:textId="38794079" w:rsidR="003D4B79" w:rsidRPr="00A8375B" w:rsidRDefault="003D4B79" w:rsidP="00913696">
            <w:pPr>
              <w:spacing w:after="0"/>
              <w:jc w:val="center"/>
              <w:rPr>
                <w:rFonts w:ascii="Vrinda" w:hAnsi="Vrinda"/>
                <w:sz w:val="20"/>
                <w:u w:val="single"/>
              </w:rPr>
            </w:pPr>
            <w:r w:rsidRPr="00A8375B">
              <w:rPr>
                <w:rFonts w:ascii="Vrinda" w:hAnsi="Vrinda"/>
                <w:sz w:val="20"/>
                <w:u w:val="single"/>
              </w:rPr>
              <w:t>118 226</w:t>
            </w:r>
          </w:p>
        </w:tc>
      </w:tr>
      <w:tr w:rsidR="003D4B79" w:rsidRPr="008342C9" w14:paraId="578B955A"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A232206"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tcMar>
              <w:top w:w="0" w:type="dxa"/>
              <w:left w:w="70" w:type="dxa"/>
              <w:bottom w:w="0" w:type="dxa"/>
              <w:right w:w="70" w:type="dxa"/>
            </w:tcMar>
            <w:hideMark/>
          </w:tcPr>
          <w:p w14:paraId="50DCF47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79BE448" w14:textId="274A9381" w:rsidR="003D4B79" w:rsidRPr="00A8375B" w:rsidRDefault="003D4B79" w:rsidP="00913696">
            <w:pPr>
              <w:spacing w:after="0"/>
              <w:jc w:val="center"/>
              <w:rPr>
                <w:rFonts w:ascii="Vrinda" w:hAnsi="Vrinda"/>
                <w:sz w:val="20"/>
                <w:u w:val="single"/>
              </w:rPr>
            </w:pPr>
            <w:r w:rsidRPr="00A8375B">
              <w:rPr>
                <w:rFonts w:ascii="Vrinda" w:hAnsi="Vrinda"/>
                <w:sz w:val="20"/>
                <w:u w:val="single"/>
              </w:rPr>
              <w:t>37 734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2917094" w14:textId="4CF58349" w:rsidR="003D4B79" w:rsidRPr="00A8375B" w:rsidRDefault="003D4B79" w:rsidP="00913696">
            <w:pPr>
              <w:spacing w:after="0"/>
              <w:jc w:val="center"/>
              <w:rPr>
                <w:rFonts w:ascii="Vrinda" w:hAnsi="Vrinda"/>
                <w:sz w:val="20"/>
                <w:u w:val="single"/>
              </w:rPr>
            </w:pPr>
            <w:r w:rsidRPr="00A8375B">
              <w:rPr>
                <w:rFonts w:ascii="Vrinda" w:hAnsi="Vrinda"/>
                <w:sz w:val="20"/>
                <w:u w:val="single"/>
              </w:rPr>
              <w:t>40 168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098B01C" w14:textId="6566E167" w:rsidR="003D4B79" w:rsidRPr="00A8375B" w:rsidRDefault="003D4B79" w:rsidP="00913696">
            <w:pPr>
              <w:spacing w:after="0"/>
              <w:jc w:val="center"/>
              <w:rPr>
                <w:rFonts w:ascii="Vrinda" w:hAnsi="Vrinda"/>
                <w:sz w:val="20"/>
                <w:u w:val="single"/>
              </w:rPr>
            </w:pPr>
            <w:r w:rsidRPr="00A8375B">
              <w:rPr>
                <w:rFonts w:ascii="Vrinda" w:hAnsi="Vrinda"/>
                <w:sz w:val="20"/>
                <w:u w:val="single"/>
              </w:rPr>
              <w:t>43 113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CA913E9" w14:textId="1C3E8ACE" w:rsidR="003D4B79" w:rsidRPr="00A8375B" w:rsidRDefault="003D4B79" w:rsidP="00913696">
            <w:pPr>
              <w:spacing w:after="0"/>
              <w:jc w:val="center"/>
              <w:rPr>
                <w:rFonts w:ascii="Vrinda" w:hAnsi="Vrinda"/>
                <w:sz w:val="20"/>
                <w:u w:val="single"/>
              </w:rPr>
            </w:pPr>
            <w:r w:rsidRPr="00A8375B">
              <w:rPr>
                <w:rFonts w:ascii="Vrinda" w:hAnsi="Vrinda"/>
                <w:sz w:val="20"/>
                <w:u w:val="single"/>
              </w:rPr>
              <w:t>43 214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D6DC781" w14:textId="409DD259" w:rsidR="003D4B79" w:rsidRPr="00A8375B" w:rsidRDefault="003D4B79" w:rsidP="00913696">
            <w:pPr>
              <w:spacing w:after="0"/>
              <w:jc w:val="center"/>
              <w:rPr>
                <w:rFonts w:ascii="Vrinda" w:hAnsi="Vrinda"/>
                <w:sz w:val="20"/>
                <w:u w:val="single"/>
              </w:rPr>
            </w:pPr>
            <w:r w:rsidRPr="00A8375B">
              <w:rPr>
                <w:rFonts w:ascii="Vrinda" w:hAnsi="Vrinda"/>
                <w:sz w:val="20"/>
                <w:u w:val="single"/>
              </w:rPr>
              <w:t>50 418</w:t>
            </w:r>
          </w:p>
        </w:tc>
      </w:tr>
      <w:tr w:rsidR="003D4B79" w:rsidRPr="008342C9" w14:paraId="64ED6A06"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20ED7058"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FFBA0D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Total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356D6F1" w14:textId="42BF31C5" w:rsidR="003D4B79" w:rsidRPr="00A8375B" w:rsidRDefault="003D4B79" w:rsidP="00913696">
            <w:pPr>
              <w:spacing w:after="0"/>
              <w:jc w:val="center"/>
              <w:rPr>
                <w:rFonts w:ascii="Vrinda" w:hAnsi="Vrinda"/>
                <w:sz w:val="20"/>
                <w:u w:val="single"/>
              </w:rPr>
            </w:pPr>
            <w:r w:rsidRPr="00A8375B">
              <w:rPr>
                <w:rFonts w:ascii="Vrinda" w:hAnsi="Vrinda"/>
                <w:b/>
                <w:sz w:val="20"/>
                <w:u w:val="single"/>
              </w:rPr>
              <w:t>148 490</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358085D0" w14:textId="63F37740" w:rsidR="003D4B79" w:rsidRPr="00A8375B" w:rsidRDefault="003D4B79" w:rsidP="00913696">
            <w:pPr>
              <w:spacing w:after="0"/>
              <w:jc w:val="center"/>
              <w:rPr>
                <w:rFonts w:ascii="Vrinda" w:hAnsi="Vrinda"/>
                <w:sz w:val="20"/>
                <w:u w:val="single"/>
              </w:rPr>
            </w:pPr>
            <w:r w:rsidRPr="00A8375B">
              <w:rPr>
                <w:rFonts w:ascii="Vrinda" w:hAnsi="Vrinda"/>
                <w:b/>
                <w:sz w:val="20"/>
                <w:u w:val="single"/>
              </w:rPr>
              <w:t>149 732</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E9A4120" w14:textId="49B2F802" w:rsidR="003D4B79" w:rsidRPr="00A8375B" w:rsidRDefault="003D4B79" w:rsidP="00913696">
            <w:pPr>
              <w:spacing w:after="0"/>
              <w:jc w:val="center"/>
              <w:rPr>
                <w:rFonts w:ascii="Vrinda" w:hAnsi="Vrinda"/>
                <w:sz w:val="20"/>
                <w:u w:val="single"/>
              </w:rPr>
            </w:pPr>
            <w:r w:rsidRPr="00A8375B">
              <w:rPr>
                <w:rFonts w:ascii="Vrinda" w:hAnsi="Vrinda"/>
                <w:b/>
                <w:sz w:val="20"/>
                <w:u w:val="single"/>
              </w:rPr>
              <w:t>148 850</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EC123D2" w14:textId="6B0CFC9E" w:rsidR="003D4B79" w:rsidRPr="00A8375B" w:rsidRDefault="003D4B79" w:rsidP="00913696">
            <w:pPr>
              <w:spacing w:after="0"/>
              <w:jc w:val="center"/>
              <w:rPr>
                <w:rFonts w:ascii="Vrinda" w:hAnsi="Vrinda"/>
                <w:sz w:val="20"/>
                <w:u w:val="single"/>
              </w:rPr>
            </w:pPr>
            <w:r w:rsidRPr="00A8375B">
              <w:rPr>
                <w:rFonts w:ascii="Vrinda" w:hAnsi="Vrinda"/>
                <w:b/>
                <w:sz w:val="20"/>
                <w:u w:val="single"/>
              </w:rPr>
              <w:t>145 316</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287F5CB" w14:textId="10121E51" w:rsidR="003D4B79" w:rsidRPr="00A8375B" w:rsidRDefault="003D4B79" w:rsidP="00913696">
            <w:pPr>
              <w:spacing w:after="0"/>
              <w:jc w:val="center"/>
              <w:rPr>
                <w:rFonts w:ascii="Vrinda" w:hAnsi="Vrinda"/>
                <w:sz w:val="20"/>
                <w:u w:val="single"/>
              </w:rPr>
            </w:pPr>
            <w:r w:rsidRPr="00A8375B">
              <w:rPr>
                <w:rFonts w:ascii="Vrinda" w:hAnsi="Vrinda"/>
                <w:b/>
                <w:sz w:val="20"/>
                <w:u w:val="single"/>
              </w:rPr>
              <w:t>168 644</w:t>
            </w:r>
          </w:p>
        </w:tc>
      </w:tr>
      <w:tr w:rsidR="003D4B79" w:rsidRPr="008342C9" w14:paraId="48CBE59E"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03095CFF"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Technique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9415CEF" w14:textId="2221C3CC"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7B96FC70" w14:textId="1F6F7730" w:rsidR="003D4B79" w:rsidRPr="00A8375B" w:rsidRDefault="003D4B79" w:rsidP="00913696">
            <w:pPr>
              <w:spacing w:after="0"/>
              <w:jc w:val="center"/>
              <w:rPr>
                <w:rFonts w:ascii="Vrinda" w:hAnsi="Vrinda"/>
                <w:sz w:val="20"/>
                <w:u w:val="single"/>
              </w:rPr>
            </w:pPr>
            <w:r w:rsidRPr="00A8375B">
              <w:rPr>
                <w:rFonts w:ascii="Vrinda" w:hAnsi="Vrinda"/>
                <w:sz w:val="20"/>
                <w:u w:val="single"/>
              </w:rPr>
              <w:t>5 235</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A5F4DB2" w14:textId="2B0DDE3D" w:rsidR="003D4B79" w:rsidRPr="00A8375B" w:rsidRDefault="003D4B79" w:rsidP="00913696">
            <w:pPr>
              <w:spacing w:after="0"/>
              <w:jc w:val="center"/>
              <w:rPr>
                <w:rFonts w:ascii="Vrinda" w:hAnsi="Vrinda"/>
                <w:sz w:val="20"/>
                <w:u w:val="single"/>
              </w:rPr>
            </w:pPr>
            <w:r w:rsidRPr="00A8375B">
              <w:rPr>
                <w:rFonts w:ascii="Vrinda" w:hAnsi="Vrinda"/>
                <w:sz w:val="20"/>
                <w:u w:val="single"/>
              </w:rPr>
              <w:t>712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5348CFD" w14:textId="5E123903" w:rsidR="003D4B79" w:rsidRPr="00A8375B" w:rsidRDefault="003D4B79" w:rsidP="00913696">
            <w:pPr>
              <w:spacing w:after="0"/>
              <w:jc w:val="center"/>
              <w:rPr>
                <w:rFonts w:ascii="Vrinda" w:hAnsi="Vrinda"/>
                <w:sz w:val="20"/>
                <w:u w:val="single"/>
              </w:rPr>
            </w:pPr>
            <w:r w:rsidRPr="00A8375B">
              <w:rPr>
                <w:rFonts w:ascii="Vrinda" w:hAnsi="Vrinda"/>
                <w:sz w:val="20"/>
                <w:u w:val="single"/>
              </w:rPr>
              <w:t>698</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2C11B242" w14:textId="43570F1A" w:rsidR="003D4B79" w:rsidRPr="00A8375B" w:rsidRDefault="003D4B79" w:rsidP="00913696">
            <w:pPr>
              <w:spacing w:after="0"/>
              <w:jc w:val="center"/>
              <w:rPr>
                <w:rFonts w:ascii="Vrinda" w:hAnsi="Vrinda"/>
                <w:sz w:val="20"/>
                <w:u w:val="single"/>
              </w:rPr>
            </w:pPr>
            <w:r w:rsidRPr="00A8375B">
              <w:rPr>
                <w:rFonts w:ascii="Vrinda" w:hAnsi="Vrinda"/>
                <w:sz w:val="20"/>
                <w:u w:val="single"/>
              </w:rPr>
              <w:t>4 466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3DF05A7B" w14:textId="4367E705" w:rsidR="003D4B79" w:rsidRPr="00A8375B" w:rsidRDefault="003D4B79" w:rsidP="00913696">
            <w:pPr>
              <w:spacing w:after="0"/>
              <w:jc w:val="center"/>
              <w:rPr>
                <w:rFonts w:ascii="Vrinda" w:hAnsi="Vrinda"/>
                <w:sz w:val="20"/>
                <w:u w:val="single"/>
              </w:rPr>
            </w:pPr>
            <w:r w:rsidRPr="00A8375B">
              <w:rPr>
                <w:rFonts w:ascii="Vrinda" w:hAnsi="Vrinda"/>
                <w:sz w:val="20"/>
                <w:u w:val="single"/>
              </w:rPr>
              <w:t>4 843</w:t>
            </w:r>
          </w:p>
        </w:tc>
      </w:tr>
      <w:tr w:rsidR="003D4B79" w:rsidRPr="008342C9" w14:paraId="1DAFA858"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5134BC6F"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F2DC69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4A2867A5" w14:textId="6D2B86E0" w:rsidR="003D4B79" w:rsidRPr="00A8375B" w:rsidRDefault="003D4B79" w:rsidP="00913696">
            <w:pPr>
              <w:spacing w:after="0"/>
              <w:jc w:val="center"/>
              <w:rPr>
                <w:rFonts w:ascii="Vrinda" w:hAnsi="Vrinda"/>
                <w:sz w:val="20"/>
                <w:u w:val="single"/>
              </w:rPr>
            </w:pPr>
            <w:r w:rsidRPr="00A8375B">
              <w:rPr>
                <w:rFonts w:ascii="Vrinda" w:hAnsi="Vrinda"/>
                <w:sz w:val="20"/>
                <w:u w:val="single"/>
              </w:rPr>
              <w:t>2 846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B1D083A" w14:textId="36383353" w:rsidR="003D4B79" w:rsidRPr="00A8375B" w:rsidRDefault="003D4B79" w:rsidP="00913696">
            <w:pPr>
              <w:spacing w:after="0"/>
              <w:jc w:val="center"/>
              <w:rPr>
                <w:rFonts w:ascii="Vrinda" w:hAnsi="Vrinda"/>
                <w:sz w:val="20"/>
                <w:u w:val="single"/>
              </w:rPr>
            </w:pPr>
            <w:r w:rsidRPr="00A8375B">
              <w:rPr>
                <w:rFonts w:ascii="Vrinda" w:hAnsi="Vrinda"/>
                <w:sz w:val="20"/>
                <w:u w:val="single"/>
              </w:rPr>
              <w:t>118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3D14008" w14:textId="51C5C905" w:rsidR="003D4B79" w:rsidRPr="00A8375B" w:rsidRDefault="003D4B79" w:rsidP="00913696">
            <w:pPr>
              <w:spacing w:after="0"/>
              <w:jc w:val="center"/>
              <w:rPr>
                <w:rFonts w:ascii="Vrinda" w:hAnsi="Vrinda"/>
                <w:sz w:val="20"/>
                <w:u w:val="single"/>
              </w:rPr>
            </w:pPr>
            <w:r w:rsidRPr="00A8375B">
              <w:rPr>
                <w:rFonts w:ascii="Vrinda" w:hAnsi="Vrinda"/>
                <w:sz w:val="20"/>
                <w:u w:val="single"/>
              </w:rPr>
              <w:t>119</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3D925E21" w14:textId="27CC5E8E" w:rsidR="003D4B79" w:rsidRPr="00A8375B" w:rsidRDefault="003D4B79" w:rsidP="00913696">
            <w:pPr>
              <w:spacing w:after="0"/>
              <w:jc w:val="center"/>
              <w:rPr>
                <w:rFonts w:ascii="Vrinda" w:hAnsi="Vrinda"/>
                <w:sz w:val="20"/>
                <w:u w:val="single"/>
              </w:rPr>
            </w:pPr>
            <w:r w:rsidRPr="00A8375B">
              <w:rPr>
                <w:rFonts w:ascii="Vrinda" w:hAnsi="Vrinda"/>
                <w:sz w:val="20"/>
                <w:u w:val="single"/>
              </w:rPr>
              <w:t>2 763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3331EF22" w14:textId="463D00B3" w:rsidR="003D4B79" w:rsidRPr="00A8375B" w:rsidRDefault="003D4B79" w:rsidP="00913696">
            <w:pPr>
              <w:spacing w:after="0"/>
              <w:jc w:val="center"/>
              <w:rPr>
                <w:rFonts w:ascii="Vrinda" w:hAnsi="Vrinda"/>
                <w:sz w:val="20"/>
                <w:u w:val="single"/>
              </w:rPr>
            </w:pPr>
            <w:r w:rsidRPr="00A8375B">
              <w:rPr>
                <w:rFonts w:ascii="Vrinda" w:hAnsi="Vrinda"/>
                <w:sz w:val="20"/>
                <w:u w:val="single"/>
              </w:rPr>
              <w:t>2 798</w:t>
            </w:r>
          </w:p>
        </w:tc>
      </w:tr>
      <w:tr w:rsidR="003D4B79" w:rsidRPr="008342C9" w14:paraId="2F90F1F8"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76DA0C43"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6154D7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Total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A48BF7F" w14:textId="08724FF1" w:rsidR="003D4B79" w:rsidRPr="00A8375B" w:rsidRDefault="003D4B79" w:rsidP="00913696">
            <w:pPr>
              <w:spacing w:after="0"/>
              <w:jc w:val="center"/>
              <w:rPr>
                <w:rFonts w:ascii="Vrinda" w:hAnsi="Vrinda"/>
                <w:sz w:val="20"/>
                <w:u w:val="single"/>
              </w:rPr>
            </w:pPr>
            <w:r w:rsidRPr="00A8375B">
              <w:rPr>
                <w:rFonts w:ascii="Vrinda" w:hAnsi="Vrinda"/>
                <w:b/>
                <w:sz w:val="20"/>
                <w:u w:val="single"/>
              </w:rPr>
              <w:t>8 081</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3E71DA3" w14:textId="2F844D81" w:rsidR="003D4B79" w:rsidRPr="00A8375B" w:rsidRDefault="003D4B79" w:rsidP="00913696">
            <w:pPr>
              <w:spacing w:after="0"/>
              <w:jc w:val="center"/>
              <w:rPr>
                <w:rFonts w:ascii="Vrinda" w:hAnsi="Vrinda"/>
                <w:sz w:val="20"/>
                <w:u w:val="single"/>
              </w:rPr>
            </w:pPr>
            <w:r w:rsidRPr="00A8375B">
              <w:rPr>
                <w:rFonts w:ascii="Vrinda" w:hAnsi="Vrinda"/>
                <w:b/>
                <w:sz w:val="20"/>
                <w:u w:val="single"/>
              </w:rPr>
              <w:t>830</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468E064" w14:textId="29692CF4" w:rsidR="003D4B79" w:rsidRPr="00A8375B" w:rsidRDefault="003D4B79" w:rsidP="00913696">
            <w:pPr>
              <w:spacing w:after="0"/>
              <w:jc w:val="center"/>
              <w:rPr>
                <w:rFonts w:ascii="Vrinda" w:hAnsi="Vrinda"/>
                <w:sz w:val="20"/>
                <w:u w:val="single"/>
              </w:rPr>
            </w:pPr>
            <w:r w:rsidRPr="00A8375B">
              <w:rPr>
                <w:rFonts w:ascii="Vrinda" w:hAnsi="Vrinda"/>
                <w:b/>
                <w:sz w:val="20"/>
                <w:u w:val="single"/>
              </w:rPr>
              <w:t>817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6751EA4" w14:textId="4EE139BA" w:rsidR="003D4B79" w:rsidRPr="00A8375B" w:rsidRDefault="003D4B79" w:rsidP="00913696">
            <w:pPr>
              <w:spacing w:after="0"/>
              <w:jc w:val="center"/>
              <w:rPr>
                <w:rFonts w:ascii="Vrinda" w:hAnsi="Vrinda"/>
                <w:sz w:val="20"/>
                <w:u w:val="single"/>
              </w:rPr>
            </w:pPr>
            <w:r w:rsidRPr="00A8375B">
              <w:rPr>
                <w:rFonts w:ascii="Vrinda" w:hAnsi="Vrinda"/>
                <w:b/>
                <w:sz w:val="20"/>
                <w:u w:val="single"/>
              </w:rPr>
              <w:t>7 229</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62549E7" w14:textId="42CC925C" w:rsidR="003D4B79" w:rsidRPr="00A8375B" w:rsidRDefault="003D4B79" w:rsidP="00913696">
            <w:pPr>
              <w:spacing w:after="0"/>
              <w:jc w:val="center"/>
              <w:rPr>
                <w:rFonts w:ascii="Vrinda" w:hAnsi="Vrinda"/>
                <w:sz w:val="20"/>
                <w:u w:val="single"/>
              </w:rPr>
            </w:pPr>
            <w:r w:rsidRPr="00A8375B">
              <w:rPr>
                <w:rFonts w:ascii="Vrinda" w:hAnsi="Vrinda"/>
                <w:b/>
                <w:sz w:val="20"/>
                <w:u w:val="single"/>
              </w:rPr>
              <w:t>7 641</w:t>
            </w:r>
          </w:p>
        </w:tc>
      </w:tr>
      <w:tr w:rsidR="003D4B79" w:rsidRPr="008342C9" w14:paraId="1068AAF1" w14:textId="77777777" w:rsidTr="00913696">
        <w:trPr>
          <w:trHeight w:val="375"/>
          <w:jc w:val="center"/>
        </w:trPr>
        <w:tc>
          <w:tcPr>
            <w:tcW w:w="10943" w:type="dxa"/>
            <w:gridSpan w:val="7"/>
            <w:tcBorders>
              <w:top w:val="nil"/>
              <w:left w:val="single" w:sz="8" w:space="0" w:color="auto"/>
              <w:bottom w:val="single" w:sz="8" w:space="0" w:color="auto"/>
              <w:right w:val="single" w:sz="8" w:space="0" w:color="000000"/>
            </w:tcBorders>
            <w:shd w:val="clear" w:color="auto" w:fill="F4B084"/>
            <w:noWrap/>
            <w:tcMar>
              <w:top w:w="0" w:type="dxa"/>
              <w:left w:w="70" w:type="dxa"/>
              <w:bottom w:w="0" w:type="dxa"/>
              <w:right w:w="70" w:type="dxa"/>
            </w:tcMar>
            <w:vAlign w:val="bottom"/>
            <w:hideMark/>
          </w:tcPr>
          <w:p w14:paraId="669F82C5"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Principaux indicateurs scolaires</w:t>
            </w:r>
          </w:p>
        </w:tc>
      </w:tr>
      <w:tr w:rsidR="003D4B79" w:rsidRPr="008342C9" w14:paraId="3A2B91F2" w14:textId="77777777" w:rsidTr="00913696">
        <w:trPr>
          <w:trHeight w:val="375"/>
          <w:jc w:val="center"/>
        </w:trPr>
        <w:tc>
          <w:tcPr>
            <w:tcW w:w="10943" w:type="dxa"/>
            <w:gridSpan w:val="7"/>
            <w:tcBorders>
              <w:top w:val="nil"/>
              <w:left w:val="single" w:sz="8" w:space="0" w:color="auto"/>
              <w:bottom w:val="single" w:sz="8" w:space="0" w:color="auto"/>
              <w:right w:val="single" w:sz="8" w:space="0" w:color="auto"/>
            </w:tcBorders>
            <w:shd w:val="clear" w:color="auto" w:fill="F4B084"/>
            <w:noWrap/>
            <w:tcMar>
              <w:top w:w="0" w:type="dxa"/>
              <w:left w:w="70" w:type="dxa"/>
              <w:bottom w:w="0" w:type="dxa"/>
              <w:right w:w="70" w:type="dxa"/>
            </w:tcMar>
            <w:vAlign w:val="bottom"/>
            <w:hideMark/>
          </w:tcPr>
          <w:p w14:paraId="1A729E32"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TBA (Taux Brut d’Admission)</w:t>
            </w:r>
          </w:p>
        </w:tc>
      </w:tr>
      <w:tr w:rsidR="003D4B79" w:rsidRPr="008342C9" w14:paraId="23DA29CD" w14:textId="77777777" w:rsidTr="00913696">
        <w:trPr>
          <w:trHeight w:val="300"/>
          <w:jc w:val="center"/>
        </w:trPr>
        <w:tc>
          <w:tcPr>
            <w:tcW w:w="2301" w:type="dxa"/>
            <w:tcBorders>
              <w:top w:val="nil"/>
              <w:left w:val="single" w:sz="8" w:space="0" w:color="auto"/>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348ACA14" w14:textId="3D17998E"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4B7740F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Sexe</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39038265"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2014/15</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56AE278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2015/16</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722FEAF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2016/17</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33550B8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2017/18</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60A7E3C7"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2018/19</w:t>
            </w:r>
          </w:p>
        </w:tc>
      </w:tr>
      <w:tr w:rsidR="003D4B79" w:rsidRPr="008342C9" w14:paraId="5503308E"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0382758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Primaire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EE30CD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7705D5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119,7%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CB88B4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115,6%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EC4B62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106,4%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B8CE45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125,9%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71FAB8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123,3%</w:t>
            </w:r>
          </w:p>
        </w:tc>
      </w:tr>
      <w:tr w:rsidR="003D4B79" w:rsidRPr="008342C9" w14:paraId="7FBD0A82"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766A965E"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2178BB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C58813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93,4%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A62E83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114,6%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F7249E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86,4%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E8A4CA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104,0%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AAAA65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102,0%</w:t>
            </w:r>
          </w:p>
        </w:tc>
      </w:tr>
      <w:tr w:rsidR="003D4B79" w:rsidRPr="008342C9" w14:paraId="3A1949BC"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2491D6F"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9FAD6B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TBA national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70BBE1D"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106,8%</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88928A4"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115,1%</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30E8E7B5"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96,6%</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20DD335"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115,2%</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76C8AE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112,8%</w:t>
            </w:r>
          </w:p>
        </w:tc>
      </w:tr>
      <w:tr w:rsidR="003D4B79" w:rsidRPr="008342C9" w14:paraId="17702427"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772E8344"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E6EBCF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Parité F/G</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95433EA"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0,78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E5845DC"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0,99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B7D0F6C"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0,81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7C55783"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0,83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8BAF5AF"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0,83</w:t>
            </w:r>
          </w:p>
        </w:tc>
      </w:tr>
      <w:tr w:rsidR="003D4B79" w:rsidRPr="008342C9" w14:paraId="27CF8CA2"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44279D0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Moyen</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EBFB32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B483C4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39,6%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D3C4AB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43,6%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D0B957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34,6%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072C70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35,3%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E4A69F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33,4%</w:t>
            </w:r>
          </w:p>
        </w:tc>
      </w:tr>
      <w:tr w:rsidR="003D4B79" w:rsidRPr="008342C9" w14:paraId="419CAC9D"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6052F845"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A0B4B9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E60394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20,3%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C82F71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22,2%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74E2F6F"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19,8%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D7E756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20,7%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76A3C6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20,1%</w:t>
            </w:r>
          </w:p>
        </w:tc>
      </w:tr>
      <w:tr w:rsidR="003D4B79" w:rsidRPr="008342C9" w14:paraId="4D2ABF78"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3296D17C"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EEF62B4"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TBA national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0AA795F"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29,8%</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6FEED28"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32,7%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3CDCE17C"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27,1%</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0C3369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27,8%</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C1282A4"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26,6%</w:t>
            </w:r>
          </w:p>
        </w:tc>
      </w:tr>
      <w:tr w:rsidR="003D4B79" w:rsidRPr="008342C9" w14:paraId="4D9417F6"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7C00477D"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1C3920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Parité F/G</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6C4F320"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0,51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CAFE665"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0,51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3268D61"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0,57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90A902A"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0,59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5497180"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0,60</w:t>
            </w:r>
          </w:p>
        </w:tc>
      </w:tr>
      <w:tr w:rsidR="003D4B79" w:rsidRPr="008342C9" w14:paraId="61694CD3"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456817C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Secondaire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564035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8E1956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20,2%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12D2DA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20,9%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D3CC04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20,2%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EA9133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19,2%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7534AC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23,1%</w:t>
            </w:r>
          </w:p>
        </w:tc>
      </w:tr>
      <w:tr w:rsidR="003D4B79" w:rsidRPr="008342C9" w14:paraId="1FFB9A82"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FB516E4"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13BF35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3F1E64D"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6,8%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21D188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7,5%</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143B2E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D337EBF"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B9220A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9,3%</w:t>
            </w:r>
          </w:p>
        </w:tc>
      </w:tr>
      <w:tr w:rsidR="003D4B79" w:rsidRPr="008342C9" w14:paraId="375A626F"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2634007"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49BF502"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TBA national</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6E13047F"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13,1%</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6AA073DF"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13,9%</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88A160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13,4%</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47C6A47"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13,2%</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4060E2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15,8%</w:t>
            </w:r>
          </w:p>
        </w:tc>
      </w:tr>
      <w:tr w:rsidR="003D4B79" w:rsidRPr="008342C9" w14:paraId="5721B50C"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217F1BDC"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45C911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Parité F/G</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E37658B"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E3F49D4"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D003D07"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D322ED9"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0,40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93C3DF5"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0,40</w:t>
            </w:r>
          </w:p>
        </w:tc>
      </w:tr>
      <w:tr w:rsidR="003D4B79" w:rsidRPr="008342C9" w14:paraId="74117676" w14:textId="77777777" w:rsidTr="00913696">
        <w:trPr>
          <w:trHeight w:val="375"/>
          <w:jc w:val="center"/>
        </w:trPr>
        <w:tc>
          <w:tcPr>
            <w:tcW w:w="10943" w:type="dxa"/>
            <w:gridSpan w:val="7"/>
            <w:tcBorders>
              <w:top w:val="nil"/>
              <w:left w:val="single" w:sz="8" w:space="0" w:color="auto"/>
              <w:bottom w:val="single" w:sz="8" w:space="0" w:color="auto"/>
              <w:right w:val="single" w:sz="8" w:space="0" w:color="auto"/>
            </w:tcBorders>
            <w:shd w:val="clear" w:color="auto" w:fill="F4B084"/>
            <w:noWrap/>
            <w:tcMar>
              <w:top w:w="0" w:type="dxa"/>
              <w:left w:w="70" w:type="dxa"/>
              <w:bottom w:w="0" w:type="dxa"/>
              <w:right w:w="70" w:type="dxa"/>
            </w:tcMar>
            <w:vAlign w:val="bottom"/>
            <w:hideMark/>
          </w:tcPr>
          <w:p w14:paraId="432B6D6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TBS (taux Brut de Scolarisation)</w:t>
            </w:r>
          </w:p>
        </w:tc>
      </w:tr>
      <w:tr w:rsidR="003D4B79" w:rsidRPr="008342C9" w14:paraId="104A4C0A" w14:textId="77777777" w:rsidTr="00913696">
        <w:trPr>
          <w:trHeight w:val="300"/>
          <w:jc w:val="center"/>
        </w:trPr>
        <w:tc>
          <w:tcPr>
            <w:tcW w:w="2301" w:type="dxa"/>
            <w:tcBorders>
              <w:top w:val="nil"/>
              <w:left w:val="single" w:sz="8" w:space="0" w:color="auto"/>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5CFA8FD7" w14:textId="4D6AB706"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bottom"/>
            <w:hideMark/>
          </w:tcPr>
          <w:p w14:paraId="136D186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Sexe</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5B4EE7F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2014/15</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7D25A473"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2015/16</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2822D90C"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2016/17</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5BED7235"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2017/18</w:t>
            </w:r>
          </w:p>
        </w:tc>
        <w:tc>
          <w:tcPr>
            <w:tcW w:w="1490" w:type="dxa"/>
            <w:tcBorders>
              <w:top w:val="nil"/>
              <w:left w:val="nil"/>
              <w:bottom w:val="single" w:sz="8" w:space="0" w:color="auto"/>
              <w:right w:val="single" w:sz="8" w:space="0" w:color="auto"/>
            </w:tcBorders>
            <w:shd w:val="clear" w:color="auto" w:fill="BDD7EE"/>
            <w:noWrap/>
            <w:tcMar>
              <w:top w:w="0" w:type="dxa"/>
              <w:left w:w="70" w:type="dxa"/>
              <w:bottom w:w="0" w:type="dxa"/>
              <w:right w:w="70" w:type="dxa"/>
            </w:tcMar>
            <w:vAlign w:val="center"/>
            <w:hideMark/>
          </w:tcPr>
          <w:p w14:paraId="3F4334B8"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2018/19</w:t>
            </w:r>
          </w:p>
        </w:tc>
      </w:tr>
      <w:tr w:rsidR="003D4B79" w:rsidRPr="008342C9" w14:paraId="38328305"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0D53E34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Préscolaire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642740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E6B1A7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DE26DB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296F6D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4878FC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FA2EB8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0,9%</w:t>
            </w:r>
          </w:p>
        </w:tc>
      </w:tr>
      <w:tr w:rsidR="003D4B79" w:rsidRPr="008342C9" w14:paraId="386BA8B8"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04D91CA7"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82CF13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F2F57F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64EC8BF"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778005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1B1988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534DF6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0,9%</w:t>
            </w:r>
          </w:p>
        </w:tc>
      </w:tr>
      <w:tr w:rsidR="003D4B79" w:rsidRPr="008342C9" w14:paraId="629DFC52"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5347210"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80893C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Ensemble</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C19E31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1,5%</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82A43EC"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0,9%</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87C88A7"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0,7%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C93594A"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0,9%</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BD55802"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0,9%</w:t>
            </w:r>
          </w:p>
        </w:tc>
      </w:tr>
      <w:tr w:rsidR="003D4B79" w:rsidRPr="008342C9" w14:paraId="0ED91C16"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61E5CD73"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80791B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IP</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56CEFC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1,10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F37227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0,98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1314D0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0,98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B63CDD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EDBBC7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1,02</w:t>
            </w:r>
          </w:p>
        </w:tc>
      </w:tr>
      <w:tr w:rsidR="003D4B79" w:rsidRPr="008342C9" w14:paraId="73BDECB3"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3A17341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Primaire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735FD6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D46D78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107,4%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1C6DC4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100,7%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4FCD31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93,9%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23B615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101,0%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B122FB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100,1%</w:t>
            </w:r>
          </w:p>
        </w:tc>
      </w:tr>
      <w:tr w:rsidR="003D4B79" w:rsidRPr="008342C9" w14:paraId="23DD8D7B"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582E9213"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DA6D74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49D28E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82,7%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C37715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77,8%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604431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69,8%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C8EA87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78,7%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7E0BDC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78,1%</w:t>
            </w:r>
          </w:p>
        </w:tc>
      </w:tr>
      <w:tr w:rsidR="003D4B79" w:rsidRPr="008342C9" w14:paraId="03C706C7"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058969C6"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3AB8C5A"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Ensemble</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67340DBE"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95,1%</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30022F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89,3%</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47494720"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81,7%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613A6CB7"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89,9%</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9699D5F"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89,1%</w:t>
            </w:r>
          </w:p>
        </w:tc>
      </w:tr>
      <w:tr w:rsidR="003D4B79" w:rsidRPr="008342C9" w14:paraId="65FFDE35"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055BBBCA"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B3FF06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IP</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EF665D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DAE2C2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DE05A0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2EA056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6DCF71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0,78</w:t>
            </w:r>
          </w:p>
        </w:tc>
      </w:tr>
      <w:tr w:rsidR="003D4B79" w:rsidRPr="008342C9" w14:paraId="084AE15A"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23FC819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Moyen</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903DAF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3F310A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39,8%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ED31DAD"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40,7%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426607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35,50%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F4FC7B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34,5%</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2AD957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33,1%</w:t>
            </w:r>
          </w:p>
        </w:tc>
      </w:tr>
      <w:tr w:rsidR="003D4B79" w:rsidRPr="008342C9" w14:paraId="345DD403"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3BB3F052"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1173D3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3949FD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18,4%</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7C465F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18,8%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48904A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18,36%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7847CE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18,3%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0B82B3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18,2%</w:t>
            </w:r>
          </w:p>
        </w:tc>
      </w:tr>
      <w:tr w:rsidR="003D4B79" w:rsidRPr="008342C9" w14:paraId="09503B3C"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0E9B4F6F"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7431A38"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Ensemble</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6451C413"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28,7%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FDBFA8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29,4%</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526B68E"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26,67%</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59363130"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26,2%</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F09E2D8"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25,4%</w:t>
            </w:r>
          </w:p>
        </w:tc>
      </w:tr>
      <w:tr w:rsidR="003D4B79" w:rsidRPr="008342C9" w14:paraId="4A408A4F"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65FD1A34"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9E3199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IP</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85910B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0,46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BE22C8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0,46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ED3ACF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0,52</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99F128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0,53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697024F"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0,55</w:t>
            </w:r>
          </w:p>
        </w:tc>
      </w:tr>
      <w:tr w:rsidR="003D4B79" w:rsidRPr="008342C9" w14:paraId="1448CF7F"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2906CAF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Secondaire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4A576DF"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ACDF64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28,9%</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A6D83D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27,6%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666BF1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26,7%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EBDD13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24,1%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30FE82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27,0%</w:t>
            </w:r>
          </w:p>
        </w:tc>
      </w:tr>
      <w:tr w:rsidR="003D4B79" w:rsidRPr="008342C9" w14:paraId="26A54E72"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484CF3A3"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B2B7D0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E68FE1D"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8,8%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CE986AF"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5E0D3D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8,7%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D2BF17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9,1%</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9DA4C1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10,2%</w:t>
            </w:r>
          </w:p>
        </w:tc>
      </w:tr>
      <w:tr w:rsidR="003D4B79" w:rsidRPr="008342C9" w14:paraId="3A5852EE"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2EBF2137"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569FE7D"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Ensemble</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E54F47F"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18,2%</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C34AC57"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17,8%</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BC4575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17,2%</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657F80E"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16,1%</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7D3FB3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18,1%</w:t>
            </w:r>
          </w:p>
        </w:tc>
      </w:tr>
      <w:tr w:rsidR="003D4B79" w:rsidRPr="008342C9" w14:paraId="23DAEFD6"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69723CEA"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E97CFA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IP</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105E9B4"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0,30</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AE33C10"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A8408F4"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6586776"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885E625" w14:textId="77777777" w:rsidR="003D4B79" w:rsidRPr="00A8375B" w:rsidRDefault="003D4B79" w:rsidP="00913696">
            <w:pPr>
              <w:spacing w:after="0"/>
              <w:jc w:val="center"/>
              <w:rPr>
                <w:rFonts w:ascii="Vrinda" w:hAnsi="Vrinda"/>
                <w:sz w:val="20"/>
                <w:u w:val="single"/>
              </w:rPr>
            </w:pPr>
            <w:r w:rsidRPr="00A8375B">
              <w:rPr>
                <w:rFonts w:ascii="Vrinda" w:hAnsi="Vrinda"/>
                <w:i/>
                <w:sz w:val="20"/>
                <w:u w:val="single"/>
              </w:rPr>
              <w:t>0,38</w:t>
            </w:r>
          </w:p>
        </w:tc>
      </w:tr>
      <w:tr w:rsidR="003D4B79" w:rsidRPr="008342C9" w14:paraId="3C6AB16F" w14:textId="77777777" w:rsidTr="00913696">
        <w:trPr>
          <w:trHeight w:val="375"/>
          <w:jc w:val="center"/>
        </w:trPr>
        <w:tc>
          <w:tcPr>
            <w:tcW w:w="10943" w:type="dxa"/>
            <w:gridSpan w:val="7"/>
            <w:tcBorders>
              <w:top w:val="nil"/>
              <w:left w:val="single" w:sz="8" w:space="0" w:color="auto"/>
              <w:bottom w:val="single" w:sz="8" w:space="0" w:color="auto"/>
              <w:right w:val="single" w:sz="8" w:space="0" w:color="auto"/>
            </w:tcBorders>
            <w:shd w:val="clear" w:color="auto" w:fill="F4B084"/>
            <w:noWrap/>
            <w:tcMar>
              <w:top w:w="0" w:type="dxa"/>
              <w:left w:w="70" w:type="dxa"/>
              <w:bottom w:w="0" w:type="dxa"/>
              <w:right w:w="70" w:type="dxa"/>
            </w:tcMar>
            <w:vAlign w:val="bottom"/>
            <w:hideMark/>
          </w:tcPr>
          <w:p w14:paraId="212FA8C7"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Taux d'achèvement</w:t>
            </w:r>
          </w:p>
        </w:tc>
      </w:tr>
      <w:tr w:rsidR="003D4B79" w:rsidRPr="008342C9" w14:paraId="4930BD4A" w14:textId="77777777" w:rsidTr="00913696">
        <w:trPr>
          <w:trHeight w:val="300"/>
          <w:jc w:val="center"/>
        </w:trPr>
        <w:tc>
          <w:tcPr>
            <w:tcW w:w="2301"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6425D2AD" w14:textId="11FC443D"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A10318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Sexe</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7A4808F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2014/15</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388CC32C"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2015/16</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0B2847EE"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2016/17</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235C19E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2017/18</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1F598AD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2018/19</w:t>
            </w:r>
          </w:p>
        </w:tc>
      </w:tr>
      <w:tr w:rsidR="003D4B79" w:rsidRPr="008342C9" w14:paraId="06E8603A"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6DDA8F8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Primaire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4C1317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293932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50,8%</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6280E87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48,0%</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0662873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50,3%</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0CE9A04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53,1%</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79B7453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52,4%</w:t>
            </w:r>
          </w:p>
        </w:tc>
      </w:tr>
      <w:tr w:rsidR="003D4B79" w:rsidRPr="008342C9" w14:paraId="3E16ACEF"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1BC0388F"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846953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6D78C4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32,2%</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162DD1E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37,3%</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76D9FDF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34,1%</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23F0699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35,5%</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590F615A"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36,3%</w:t>
            </w:r>
          </w:p>
        </w:tc>
      </w:tr>
      <w:tr w:rsidR="003D4B79" w:rsidRPr="008342C9" w14:paraId="2B5E730D"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06F5349B"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7EFC16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Ensemble</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3DA5A04"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41,4%</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3ABC12A3"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43,0%</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5C23C01E"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42,1%</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628E34FC"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44,2%</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04938B95"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44,2%</w:t>
            </w:r>
          </w:p>
        </w:tc>
      </w:tr>
      <w:tr w:rsidR="003D4B79" w:rsidRPr="008342C9" w14:paraId="1E86346F"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61707BBC"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347B61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IP F/G</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1222FB4"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0,63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78CFCE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0,78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6D02FE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0,68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BCB352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0,67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DC2A02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0,69</w:t>
            </w:r>
          </w:p>
        </w:tc>
      </w:tr>
      <w:tr w:rsidR="003D4B79" w:rsidRPr="008342C9" w14:paraId="7F94C6D8"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1D96586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Moyen</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BC90A6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AA00B3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24,5%</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48DB575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25,0%</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21B2389D"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24,2%</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4D32A59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23,5%</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2B087C4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24,3%</w:t>
            </w:r>
          </w:p>
        </w:tc>
      </w:tr>
      <w:tr w:rsidR="003D4B79" w:rsidRPr="008342C9" w14:paraId="4204233B"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099D53DE"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73A727D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EAF514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9,2%</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56CE987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9,4%</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4EBBEE9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10,5%</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1ABBE24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10,6%</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34E4A11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11,2%</w:t>
            </w:r>
          </w:p>
        </w:tc>
      </w:tr>
      <w:tr w:rsidR="003D4B79" w:rsidRPr="008342C9" w14:paraId="586FD075"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33C8534B"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27303B5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Ensemble</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00604874"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16,6%</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08C83C32"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16,9%</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04BA0A88"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17,1%</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7032C661"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16,7%</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66F17704"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17,5%</w:t>
            </w:r>
          </w:p>
        </w:tc>
      </w:tr>
      <w:tr w:rsidR="003D4B79" w:rsidRPr="008342C9" w14:paraId="59E2FD67"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549D09F2"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79362E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IP F/G</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C46178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0,38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801673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0,37</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8E091C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0,43</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A454401"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0,45</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E4EA37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0,46</w:t>
            </w:r>
          </w:p>
        </w:tc>
      </w:tr>
      <w:tr w:rsidR="003D4B79" w:rsidRPr="008342C9" w14:paraId="1C9D4339" w14:textId="77777777" w:rsidTr="00913696">
        <w:trPr>
          <w:trHeight w:val="300"/>
          <w:jc w:val="center"/>
        </w:trPr>
        <w:tc>
          <w:tcPr>
            <w:tcW w:w="2301"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7420302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Secondaire</w:t>
            </w: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1E4634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Garçons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01C127E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29,5%</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6A24C0F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27,2%</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1F0B2A0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26,3%</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0A585A23"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20,3%</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7A86B366"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26,4%</w:t>
            </w:r>
          </w:p>
        </w:tc>
      </w:tr>
      <w:tr w:rsidR="003D4B79" w:rsidRPr="008342C9" w14:paraId="498F8109"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58289C3A"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28FE3197"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Filles</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AC14380"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7,7%</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2347509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7,7%</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01EB17C2"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7,5%</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32FB26B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7,6%</w:t>
            </w:r>
          </w:p>
        </w:tc>
        <w:tc>
          <w:tcPr>
            <w:tcW w:w="1490"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6809585B"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9,7%</w:t>
            </w:r>
          </w:p>
        </w:tc>
      </w:tr>
      <w:tr w:rsidR="003D4B79" w:rsidRPr="008342C9" w14:paraId="31E952EE"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21561847"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7EEE25BE"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Ensemble</w:t>
            </w:r>
          </w:p>
        </w:tc>
        <w:tc>
          <w:tcPr>
            <w:tcW w:w="1490" w:type="dxa"/>
            <w:tcBorders>
              <w:top w:val="nil"/>
              <w:left w:val="nil"/>
              <w:bottom w:val="single" w:sz="8" w:space="0" w:color="auto"/>
              <w:right w:val="single" w:sz="8" w:space="0" w:color="auto"/>
            </w:tcBorders>
            <w:shd w:val="clear" w:color="auto" w:fill="E2EFDA"/>
            <w:noWrap/>
            <w:tcMar>
              <w:top w:w="0" w:type="dxa"/>
              <w:left w:w="70" w:type="dxa"/>
              <w:bottom w:w="0" w:type="dxa"/>
              <w:right w:w="70" w:type="dxa"/>
            </w:tcMar>
            <w:vAlign w:val="bottom"/>
            <w:hideMark/>
          </w:tcPr>
          <w:p w14:paraId="112AF4F2"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17,9%</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38039266"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16,9%</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7C142C84"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16,3%</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2CFCBF83"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13,6%</w:t>
            </w:r>
          </w:p>
        </w:tc>
        <w:tc>
          <w:tcPr>
            <w:tcW w:w="1490" w:type="dxa"/>
            <w:tcBorders>
              <w:top w:val="nil"/>
              <w:left w:val="nil"/>
              <w:bottom w:val="single" w:sz="8" w:space="0" w:color="auto"/>
              <w:right w:val="single" w:sz="8" w:space="0" w:color="auto"/>
            </w:tcBorders>
            <w:shd w:val="clear" w:color="auto" w:fill="E2EFDA"/>
            <w:tcMar>
              <w:top w:w="0" w:type="dxa"/>
              <w:left w:w="70" w:type="dxa"/>
              <w:bottom w:w="0" w:type="dxa"/>
              <w:right w:w="70" w:type="dxa"/>
            </w:tcMar>
            <w:vAlign w:val="bottom"/>
            <w:hideMark/>
          </w:tcPr>
          <w:p w14:paraId="774BCC4B" w14:textId="77777777" w:rsidR="003D4B79" w:rsidRPr="00A8375B" w:rsidRDefault="003D4B79" w:rsidP="00913696">
            <w:pPr>
              <w:spacing w:after="0"/>
              <w:jc w:val="center"/>
              <w:rPr>
                <w:rFonts w:ascii="Vrinda" w:hAnsi="Vrinda"/>
                <w:sz w:val="20"/>
                <w:u w:val="single"/>
              </w:rPr>
            </w:pPr>
            <w:r w:rsidRPr="00A8375B">
              <w:rPr>
                <w:rFonts w:ascii="Vrinda" w:hAnsi="Vrinda"/>
                <w:b/>
                <w:sz w:val="20"/>
                <w:u w:val="single"/>
              </w:rPr>
              <w:t>17,5%</w:t>
            </w:r>
          </w:p>
        </w:tc>
      </w:tr>
      <w:tr w:rsidR="003D4B79" w:rsidRPr="008342C9" w14:paraId="73ADF569" w14:textId="77777777" w:rsidTr="00913696">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14:paraId="5F1F4DB3" w14:textId="77777777" w:rsidR="003D4B79" w:rsidRPr="00A8375B" w:rsidRDefault="003D4B79" w:rsidP="00913696">
            <w:pPr>
              <w:spacing w:after="0"/>
              <w:jc w:val="center"/>
              <w:rPr>
                <w:rFonts w:ascii="Vrinda" w:hAnsi="Vrinda"/>
                <w:sz w:val="20"/>
                <w:u w:val="single"/>
              </w:rPr>
            </w:pPr>
          </w:p>
        </w:tc>
        <w:tc>
          <w:tcPr>
            <w:tcW w:w="1192"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EF4B2AE"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IP F/G</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C779135"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0,26</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20A697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0,28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547D7B9C"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0,28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6CFBE709"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0,38</w:t>
            </w:r>
          </w:p>
        </w:tc>
        <w:tc>
          <w:tcPr>
            <w:tcW w:w="1490"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6DB3C88" w14:textId="77777777" w:rsidR="003D4B79" w:rsidRPr="00A8375B" w:rsidRDefault="003D4B79" w:rsidP="00913696">
            <w:pPr>
              <w:spacing w:after="0"/>
              <w:jc w:val="center"/>
              <w:rPr>
                <w:rFonts w:ascii="Vrinda" w:hAnsi="Vrinda"/>
                <w:sz w:val="20"/>
                <w:u w:val="single"/>
              </w:rPr>
            </w:pPr>
            <w:r w:rsidRPr="00A8375B">
              <w:rPr>
                <w:rFonts w:ascii="Vrinda" w:hAnsi="Vrinda"/>
                <w:sz w:val="20"/>
                <w:u w:val="single"/>
              </w:rPr>
              <w:t>0,37</w:t>
            </w:r>
          </w:p>
        </w:tc>
      </w:tr>
    </w:tbl>
    <w:p w14:paraId="091741EC" w14:textId="0556BF31" w:rsidR="003D4B79" w:rsidRDefault="003D4B79" w:rsidP="003D4B79">
      <w:pPr>
        <w:spacing w:after="0"/>
        <w:jc w:val="both"/>
        <w:rPr>
          <w:rFonts w:ascii="Calibri Light" w:hAnsi="Calibri Light"/>
          <w:bCs/>
          <w:szCs w:val="20"/>
        </w:rPr>
      </w:pPr>
      <w:r w:rsidRPr="00913696">
        <w:rPr>
          <w:rFonts w:ascii="Calibri Light" w:hAnsi="Calibri Light"/>
          <w:bCs/>
          <w:szCs w:val="20"/>
          <w:u w:val="single"/>
        </w:rPr>
        <w:lastRenderedPageBreak/>
        <w:t>Source </w:t>
      </w:r>
      <w:r w:rsidRPr="00913696">
        <w:rPr>
          <w:rFonts w:ascii="Calibri Light" w:hAnsi="Calibri Light"/>
          <w:bCs/>
          <w:szCs w:val="20"/>
        </w:rPr>
        <w:t>: Données du Système d’Information pour la Gestion de l’Education (SIGE), UNESCO.</w:t>
      </w:r>
    </w:p>
    <w:p w14:paraId="6BF16043" w14:textId="2606E3A7" w:rsidR="00993B27" w:rsidRDefault="00993B27" w:rsidP="003D4B79">
      <w:pPr>
        <w:spacing w:after="0"/>
        <w:jc w:val="both"/>
        <w:rPr>
          <w:rFonts w:ascii="Calibri Light" w:hAnsi="Calibri Light"/>
          <w:bCs/>
          <w:szCs w:val="20"/>
        </w:rPr>
      </w:pPr>
    </w:p>
    <w:p w14:paraId="71583423" w14:textId="5FD524F0" w:rsidR="00993B27" w:rsidRDefault="00993B27" w:rsidP="003D4B79">
      <w:pPr>
        <w:spacing w:after="0"/>
        <w:jc w:val="both"/>
        <w:rPr>
          <w:rFonts w:ascii="Calibri Light" w:hAnsi="Calibri Light"/>
          <w:bCs/>
          <w:szCs w:val="20"/>
        </w:rPr>
      </w:pPr>
    </w:p>
    <w:p w14:paraId="0EF6FFB4" w14:textId="34BC612D" w:rsidR="00993B27" w:rsidRDefault="009508B5" w:rsidP="003D4B79">
      <w:pPr>
        <w:spacing w:after="0"/>
        <w:jc w:val="both"/>
        <w:rPr>
          <w:rFonts w:ascii="Calibri Light" w:hAnsi="Calibri Light"/>
          <w:bCs/>
          <w:szCs w:val="20"/>
        </w:rPr>
      </w:pPr>
      <w:r>
        <w:rPr>
          <w:rFonts w:ascii="Calibri Light" w:hAnsi="Calibri Light"/>
          <w:bCs/>
          <w:szCs w:val="20"/>
        </w:rPr>
        <w:t>Annexe 6 :</w:t>
      </w:r>
    </w:p>
    <w:p w14:paraId="567A9CD8" w14:textId="77777777" w:rsidR="009508B5" w:rsidRPr="00D66BF5" w:rsidRDefault="009508B5" w:rsidP="009508B5">
      <w:pPr>
        <w:jc w:val="both"/>
        <w:rPr>
          <w:rFonts w:ascii="Times New Roman" w:hAnsi="Times New Roman"/>
          <w:b/>
          <w:bCs/>
          <w:sz w:val="24"/>
          <w:szCs w:val="24"/>
        </w:rPr>
      </w:pPr>
      <w:r w:rsidRPr="00D66BF5">
        <w:rPr>
          <w:rFonts w:ascii="Times New Roman" w:hAnsi="Times New Roman"/>
          <w:b/>
          <w:bCs/>
          <w:sz w:val="24"/>
          <w:szCs w:val="24"/>
        </w:rPr>
        <w:t>Evaluation de la composante de "L'Education Inclusive de Qualité" du Programme de Coopération entre le Gouvernement du Tchad-UNICEF 2013-2018 :</w:t>
      </w:r>
    </w:p>
    <w:p w14:paraId="38DFF4DE" w14:textId="77777777" w:rsidR="009508B5" w:rsidRPr="00D66BF5" w:rsidRDefault="009508B5" w:rsidP="009508B5">
      <w:pPr>
        <w:jc w:val="both"/>
        <w:rPr>
          <w:rFonts w:ascii="Times New Roman" w:hAnsi="Times New Roman"/>
          <w:sz w:val="24"/>
          <w:szCs w:val="24"/>
        </w:rPr>
      </w:pPr>
      <w:r w:rsidRPr="00D66BF5">
        <w:rPr>
          <w:rFonts w:ascii="Times New Roman" w:hAnsi="Times New Roman"/>
          <w:sz w:val="24"/>
          <w:szCs w:val="24"/>
        </w:rPr>
        <w:t>La composante « Education Inclusive de Qualité » s’inscrit dans la continuité des programmes du Gouvernement en matière d’éducation. Il se propose d’aider les garçons et filles les plus vulnérables à acquérir les compétences nécessaires à leur développement personnel et à leur insertion socioéconomique.</w:t>
      </w:r>
    </w:p>
    <w:p w14:paraId="02C1BFCB" w14:textId="77777777" w:rsidR="009508B5" w:rsidRPr="00D66BF5" w:rsidRDefault="009508B5" w:rsidP="00BC1AE3">
      <w:pPr>
        <w:numPr>
          <w:ilvl w:val="0"/>
          <w:numId w:val="30"/>
        </w:numPr>
        <w:spacing w:after="0" w:line="240" w:lineRule="auto"/>
        <w:contextualSpacing/>
        <w:jc w:val="both"/>
        <w:rPr>
          <w:rFonts w:ascii="Times New Roman" w:hAnsi="Times New Roman"/>
          <w:sz w:val="24"/>
          <w:szCs w:val="24"/>
        </w:rPr>
      </w:pPr>
      <w:r w:rsidRPr="00D66BF5">
        <w:rPr>
          <w:rFonts w:ascii="Times New Roman" w:hAnsi="Times New Roman"/>
          <w:b/>
          <w:bCs/>
          <w:sz w:val="24"/>
          <w:szCs w:val="24"/>
        </w:rPr>
        <w:t>Pertinence </w:t>
      </w:r>
      <w:r w:rsidRPr="00D66BF5">
        <w:rPr>
          <w:rFonts w:ascii="Times New Roman" w:hAnsi="Times New Roman"/>
          <w:bCs/>
          <w:sz w:val="24"/>
          <w:szCs w:val="24"/>
        </w:rPr>
        <w:t>:</w:t>
      </w:r>
      <w:r w:rsidRPr="00D66BF5">
        <w:rPr>
          <w:rFonts w:ascii="Times New Roman" w:hAnsi="Times New Roman"/>
          <w:b/>
          <w:bCs/>
          <w:sz w:val="24"/>
          <w:szCs w:val="24"/>
        </w:rPr>
        <w:t xml:space="preserve"> </w:t>
      </w:r>
      <w:r w:rsidRPr="00D66BF5">
        <w:rPr>
          <w:rFonts w:ascii="Times New Roman" w:hAnsi="Times New Roman"/>
          <w:sz w:val="24"/>
          <w:szCs w:val="24"/>
        </w:rPr>
        <w:t>A travers ses actions, le programme a amélioré l’accès et la qualité de l’éducation par l’adoption de comportements et de pratiques favorables à l’éducation au sein des communautés ce qui est en parfaite harmonie avec les attentes des communautés et les objectifs de qualité d’éducation recherchés par le Gouvernement du Tchad.</w:t>
      </w:r>
    </w:p>
    <w:p w14:paraId="5DE78BBC" w14:textId="77777777" w:rsidR="009508B5" w:rsidRPr="00D66BF5" w:rsidRDefault="009508B5" w:rsidP="009508B5">
      <w:pPr>
        <w:ind w:left="720"/>
        <w:contextualSpacing/>
        <w:jc w:val="both"/>
        <w:rPr>
          <w:rFonts w:ascii="Times New Roman" w:hAnsi="Times New Roman"/>
          <w:sz w:val="24"/>
          <w:szCs w:val="24"/>
        </w:rPr>
      </w:pPr>
    </w:p>
    <w:p w14:paraId="16E8A5F6" w14:textId="77777777" w:rsidR="009508B5" w:rsidRPr="00D66BF5" w:rsidRDefault="009508B5" w:rsidP="00BC1AE3">
      <w:pPr>
        <w:numPr>
          <w:ilvl w:val="0"/>
          <w:numId w:val="30"/>
        </w:numPr>
        <w:spacing w:after="0" w:line="240" w:lineRule="auto"/>
        <w:contextualSpacing/>
        <w:jc w:val="both"/>
        <w:rPr>
          <w:rFonts w:ascii="Times New Roman" w:hAnsi="Times New Roman"/>
          <w:sz w:val="24"/>
          <w:szCs w:val="24"/>
        </w:rPr>
      </w:pPr>
      <w:r w:rsidRPr="00D66BF5">
        <w:rPr>
          <w:rFonts w:ascii="Times New Roman" w:hAnsi="Times New Roman"/>
          <w:b/>
          <w:bCs/>
          <w:sz w:val="24"/>
          <w:szCs w:val="24"/>
        </w:rPr>
        <w:t>Efficacité</w:t>
      </w:r>
      <w:r w:rsidRPr="00D66BF5">
        <w:rPr>
          <w:rFonts w:ascii="Times New Roman" w:hAnsi="Times New Roman"/>
          <w:bCs/>
          <w:sz w:val="24"/>
          <w:szCs w:val="24"/>
        </w:rPr>
        <w:t> </w:t>
      </w:r>
      <w:r w:rsidRPr="00D66BF5">
        <w:rPr>
          <w:rFonts w:ascii="Times New Roman" w:hAnsi="Times New Roman"/>
          <w:b/>
          <w:bCs/>
          <w:sz w:val="24"/>
          <w:szCs w:val="24"/>
        </w:rPr>
        <w:t xml:space="preserve">: </w:t>
      </w:r>
      <w:r w:rsidRPr="00D66BF5">
        <w:rPr>
          <w:rFonts w:ascii="Times New Roman" w:hAnsi="Times New Roman"/>
          <w:bCs/>
          <w:sz w:val="24"/>
          <w:szCs w:val="24"/>
        </w:rPr>
        <w:t>Le système d’information ne fournit pas de données sur 3 des 7 indicateurs de résultats envisagés au cours du cycle, notamment le Taux Net d´admission dans le primaire, le Pourcentage d´enfants en première année primaire qui ont fréquenté un établissement préscolaire l´année précédente ; et la Proportion des écoles répondant aux normes de qualité des écoles amies des enfants. Par rapport aux 4 indicateurs pour lesquels les données existent (Annuaire statistique scolaire 2015-2016), la performance du programme a été plus basse : le programme a atteint partiellement un résultat (taux de redoublement dans le primaire de 16,4% en 2016 par rapport à une cible de 16%) et pas atteint pour les trois autres : taux net de scolarisation dans le primaire (40,5% en 2016 par rapport à une cible de 70%), taux d’achèvement dans le primaire (45,5% en 2016 par rapport à une cible de 60%) et indice de parité dans le primaire (0,76 par rapport à une cible de 0,95).</w:t>
      </w:r>
    </w:p>
    <w:p w14:paraId="76337FBE" w14:textId="77777777" w:rsidR="009508B5" w:rsidRPr="00D66BF5" w:rsidRDefault="009508B5" w:rsidP="009508B5">
      <w:pPr>
        <w:ind w:left="720"/>
        <w:contextualSpacing/>
        <w:jc w:val="both"/>
        <w:rPr>
          <w:rFonts w:ascii="Times New Roman" w:hAnsi="Times New Roman"/>
          <w:sz w:val="24"/>
          <w:szCs w:val="24"/>
        </w:rPr>
      </w:pPr>
    </w:p>
    <w:p w14:paraId="30B890C3" w14:textId="77777777" w:rsidR="009508B5" w:rsidRPr="00D66BF5" w:rsidRDefault="009508B5" w:rsidP="00BC1AE3">
      <w:pPr>
        <w:numPr>
          <w:ilvl w:val="0"/>
          <w:numId w:val="30"/>
        </w:numPr>
        <w:spacing w:after="0" w:line="240" w:lineRule="auto"/>
        <w:contextualSpacing/>
        <w:jc w:val="both"/>
        <w:rPr>
          <w:rFonts w:ascii="Times New Roman" w:hAnsi="Times New Roman"/>
          <w:color w:val="000000"/>
          <w:sz w:val="24"/>
          <w:szCs w:val="24"/>
        </w:rPr>
      </w:pPr>
      <w:r w:rsidRPr="00D66BF5">
        <w:rPr>
          <w:rFonts w:ascii="Times New Roman" w:hAnsi="Times New Roman"/>
          <w:b/>
          <w:bCs/>
          <w:sz w:val="24"/>
          <w:szCs w:val="24"/>
        </w:rPr>
        <w:t xml:space="preserve">Efficience : </w:t>
      </w:r>
      <w:r w:rsidRPr="00D66BF5">
        <w:rPr>
          <w:rFonts w:ascii="Times New Roman" w:hAnsi="Times New Roman"/>
          <w:sz w:val="24"/>
          <w:szCs w:val="24"/>
        </w:rPr>
        <w:t>Malgré un bon niveau d’utilisation des ressources, l’efficience du programme reste mitigée parce qu’il a été difficile de mesurer son niveau atteint. Le paquet d’interventions mis en place a en revanche contribué à renforcer l’offre et la demande d’éducation.</w:t>
      </w:r>
    </w:p>
    <w:p w14:paraId="339662AE" w14:textId="77777777" w:rsidR="009508B5" w:rsidRPr="00D66BF5" w:rsidRDefault="009508B5" w:rsidP="009508B5">
      <w:pPr>
        <w:ind w:left="720"/>
        <w:contextualSpacing/>
        <w:rPr>
          <w:rFonts w:ascii="Times New Roman" w:hAnsi="Times New Roman"/>
          <w:b/>
          <w:bCs/>
          <w:sz w:val="24"/>
          <w:szCs w:val="24"/>
        </w:rPr>
      </w:pPr>
    </w:p>
    <w:p w14:paraId="2B547EE2" w14:textId="77777777" w:rsidR="009508B5" w:rsidRPr="00683D7B" w:rsidRDefault="009508B5" w:rsidP="00BC1AE3">
      <w:pPr>
        <w:numPr>
          <w:ilvl w:val="0"/>
          <w:numId w:val="30"/>
        </w:numPr>
        <w:spacing w:after="0" w:line="240" w:lineRule="auto"/>
        <w:contextualSpacing/>
        <w:jc w:val="both"/>
        <w:rPr>
          <w:rFonts w:ascii="Times New Roman" w:hAnsi="Times New Roman"/>
          <w:color w:val="000000"/>
          <w:sz w:val="24"/>
          <w:szCs w:val="24"/>
        </w:rPr>
      </w:pPr>
      <w:r w:rsidRPr="00D66BF5">
        <w:rPr>
          <w:rFonts w:ascii="Times New Roman" w:hAnsi="Times New Roman"/>
          <w:b/>
          <w:bCs/>
          <w:sz w:val="24"/>
          <w:szCs w:val="24"/>
        </w:rPr>
        <w:t xml:space="preserve">Durabilité : </w:t>
      </w:r>
      <w:r w:rsidRPr="00D66BF5">
        <w:rPr>
          <w:rFonts w:ascii="Times New Roman" w:hAnsi="Times New Roman"/>
          <w:sz w:val="24"/>
          <w:szCs w:val="24"/>
        </w:rPr>
        <w:t>Pour une meilleure appropriation des bénéficiaires, la mise en place d’une unité de coordination au Ministère de l’éducation nationale et de la promotion civique (MENPC), l’implication des communautés dans les activités de construction, la création de comités de gestion des écoles, le renforcement des capacités de la partie nationale sur les procédures, etc. ont été entrepris.</w:t>
      </w:r>
    </w:p>
    <w:p w14:paraId="63947D7D" w14:textId="77777777" w:rsidR="009508B5" w:rsidRPr="00D66BF5" w:rsidRDefault="009508B5" w:rsidP="009508B5">
      <w:pPr>
        <w:spacing w:after="0" w:line="240" w:lineRule="auto"/>
        <w:ind w:left="720"/>
        <w:contextualSpacing/>
        <w:jc w:val="both"/>
        <w:rPr>
          <w:rFonts w:ascii="Times New Roman" w:hAnsi="Times New Roman"/>
          <w:color w:val="000000"/>
          <w:sz w:val="24"/>
          <w:szCs w:val="24"/>
        </w:rPr>
      </w:pPr>
    </w:p>
    <w:p w14:paraId="529F18FF" w14:textId="77777777" w:rsidR="009508B5" w:rsidRPr="00D66BF5" w:rsidRDefault="009508B5" w:rsidP="009508B5">
      <w:pPr>
        <w:spacing w:after="0" w:line="240" w:lineRule="auto"/>
        <w:jc w:val="both"/>
        <w:rPr>
          <w:rFonts w:ascii="Times New Roman" w:hAnsi="Times New Roman"/>
          <w:b/>
          <w:bCs/>
          <w:color w:val="000000"/>
          <w:sz w:val="24"/>
        </w:rPr>
      </w:pPr>
    </w:p>
    <w:p w14:paraId="3C8EE0C1" w14:textId="77777777" w:rsidR="009508B5" w:rsidRPr="00D66BF5" w:rsidRDefault="009508B5" w:rsidP="009508B5">
      <w:pPr>
        <w:spacing w:after="0" w:line="240" w:lineRule="auto"/>
        <w:jc w:val="both"/>
        <w:rPr>
          <w:rFonts w:ascii="Times New Roman" w:hAnsi="Times New Roman"/>
          <w:b/>
          <w:bCs/>
          <w:color w:val="000000"/>
          <w:sz w:val="24"/>
        </w:rPr>
      </w:pPr>
      <w:r w:rsidRPr="00D66BF5">
        <w:rPr>
          <w:rFonts w:ascii="Times New Roman" w:hAnsi="Times New Roman"/>
          <w:b/>
          <w:bCs/>
          <w:color w:val="000000"/>
          <w:sz w:val="24"/>
        </w:rPr>
        <w:t xml:space="preserve">Evaluation de la réponse au mariage des enfants et aux mutilations génitales féminines au </w:t>
      </w:r>
      <w:proofErr w:type="gramStart"/>
      <w:r w:rsidRPr="00D66BF5">
        <w:rPr>
          <w:rFonts w:ascii="Times New Roman" w:hAnsi="Times New Roman"/>
          <w:b/>
          <w:bCs/>
          <w:color w:val="000000"/>
          <w:sz w:val="24"/>
        </w:rPr>
        <w:t>Tchad:</w:t>
      </w:r>
      <w:proofErr w:type="gramEnd"/>
    </w:p>
    <w:p w14:paraId="50511817" w14:textId="77777777" w:rsidR="009508B5" w:rsidRPr="00D66BF5" w:rsidRDefault="009508B5" w:rsidP="009508B5">
      <w:pPr>
        <w:spacing w:after="0" w:line="240" w:lineRule="auto"/>
        <w:jc w:val="both"/>
        <w:rPr>
          <w:rFonts w:ascii="Times New Roman" w:hAnsi="Times New Roman"/>
          <w:color w:val="000000"/>
          <w:sz w:val="24"/>
        </w:rPr>
      </w:pPr>
    </w:p>
    <w:p w14:paraId="52160B3D" w14:textId="77777777" w:rsidR="009508B5" w:rsidRPr="00D66BF5" w:rsidRDefault="009508B5" w:rsidP="00BC1AE3">
      <w:pPr>
        <w:numPr>
          <w:ilvl w:val="0"/>
          <w:numId w:val="31"/>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lastRenderedPageBreak/>
        <w:t>Pertinence :</w:t>
      </w:r>
      <w:r w:rsidRPr="00D66BF5">
        <w:rPr>
          <w:rFonts w:ascii="Times New Roman" w:hAnsi="Times New Roman"/>
          <w:color w:val="000000"/>
          <w:sz w:val="24"/>
        </w:rPr>
        <w:t xml:space="preserve"> Les activités menées dans le cadre de la réponse au mariage précoce et de mutilation génitale féminine sont en cohérence avec les engagements de l’Etat tchadien et ses partenaires contenus dans les plans et stratégies. </w:t>
      </w:r>
    </w:p>
    <w:p w14:paraId="32B9F7AE" w14:textId="77777777" w:rsidR="009508B5" w:rsidRPr="00D66BF5" w:rsidRDefault="009508B5" w:rsidP="009508B5">
      <w:pPr>
        <w:spacing w:after="0" w:line="240" w:lineRule="auto"/>
        <w:jc w:val="both"/>
        <w:rPr>
          <w:rFonts w:ascii="Times New Roman" w:hAnsi="Times New Roman"/>
          <w:color w:val="000000"/>
          <w:sz w:val="24"/>
        </w:rPr>
      </w:pPr>
    </w:p>
    <w:p w14:paraId="235FA3DB" w14:textId="77777777" w:rsidR="009508B5" w:rsidRPr="00D66BF5" w:rsidRDefault="009508B5" w:rsidP="00BC1AE3">
      <w:pPr>
        <w:numPr>
          <w:ilvl w:val="0"/>
          <w:numId w:val="31"/>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t>Efficacité </w:t>
      </w:r>
      <w:r w:rsidRPr="00D66BF5">
        <w:rPr>
          <w:rFonts w:ascii="Times New Roman" w:hAnsi="Times New Roman"/>
          <w:color w:val="000000"/>
          <w:sz w:val="24"/>
        </w:rPr>
        <w:t xml:space="preserve">: Les actions de mobilisation sociale et la communication ont certes permis d’augmenter le pourcentage de la population informée sur les lois interdisant les pratiques de ME et MGF. Cependant le niveau de connaissance des risques sanitaires et des procédures de recours pour la prise en charge des cas identifiés sont encore insuffisants. Le Gouvernement ne dispose pas de lignes budgétaires spécifiques pour la mise en œuvre de la feuille de route en dehors du budget alloué au ministère en charge de la famille qui couvre essentiellement les frais de personnel et de fonctionnement des structures.  L’évaluation a montré que la lutte répressive contre les MGF tend à entrainer un changement de mode opératoire de l’excision, avec des pratiques plus discrètes à des âges de plus en plus précoces. </w:t>
      </w:r>
    </w:p>
    <w:p w14:paraId="271DD3A3" w14:textId="77777777" w:rsidR="009508B5" w:rsidRPr="00D66BF5" w:rsidRDefault="009508B5" w:rsidP="009508B5">
      <w:pPr>
        <w:spacing w:after="0" w:line="240" w:lineRule="auto"/>
        <w:jc w:val="both"/>
        <w:rPr>
          <w:rFonts w:ascii="Times New Roman" w:hAnsi="Times New Roman"/>
          <w:color w:val="000000"/>
          <w:sz w:val="24"/>
        </w:rPr>
      </w:pPr>
    </w:p>
    <w:p w14:paraId="3E4CEE34" w14:textId="77777777" w:rsidR="009508B5" w:rsidRPr="00D66BF5" w:rsidRDefault="009508B5" w:rsidP="00BC1AE3">
      <w:pPr>
        <w:numPr>
          <w:ilvl w:val="0"/>
          <w:numId w:val="31"/>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t>Efficience </w:t>
      </w:r>
      <w:r w:rsidRPr="00D66BF5">
        <w:rPr>
          <w:rFonts w:ascii="Times New Roman" w:hAnsi="Times New Roman"/>
          <w:color w:val="000000"/>
          <w:sz w:val="24"/>
        </w:rPr>
        <w:t xml:space="preserve">: Le taux de mobilisation des fonds a baissé entre 2017 (46%) et 2018 (13%) </w:t>
      </w:r>
      <w:r w:rsidRPr="00D66BF5">
        <w:rPr>
          <w:rFonts w:ascii="Times New Roman" w:hAnsi="Times New Roman"/>
          <w:color w:val="000000"/>
          <w:sz w:val="24"/>
        </w:rPr>
        <w:cr/>
        <w:t xml:space="preserve"> </w:t>
      </w:r>
      <w:proofErr w:type="gramStart"/>
      <w:r w:rsidRPr="00D66BF5">
        <w:rPr>
          <w:rFonts w:ascii="Times New Roman" w:hAnsi="Times New Roman"/>
          <w:color w:val="000000"/>
          <w:sz w:val="24"/>
        </w:rPr>
        <w:t>à</w:t>
      </w:r>
      <w:proofErr w:type="gramEnd"/>
      <w:r w:rsidRPr="00D66BF5">
        <w:rPr>
          <w:rFonts w:ascii="Times New Roman" w:hAnsi="Times New Roman"/>
          <w:color w:val="000000"/>
          <w:sz w:val="24"/>
        </w:rPr>
        <w:t xml:space="preserve"> cause de l’augmentation de besoins humanitaire en 2018 qui ont été plus de 10 fois plus élevés par rapport à 2017 selon le rapport de l’évaluation formative de la réponse au mariage d’enfants et aux mutilations génitales féminines 27 janvier 2020. Cependant, aucun mécanisme n’a été mis en place pour la révision des cibles et des résultats visés par la composante du programme protection au regard des faibles mobilisations de ressources.</w:t>
      </w:r>
    </w:p>
    <w:p w14:paraId="285B2080" w14:textId="77777777" w:rsidR="009508B5" w:rsidRPr="00D66BF5" w:rsidRDefault="009508B5" w:rsidP="009508B5">
      <w:pPr>
        <w:spacing w:after="0" w:line="240" w:lineRule="auto"/>
        <w:jc w:val="both"/>
        <w:rPr>
          <w:rFonts w:ascii="Times New Roman" w:hAnsi="Times New Roman"/>
          <w:color w:val="000000"/>
          <w:sz w:val="24"/>
        </w:rPr>
      </w:pPr>
    </w:p>
    <w:p w14:paraId="4AFA9FA6" w14:textId="77777777" w:rsidR="009508B5" w:rsidRPr="00D66BF5" w:rsidRDefault="009508B5" w:rsidP="00BC1AE3">
      <w:pPr>
        <w:numPr>
          <w:ilvl w:val="0"/>
          <w:numId w:val="31"/>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t>Durabilité </w:t>
      </w:r>
      <w:r w:rsidRPr="00D66BF5">
        <w:rPr>
          <w:rFonts w:ascii="Times New Roman" w:hAnsi="Times New Roman"/>
          <w:color w:val="000000"/>
          <w:sz w:val="24"/>
        </w:rPr>
        <w:t>: L’appropriation du programme par la partie nationale n’est pas effective à cause de l’insuffisance de la coordination, ce qui est lié essentiellement à l’instabilité institutionnelle et qui a créé des bouleversements au niveau du Ministère de la Femme, de la Famille et de la Protection de l'Enfance.</w:t>
      </w:r>
    </w:p>
    <w:p w14:paraId="0BCB7248" w14:textId="77777777" w:rsidR="009508B5" w:rsidRPr="00D66BF5" w:rsidRDefault="009508B5" w:rsidP="009508B5">
      <w:pPr>
        <w:spacing w:after="0" w:line="240" w:lineRule="auto"/>
        <w:ind w:left="360"/>
        <w:jc w:val="both"/>
        <w:rPr>
          <w:rFonts w:ascii="Times New Roman" w:hAnsi="Times New Roman"/>
          <w:color w:val="000000"/>
          <w:sz w:val="24"/>
        </w:rPr>
      </w:pPr>
    </w:p>
    <w:p w14:paraId="16EBF8DE" w14:textId="77777777" w:rsidR="009508B5" w:rsidRPr="00D66BF5" w:rsidRDefault="009508B5" w:rsidP="009508B5">
      <w:pPr>
        <w:spacing w:after="0" w:line="240" w:lineRule="auto"/>
        <w:ind w:left="360"/>
        <w:jc w:val="both"/>
        <w:rPr>
          <w:rFonts w:ascii="Times New Roman" w:hAnsi="Times New Roman"/>
          <w:color w:val="000000"/>
          <w:sz w:val="24"/>
        </w:rPr>
      </w:pPr>
      <w:r w:rsidRPr="00D66BF5">
        <w:rPr>
          <w:rFonts w:ascii="Times New Roman" w:hAnsi="Times New Roman"/>
          <w:b/>
          <w:bCs/>
          <w:color w:val="000000"/>
          <w:sz w:val="24"/>
        </w:rPr>
        <w:t>Evaluation de la réponse humanitaire dans le Programme de Coopération entre le Gouvernement du Tchad-UNICEF 2017-2021 :</w:t>
      </w:r>
    </w:p>
    <w:p w14:paraId="75B725C7" w14:textId="77777777" w:rsidR="009508B5" w:rsidRPr="00D66BF5" w:rsidRDefault="009508B5" w:rsidP="009508B5">
      <w:pPr>
        <w:spacing w:after="0" w:line="240" w:lineRule="auto"/>
        <w:ind w:left="360"/>
        <w:jc w:val="both"/>
        <w:rPr>
          <w:rFonts w:ascii="Times New Roman" w:hAnsi="Times New Roman"/>
          <w:color w:val="000000"/>
          <w:sz w:val="24"/>
        </w:rPr>
      </w:pPr>
    </w:p>
    <w:p w14:paraId="0E3127ED" w14:textId="77777777" w:rsidR="009508B5" w:rsidRPr="00D66BF5" w:rsidRDefault="009508B5" w:rsidP="00BC1AE3">
      <w:pPr>
        <w:numPr>
          <w:ilvl w:val="0"/>
          <w:numId w:val="32"/>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t>Pertinence</w:t>
      </w:r>
      <w:r w:rsidRPr="00D66BF5">
        <w:rPr>
          <w:rFonts w:ascii="Times New Roman" w:hAnsi="Times New Roman"/>
          <w:color w:val="000000"/>
          <w:sz w:val="24"/>
        </w:rPr>
        <w:t> : Les stratégies adoptées dans cette réponse humanitaire sont basées sur des évaluations multisectorielles qui se font annuellement pour adapter les types d’interventions aux besoins des bénéficiaires et, les interventions en matière d’urgence sont analysées et évaluées avec la participation des bénéficiaires pour élaborer des plans de réponse par secteur.</w:t>
      </w:r>
    </w:p>
    <w:p w14:paraId="0ED5607B" w14:textId="77777777" w:rsidR="009508B5" w:rsidRPr="00D66BF5" w:rsidRDefault="009508B5" w:rsidP="009508B5">
      <w:pPr>
        <w:spacing w:after="0" w:line="240" w:lineRule="auto"/>
        <w:ind w:left="1080"/>
        <w:contextualSpacing/>
        <w:jc w:val="both"/>
        <w:rPr>
          <w:rFonts w:ascii="Times New Roman" w:hAnsi="Times New Roman"/>
          <w:color w:val="000000"/>
          <w:sz w:val="24"/>
        </w:rPr>
      </w:pPr>
    </w:p>
    <w:p w14:paraId="2AE2F6B2" w14:textId="77777777" w:rsidR="009508B5" w:rsidRPr="00D66BF5" w:rsidRDefault="009508B5" w:rsidP="00BC1AE3">
      <w:pPr>
        <w:numPr>
          <w:ilvl w:val="0"/>
          <w:numId w:val="32"/>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t>Efficacité</w:t>
      </w:r>
      <w:r w:rsidRPr="00D66BF5">
        <w:rPr>
          <w:rFonts w:ascii="Times New Roman" w:hAnsi="Times New Roman"/>
          <w:color w:val="000000"/>
          <w:sz w:val="24"/>
        </w:rPr>
        <w:t xml:space="preserve"> : : Les activités planifiées étaient suffisantes (en quantité et en qualité) pour atteindre les résultats escomptés de la réponse humanitaire avec un taux de réalisation de 128% et du niveau de contribution de 87% sur les résultats des Clusters (Nutrition, Santé, Education et WASH) et au domaine de responsabilité Protection de l’enfant durant la période 2017-2019 selon les produits du HAC. Les acteurs gouvernementaux, les communautés et les ONG, au niveau central et dans les zones ciblées, ont amélioré leurs capacités dans la préparation et la réponse coordonnée aux besoins humanitaires en situation d’urgence dans chaque secteur. Les gaps non couverts dans les secteurs sont dus à l’insuffisance de </w:t>
      </w:r>
      <w:r w:rsidRPr="00D66BF5">
        <w:rPr>
          <w:rFonts w:ascii="Times New Roman" w:hAnsi="Times New Roman"/>
          <w:color w:val="000000"/>
          <w:sz w:val="24"/>
        </w:rPr>
        <w:lastRenderedPageBreak/>
        <w:t>financement dans les activités relatives aux urgences humanitaires et aux faibles contribution et capacités de l’Etat Tchadien dans la préparation et réponses aux urgences.</w:t>
      </w:r>
    </w:p>
    <w:p w14:paraId="601EE45A" w14:textId="77777777" w:rsidR="009508B5" w:rsidRPr="00D66BF5" w:rsidRDefault="009508B5" w:rsidP="009508B5">
      <w:pPr>
        <w:ind w:left="720"/>
        <w:contextualSpacing/>
        <w:rPr>
          <w:rFonts w:ascii="Times New Roman" w:hAnsi="Times New Roman"/>
          <w:color w:val="000000"/>
          <w:sz w:val="24"/>
        </w:rPr>
      </w:pPr>
    </w:p>
    <w:p w14:paraId="1C2B3ACC" w14:textId="77777777" w:rsidR="009508B5" w:rsidRPr="00D66BF5" w:rsidRDefault="009508B5" w:rsidP="00BC1AE3">
      <w:pPr>
        <w:numPr>
          <w:ilvl w:val="0"/>
          <w:numId w:val="32"/>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t>Efficience</w:t>
      </w:r>
      <w:r w:rsidRPr="00D66BF5">
        <w:rPr>
          <w:rFonts w:ascii="Times New Roman" w:hAnsi="Times New Roman"/>
          <w:color w:val="000000"/>
          <w:sz w:val="24"/>
        </w:rPr>
        <w:t xml:space="preserve"> :</w:t>
      </w:r>
      <w:r w:rsidRPr="00D66BF5">
        <w:t xml:space="preserve"> </w:t>
      </w:r>
      <w:r w:rsidRPr="00D66BF5">
        <w:rPr>
          <w:rFonts w:ascii="Times New Roman" w:hAnsi="Times New Roman"/>
          <w:color w:val="000000"/>
          <w:sz w:val="24"/>
        </w:rPr>
        <w:t>La quasi-totalité des financements alloués a été utilisée et des efforts ont été faits pour optimiser les coûts de mise en œuvre avec un accent mis sur l’intersectorialité.</w:t>
      </w:r>
    </w:p>
    <w:p w14:paraId="417B5F61" w14:textId="77777777" w:rsidR="009508B5" w:rsidRPr="00D66BF5" w:rsidRDefault="009508B5" w:rsidP="009508B5">
      <w:pPr>
        <w:spacing w:after="0" w:line="240" w:lineRule="auto"/>
        <w:ind w:left="1080"/>
        <w:contextualSpacing/>
        <w:jc w:val="both"/>
        <w:rPr>
          <w:rFonts w:ascii="Times New Roman" w:hAnsi="Times New Roman"/>
          <w:color w:val="000000"/>
          <w:sz w:val="24"/>
        </w:rPr>
      </w:pPr>
    </w:p>
    <w:p w14:paraId="3506D9B7" w14:textId="77777777" w:rsidR="009508B5" w:rsidRPr="00D66BF5" w:rsidRDefault="009508B5" w:rsidP="00BC1AE3">
      <w:pPr>
        <w:numPr>
          <w:ilvl w:val="0"/>
          <w:numId w:val="32"/>
        </w:numPr>
        <w:spacing w:after="0" w:line="240" w:lineRule="auto"/>
        <w:contextualSpacing/>
        <w:jc w:val="both"/>
        <w:rPr>
          <w:rFonts w:ascii="Times New Roman" w:hAnsi="Times New Roman"/>
          <w:color w:val="000000"/>
          <w:sz w:val="24"/>
        </w:rPr>
      </w:pPr>
      <w:r w:rsidRPr="00D66BF5">
        <w:rPr>
          <w:rFonts w:ascii="Times New Roman" w:hAnsi="Times New Roman"/>
          <w:b/>
          <w:bCs/>
          <w:color w:val="000000"/>
          <w:sz w:val="24"/>
        </w:rPr>
        <w:t>Durabilité</w:t>
      </w:r>
      <w:r w:rsidRPr="00D66BF5">
        <w:rPr>
          <w:rFonts w:ascii="Times New Roman" w:hAnsi="Times New Roman"/>
          <w:color w:val="000000"/>
          <w:sz w:val="24"/>
        </w:rPr>
        <w:t> : La complémentarité de la réponse humanitaire et le continuum réponse humanitaire-programmation de développement a été renforcé en appuyant les capacités du Gouvernement dans la rédaction des documents relatifs aux urgences en lien avec le Plan National de Développement et par la mise en œuvre des initiatives novatrices (ATPC, ACPV, intersectorialité…) dans chaque secteur. Mais le continuum humanitaire-développement présente une carence au niveau des orientations stratégiques en matière de suivi des résultats, ainsi que des faiblesses dans la collaboration avec certains partenaires pour le transfert des compétences.</w:t>
      </w:r>
    </w:p>
    <w:p w14:paraId="62DB1446" w14:textId="77777777" w:rsidR="009508B5" w:rsidRPr="00D66BF5" w:rsidRDefault="009508B5" w:rsidP="009508B5">
      <w:pPr>
        <w:spacing w:after="0" w:line="240" w:lineRule="auto"/>
        <w:jc w:val="both"/>
        <w:rPr>
          <w:rFonts w:ascii="Times New Roman" w:hAnsi="Times New Roman"/>
          <w:color w:val="000000"/>
          <w:sz w:val="24"/>
        </w:rPr>
      </w:pPr>
    </w:p>
    <w:p w14:paraId="09A5B69F" w14:textId="77777777" w:rsidR="009508B5" w:rsidRPr="00D66BF5" w:rsidRDefault="009508B5" w:rsidP="009508B5">
      <w:pPr>
        <w:spacing w:after="0" w:line="240" w:lineRule="auto"/>
        <w:jc w:val="both"/>
        <w:rPr>
          <w:rFonts w:ascii="Times New Roman" w:hAnsi="Times New Roman"/>
          <w:b/>
          <w:bCs/>
          <w:color w:val="000000"/>
          <w:sz w:val="24"/>
        </w:rPr>
      </w:pPr>
      <w:r w:rsidRPr="00D66BF5">
        <w:rPr>
          <w:rFonts w:ascii="Times New Roman" w:hAnsi="Times New Roman"/>
          <w:b/>
          <w:bCs/>
          <w:color w:val="000000"/>
          <w:sz w:val="24"/>
        </w:rPr>
        <w:t>Évaluation du programme/stratégie de santé communautaire au Tchad :</w:t>
      </w:r>
    </w:p>
    <w:p w14:paraId="355BA889" w14:textId="77777777" w:rsidR="009508B5" w:rsidRPr="00D66BF5" w:rsidRDefault="009508B5" w:rsidP="009508B5">
      <w:pPr>
        <w:spacing w:after="0" w:line="240" w:lineRule="auto"/>
        <w:jc w:val="both"/>
        <w:rPr>
          <w:rFonts w:ascii="Times New Roman" w:hAnsi="Times New Roman"/>
          <w:color w:val="000000"/>
          <w:sz w:val="24"/>
        </w:rPr>
      </w:pPr>
    </w:p>
    <w:p w14:paraId="185D6125" w14:textId="77777777" w:rsidR="009508B5" w:rsidRPr="00D66BF5" w:rsidRDefault="009508B5" w:rsidP="00BC1AE3">
      <w:pPr>
        <w:numPr>
          <w:ilvl w:val="0"/>
          <w:numId w:val="33"/>
        </w:numPr>
        <w:contextualSpacing/>
        <w:jc w:val="both"/>
        <w:rPr>
          <w:rFonts w:ascii="Times New Roman" w:hAnsi="Times New Roman"/>
          <w:color w:val="000000"/>
          <w:sz w:val="24"/>
        </w:rPr>
      </w:pPr>
      <w:r w:rsidRPr="00D66BF5">
        <w:rPr>
          <w:rFonts w:ascii="Times New Roman" w:hAnsi="Times New Roman"/>
          <w:b/>
          <w:bCs/>
          <w:color w:val="000000"/>
          <w:sz w:val="24"/>
        </w:rPr>
        <w:t>Pertinence</w:t>
      </w:r>
      <w:r w:rsidRPr="00D66BF5">
        <w:rPr>
          <w:rFonts w:ascii="Times New Roman" w:hAnsi="Times New Roman"/>
          <w:color w:val="000000"/>
          <w:sz w:val="24"/>
        </w:rPr>
        <w:t> : La similitude des objectifs est évidente pour l’accent mis sur la réduction de la mortalité et de la morbidité (de la mère et des enfants) au Tchad. La convergence des approches est évidente pour y parvenir en permettant i) l’accès universel ; ii) renforcer le cadre institutionnel de la SC ; iii) des services intégrés de qualité, iv) le renforcement des capacités, v) la participation de la communauté et vi) l’utilisation de la technologie pour la surveillance en temps réel.</w:t>
      </w:r>
    </w:p>
    <w:p w14:paraId="516485F5" w14:textId="77777777" w:rsidR="009508B5" w:rsidRPr="00D66BF5" w:rsidRDefault="009508B5" w:rsidP="00BC1AE3">
      <w:pPr>
        <w:numPr>
          <w:ilvl w:val="0"/>
          <w:numId w:val="33"/>
        </w:numPr>
        <w:contextualSpacing/>
        <w:jc w:val="both"/>
        <w:rPr>
          <w:rFonts w:ascii="Times New Roman" w:hAnsi="Times New Roman"/>
          <w:color w:val="000000"/>
          <w:sz w:val="24"/>
        </w:rPr>
      </w:pPr>
      <w:r w:rsidRPr="00D66BF5">
        <w:rPr>
          <w:rFonts w:ascii="Times New Roman" w:hAnsi="Times New Roman"/>
          <w:b/>
          <w:bCs/>
          <w:color w:val="000000"/>
          <w:sz w:val="24"/>
        </w:rPr>
        <w:t>Efficacité</w:t>
      </w:r>
      <w:r w:rsidRPr="00D66BF5">
        <w:rPr>
          <w:rFonts w:ascii="Times New Roman" w:hAnsi="Times New Roman"/>
          <w:color w:val="000000"/>
          <w:sz w:val="24"/>
        </w:rPr>
        <w:t xml:space="preserve"> : L'analyse indique que 3 indicateurs clés (allaitement maternel exclusif, accouchement assisté et sources d'eau potable améliorées) montrent des améliorations visibles. Les valeurs d'environ deux tiers (14/22) des indicateurs se sont détériorées par rapport aux valeurs de référence. Les 5 indicateurs restants montrent peu de progrès par rapport aux valeurs de référence ; cependant, les objectifs nationaux ne sont toujours pas atteints. </w:t>
      </w:r>
    </w:p>
    <w:p w14:paraId="1873E6B7" w14:textId="77777777" w:rsidR="009508B5" w:rsidRPr="00D66BF5" w:rsidRDefault="009508B5" w:rsidP="00BC1AE3">
      <w:pPr>
        <w:numPr>
          <w:ilvl w:val="0"/>
          <w:numId w:val="33"/>
        </w:numPr>
        <w:contextualSpacing/>
        <w:jc w:val="both"/>
        <w:rPr>
          <w:rFonts w:ascii="Times New Roman" w:hAnsi="Times New Roman"/>
          <w:color w:val="000000"/>
          <w:sz w:val="24"/>
        </w:rPr>
      </w:pPr>
      <w:r w:rsidRPr="00D66BF5">
        <w:rPr>
          <w:rFonts w:ascii="Times New Roman" w:hAnsi="Times New Roman"/>
          <w:b/>
          <w:bCs/>
          <w:color w:val="000000"/>
          <w:sz w:val="24"/>
        </w:rPr>
        <w:t>Efficience</w:t>
      </w:r>
      <w:r w:rsidRPr="00D66BF5">
        <w:rPr>
          <w:rFonts w:ascii="Times New Roman" w:hAnsi="Times New Roman"/>
          <w:color w:val="000000"/>
          <w:sz w:val="24"/>
        </w:rPr>
        <w:t> : L’analyse a été limitée par les difficultés rencontrées en termes de données : (chiffres budgétaires incohérents entre les dépenses prévues et les dépenses réelles, absence de budget désagrégé et dépenses pour chaque stratégie clé dans le cadre de chaque approche ou initiative SC.</w:t>
      </w:r>
    </w:p>
    <w:p w14:paraId="3166C4BC" w14:textId="77777777" w:rsidR="009508B5" w:rsidRPr="00D66BF5" w:rsidRDefault="009508B5" w:rsidP="00BC1AE3">
      <w:pPr>
        <w:numPr>
          <w:ilvl w:val="0"/>
          <w:numId w:val="33"/>
        </w:numPr>
        <w:contextualSpacing/>
        <w:jc w:val="both"/>
        <w:rPr>
          <w:rFonts w:ascii="Times New Roman" w:hAnsi="Times New Roman"/>
          <w:color w:val="000000"/>
          <w:sz w:val="24"/>
        </w:rPr>
      </w:pPr>
      <w:r w:rsidRPr="00D66BF5">
        <w:rPr>
          <w:rFonts w:ascii="Times New Roman" w:hAnsi="Times New Roman"/>
          <w:b/>
          <w:bCs/>
          <w:color w:val="000000"/>
          <w:sz w:val="24"/>
        </w:rPr>
        <w:t>Durabilité</w:t>
      </w:r>
      <w:r w:rsidRPr="00D66BF5">
        <w:rPr>
          <w:rFonts w:ascii="Times New Roman" w:hAnsi="Times New Roman"/>
          <w:color w:val="000000"/>
          <w:sz w:val="24"/>
        </w:rPr>
        <w:t> :</w:t>
      </w:r>
      <w:r w:rsidRPr="00D66BF5">
        <w:t xml:space="preserve"> </w:t>
      </w:r>
      <w:r w:rsidRPr="00D66BF5">
        <w:rPr>
          <w:rFonts w:ascii="Times New Roman" w:hAnsi="Times New Roman"/>
          <w:color w:val="000000"/>
          <w:sz w:val="24"/>
        </w:rPr>
        <w:t>Toutes les approches de SC n’ont pas mis l’accent sur l’élaboration d’un « plan de sortie » ou de stratégies de durabilité. Peu de stratégies ont été envisagées au stade de la conception pour la durabilité, n’ont pas pu être mises en œuvre dans un véritable esprit (renforcement des capacités, participation active de la communauté, ASC suffisamment motivés, coordination entre les plateformes multisectorielles et les autorités locales, et activités de génération de revenus). Finalement, les réalisations sont moins durables.</w:t>
      </w:r>
    </w:p>
    <w:p w14:paraId="2C551104" w14:textId="77777777" w:rsidR="009508B5" w:rsidRDefault="009508B5" w:rsidP="003D4B79">
      <w:pPr>
        <w:spacing w:after="0"/>
        <w:jc w:val="both"/>
        <w:rPr>
          <w:rFonts w:ascii="Calibri Light" w:hAnsi="Calibri Light"/>
          <w:bCs/>
          <w:szCs w:val="20"/>
        </w:rPr>
      </w:pPr>
    </w:p>
    <w:p w14:paraId="39E8CB72" w14:textId="32D1B4EC" w:rsidR="00993B27" w:rsidRDefault="00993B27" w:rsidP="003D4B79">
      <w:pPr>
        <w:spacing w:after="0"/>
        <w:jc w:val="both"/>
        <w:rPr>
          <w:rFonts w:ascii="Calibri Light" w:hAnsi="Calibri Light"/>
          <w:bCs/>
          <w:szCs w:val="20"/>
        </w:rPr>
      </w:pPr>
    </w:p>
    <w:p w14:paraId="321699C7" w14:textId="28162B2E" w:rsidR="00993B27" w:rsidRDefault="00993B27" w:rsidP="003D4B79">
      <w:pPr>
        <w:spacing w:after="0"/>
        <w:jc w:val="both"/>
        <w:rPr>
          <w:rFonts w:ascii="Calibri Light" w:hAnsi="Calibri Light"/>
          <w:bCs/>
          <w:szCs w:val="20"/>
        </w:rPr>
      </w:pPr>
    </w:p>
    <w:p w14:paraId="75834CEA" w14:textId="492A989B" w:rsidR="00993B27" w:rsidRDefault="002121C4" w:rsidP="003D4B79">
      <w:pPr>
        <w:spacing w:after="0"/>
        <w:jc w:val="both"/>
        <w:rPr>
          <w:rFonts w:ascii="Calibri Light" w:hAnsi="Calibri Light"/>
          <w:bCs/>
          <w:szCs w:val="20"/>
        </w:rPr>
      </w:pPr>
      <w:r>
        <w:rPr>
          <w:rFonts w:ascii="Calibri Light" w:hAnsi="Calibri Light"/>
          <w:bCs/>
          <w:szCs w:val="20"/>
        </w:rPr>
        <w:lastRenderedPageBreak/>
        <w:t>Annexe 7 :</w:t>
      </w:r>
    </w:p>
    <w:p w14:paraId="67135887" w14:textId="77777777" w:rsidR="002121C4" w:rsidRPr="00D66BF5" w:rsidRDefault="002121C4" w:rsidP="002121C4">
      <w:pPr>
        <w:keepNext/>
        <w:spacing w:after="0" w:line="240" w:lineRule="auto"/>
        <w:rPr>
          <w:rFonts w:ascii="Times New Roman" w:hAnsi="Times New Roman"/>
          <w:sz w:val="24"/>
          <w:szCs w:val="24"/>
        </w:rPr>
      </w:pPr>
      <w:r w:rsidRPr="00D66BF5">
        <w:rPr>
          <w:rFonts w:ascii="Times New Roman" w:hAnsi="Times New Roman"/>
          <w:i/>
          <w:color w:val="44546A"/>
          <w:sz w:val="24"/>
          <w:szCs w:val="24"/>
        </w:rPr>
        <w:t>Tableau 1 : Résumé sur la mise en œuvre des objectifs de développement durable au Tchad, 2021</w:t>
      </w:r>
    </w:p>
    <w:tbl>
      <w:tblPr>
        <w:tblW w:w="1049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991"/>
        <w:gridCol w:w="525"/>
        <w:gridCol w:w="6974"/>
      </w:tblGrid>
      <w:tr w:rsidR="002121C4" w:rsidRPr="00D66BF5" w14:paraId="42AE2E16" w14:textId="77777777" w:rsidTr="00C06929">
        <w:trPr>
          <w:trHeight w:val="158"/>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6C38309F"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t xml:space="preserve">ODD 1 : </w:t>
            </w:r>
            <w:r w:rsidRPr="00D66BF5">
              <w:rPr>
                <w:rFonts w:ascii="Times New Roman" w:hAnsi="Times New Roman"/>
                <w:b/>
              </w:rPr>
              <w:t>Éliminer la pauvreté sous toutes ses formes et partout dans le monde</w:t>
            </w:r>
          </w:p>
        </w:tc>
      </w:tr>
      <w:tr w:rsidR="002121C4" w:rsidRPr="00D66BF5" w14:paraId="4E1E712C" w14:textId="77777777" w:rsidTr="00C06929">
        <w:trPr>
          <w:trHeight w:val="3590"/>
        </w:trPr>
        <w:tc>
          <w:tcPr>
            <w:tcW w:w="2991"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F2AD23E"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QUELQUES RÉALISATIONS/CONSTATS</w:t>
            </w:r>
          </w:p>
        </w:tc>
        <w:tc>
          <w:tcPr>
            <w:tcW w:w="7499" w:type="dxa"/>
            <w:tcBorders>
              <w:top w:val="single" w:sz="4" w:space="0" w:color="auto"/>
              <w:left w:val="single" w:sz="4" w:space="0" w:color="auto"/>
              <w:bottom w:val="single" w:sz="4" w:space="0" w:color="auto"/>
              <w:right w:val="single" w:sz="4" w:space="0" w:color="auto"/>
            </w:tcBorders>
            <w:shd w:val="clear" w:color="auto" w:fill="FFFFFF" w:themeFill="background1"/>
          </w:tcPr>
          <w:p w14:paraId="18D05C9B" w14:textId="77777777" w:rsidR="002121C4" w:rsidRPr="00D66BF5" w:rsidRDefault="002121C4" w:rsidP="00C06929">
            <w:pPr>
              <w:jc w:val="both"/>
              <w:rPr>
                <w:rFonts w:ascii="Times New Roman" w:hAnsi="Times New Roman"/>
              </w:rPr>
            </w:pPr>
            <w:r w:rsidRPr="00D66BF5">
              <w:rPr>
                <w:rFonts w:ascii="Times New Roman" w:hAnsi="Times New Roman"/>
              </w:rPr>
              <w:t>Les conditions de vie des ménages sont marquées par une relative amélioration au regard de progrès enregistré récemment de 2011 à 2018. Le pays a réussi à faire diminuer le taux de pauvreté au niveau national de 4.4 points de pourcentage passant de 46,7% en 2011 à 42,3% en 2018. Toutefois environ 6.5 millions de personnes vivent encore sous le seuil de pauvreté</w:t>
            </w:r>
            <w:r w:rsidRPr="00D66BF5">
              <w:rPr>
                <w:rFonts w:ascii="Times New Roman" w:hAnsi="Times New Roman"/>
              </w:rPr>
              <w:footnoteReference w:id="46"/>
            </w:r>
            <w:r w:rsidRPr="00D66BF5">
              <w:rPr>
                <w:rFonts w:ascii="Times New Roman" w:hAnsi="Times New Roman"/>
              </w:rPr>
              <w:t xml:space="preserve">. Le taux de pauvreté est plus accentué en milieu rural (52.5% en 2011 ; 49.7% en 2018) qu’en milieu urbain (20.9% en 2011, 19.3% en 2018). Les provinces du </w:t>
            </w:r>
            <w:proofErr w:type="spellStart"/>
            <w:r w:rsidRPr="00D66BF5">
              <w:rPr>
                <w:rFonts w:ascii="Times New Roman" w:hAnsi="Times New Roman"/>
              </w:rPr>
              <w:t>Guéra</w:t>
            </w:r>
            <w:proofErr w:type="spellEnd"/>
            <w:r w:rsidRPr="00D66BF5">
              <w:rPr>
                <w:rFonts w:ascii="Times New Roman" w:hAnsi="Times New Roman"/>
              </w:rPr>
              <w:t xml:space="preserve">, du Mayo </w:t>
            </w:r>
            <w:proofErr w:type="spellStart"/>
            <w:r w:rsidRPr="00D66BF5">
              <w:rPr>
                <w:rFonts w:ascii="Times New Roman" w:hAnsi="Times New Roman"/>
              </w:rPr>
              <w:t>Kebbi</w:t>
            </w:r>
            <w:proofErr w:type="spellEnd"/>
            <w:r w:rsidRPr="00D66BF5">
              <w:rPr>
                <w:rFonts w:ascii="Times New Roman" w:hAnsi="Times New Roman"/>
              </w:rPr>
              <w:t xml:space="preserve"> Est, du Mayo </w:t>
            </w:r>
            <w:proofErr w:type="spellStart"/>
            <w:r w:rsidRPr="00D66BF5">
              <w:rPr>
                <w:rFonts w:ascii="Times New Roman" w:hAnsi="Times New Roman"/>
              </w:rPr>
              <w:t>Kebbi</w:t>
            </w:r>
            <w:proofErr w:type="spellEnd"/>
            <w:r w:rsidRPr="00D66BF5">
              <w:rPr>
                <w:rFonts w:ascii="Times New Roman" w:hAnsi="Times New Roman"/>
              </w:rPr>
              <w:t xml:space="preserve"> Ouest, du </w:t>
            </w:r>
            <w:proofErr w:type="spellStart"/>
            <w:r w:rsidRPr="00D66BF5">
              <w:rPr>
                <w:rFonts w:ascii="Times New Roman" w:hAnsi="Times New Roman"/>
              </w:rPr>
              <w:t>Mandoul</w:t>
            </w:r>
            <w:proofErr w:type="spellEnd"/>
            <w:r w:rsidRPr="00D66BF5">
              <w:rPr>
                <w:rFonts w:ascii="Times New Roman" w:hAnsi="Times New Roman"/>
              </w:rPr>
              <w:t xml:space="preserve"> et de la </w:t>
            </w:r>
            <w:proofErr w:type="spellStart"/>
            <w:r w:rsidRPr="00D66BF5">
              <w:rPr>
                <w:rFonts w:ascii="Times New Roman" w:hAnsi="Times New Roman"/>
              </w:rPr>
              <w:t>Tandjilé</w:t>
            </w:r>
            <w:proofErr w:type="spellEnd"/>
            <w:r w:rsidRPr="00D66BF5">
              <w:rPr>
                <w:rFonts w:ascii="Times New Roman" w:hAnsi="Times New Roman"/>
              </w:rPr>
              <w:t xml:space="preserve"> sont caractérisées par des taux de pauvreté très élevés (au-delà de 55%). La pauvreté monétaire touche davantage les enfants. Une étude réalisée conjointement par l’UNICEF et l’INSEED suggère que sur les 9 127 462 d’enfants âgés entre 0-17 ans, 4 284 326 d’enfants sont pauvres du point de vue monétaire, soit un taux de pauvreté monétaire de 46,94%</w:t>
            </w:r>
            <w:r w:rsidRPr="00D66BF5">
              <w:rPr>
                <w:rFonts w:ascii="Times New Roman" w:hAnsi="Times New Roman"/>
              </w:rPr>
              <w:footnoteReference w:id="47"/>
            </w:r>
            <w:r w:rsidRPr="00D66BF5">
              <w:rPr>
                <w:rFonts w:ascii="Times New Roman" w:hAnsi="Times New Roman"/>
              </w:rPr>
              <w:t xml:space="preserve">. </w:t>
            </w:r>
          </w:p>
          <w:p w14:paraId="0C7D761C"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Selon le rapport d’évaluation de pauvreté au Tchad publié par la Banque Mondiale en 2021, la pauvreté multidimensionnelle a également significativement baissé entre 2011 et 2018 passant d’environ 70 pour cent à 59 pour cent, et la part de la population identifiée comme démunie dans au moins un tiers des 13 indicateurs de l’IPM a chuté d’environ 9 points de pourcentage. Cette évolution positive reflète des gains en termes conditions de logement, de possession d’actifs, de nutrition, d’accès à l’éducation et aux services de base.</w:t>
            </w:r>
          </w:p>
          <w:p w14:paraId="4428D4CE" w14:textId="77777777" w:rsidR="002121C4" w:rsidRPr="00D66BF5" w:rsidRDefault="002121C4" w:rsidP="00C06929">
            <w:pPr>
              <w:spacing w:after="0" w:line="240" w:lineRule="auto"/>
              <w:jc w:val="both"/>
              <w:rPr>
                <w:rFonts w:ascii="Times New Roman" w:hAnsi="Times New Roman"/>
              </w:rPr>
            </w:pPr>
          </w:p>
          <w:p w14:paraId="6D78CB5C"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La proportion de la population bénéficiant de protection sociale, par sexe et par groupe de population est très faible et la tendance de 2015 à 2018 est à la baisse. Selon la MICS 2019, 1,6% de la population âgée de 15-49 mois au Tchad est couverte par la protection sociale et le pays dépense 0,1% du PIB sur la protection sociale. Toutefois, le Tchad a ratifié les conventions internationales sur la mise en place de socles de protection sociale pour la pension retraite, les accidents de travail, les subventions aux familles, l’invalidité et les survivants. </w:t>
            </w:r>
          </w:p>
        </w:tc>
      </w:tr>
      <w:tr w:rsidR="002121C4" w:rsidRPr="00D66BF5" w14:paraId="71FA3A76"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00E87C6E" w14:textId="77777777" w:rsidR="002121C4" w:rsidRPr="00D66BF5" w:rsidRDefault="002121C4" w:rsidP="00C06929">
            <w:pPr>
              <w:spacing w:after="0" w:line="240" w:lineRule="auto"/>
              <w:jc w:val="both"/>
              <w:rPr>
                <w:rFonts w:ascii="Times New Roman" w:hAnsi="Times New Roman"/>
                <w:b/>
                <w:color w:val="FF0000"/>
              </w:rPr>
            </w:pPr>
            <w:r w:rsidRPr="00D66BF5">
              <w:rPr>
                <w:rFonts w:ascii="Times New Roman" w:hAnsi="Times New Roman"/>
                <w:b/>
                <w:color w:val="FF0000"/>
              </w:rPr>
              <w:t xml:space="preserve">ODD 2 :  </w:t>
            </w:r>
            <w:r w:rsidRPr="00D66BF5">
              <w:rPr>
                <w:rFonts w:ascii="Times New Roman" w:hAnsi="Times New Roman"/>
                <w:b/>
              </w:rPr>
              <w:t>Éliminer la faim, assurer la sécurité alimentaire, améliorer la nutrition et promouvoir une agriculture durable</w:t>
            </w:r>
          </w:p>
        </w:tc>
      </w:tr>
      <w:tr w:rsidR="002121C4" w:rsidRPr="00D66BF5" w14:paraId="135DB21D" w14:textId="77777777" w:rsidTr="00C06929">
        <w:trPr>
          <w:trHeight w:val="1742"/>
        </w:trPr>
        <w:tc>
          <w:tcPr>
            <w:tcW w:w="241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7A1AB0B" w14:textId="77777777" w:rsidR="002121C4" w:rsidRPr="00D66BF5" w:rsidRDefault="002121C4" w:rsidP="00C06929">
            <w:pPr>
              <w:spacing w:line="240" w:lineRule="auto"/>
              <w:jc w:val="both"/>
              <w:rPr>
                <w:rFonts w:ascii="Times New Roman" w:hAnsi="Times New Roman"/>
                <w:color w:val="806000"/>
              </w:rPr>
            </w:pPr>
            <w:r w:rsidRPr="00D66BF5">
              <w:rPr>
                <w:rFonts w:ascii="Times New Roman" w:hAnsi="Times New Roman"/>
                <w:color w:val="806000"/>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hideMark/>
          </w:tcPr>
          <w:p w14:paraId="002B92DA"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Au Tchad, selon le rapport National Volontaire de 2021, la prévalence de la sous-alimentation entre 2015 (38,4%) et 2018 (39.6%) est en hausse de 1,2 point de pourcentage d’après les statistiques mondiales de la FAO de 2018. L’analyse nationale de la situation alimentaire et nutritionnelle effectuée par le SISAAP relève que 595 159 personnes étaient en insécurité alimentaire sévère entre novembre 2020 et mars 2021 et 2 113 378 autres étaient dans la phase “sous pression”, avec un besoin de renforcement de leur résilience. La situation projetée entre avril et août </w:t>
            </w:r>
            <w:r w:rsidRPr="00D66BF5">
              <w:rPr>
                <w:rFonts w:ascii="Times New Roman" w:hAnsi="Times New Roman"/>
              </w:rPr>
              <w:lastRenderedPageBreak/>
              <w:t>2021 prévoit plus d’un million de personnes en insécurité alimentaire sévère et plus de 2 850 000 autres en phase ‘’sous pression’ dans trente-huit départements.</w:t>
            </w:r>
          </w:p>
          <w:p w14:paraId="22AD5E1C"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Selon l’Enquête Nationale de Sécurité Alimentaire, 2015 et 2019, la Prévalence d’une insécurité alimentaire modérée ou grave, évaluée selon l’échelle de mesure du sentiment d’insécurité alimentaire est de 18,6% en 2015 contre 20,3% en 2018, soit une augmentation de 1, 7 points de pourcentage.</w:t>
            </w:r>
          </w:p>
          <w:p w14:paraId="70001264"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La situation nutritionnelle du pays demeure critique car aucune tendance à l’inversion significative ne se dégage. En effet, la prévalence de la malnutrition chronique (MC) est largement au-dessus de la norme acceptable de 20% fixée par l’OMS. Elle a évolué de 26,2% en 2016 à 33,7% en 2017, 31,9% en 2018, 32% en 2019 et 30,5 % en 2020. (Enquêtes SMART de 2016 à 2020), Les provinces les plus affectées sont </w:t>
            </w:r>
            <w:proofErr w:type="spellStart"/>
            <w:r w:rsidRPr="00D66BF5">
              <w:rPr>
                <w:rFonts w:ascii="Times New Roman" w:hAnsi="Times New Roman"/>
              </w:rPr>
              <w:t>Barh</w:t>
            </w:r>
            <w:proofErr w:type="spellEnd"/>
            <w:r w:rsidRPr="00D66BF5">
              <w:rPr>
                <w:rFonts w:ascii="Times New Roman" w:hAnsi="Times New Roman"/>
              </w:rPr>
              <w:t xml:space="preserve"> El Ghazel, </w:t>
            </w:r>
            <w:proofErr w:type="spellStart"/>
            <w:r w:rsidRPr="00D66BF5">
              <w:rPr>
                <w:rFonts w:ascii="Times New Roman" w:hAnsi="Times New Roman"/>
              </w:rPr>
              <w:t>Batha</w:t>
            </w:r>
            <w:proofErr w:type="spellEnd"/>
            <w:r w:rsidRPr="00D66BF5">
              <w:rPr>
                <w:rFonts w:ascii="Times New Roman" w:hAnsi="Times New Roman"/>
              </w:rPr>
              <w:t xml:space="preserve">, Borkou, Ennedi Est, Wadi </w:t>
            </w:r>
            <w:proofErr w:type="spellStart"/>
            <w:r w:rsidRPr="00D66BF5">
              <w:rPr>
                <w:rFonts w:ascii="Times New Roman" w:hAnsi="Times New Roman"/>
              </w:rPr>
              <w:t>Fira</w:t>
            </w:r>
            <w:proofErr w:type="spellEnd"/>
            <w:r w:rsidRPr="00D66BF5">
              <w:rPr>
                <w:rFonts w:ascii="Times New Roman" w:hAnsi="Times New Roman"/>
              </w:rPr>
              <w:t xml:space="preserve">, Ennedi Ouest, Kanem, </w:t>
            </w:r>
            <w:proofErr w:type="spellStart"/>
            <w:r w:rsidRPr="00D66BF5">
              <w:rPr>
                <w:rFonts w:ascii="Times New Roman" w:hAnsi="Times New Roman"/>
              </w:rPr>
              <w:t>Salamat</w:t>
            </w:r>
            <w:proofErr w:type="spellEnd"/>
            <w:r w:rsidRPr="00D66BF5">
              <w:rPr>
                <w:rFonts w:ascii="Times New Roman" w:hAnsi="Times New Roman"/>
              </w:rPr>
              <w:t xml:space="preserve">, Sila, Tibesti. La province la moins affectée est celle du </w:t>
            </w:r>
            <w:proofErr w:type="spellStart"/>
            <w:r w:rsidRPr="00D66BF5">
              <w:rPr>
                <w:rFonts w:ascii="Times New Roman" w:hAnsi="Times New Roman"/>
              </w:rPr>
              <w:t>Mandoul</w:t>
            </w:r>
            <w:proofErr w:type="spellEnd"/>
            <w:r w:rsidRPr="00D66BF5">
              <w:rPr>
                <w:rFonts w:ascii="Times New Roman" w:hAnsi="Times New Roman"/>
              </w:rPr>
              <w:t xml:space="preserve">. </w:t>
            </w:r>
          </w:p>
          <w:p w14:paraId="4DCE73B9"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La prévalence de la malnutrition aigüe globale (MAG) est aussi sérieuse car elle est largement au-dessus de la norme acceptable de l’OMS qui est de 5%. Elle était de 5,8% en 2016, 13,9 % en 2017 et 2018, 12,9% en 2019 et 10% en 2020. Il faut noter que le niveau de cet indicateur à l’échelle nationale masque des disparités provinciales. L’insuffisance pondérale (IP) touchait 11% des enfants de moins de 5 ans en 2015 pour décroitre et atteindre un niveau de 2,3% en 2019. Le coût global de la malnutrition et de la faim au Tchad s’élève à 9,5% de son PIB chaque année selon les résultats de l’étude sur le coût de la faim réalisée par le PAM et publiés en octobre 2016.</w:t>
            </w:r>
          </w:p>
          <w:p w14:paraId="043A618B"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Selon le Système d'Information sur la Diversité des Animaux Domestiques de la FAO, DAD-IS 2020, 100% des espèces locales sont classées comme exposées à un risque d’extinction de niveau non connu entre 2015 et 2019 au Tchad. Sur la base de l’analyse de l'état de conservation des espèces animales et végétales domestiqués au Tchad du centre d’échange d’information, les espèces animales suivantes sont considérées comme domestiquées (Autruche Tchadienne ; Canard de barbarie de </w:t>
            </w:r>
            <w:proofErr w:type="spellStart"/>
            <w:r w:rsidRPr="00D66BF5">
              <w:rPr>
                <w:rFonts w:ascii="Times New Roman" w:hAnsi="Times New Roman"/>
              </w:rPr>
              <w:t>karal</w:t>
            </w:r>
            <w:proofErr w:type="spellEnd"/>
            <w:r w:rsidRPr="00D66BF5">
              <w:rPr>
                <w:rFonts w:ascii="Times New Roman" w:hAnsi="Times New Roman"/>
              </w:rPr>
              <w:t xml:space="preserve"> et </w:t>
            </w:r>
            <w:proofErr w:type="spellStart"/>
            <w:r w:rsidRPr="00D66BF5">
              <w:rPr>
                <w:rFonts w:ascii="Times New Roman" w:hAnsi="Times New Roman"/>
              </w:rPr>
              <w:t>massakory</w:t>
            </w:r>
            <w:proofErr w:type="spellEnd"/>
            <w:r w:rsidRPr="00D66BF5">
              <w:rPr>
                <w:rFonts w:ascii="Times New Roman" w:hAnsi="Times New Roman"/>
              </w:rPr>
              <w:t xml:space="preserve"> (Anas </w:t>
            </w:r>
            <w:proofErr w:type="spellStart"/>
            <w:r w:rsidRPr="00D66BF5">
              <w:rPr>
                <w:rFonts w:ascii="Times New Roman" w:hAnsi="Times New Roman"/>
              </w:rPr>
              <w:t>boschas</w:t>
            </w:r>
            <w:proofErr w:type="spellEnd"/>
            <w:r w:rsidRPr="00D66BF5">
              <w:rPr>
                <w:rFonts w:ascii="Times New Roman" w:hAnsi="Times New Roman"/>
              </w:rPr>
              <w:t xml:space="preserve"> </w:t>
            </w:r>
            <w:proofErr w:type="spellStart"/>
            <w:r w:rsidRPr="00D66BF5">
              <w:rPr>
                <w:rFonts w:ascii="Times New Roman" w:hAnsi="Times New Roman"/>
              </w:rPr>
              <w:t>domestica</w:t>
            </w:r>
            <w:proofErr w:type="spellEnd"/>
            <w:r w:rsidRPr="00D66BF5">
              <w:rPr>
                <w:rFonts w:ascii="Times New Roman" w:hAnsi="Times New Roman"/>
              </w:rPr>
              <w:t xml:space="preserve">) ; Dinde locale de </w:t>
            </w:r>
            <w:proofErr w:type="spellStart"/>
            <w:r w:rsidRPr="00D66BF5">
              <w:rPr>
                <w:rFonts w:ascii="Times New Roman" w:hAnsi="Times New Roman"/>
              </w:rPr>
              <w:t>mandélia</w:t>
            </w:r>
            <w:proofErr w:type="spellEnd"/>
            <w:r w:rsidRPr="00D66BF5">
              <w:rPr>
                <w:rFonts w:ascii="Times New Roman" w:hAnsi="Times New Roman"/>
              </w:rPr>
              <w:t xml:space="preserve"> (</w:t>
            </w:r>
            <w:proofErr w:type="spellStart"/>
            <w:r w:rsidRPr="00D66BF5">
              <w:rPr>
                <w:rFonts w:ascii="Times New Roman" w:hAnsi="Times New Roman"/>
              </w:rPr>
              <w:t>Meleagris</w:t>
            </w:r>
            <w:proofErr w:type="spellEnd"/>
            <w:r w:rsidRPr="00D66BF5">
              <w:rPr>
                <w:rFonts w:ascii="Times New Roman" w:hAnsi="Times New Roman"/>
              </w:rPr>
              <w:t xml:space="preserve"> </w:t>
            </w:r>
            <w:proofErr w:type="spellStart"/>
            <w:r w:rsidRPr="00D66BF5">
              <w:rPr>
                <w:rFonts w:ascii="Times New Roman" w:hAnsi="Times New Roman"/>
              </w:rPr>
              <w:t>gallopavo</w:t>
            </w:r>
            <w:proofErr w:type="spellEnd"/>
            <w:r w:rsidRPr="00D66BF5">
              <w:rPr>
                <w:rFonts w:ascii="Times New Roman" w:hAnsi="Times New Roman"/>
              </w:rPr>
              <w:t xml:space="preserve">) ; Oie locale de </w:t>
            </w:r>
            <w:proofErr w:type="spellStart"/>
            <w:r w:rsidRPr="00D66BF5">
              <w:rPr>
                <w:rFonts w:ascii="Times New Roman" w:hAnsi="Times New Roman"/>
              </w:rPr>
              <w:t>massakory</w:t>
            </w:r>
            <w:proofErr w:type="spellEnd"/>
            <w:r w:rsidRPr="00D66BF5">
              <w:rPr>
                <w:rFonts w:ascii="Times New Roman" w:hAnsi="Times New Roman"/>
              </w:rPr>
              <w:t xml:space="preserve"> / </w:t>
            </w:r>
            <w:proofErr w:type="spellStart"/>
            <w:r w:rsidRPr="00D66BF5">
              <w:rPr>
                <w:rFonts w:ascii="Times New Roman" w:hAnsi="Times New Roman"/>
              </w:rPr>
              <w:t>karal</w:t>
            </w:r>
            <w:proofErr w:type="spellEnd"/>
            <w:r w:rsidRPr="00D66BF5">
              <w:rPr>
                <w:rFonts w:ascii="Times New Roman" w:hAnsi="Times New Roman"/>
              </w:rPr>
              <w:t xml:space="preserve"> et </w:t>
            </w:r>
            <w:proofErr w:type="spellStart"/>
            <w:r w:rsidRPr="00D66BF5">
              <w:rPr>
                <w:rFonts w:ascii="Times New Roman" w:hAnsi="Times New Roman"/>
              </w:rPr>
              <w:t>mandélia</w:t>
            </w:r>
            <w:proofErr w:type="spellEnd"/>
            <w:r w:rsidRPr="00D66BF5">
              <w:rPr>
                <w:rFonts w:ascii="Times New Roman" w:hAnsi="Times New Roman"/>
              </w:rPr>
              <w:t xml:space="preserve"> (Anser </w:t>
            </w:r>
            <w:proofErr w:type="spellStart"/>
            <w:r w:rsidRPr="00D66BF5">
              <w:rPr>
                <w:rFonts w:ascii="Times New Roman" w:hAnsi="Times New Roman"/>
              </w:rPr>
              <w:t>domestica</w:t>
            </w:r>
            <w:proofErr w:type="spellEnd"/>
            <w:r w:rsidRPr="00D66BF5">
              <w:rPr>
                <w:rFonts w:ascii="Times New Roman" w:hAnsi="Times New Roman"/>
              </w:rPr>
              <w:t xml:space="preserve"> ) ; Perdrix locale de </w:t>
            </w:r>
            <w:proofErr w:type="spellStart"/>
            <w:r w:rsidRPr="00D66BF5">
              <w:rPr>
                <w:rFonts w:ascii="Times New Roman" w:hAnsi="Times New Roman"/>
              </w:rPr>
              <w:t>Grédaya</w:t>
            </w:r>
            <w:proofErr w:type="spellEnd"/>
            <w:r w:rsidRPr="00D66BF5">
              <w:rPr>
                <w:rFonts w:ascii="Times New Roman" w:hAnsi="Times New Roman"/>
              </w:rPr>
              <w:t xml:space="preserve"> et </w:t>
            </w:r>
            <w:proofErr w:type="spellStart"/>
            <w:r w:rsidRPr="00D66BF5">
              <w:rPr>
                <w:rFonts w:ascii="Times New Roman" w:hAnsi="Times New Roman"/>
              </w:rPr>
              <w:t>Massakory</w:t>
            </w:r>
            <w:proofErr w:type="spellEnd"/>
            <w:r w:rsidRPr="00D66BF5">
              <w:rPr>
                <w:rFonts w:ascii="Times New Roman" w:hAnsi="Times New Roman"/>
              </w:rPr>
              <w:t xml:space="preserve"> ; Pigeons domestiques locaux (Colomba </w:t>
            </w:r>
            <w:proofErr w:type="spellStart"/>
            <w:r w:rsidRPr="00D66BF5">
              <w:rPr>
                <w:rFonts w:ascii="Times New Roman" w:hAnsi="Times New Roman"/>
              </w:rPr>
              <w:t>livia</w:t>
            </w:r>
            <w:proofErr w:type="spellEnd"/>
            <w:r w:rsidRPr="00D66BF5">
              <w:rPr>
                <w:rFonts w:ascii="Times New Roman" w:hAnsi="Times New Roman"/>
              </w:rPr>
              <w:t xml:space="preserve"> </w:t>
            </w:r>
            <w:proofErr w:type="spellStart"/>
            <w:r w:rsidRPr="00D66BF5">
              <w:rPr>
                <w:rFonts w:ascii="Times New Roman" w:hAnsi="Times New Roman"/>
              </w:rPr>
              <w:t>domestica</w:t>
            </w:r>
            <w:proofErr w:type="spellEnd"/>
            <w:r w:rsidRPr="00D66BF5">
              <w:rPr>
                <w:rFonts w:ascii="Times New Roman" w:hAnsi="Times New Roman"/>
              </w:rPr>
              <w:t xml:space="preserve">) ; Pintades domestiques locales). Parmi ces espèces certaines sont en situation critique (Autruche Tchadienne ; Dinde locale de </w:t>
            </w:r>
            <w:proofErr w:type="spellStart"/>
            <w:r w:rsidRPr="00D66BF5">
              <w:rPr>
                <w:rFonts w:ascii="Times New Roman" w:hAnsi="Times New Roman"/>
              </w:rPr>
              <w:t>mandélia</w:t>
            </w:r>
            <w:proofErr w:type="spellEnd"/>
            <w:r w:rsidRPr="00D66BF5">
              <w:rPr>
                <w:rFonts w:ascii="Times New Roman" w:hAnsi="Times New Roman"/>
              </w:rPr>
              <w:t xml:space="preserve"> ; Perdrix locale de </w:t>
            </w:r>
            <w:proofErr w:type="spellStart"/>
            <w:r w:rsidRPr="00D66BF5">
              <w:rPr>
                <w:rFonts w:ascii="Times New Roman" w:hAnsi="Times New Roman"/>
              </w:rPr>
              <w:t>grédaya</w:t>
            </w:r>
            <w:proofErr w:type="spellEnd"/>
            <w:r w:rsidRPr="00D66BF5">
              <w:rPr>
                <w:rFonts w:ascii="Times New Roman" w:hAnsi="Times New Roman"/>
              </w:rPr>
              <w:t>/</w:t>
            </w:r>
            <w:proofErr w:type="spellStart"/>
            <w:r w:rsidRPr="00D66BF5">
              <w:rPr>
                <w:rFonts w:ascii="Times New Roman" w:hAnsi="Times New Roman"/>
              </w:rPr>
              <w:t>massakory</w:t>
            </w:r>
            <w:proofErr w:type="spellEnd"/>
            <w:r w:rsidRPr="00D66BF5">
              <w:rPr>
                <w:rFonts w:ascii="Times New Roman" w:hAnsi="Times New Roman"/>
              </w:rPr>
              <w:t xml:space="preserve">). D’autres sont en danger d’extinction (Le canard de barbarie de </w:t>
            </w:r>
            <w:proofErr w:type="spellStart"/>
            <w:r w:rsidRPr="00D66BF5">
              <w:rPr>
                <w:rFonts w:ascii="Times New Roman" w:hAnsi="Times New Roman"/>
              </w:rPr>
              <w:t>karal</w:t>
            </w:r>
            <w:proofErr w:type="spellEnd"/>
            <w:r w:rsidRPr="00D66BF5">
              <w:rPr>
                <w:rFonts w:ascii="Times New Roman" w:hAnsi="Times New Roman"/>
              </w:rPr>
              <w:t xml:space="preserve"> et </w:t>
            </w:r>
            <w:proofErr w:type="spellStart"/>
            <w:r w:rsidRPr="00D66BF5">
              <w:rPr>
                <w:rFonts w:ascii="Times New Roman" w:hAnsi="Times New Roman"/>
              </w:rPr>
              <w:t>massakory</w:t>
            </w:r>
            <w:proofErr w:type="spellEnd"/>
            <w:r w:rsidRPr="00D66BF5">
              <w:rPr>
                <w:rFonts w:ascii="Times New Roman" w:hAnsi="Times New Roman"/>
              </w:rPr>
              <w:t xml:space="preserve"> ; Les pintades </w:t>
            </w:r>
            <w:proofErr w:type="spellStart"/>
            <w:r w:rsidRPr="00D66BF5">
              <w:rPr>
                <w:rFonts w:ascii="Times New Roman" w:hAnsi="Times New Roman"/>
              </w:rPr>
              <w:t>Amssala</w:t>
            </w:r>
            <w:proofErr w:type="spellEnd"/>
            <w:r w:rsidRPr="00D66BF5">
              <w:rPr>
                <w:rFonts w:ascii="Times New Roman" w:hAnsi="Times New Roman"/>
              </w:rPr>
              <w:t xml:space="preserve">, pintade de </w:t>
            </w:r>
            <w:proofErr w:type="spellStart"/>
            <w:r w:rsidRPr="00D66BF5">
              <w:rPr>
                <w:rFonts w:ascii="Times New Roman" w:hAnsi="Times New Roman"/>
              </w:rPr>
              <w:t>moulkou</w:t>
            </w:r>
            <w:proofErr w:type="spellEnd"/>
            <w:r w:rsidRPr="00D66BF5">
              <w:rPr>
                <w:rFonts w:ascii="Times New Roman" w:hAnsi="Times New Roman"/>
              </w:rPr>
              <w:t>/</w:t>
            </w:r>
            <w:proofErr w:type="spellStart"/>
            <w:r w:rsidRPr="00D66BF5">
              <w:rPr>
                <w:rFonts w:ascii="Times New Roman" w:hAnsi="Times New Roman"/>
              </w:rPr>
              <w:t>bongor</w:t>
            </w:r>
            <w:proofErr w:type="spellEnd"/>
            <w:r w:rsidRPr="00D66BF5">
              <w:rPr>
                <w:rFonts w:ascii="Times New Roman" w:hAnsi="Times New Roman"/>
              </w:rPr>
              <w:t xml:space="preserve"> et la pintade de </w:t>
            </w:r>
            <w:proofErr w:type="spellStart"/>
            <w:r w:rsidRPr="00D66BF5">
              <w:rPr>
                <w:rFonts w:ascii="Times New Roman" w:hAnsi="Times New Roman"/>
              </w:rPr>
              <w:t>Pontbélilé</w:t>
            </w:r>
            <w:proofErr w:type="spellEnd"/>
            <w:r w:rsidRPr="00D66BF5">
              <w:rPr>
                <w:rFonts w:ascii="Times New Roman" w:hAnsi="Times New Roman"/>
              </w:rPr>
              <w:t>/N’Djaména ; Tous les pigeons domestiques locaux).</w:t>
            </w:r>
          </w:p>
          <w:p w14:paraId="4EBCC319"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Les dépenses publiques en soutien à l’agriculture et à l’alimentation financées par l’Etat et l’aide publique au développement (APD) selon les rapports présentent une évolution en dents de scie sur la période 2014 - 2019. Tandis qu’au niveau des financements des PTF, elles ont connu une tendance à la hausse sur la même période avec un pic en 2017 de 96,23 milliards de FCFA. </w:t>
            </w:r>
          </w:p>
          <w:p w14:paraId="3A95795D"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Pour ce qui concerne les anomalies tarifaires pour les denrées alimentaires mil, maïs et riz, le prix du riz qui a augmenté de 0,68 point en 2016 a reculé de -0,4 en 2019. Ceci s’explique par une production assez importante de cette denrée qui entre de </w:t>
            </w:r>
            <w:r w:rsidRPr="00D66BF5">
              <w:rPr>
                <w:rFonts w:ascii="Times New Roman" w:hAnsi="Times New Roman"/>
              </w:rPr>
              <w:lastRenderedPageBreak/>
              <w:t xml:space="preserve">plus en plus dans les habitudes alimentaires de la population. Le maïs </w:t>
            </w:r>
            <w:proofErr w:type="gramStart"/>
            <w:r w:rsidRPr="00D66BF5">
              <w:rPr>
                <w:rFonts w:ascii="Times New Roman" w:hAnsi="Times New Roman"/>
              </w:rPr>
              <w:t>par contre</w:t>
            </w:r>
            <w:proofErr w:type="gramEnd"/>
            <w:r w:rsidRPr="00D66BF5">
              <w:rPr>
                <w:rFonts w:ascii="Times New Roman" w:hAnsi="Times New Roman"/>
              </w:rPr>
              <w:t xml:space="preserve"> dont le prix était de -0,38 point en 2016 a connu une baisse de -0,42 point en 2019. Cette denrée est aussi de plus en plus consommée dans les plats des ménages au Tchad. Le prix du mil avec -0,44 point en 2016 a reculé à -0,9 en 2019. Le mil est plus sollicité dans le milieu rural qu’en milieu urbain.</w:t>
            </w:r>
          </w:p>
        </w:tc>
      </w:tr>
      <w:tr w:rsidR="002121C4" w:rsidRPr="00D66BF5" w14:paraId="299C44C3"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0C86C766"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 xml:space="preserve">ODD 3 :   </w:t>
            </w:r>
            <w:r w:rsidRPr="00D66BF5">
              <w:rPr>
                <w:rFonts w:ascii="Times New Roman" w:hAnsi="Times New Roman"/>
                <w:b/>
              </w:rPr>
              <w:t>Permettre à tous de vivre en bonne santé et promouvoir le bien-être de tous à tout âge</w:t>
            </w:r>
          </w:p>
        </w:tc>
      </w:tr>
      <w:tr w:rsidR="002121C4" w:rsidRPr="00D66BF5" w14:paraId="7F8FF5BE" w14:textId="77777777" w:rsidTr="00C06929">
        <w:trPr>
          <w:trHeight w:val="2825"/>
        </w:trPr>
        <w:tc>
          <w:tcPr>
            <w:tcW w:w="241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B06A2DC" w14:textId="77777777" w:rsidR="002121C4" w:rsidRPr="00D66BF5" w:rsidRDefault="002121C4" w:rsidP="00C06929">
            <w:pPr>
              <w:spacing w:line="240" w:lineRule="auto"/>
              <w:rPr>
                <w:rFonts w:ascii="Times New Roman" w:hAnsi="Times New Roman"/>
                <w:smallCaps/>
                <w:color w:val="538135"/>
              </w:rPr>
            </w:pPr>
            <w:r w:rsidRPr="00D66BF5">
              <w:rPr>
                <w:rFonts w:ascii="Times New Roman" w:hAnsi="Times New Roman"/>
                <w:smallCaps/>
                <w:color w:val="538135"/>
              </w:rPr>
              <w:t>QUELQUES RÉALISATIONS / CONSTATS</w:t>
            </w:r>
          </w:p>
        </w:tc>
        <w:tc>
          <w:tcPr>
            <w:tcW w:w="8080" w:type="dxa"/>
            <w:gridSpan w:val="2"/>
            <w:tcBorders>
              <w:top w:val="single" w:sz="4" w:space="0" w:color="auto"/>
              <w:left w:val="single" w:sz="4" w:space="0" w:color="auto"/>
              <w:bottom w:val="single" w:sz="4" w:space="0" w:color="auto"/>
              <w:right w:val="single" w:sz="4" w:space="0" w:color="auto"/>
            </w:tcBorders>
            <w:hideMark/>
          </w:tcPr>
          <w:p w14:paraId="78A2D0B3" w14:textId="77777777" w:rsidR="002121C4" w:rsidRPr="00D66BF5" w:rsidRDefault="002121C4" w:rsidP="00C06929">
            <w:pPr>
              <w:spacing w:line="240" w:lineRule="auto"/>
              <w:jc w:val="both"/>
              <w:rPr>
                <w:rFonts w:ascii="Times New Roman" w:hAnsi="Times New Roman"/>
                <w:highlight w:val="yellow"/>
              </w:rPr>
            </w:pPr>
            <w:r w:rsidRPr="00D66BF5">
              <w:rPr>
                <w:rFonts w:ascii="Times New Roman" w:hAnsi="Times New Roman"/>
              </w:rPr>
              <w:t xml:space="preserve">Le taux de mortalité maternel qui était l’un des plus élevés du monde a connu une baisse, passant de 1099 décès pour 100 000 naissances vivantes en 2004 à 860 décès pour 100 000 naissances vivantes en 2015 (EDS-MICS). Toutefois, cette amélioration est loin de satisfaire les cibles que s’est fixées le pays à l’horizon 2030. Sur la même période, les accouchements dans une structure de santé sont passés de 15,8 % à 21,7 % et la couverture en Consultation Prénatale (CPN4) est passée de 23% à 31%. </w:t>
            </w:r>
          </w:p>
          <w:p w14:paraId="192D49C2"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La proportion d’accouchements assistés par du personnel de santé qualifié a quant à elle connu aussi une nette amélioration en cinq années. En 2015, elle était de 24,30% (EDS-MICS 2015) et a atteint 34,5% en 2019 (MICS). La proportion des accouchements dans un établissement de santé a connu une légère amélioration entre 2015 (EDS-MICS) où elle était de 53% en milieu urbain et 14% en milieu rural et 2019 (MICS) où elle est de 60,1% en milieu urbain et 21,1% en milieu rural.</w:t>
            </w:r>
          </w:p>
          <w:p w14:paraId="79734C26" w14:textId="77777777" w:rsidR="002121C4" w:rsidRDefault="002121C4" w:rsidP="00C06929">
            <w:pPr>
              <w:spacing w:line="240" w:lineRule="auto"/>
              <w:jc w:val="both"/>
              <w:rPr>
                <w:rFonts w:ascii="Times New Roman" w:hAnsi="Times New Roman"/>
              </w:rPr>
            </w:pPr>
            <w:r w:rsidRPr="00D66BF5">
              <w:rPr>
                <w:rFonts w:ascii="Times New Roman" w:hAnsi="Times New Roman"/>
              </w:rPr>
              <w:t>En ce qui concerne le taux de mortalité des enfants de moins de cinq ans, le Tchad a connu une légère amélioration de 21 points car il passe de 133% en 2015 à 122% en 2019. Toutefois, ce taux reste un des plus élevés au monde. Le taux de mortalité néonatale, quant à lui, n’a presque pas changé entre 2015 où il était de 34% et en 2019 où il est de 33%. Cette situation est probablement due à l’insuffisance de la prise en charge adéquate des femmes durant la grossesse, à l’accouchement et au post partum. A cela on peut ajouter la prévalence de l’accouchement à domicile, 72,4% (MICS 2019).</w:t>
            </w:r>
          </w:p>
          <w:p w14:paraId="573D423E" w14:textId="77777777" w:rsidR="002121C4" w:rsidRPr="00E079BC" w:rsidRDefault="002121C4" w:rsidP="00C06929">
            <w:pPr>
              <w:spacing w:line="240" w:lineRule="auto"/>
              <w:jc w:val="both"/>
              <w:rPr>
                <w:rFonts w:ascii="Times New Roman" w:hAnsi="Times New Roman"/>
              </w:rPr>
            </w:pPr>
            <w:r w:rsidRPr="00E079BC">
              <w:rPr>
                <w:rFonts w:ascii="Times New Roman" w:hAnsi="Times New Roman"/>
              </w:rPr>
              <w:t>En terme</w:t>
            </w:r>
            <w:r>
              <w:rPr>
                <w:rFonts w:ascii="Times New Roman" w:hAnsi="Times New Roman"/>
              </w:rPr>
              <w:t>s</w:t>
            </w:r>
            <w:r w:rsidRPr="00E079BC">
              <w:rPr>
                <w:rFonts w:ascii="Times New Roman" w:hAnsi="Times New Roman"/>
              </w:rPr>
              <w:t xml:space="preserve"> de VIH, la prévalence nationale est passée de 1,6% (EDS 2014-2015) à 1,2% en 2020. Aussi, le nombre de personnes ayant accès aux ARV pour leur survie est passée de 49% en 2015 à 70% en 2020, due à l’adoption de la stratégie tester et traiter PAR LE PAYS. </w:t>
            </w:r>
          </w:p>
          <w:p w14:paraId="642328DA" w14:textId="77777777" w:rsidR="002121C4" w:rsidRPr="00D66BF5" w:rsidRDefault="002121C4" w:rsidP="00C06929">
            <w:pPr>
              <w:spacing w:line="240" w:lineRule="auto"/>
              <w:jc w:val="both"/>
              <w:rPr>
                <w:rFonts w:ascii="Times New Roman" w:hAnsi="Times New Roman"/>
              </w:rPr>
            </w:pPr>
            <w:r w:rsidRPr="00E079BC">
              <w:rPr>
                <w:rFonts w:ascii="Times New Roman" w:hAnsi="Times New Roman"/>
              </w:rPr>
              <w:t>La couverture ARV chez la femme enceinte et allaitante VIH+ est passée de 39% en 2015 à 75% en 2019. Cependant des Progress restent à faire pour la survie de l’enfant infecté par le VIH : la couverture du diagnostic précoce du VIH chez l’enfant né de mère séropositive est de 22% et la couverture ARV chez les enfants vivant avec le VIH est de 24%.</w:t>
            </w:r>
          </w:p>
          <w:p w14:paraId="33E3155A"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Sur la base des enquêtes (EDS-MICS 2014-2015 et MICS 2019), l’on note un progrès en matière de l’utilisation des moyens de contraception modernes par les femmes en âge de procréer. Particulièrement pour les femmes en union, la proportion de celles utilisant les méthodes modernes de contraception est passée de 5% en 2015 à 6,7% en 2019, soit une hausse de 1,7 point de pourcentage. En milieu urbain, la proportion des femmes utilisant les méthodes contraceptives modernes a augmenté de 2,8 points de pourcentage entre 2015 et 2019. En milieu rural, 5,4% </w:t>
            </w:r>
            <w:r w:rsidRPr="00D66BF5">
              <w:rPr>
                <w:rFonts w:ascii="Times New Roman" w:hAnsi="Times New Roman"/>
              </w:rPr>
              <w:lastRenderedPageBreak/>
              <w:t>de femmes utilisent les méthodes de contraception modernes en 2019, contre 3,8% en 2015.</w:t>
            </w:r>
          </w:p>
          <w:p w14:paraId="29B6F596"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L’instauration des réunions mensuelles sur la santé, présidées par le Président de la République constituent une bonne pratique qui influence positivement la prise de décision sur l’ODD 3 de manière globale. </w:t>
            </w:r>
          </w:p>
          <w:p w14:paraId="6AF857CD"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L’incidence de la tuberculose est en baisse passant de 113,17 cas en 2015 à 87,76 cas en 2018 pour 100 000 habitants soit une baisse d’environ 25 points de pourcentage en 3 ans.</w:t>
            </w:r>
          </w:p>
          <w:p w14:paraId="544D4B48"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Le paludisme fait de plus en plus de victimes. En effet, l’on note une augmentation de l’incidence du paludisme qui passe de 58 cas en 2015 à 64,22 cas pour 1000 habitants en 2019.L’incidence de l’hépatite B est en nette progression passant de 14 cas en 2015 à 18 cas pour 100 000 personnes en 2019.</w:t>
            </w:r>
          </w:p>
          <w:p w14:paraId="344DF414"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Le nombre de personnes pour lesquelles des interventions contre les maladies tropicales négligées sont nécessaires est en légère hausse passant de 6 138 675 individus en 2016 à 6 233 571 en 2018, soit une progression annuelle moyenne de 31 000 personnes.</w:t>
            </w:r>
          </w:p>
          <w:p w14:paraId="2D9984D3"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Les indicateurs d’utilisation des services de santé essentiels sont presque tous à des niveaux très faibles malgré des améliorations par rapport aux années précédentes. Selon le rapport de suivi de l’OMS, l’indice de couverture universelle de santé au Tchad est de 27% en 2015 et de 28% en 2019.</w:t>
            </w:r>
          </w:p>
          <w:p w14:paraId="75895928"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Le Tchad a été déclaré pays libéré de la circulation du Poliovirus sauvage (2016) et a obtenu le statut d’élimination du tétanos maternel et néonatal (2019).</w:t>
            </w:r>
            <w:r w:rsidRPr="00D66BF5">
              <w:rPr>
                <w:rFonts w:ascii="Times New Roman" w:eastAsia="Times New Roman" w:hAnsi="Times New Roman"/>
              </w:rPr>
              <w:t xml:space="preserve"> </w:t>
            </w:r>
            <w:r w:rsidRPr="00D66BF5">
              <w:rPr>
                <w:rFonts w:ascii="Times New Roman" w:hAnsi="Times New Roman"/>
              </w:rPr>
              <w:t xml:space="preserve"> </w:t>
            </w:r>
          </w:p>
          <w:p w14:paraId="312E50D0"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L’adoption du décret N°2121/PR/MSPSN/2020 portant application de la loi N°006/PR/2002 du 15 avril 2002 relative à la Promotion de la santé de la Reproduction.</w:t>
            </w:r>
          </w:p>
          <w:p w14:paraId="58DF0A03"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Engagement du Tchad au sommet de Nairobi sur CIPD 25 en novembre 2019 à tenir la promesse du Caire à l’horizon 2030 en augmentant progressivement les ressources budgétaires allouées au secteur de la santé pour atteindre les 15% du budget national, avec une allocation d’au moins 25% du budget à la santé du couple ‘’mère et enfant’’ y compris la création d’une ligne budgétaire pour les produits de SR.</w:t>
            </w:r>
          </w:p>
        </w:tc>
      </w:tr>
      <w:tr w:rsidR="002121C4" w:rsidRPr="00D66BF5" w14:paraId="5DD67FDD"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50D3865D"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ODD 4 :</w:t>
            </w:r>
            <w:r w:rsidRPr="00D66BF5">
              <w:rPr>
                <w:rFonts w:ascii="Times New Roman" w:hAnsi="Times New Roman"/>
                <w:b/>
              </w:rPr>
              <w:t xml:space="preserve"> Assurer à tous une éducation équitable, inclusive et de qualité et des possibilités d’apprentissage tout au long de la vie</w:t>
            </w:r>
          </w:p>
        </w:tc>
      </w:tr>
      <w:tr w:rsidR="002121C4" w:rsidRPr="00D66BF5" w14:paraId="7B4DA3A3" w14:textId="77777777" w:rsidTr="00C06929">
        <w:trPr>
          <w:trHeight w:val="850"/>
        </w:trPr>
        <w:tc>
          <w:tcPr>
            <w:tcW w:w="241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hideMark/>
          </w:tcPr>
          <w:p w14:paraId="08F43893" w14:textId="77777777" w:rsidR="002121C4" w:rsidRPr="00D66BF5" w:rsidRDefault="002121C4" w:rsidP="00C06929">
            <w:pPr>
              <w:spacing w:line="240" w:lineRule="auto"/>
              <w:rPr>
                <w:rFonts w:ascii="Times New Roman" w:hAnsi="Times New Roman"/>
              </w:rPr>
            </w:pPr>
            <w:r w:rsidRPr="00D66BF5">
              <w:rPr>
                <w:rFonts w:ascii="Times New Roman" w:hAnsi="Times New Roman"/>
              </w:rPr>
              <w:t>EXEMPLES DE RÉALISATIONS / CONSTATS</w:t>
            </w:r>
          </w:p>
        </w:tc>
        <w:tc>
          <w:tcPr>
            <w:tcW w:w="8080" w:type="dxa"/>
            <w:gridSpan w:val="2"/>
            <w:tcBorders>
              <w:top w:val="single" w:sz="4" w:space="0" w:color="auto"/>
              <w:left w:val="single" w:sz="4" w:space="0" w:color="auto"/>
              <w:bottom w:val="single" w:sz="4" w:space="0" w:color="auto"/>
              <w:right w:val="single" w:sz="4" w:space="0" w:color="auto"/>
            </w:tcBorders>
          </w:tcPr>
          <w:p w14:paraId="1C2B1979"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L’analyse de la couverture scolaire montre d’importantes disparités selon les provinces et le genre. Le taux brut de scolarisation au primaire était de 72% en 2019 (ECOSIT4) et variait selon les provinces. Il se situait entre 42,2% au Borkou et 106,7% au Logone Occidental. La ville de N’Djaména enregistrait un taux brut de scolarisation de 103,8%. En effet, le taux brut de scolarisation était de 50% en 1990 et a atteint 100% en 2014, il a été ramené à moins de 90% en 2016.</w:t>
            </w:r>
          </w:p>
          <w:p w14:paraId="3C7D0808" w14:textId="77777777" w:rsidR="002121C4" w:rsidRPr="00D66BF5" w:rsidRDefault="002121C4" w:rsidP="00C06929">
            <w:pPr>
              <w:spacing w:after="0" w:line="240" w:lineRule="auto"/>
              <w:jc w:val="both"/>
              <w:rPr>
                <w:rFonts w:ascii="Times New Roman" w:hAnsi="Times New Roman"/>
              </w:rPr>
            </w:pPr>
          </w:p>
          <w:p w14:paraId="23A9E2EA"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Au titre de l’année scolaire 2018/2019, l’Enseignement Primaire a accueilli 2 468 788 élèves contre 2 398 610 élèves l’année précédente soit une augmentation </w:t>
            </w:r>
            <w:r w:rsidRPr="00D66BF5">
              <w:rPr>
                <w:rFonts w:ascii="Times New Roman" w:hAnsi="Times New Roman"/>
              </w:rPr>
              <w:lastRenderedPageBreak/>
              <w:t>de 3%. L’analyse de l’évolution des effectifs des élèves du primaire montre aussi que la proportion des filles au primaire a stagné durant les 5 dernières années aux environs de 43% en dépit des progrès réalisés dans les années 2000. En 2019, plus de 60% des effectifs d’élèves étaient concentrés en zone rurale, 30% d’élèves en zone urbaine, et 10% en zone semi-urbaine. En ce qui concerne les catégories de vulnérabilité, les orphelins représentaient 2,8%, les élèves réfugiés 1%, les élèves retournés et les déplacés internes 0,6% et les élèves en situation de handicap 0,4%.</w:t>
            </w:r>
          </w:p>
          <w:p w14:paraId="4772F3D7" w14:textId="77777777" w:rsidR="002121C4" w:rsidRPr="00D66BF5" w:rsidRDefault="002121C4" w:rsidP="00C06929">
            <w:pPr>
              <w:spacing w:after="0" w:line="240" w:lineRule="auto"/>
              <w:jc w:val="both"/>
              <w:rPr>
                <w:rFonts w:ascii="Times New Roman" w:hAnsi="Times New Roman"/>
              </w:rPr>
            </w:pPr>
          </w:p>
          <w:p w14:paraId="200147DD"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proportion d’enfants et des jeunes en cours élémentaires qui maitrisent au moins les normes d’aptitudes en lecture est passée de 18% à 34% entre 2015 et 2019, soit une amélioration de 16 points de pourcentage. La proportion d’enfants et de jeunes en cours élémentaire qui maitrisent au moins les normes d’aptitudes en mathématique est passée de 48% à 64,5% entre 2015 et 2019, soit une progression de 16, 5 points de pourcentage.</w:t>
            </w:r>
          </w:p>
          <w:p w14:paraId="6C2EAB12" w14:textId="77777777" w:rsidR="002121C4" w:rsidRPr="00D66BF5" w:rsidRDefault="002121C4" w:rsidP="00C06929">
            <w:pPr>
              <w:spacing w:after="0" w:line="240" w:lineRule="auto"/>
              <w:jc w:val="both"/>
              <w:rPr>
                <w:rFonts w:ascii="Times New Roman" w:hAnsi="Times New Roman"/>
              </w:rPr>
            </w:pPr>
          </w:p>
          <w:p w14:paraId="5565BDCF"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proportion d’enfants et de jeunes en fin du cycle primaire qui maitrisent au moins les normes d’aptitudes en lecture est passée de 15,7% à 22,1% entre 2015 et 2019, soit une amélioration de 6,4 points de pourcentage.</w:t>
            </w:r>
          </w:p>
          <w:p w14:paraId="3B2F9A2C" w14:textId="77777777" w:rsidR="002121C4" w:rsidRPr="00D66BF5" w:rsidRDefault="002121C4" w:rsidP="00C06929">
            <w:pPr>
              <w:spacing w:after="0" w:line="240" w:lineRule="auto"/>
              <w:jc w:val="both"/>
              <w:rPr>
                <w:rFonts w:ascii="Times New Roman" w:hAnsi="Times New Roman"/>
              </w:rPr>
            </w:pPr>
          </w:p>
          <w:p w14:paraId="2C3A5A02"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proportion d’enfants et de jeunes en fin de cycle primaire qui maitrisent au moins les normes d’aptitudes en mathématique est passée de 19,1% à 11,5%, entre 2015 et 2019, soit une diminution de 7,6 points de pourcentage. L’année 2019 a vu l’élaboration d'un plan de contingence de l’éducation couplé au plan de transition qui a permis de renforcer les mécanismes de prévention et de résilience face aux risques de conflits et/ou de catastrophes naturelles, mais également l’intégration des réfugiés dans le système éducatif du Tchad et l’officialisation de 108 écoles et 10 centres de formation technique et professionnelle.</w:t>
            </w:r>
          </w:p>
          <w:p w14:paraId="559BD844" w14:textId="77777777" w:rsidR="002121C4" w:rsidRPr="00D66BF5" w:rsidRDefault="002121C4" w:rsidP="00C06929">
            <w:pPr>
              <w:spacing w:after="0" w:line="240" w:lineRule="auto"/>
              <w:jc w:val="both"/>
              <w:rPr>
                <w:rFonts w:ascii="Times New Roman" w:hAnsi="Times New Roman"/>
              </w:rPr>
            </w:pPr>
          </w:p>
          <w:p w14:paraId="56C484DD"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Par ailleurs à travers le financement du GPE cumulant plus de 50 millions de dollars US et mis en œuvre par le SNU,  il y a des réalisations qui ont trait aux réformes du secteur de l’éducation, à la mise en place des plans sectoriels (PIET) de l’éducation formelle et non formelle alignés aux ODD, à l’alphabétisation et à l’éducation non formelle de plus de 50 000 adultes dont la majorité sont des femmes, à l’insertion des enfants déscolarisés dans le formel et la vie professionnelle, l’élargissement des capacités d’accueil à travers les constructions scolaires et l’équipement des salles de classe, l’amélioration des conditions liées à la qualité de l’éducation à travers la dotation  de 2 millions de manuels scolaires aux élèves des zones défavorisées, l’appui à la scolarisation des filles, la prise en charge des maîtres communautaires, le renforcement du Système d’Information, la mise en place d’un système national d’évaluation des acquis scolaires et le processus de mise en place d’une carte scolaire numérique.</w:t>
            </w:r>
          </w:p>
          <w:p w14:paraId="4C29FC29" w14:textId="77777777" w:rsidR="002121C4" w:rsidRPr="00D66BF5" w:rsidRDefault="002121C4" w:rsidP="00C06929">
            <w:pPr>
              <w:spacing w:after="0" w:line="240" w:lineRule="auto"/>
              <w:jc w:val="both"/>
              <w:rPr>
                <w:rFonts w:ascii="Times New Roman" w:hAnsi="Times New Roman"/>
              </w:rPr>
            </w:pPr>
          </w:p>
          <w:p w14:paraId="01BB7DA0"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D’après les données de l’EDS-MICS, la proportion d’enfants de moins de 5 ans dont le développement est en bonne voie en matière de santé, d’apprentissage et de bien être psychosocial, pour l’ensemble, est passée de 32,6% à 44,9% entre 2015 et 2019, soit une progression de 12,3 points de pourcentage. Par sexe, elle est de 42,7% en 2019 contre 30,4% en 2015 pour les hommes et de 47,1% en 2019 contre 34,9% en 2015 pour les femmes On constante une avancée dans l’implémentation des </w:t>
            </w:r>
            <w:r w:rsidRPr="00D66BF5">
              <w:rPr>
                <w:rFonts w:ascii="Times New Roman" w:hAnsi="Times New Roman"/>
              </w:rPr>
              <w:lastRenderedPageBreak/>
              <w:t xml:space="preserve">centres de formation technique et professionnelle. Depuis la création du Ministère en charge de la formation professionnelle et des petits métiers en 2016, le nombre des centres ont presque doublé (16 en 2015, 37 en 2019 et 51 en 2020). Malheureusement ces centres nouvellement créés ne sont pas suffisamment équipés en dispositifs techniques pour pouvoir assurer leurs missions. </w:t>
            </w:r>
          </w:p>
          <w:p w14:paraId="10CF169B" w14:textId="77777777" w:rsidR="002121C4" w:rsidRPr="00D66BF5" w:rsidRDefault="002121C4" w:rsidP="00C06929">
            <w:pPr>
              <w:spacing w:after="0" w:line="240" w:lineRule="auto"/>
              <w:jc w:val="both"/>
              <w:rPr>
                <w:rFonts w:ascii="Times New Roman" w:hAnsi="Times New Roman"/>
              </w:rPr>
            </w:pPr>
          </w:p>
          <w:p w14:paraId="73A2E39E" w14:textId="77777777" w:rsidR="002121C4" w:rsidRDefault="002121C4" w:rsidP="00C06929">
            <w:pPr>
              <w:spacing w:after="0" w:line="240" w:lineRule="auto"/>
              <w:jc w:val="both"/>
              <w:rPr>
                <w:rFonts w:ascii="Times New Roman" w:hAnsi="Times New Roman"/>
              </w:rPr>
            </w:pPr>
            <w:r w:rsidRPr="00D66BF5">
              <w:rPr>
                <w:rFonts w:ascii="Times New Roman" w:hAnsi="Times New Roman"/>
              </w:rPr>
              <w:t>Au titre de l’année scolaire 2019-2020 on compte 51 Centres de Formation Technique et Professionnelle (CFTP) dont 32 opérationnels (62,7%). Ces Centres sont répartis dans les 23 provinces que compte le pays alors qu’en 2018-2019 seulement 11 provinces sur 23 étaient couvertes.</w:t>
            </w:r>
          </w:p>
          <w:p w14:paraId="4B0314CA" w14:textId="77777777" w:rsidR="002121C4" w:rsidRDefault="002121C4" w:rsidP="00C06929">
            <w:pPr>
              <w:spacing w:after="0" w:line="240" w:lineRule="auto"/>
              <w:jc w:val="both"/>
              <w:rPr>
                <w:rFonts w:ascii="Times New Roman" w:hAnsi="Times New Roman"/>
              </w:rPr>
            </w:pPr>
            <w:r>
              <w:rPr>
                <w:rFonts w:ascii="Times New Roman" w:hAnsi="Times New Roman"/>
              </w:rPr>
              <w:t xml:space="preserve">Au terme de l’année 2020-2021, </w:t>
            </w:r>
            <w:r w:rsidRPr="00D07C0E">
              <w:rPr>
                <w:rFonts w:ascii="Times New Roman" w:hAnsi="Times New Roman"/>
              </w:rPr>
              <w:t>7.623 réfugiés sont scolarisés hors des camps dont 2.199 en zones urbaines 17.475 tchadiens sont scolarisés dans un établissement appuyé par le HCR, dont 5.089 dans les camps 569 étudiants réfugiés bénéficient d’une bourse universitaire 60% des enseignants, du primaire au secondaire, sont qualifiés En moyenne, du primaire au secondaire, 112 enfants se partagent une salle de classe durable et 98 une latrine</w:t>
            </w:r>
            <w:r>
              <w:rPr>
                <w:rFonts w:ascii="Times New Roman" w:hAnsi="Times New Roman"/>
              </w:rPr>
              <w:t>.</w:t>
            </w:r>
          </w:p>
          <w:p w14:paraId="504174E7" w14:textId="77777777" w:rsidR="002121C4" w:rsidRPr="00290848" w:rsidRDefault="002121C4" w:rsidP="00C06929">
            <w:pPr>
              <w:jc w:val="both"/>
              <w:rPr>
                <w:rFonts w:ascii="Times New Roman" w:hAnsi="Times New Roman"/>
                <w:bCs/>
              </w:rPr>
            </w:pPr>
            <w:r>
              <w:rPr>
                <w:rFonts w:ascii="Times New Roman" w:hAnsi="Times New Roman"/>
              </w:rPr>
              <w:t xml:space="preserve">En outre, </w:t>
            </w:r>
            <w:r w:rsidRPr="00290848">
              <w:rPr>
                <w:rFonts w:ascii="Times New Roman" w:hAnsi="Times New Roman"/>
                <w:bCs/>
              </w:rPr>
              <w:t>100.856 réfugiés repartis entre les cycles primaire et secondaire étaient inscrits à l’école à la fin de l’année académique 2020/2021, soit une progression de 11% par rapport à 2019/2020 ;</w:t>
            </w:r>
          </w:p>
          <w:p w14:paraId="7A2EB4DB" w14:textId="77777777" w:rsidR="002121C4" w:rsidRPr="00290848" w:rsidRDefault="002121C4" w:rsidP="00C06929">
            <w:pPr>
              <w:spacing w:after="0" w:line="240" w:lineRule="auto"/>
              <w:jc w:val="both"/>
              <w:rPr>
                <w:rFonts w:ascii="Times New Roman" w:hAnsi="Times New Roman"/>
                <w:bCs/>
              </w:rPr>
            </w:pPr>
            <w:r w:rsidRPr="00290848">
              <w:rPr>
                <w:rFonts w:ascii="Times New Roman" w:hAnsi="Times New Roman"/>
                <w:bCs/>
              </w:rPr>
              <w:t>Le Tchad est l'un des quatre pays de la région où le taux de réussite des réfugiés était plus élevé que le taux de réussite national. 616 réfugiés (56% de filles) ont obtenu leur Baccalauréat au Tchad cette année avec un taux de réussite de 53% ;</w:t>
            </w:r>
          </w:p>
          <w:p w14:paraId="6CDD27D2" w14:textId="77777777" w:rsidR="002121C4" w:rsidRPr="00D66BF5" w:rsidRDefault="002121C4" w:rsidP="00C06929">
            <w:pPr>
              <w:spacing w:after="0" w:line="240" w:lineRule="auto"/>
              <w:jc w:val="both"/>
              <w:rPr>
                <w:rFonts w:ascii="Times New Roman" w:hAnsi="Times New Roman"/>
              </w:rPr>
            </w:pPr>
          </w:p>
        </w:tc>
      </w:tr>
      <w:tr w:rsidR="002121C4" w:rsidRPr="00D66BF5" w14:paraId="450FA488"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6C8BAA42"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ODD 5 :</w:t>
            </w:r>
            <w:r w:rsidRPr="00D66BF5">
              <w:rPr>
                <w:rFonts w:ascii="Times New Roman" w:hAnsi="Times New Roman"/>
                <w:b/>
              </w:rPr>
              <w:t xml:space="preserve"> Parvenir à l’égalité des sexes et autonomiser toutes les femmes et les filles</w:t>
            </w:r>
          </w:p>
        </w:tc>
      </w:tr>
      <w:tr w:rsidR="002121C4" w:rsidRPr="00D66BF5" w14:paraId="3D7F47DD" w14:textId="77777777" w:rsidTr="00C06929">
        <w:trPr>
          <w:trHeight w:val="1175"/>
        </w:trPr>
        <w:tc>
          <w:tcPr>
            <w:tcW w:w="241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0427C74F" w14:textId="77777777" w:rsidR="002121C4" w:rsidRPr="00D66BF5" w:rsidRDefault="002121C4" w:rsidP="00C06929">
            <w:pPr>
              <w:spacing w:line="240" w:lineRule="auto"/>
              <w:rPr>
                <w:rFonts w:ascii="Times New Roman" w:hAnsi="Times New Roman"/>
                <w:caps/>
                <w:color w:val="F0412A"/>
              </w:rPr>
            </w:pPr>
            <w:r w:rsidRPr="00D66BF5">
              <w:rPr>
                <w:rFonts w:ascii="Times New Roman" w:hAnsi="Times New Roman"/>
                <w:caps/>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hideMark/>
          </w:tcPr>
          <w:p w14:paraId="0515C345"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La question de l’égalité, de l’équité, et de l’autonomisation des femmes a connu des avancées depuis 2015. Des progrès ont été enregistré tant au niveau de l’engagement politique, de l’adoption des politiques et des stratégies que de la mise en œuvre des programmes et plans relatif. </w:t>
            </w:r>
          </w:p>
          <w:p w14:paraId="2EF0EFEE" w14:textId="77777777" w:rsidR="002121C4" w:rsidRPr="00D66BF5" w:rsidRDefault="002121C4" w:rsidP="00C06929">
            <w:pPr>
              <w:spacing w:line="240" w:lineRule="auto"/>
              <w:jc w:val="both"/>
              <w:rPr>
                <w:rFonts w:ascii="Times New Roman" w:hAnsi="Times New Roman"/>
              </w:rPr>
            </w:pPr>
            <w:r w:rsidRPr="38CF240D">
              <w:rPr>
                <w:rFonts w:ascii="Times New Roman" w:hAnsi="Times New Roman"/>
              </w:rPr>
              <w:t xml:space="preserve">En effet, pour relever les défis liés à l’équité et l’égalité de genre, le gouvernement tchadien a ratifié les traités internationaux sur l’égalité des sexes. Cette volonté se reflète aussi par de nombreuses réformes et politiques qui ont été mises en œuvre en vue de valoriser la situation de la femme. Il s’agit notamment de : </w:t>
            </w:r>
            <w:r w:rsidRPr="38CF240D">
              <w:rPr>
                <w:rFonts w:ascii="Times New Roman" w:eastAsia="Times New Roman" w:hAnsi="Times New Roman"/>
                <w:lang w:val="fr"/>
              </w:rPr>
              <w:t xml:space="preserve"> (i) la loi 29/PR/2015 du 21 juillet 2015 interdisant le mariage d’enfants ; de l’adoption par décret n° 2035/PR/PM/MFPPESN/2017 du 20 novembre 2017 de la Politique Nationale Genre (PNG) et de son plan national d’action 2019-2023 ; (ii) l’adoption de la Stratégie Nationale de Lutte Contre les Violences Basées sur le Genre (SNVBG), (iii), (iv) des sanctions des auteurs de violences basées sur le genre par la loi n° 001/PR/2017 du _ mai 2017 portant Code pénal</w:t>
            </w:r>
            <w:r w:rsidRPr="38CF240D">
              <w:rPr>
                <w:rFonts w:ascii="Times New Roman" w:hAnsi="Times New Roman"/>
              </w:rPr>
              <w:t>, et (iv) la création par décision N°042/ HCC/SG/2017 du 13 octobre 2017 de la radio thématique femme dénommée « la voix de la femme tchadienne » logée à la Maison Nationale de la Femme. Par ailleurs, la Constitution de la quatrième République, révisée en décembre 2020, consacre l’égalité entre les hommes et les femmes, prohibe toutes les formes de discrimination à leur égard (Articles 13 et 14) et incite les pouvoirs publics à mettre en œuvre ces droits et à garantir leur effectivité, à travers notamment la parité dans les fonctions électives et nominatives (loi N°22 portant ratification de l’ordonnance 012.</w:t>
            </w:r>
          </w:p>
          <w:p w14:paraId="6C314A56"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lastRenderedPageBreak/>
              <w:t>Toutefois, ces progrès ne peuvent occulter le peu d'application de ces lois, ainsi que la faiblesse de la contribution budgétaire de l’Etat en faveur des femmes. En effet, en ce qui concerne les allocations budgétaires, le ministère de la Femme, de la Famille et de la Protection de l’Enfance est défavorisé par rapports aux autres secteurs sociaux.</w:t>
            </w:r>
          </w:p>
          <w:p w14:paraId="39FDAD05"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proportion des femmes députées à l’Assemblée Nationale à la deuxième législature était de 5,8% (2002-2006/2011). Cette situation s’est améliorée à la troisième législature (2011- 2015/2021) où elle était de 14,9%. A ce jour, 15,3% des sièges parlementaires sont occupés par des femmes, ce qui constitue tout de même une avancée relativement à la dernière législature qui en comptait à peine 5%. En ce qui concerne l’administration locale, on totalise 947 conseillers municipaux dont 144 femmes, soit 14% de femmes entre 2012 et 2019 (Réseau de Femmes élues d’Afrique réseau du Tchad : REFELA).</w:t>
            </w:r>
            <w:r>
              <w:rPr>
                <w:rFonts w:ascii="Times New Roman" w:hAnsi="Times New Roman"/>
              </w:rPr>
              <w:t xml:space="preserve"> </w:t>
            </w:r>
            <w:r w:rsidRPr="00D66BF5">
              <w:rPr>
                <w:rFonts w:ascii="Times New Roman" w:hAnsi="Times New Roman"/>
              </w:rPr>
              <w:t xml:space="preserve">Avec l’adoption des textes sur la parité hommes-femmes dans les postes de responsabilité, les femmes se verraient galvanisées et pourraient de plus en plus s’impliquer dans la vie politique du pays.  </w:t>
            </w:r>
          </w:p>
          <w:p w14:paraId="53E36252" w14:textId="77777777" w:rsidR="002121C4" w:rsidRPr="00D66BF5" w:rsidRDefault="002121C4" w:rsidP="00C06929">
            <w:pPr>
              <w:spacing w:after="0" w:line="240" w:lineRule="auto"/>
              <w:jc w:val="both"/>
              <w:rPr>
                <w:rFonts w:ascii="Times New Roman" w:hAnsi="Times New Roman"/>
              </w:rPr>
            </w:pPr>
          </w:p>
          <w:p w14:paraId="553FC4E5"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Les Violences Basées sur le Genre (VBG) sont encore courantes et connaissent même une ampleur accrue. Selon la MICS 2019, on observe que 17,4% des femmes âgées de 15 à 49 ans ont vécu des violences physiques ou sexuelles au cours des 12 derniers mois ; cette situation n’a guère évolué par rapport à 2015 qui était de 17,5% en raison de la persistance des pesanteurs socioculturelles et de la faible application des textes juridiques existants.</w:t>
            </w:r>
          </w:p>
          <w:p w14:paraId="0A716E9E" w14:textId="77777777" w:rsidR="002121C4" w:rsidRPr="00D66BF5" w:rsidRDefault="002121C4" w:rsidP="00C06929">
            <w:pPr>
              <w:spacing w:after="0" w:line="240" w:lineRule="auto"/>
              <w:jc w:val="both"/>
              <w:rPr>
                <w:rFonts w:ascii="Times New Roman" w:hAnsi="Times New Roman"/>
              </w:rPr>
            </w:pPr>
          </w:p>
          <w:p w14:paraId="3CAD6CAE"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Pour réduire ces violences, des dispositions légales ont été prises notamment la révision du Code pénal en 2017 qui a intégré des dispositions réprimant les violences faites aux femmes.</w:t>
            </w:r>
          </w:p>
          <w:p w14:paraId="642F1B69" w14:textId="77777777" w:rsidR="002121C4" w:rsidRPr="00D66BF5" w:rsidRDefault="002121C4" w:rsidP="00C06929">
            <w:pPr>
              <w:spacing w:after="0" w:line="240" w:lineRule="auto"/>
              <w:jc w:val="both"/>
              <w:rPr>
                <w:rFonts w:ascii="Times New Roman" w:hAnsi="Times New Roman"/>
              </w:rPr>
            </w:pPr>
          </w:p>
          <w:p w14:paraId="7E3B80EE"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proportion de femmes âgées de 20 à 24 ans étaient mariées ou en couple avant l’âge de 15 ans est en régression passant de 29,7% en 2015 à 24,2% en 2019. Cette régression est aussi observée pour les femmes qui étaient mariées ou en couple avant l’âge de 18 ans de la même tranche d’âge (66% en 2015 contre 60,6% en 2018).</w:t>
            </w:r>
          </w:p>
          <w:p w14:paraId="4BCE18FB" w14:textId="77777777" w:rsidR="002121C4" w:rsidRPr="00D66BF5" w:rsidRDefault="002121C4" w:rsidP="00C06929">
            <w:pPr>
              <w:spacing w:after="0" w:line="240" w:lineRule="auto"/>
              <w:jc w:val="both"/>
              <w:rPr>
                <w:rFonts w:ascii="Times New Roman" w:hAnsi="Times New Roman"/>
              </w:rPr>
            </w:pPr>
          </w:p>
          <w:p w14:paraId="3CA12C07"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proportion de femmes âgées de 15 à 49 ans ayant subi une ablation ou une mutilation génitale a connu une légère régression de 4,3 points de pourcentage, passant de 38,4% en 2015 à 34,1% en 2019.</w:t>
            </w:r>
          </w:p>
          <w:p w14:paraId="0E22D007" w14:textId="77777777" w:rsidR="002121C4" w:rsidRPr="00D66BF5" w:rsidRDefault="002121C4" w:rsidP="00C06929">
            <w:pPr>
              <w:spacing w:after="0" w:line="240" w:lineRule="auto"/>
              <w:jc w:val="both"/>
              <w:rPr>
                <w:rFonts w:ascii="Times New Roman" w:hAnsi="Times New Roman"/>
              </w:rPr>
            </w:pPr>
          </w:p>
          <w:p w14:paraId="68935AF5"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Au niveau économique, les inégalités de genre sont significatives. Selon la Commission Economique des Nations Unies pour l’Afrique (profil pays Tchad, 2016), l’inégalité hommes-femmes est observée au Tchad chez les cadres supérieurs et les propriétaires d’entreprises. : 97% des entreprises soient détenues par les hommes contre 3% pour les femmes et27,9% des postes de cadres supérieurs sont occupés par des femmes contre 72,1% pour les hommes. En ce qui concerne l’accès au crédit auprès des institutions financières, il touche 23% des femmes contre 29,8% pour les hommes. En outre, 37,6% des femmes ont accès à la terre contre 59,6% des hommes. Selon le Rapport sur le développement humain 2020 </w:t>
            </w:r>
            <w:r w:rsidRPr="00D66BF5">
              <w:rPr>
                <w:rFonts w:ascii="Times New Roman" w:hAnsi="Times New Roman"/>
              </w:rPr>
              <w:lastRenderedPageBreak/>
              <w:t>publié par le PNUD, le taux d’activité féminine est de 63,9 %, contre un taux d’activité masculine de 77,5%.</w:t>
            </w:r>
          </w:p>
          <w:p w14:paraId="78154E9B" w14:textId="77777777" w:rsidR="002121C4" w:rsidRPr="00D66BF5" w:rsidRDefault="002121C4" w:rsidP="00C06929">
            <w:pPr>
              <w:spacing w:after="0" w:line="240" w:lineRule="auto"/>
              <w:jc w:val="both"/>
              <w:rPr>
                <w:rFonts w:ascii="Times New Roman" w:hAnsi="Times New Roman"/>
              </w:rPr>
            </w:pPr>
          </w:p>
          <w:p w14:paraId="647575D6"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Au niveau éducatif et sanitaire, les discriminations à l’égard des femmes sont patentes. Selon le Rapport sur le développement humain 2020, au Tchad, seulement 1,7% des femmes adultes ont suivi au moins des études secondaires, contre 10,5% des hommes. Par ailleurs, sur 100 000 naissances vivantes, 1140 femmes décèdent de causes liées à la grossesse. </w:t>
            </w:r>
          </w:p>
          <w:p w14:paraId="09367161" w14:textId="77777777" w:rsidR="002121C4" w:rsidRPr="00D66BF5" w:rsidRDefault="002121C4" w:rsidP="00C06929">
            <w:pPr>
              <w:spacing w:after="0" w:line="240" w:lineRule="auto"/>
              <w:jc w:val="both"/>
              <w:rPr>
                <w:rFonts w:ascii="Times New Roman" w:hAnsi="Times New Roman"/>
              </w:rPr>
            </w:pPr>
          </w:p>
          <w:p w14:paraId="08A85987"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L’Indice d’inégalité de genre (IIG), calculé par le PNUD dans le Rapport mondial sur le développement humain, qui fait ressortir les inégalités fondées sur le sexe dans trois dimensions (santé procréative, autonomisation et activité économique), est de 0,710 pour le Tchad en 2019 ; ce qui le place au 160e rang sur 162 pays pour cet indice en 2018. Ce qui signifie que la perte de développement humain due aux inégalités entre les résultats obtenus pour les hommes et les femmes dans ces trois dimensions est assez importante au Tchad.</w:t>
            </w:r>
          </w:p>
        </w:tc>
      </w:tr>
      <w:tr w:rsidR="002121C4" w:rsidRPr="00D66BF5" w14:paraId="08C8BEF6"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56F4CF7C"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 xml:space="preserve">ODD 6 : </w:t>
            </w:r>
            <w:r w:rsidRPr="00D66BF5">
              <w:rPr>
                <w:rFonts w:ascii="Times New Roman" w:hAnsi="Times New Roman"/>
              </w:rPr>
              <w:t>Garantir l’accès de tous à l’eau et à l’assainissement et assurer une gestion durable des ressources en eau </w:t>
            </w:r>
          </w:p>
        </w:tc>
      </w:tr>
      <w:tr w:rsidR="002121C4" w:rsidRPr="00D66BF5" w14:paraId="5B5710F9" w14:textId="77777777" w:rsidTr="00C06929">
        <w:trPr>
          <w:trHeight w:val="467"/>
        </w:trPr>
        <w:tc>
          <w:tcPr>
            <w:tcW w:w="2410"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1852A0F6" w14:textId="77777777" w:rsidR="002121C4" w:rsidRPr="00D66BF5" w:rsidRDefault="002121C4" w:rsidP="00C06929">
            <w:pPr>
              <w:spacing w:line="240" w:lineRule="auto"/>
              <w:rPr>
                <w:rFonts w:ascii="Times New Roman" w:hAnsi="Times New Roman"/>
              </w:rPr>
            </w:pPr>
            <w:r w:rsidRPr="00D66BF5">
              <w:rPr>
                <w:rFonts w:ascii="Times New Roman" w:hAnsi="Times New Roman"/>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tcPr>
          <w:p w14:paraId="34F5BCAF"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Selon l’Enquête sur les Conditions de vie des ménages et la Pauvreté au Tchad de 2019, le taux d’accès à l’eau potable est passé de 43,7% en 2011 à 62,7% en 2018 soit une augmentation de 19 points de pourcentage. Le degré de mise en œuvre de la Gestion Intégrée des Ressources en Eau (GIRE) est passé de 30% en 2016 à 32% en 2017, soit une augmentation de 2 points de pourcentage. Le Tchad est donc encore loin de la mise en œuvre complète de la Gestion Intégrée des Ressources en Eau (100). Beaucoup d’efforts restent à faire dans ce domaine.</w:t>
            </w:r>
          </w:p>
          <w:p w14:paraId="52544BB5"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De 2000 à 2017, la progression des indicateurs d’accès à l’assainissement de base est restée quasiment inchangé à 10% sur la même période. Selon le Programme commun des Nations Unies de suivi de l’approvisionnement en eau et de l’assainissement, le taux de défécation à l’air libre a enregistré une diminution d’un point 66% en 2015 contre 64% en 2020. En 2015, la situation dans les écoles était aussi alarmante. Sur les 12,254 écoles que comptent le Tchad 90% n’ont pas de toilettes. Pour contribuer à améliorer l’accès à l’eau et a l’assainissement dans les écoles une stratégie Eau, Hygiène et Assainissement a été adoptée ; et une feuille de route pour un Tchad sans défécation à l’horizon 2030 à l’air libre a été élaborée. </w:t>
            </w:r>
          </w:p>
          <w:p w14:paraId="06E93932"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proportion de la population qui a accès à des toilettes améliorées connait une progression au niveau national de 14,8% en 2015 à 16,1% en 2019. Ce progrès est aussi constaté selon le milieu de résidence mais plus prononcé en milieu rural (3,8% en 2014 contre 7% en 2019). L’utilisation de toilettes améliorées et partagées avec les membres d’autres ménages est nette diminution (6,6% en 2015 contre 4% en 2019 soit une baisse de 2,6 points de pourcentage) alors que celle de toilettes améliorées non partagées est en progression (8,2% contre 12,1%).  Cette régression positive de toilettes améliorées partagées pourrait s’expliquer en partie par l’augmentation de l’utilisation de toilettes propres aux ménages.</w:t>
            </w:r>
          </w:p>
          <w:p w14:paraId="3C43EFDB"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En ce qui concerne les dispositifs de lavage de mains, on note également une amélioration de la situation. En effet, 22,4% de la population utilisait des équipements avec de l’eau et du savon ou tout autre produit en 2015 alors qu’en 2019, cette proportion était de 37,7%. Avec la période de la COVID-19 on peut </w:t>
            </w:r>
            <w:r w:rsidRPr="00D66BF5">
              <w:rPr>
                <w:rFonts w:ascii="Times New Roman" w:hAnsi="Times New Roman"/>
              </w:rPr>
              <w:lastRenderedPageBreak/>
              <w:t xml:space="preserve">hypothétiser que cet indicateur serait en net progression </w:t>
            </w:r>
            <w:proofErr w:type="gramStart"/>
            <w:r w:rsidRPr="00D66BF5">
              <w:rPr>
                <w:rFonts w:ascii="Times New Roman" w:hAnsi="Times New Roman"/>
              </w:rPr>
              <w:t>de par le</w:t>
            </w:r>
            <w:proofErr w:type="gramEnd"/>
            <w:r w:rsidRPr="00D66BF5">
              <w:rPr>
                <w:rFonts w:ascii="Times New Roman" w:hAnsi="Times New Roman"/>
              </w:rPr>
              <w:t xml:space="preserve"> lavage des mains rendu obligatoire dans les services publics et encouragé dans les ménages.</w:t>
            </w:r>
          </w:p>
          <w:p w14:paraId="15558359" w14:textId="77777777" w:rsidR="002121C4" w:rsidRPr="00D66BF5" w:rsidRDefault="002121C4" w:rsidP="00C06929">
            <w:pPr>
              <w:spacing w:after="0" w:line="240" w:lineRule="auto"/>
              <w:jc w:val="both"/>
              <w:rPr>
                <w:rFonts w:ascii="Times New Roman" w:hAnsi="Times New Roman"/>
              </w:rPr>
            </w:pPr>
          </w:p>
          <w:p w14:paraId="0C9C9832"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La proportion de la population qui consomme de l’eau provenant d’une source améliorée est en augmentation, passant de 56,1% en 2015 à 61,8% en 2019. Toutefois, on note de disparité importante selon le milieu de résidence quelle que soit l’année considérée. De même, la situation n’a pas beaucoup évolué dans certaines provinces comme le Borkou (33 à 34,7%) et le Ouaddaï (25,9 à 28%). La diminution du taux d’accès dans certaines provinces serait attribuée à la non-fonctionnalité des ouvrages d’adduction d’eau telle que celle observée dans le Logone Oriental (41,7 à 38,3%). </w:t>
            </w:r>
          </w:p>
          <w:p w14:paraId="6E8765BE"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Seul 4% (525/</w:t>
            </w:r>
            <w:r w:rsidRPr="00D66BF5">
              <w:rPr>
                <w:rFonts w:ascii="Andalus" w:hAnsi="Andalus" w:cs="Andalus"/>
                <w:bCs/>
              </w:rPr>
              <w:t>11702)</w:t>
            </w:r>
            <w:r w:rsidRPr="00D66BF5">
              <w:rPr>
                <w:rFonts w:ascii="Times New Roman" w:hAnsi="Times New Roman"/>
              </w:rPr>
              <w:t xml:space="preserve"> d’école possède un point d’eau (Annuaire statistique 2018-2019)</w:t>
            </w:r>
          </w:p>
        </w:tc>
      </w:tr>
      <w:tr w:rsidR="002121C4" w:rsidRPr="00D66BF5" w14:paraId="600BE100"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3633107A"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 xml:space="preserve">ODD 7 : </w:t>
            </w:r>
            <w:r w:rsidRPr="00D66BF5">
              <w:rPr>
                <w:rFonts w:ascii="Times New Roman" w:hAnsi="Times New Roman"/>
                <w:b/>
              </w:rPr>
              <w:t>Garantir l’accès de tous à des services énergétiques fiables, durables et modernes, à un coût abordable</w:t>
            </w:r>
          </w:p>
        </w:tc>
      </w:tr>
      <w:tr w:rsidR="002121C4" w:rsidRPr="00D66BF5" w14:paraId="237C1AE2" w14:textId="77777777" w:rsidTr="00C06929">
        <w:trPr>
          <w:trHeight w:val="1601"/>
        </w:trPr>
        <w:tc>
          <w:tcPr>
            <w:tcW w:w="241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2C39E2F" w14:textId="77777777" w:rsidR="002121C4" w:rsidRPr="00D66BF5" w:rsidRDefault="002121C4" w:rsidP="00C06929">
            <w:pPr>
              <w:spacing w:line="240" w:lineRule="auto"/>
              <w:rPr>
                <w:rFonts w:ascii="Times New Roman" w:hAnsi="Times New Roman"/>
              </w:rPr>
            </w:pPr>
            <w:r w:rsidRPr="00D66BF5">
              <w:rPr>
                <w:rFonts w:ascii="Times New Roman" w:hAnsi="Times New Roman"/>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65983B1A"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Depuis plusieurs années, l’accès à l’électricité reste limité au Tchad. Malgré les efforts d’investissements consentis par le Gouvernement dans ce secteur ces dernières années, la proportion des ménages utilisant cette source d'éclairage n’a pas beaucoup évolué passant de 7,7% en 2015 à 8,4% en 2019 (MICS 2019), soit une augmentation de 0,7 point. De surcroit, ceux qui ont l’accès à l’énergie ne l’ont pas souvent en continu. On note que le taux d’accès à l’électricité n’est que 1,8% en milieu rural contre 36,7% en milieu urbain. Ce faible niveau d’accès à l’électricité observé au cours de ces dernières années s’explique en partie par la croissance démographique, la faiblesse de la gouvernance du secteur et la non mise en œuvre effective du plan d’électrification au niveau national.</w:t>
            </w:r>
          </w:p>
          <w:p w14:paraId="1C203FF8"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La proportion de la population utilisant principalement des carburants et technologies propres est passé de 3,4% au national en 2015 à 5,7% en 2019, soit une amélioration de 2,3 points. En 2019, la population urbaine utilisant des carburants et technologie représente 28,3% contre 0,4% en milieu rural. </w:t>
            </w:r>
          </w:p>
          <w:p w14:paraId="1C42D9AC"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La proportion des ménages utilisant les énergies propres par province est de 37,2% à 72,2% à N’Djaména, soit une forte augmentation de l’ordre de 35 points de pourcentage. Elle de 5,2% dans le Ouaddaï, 3,8% dans le Borkou et Tibesti, les autres provinces sont à des proportions inférieures à 2%. </w:t>
            </w:r>
          </w:p>
          <w:p w14:paraId="4BA56763"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Cette amélioration observée principalement en milieu urbain est le fruit de la politique d’interdiction de coupe abusive des arbres pour la préservation de l’environnement, accompagnée de celle de la disponibilité des gaz butane à prix subventionné. En outre, depuis 2011, le Tchad produit localement du gaz butane par la raffinerie de </w:t>
            </w:r>
            <w:proofErr w:type="spellStart"/>
            <w:r w:rsidRPr="00D66BF5">
              <w:rPr>
                <w:rFonts w:ascii="Times New Roman" w:hAnsi="Times New Roman"/>
              </w:rPr>
              <w:t>Djarmaya</w:t>
            </w:r>
            <w:proofErr w:type="spellEnd"/>
            <w:r w:rsidRPr="00D66BF5">
              <w:rPr>
                <w:rFonts w:ascii="Times New Roman" w:hAnsi="Times New Roman"/>
              </w:rPr>
              <w:t>.</w:t>
            </w:r>
            <w:r w:rsidRPr="00D66BF5" w:rsidDel="00267BC6">
              <w:rPr>
                <w:rFonts w:ascii="Times New Roman" w:hAnsi="Times New Roman"/>
              </w:rPr>
              <w:t xml:space="preserve"> </w:t>
            </w:r>
            <w:r w:rsidRPr="00D66BF5">
              <w:rPr>
                <w:rFonts w:ascii="Times New Roman" w:hAnsi="Times New Roman"/>
              </w:rPr>
              <w:t>La part de l’énergie renouvelable dans la consommation finale est passée de 0,89% en 2015 à 0,85% en 2017, la tendance est presque restée constante dans la période. L’utilisation des plaques solaires par les ménages comme source d’électricité est passé de 0,1% en 2011 à 1,2% en 2019. Soit une amélioration de 1,1%.</w:t>
            </w:r>
          </w:p>
        </w:tc>
      </w:tr>
      <w:tr w:rsidR="002121C4" w:rsidRPr="00D66BF5" w14:paraId="46081882"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6B200260"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t>ODD 8 :</w:t>
            </w:r>
            <w:r w:rsidRPr="00D66BF5">
              <w:rPr>
                <w:rFonts w:ascii="Times New Roman" w:hAnsi="Times New Roman"/>
                <w:b/>
              </w:rPr>
              <w:t xml:space="preserve"> Promouvoir une croissance économique soutenue, partagée et durable, le plein emploi productif et un travail décent pour tous</w:t>
            </w:r>
          </w:p>
        </w:tc>
      </w:tr>
      <w:tr w:rsidR="002121C4" w:rsidRPr="00D66BF5" w14:paraId="49EC979E" w14:textId="77777777" w:rsidTr="00C06929">
        <w:trPr>
          <w:trHeight w:val="892"/>
        </w:trPr>
        <w:tc>
          <w:tcPr>
            <w:tcW w:w="241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hideMark/>
          </w:tcPr>
          <w:p w14:paraId="3FA101FA" w14:textId="77777777" w:rsidR="002121C4" w:rsidRPr="00D66BF5" w:rsidRDefault="002121C4" w:rsidP="00C06929">
            <w:pPr>
              <w:spacing w:line="240" w:lineRule="auto"/>
              <w:rPr>
                <w:rFonts w:ascii="Times New Roman" w:hAnsi="Times New Roman"/>
                <w:color w:val="860000"/>
              </w:rPr>
            </w:pPr>
            <w:r w:rsidRPr="00D66BF5">
              <w:rPr>
                <w:rFonts w:ascii="Times New Roman" w:hAnsi="Times New Roman"/>
                <w:color w:val="860000"/>
              </w:rPr>
              <w:lastRenderedPageBreak/>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hideMark/>
          </w:tcPr>
          <w:p w14:paraId="1ED5A9FD"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 xml:space="preserve">La croissance du PIB réel par habitant est loin d’atteindre le niveau de la cible de 7% de l’agenda 2030. Le taux de croissance du PIB réel annuel est passé de 3,9% en 2015 pour s’établir à 5,1% en 2021 et celui réel par habitant de -6,9% en 2015 à 3,5% en 2021. L’analyse de l’évolution de ces taux fait ressortir des fluctuations de plus en plus dépendantes des cours mondiaux du pétrole et de la pluviométrie. Le PIB réel global et le PIB réel par habitant évoluent dans le même sens, tandis que l’accroissement démographique réduit le rythme de croissance du PIB réel par habitant. </w:t>
            </w:r>
          </w:p>
          <w:p w14:paraId="05E72468"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S’agissant du taux de croissance annuel du PIB réel par personne pourvue d’un emploi, il affiche des baisses très prononcées en 2016 et 2017 respectivement de -9,5% et -6,3% contre -1,8% en 2015. Cette situation résulte de la baisse de la productivité au sein des principaux secteurs d’activités, en l’occurrence l’agriculture.</w:t>
            </w:r>
          </w:p>
          <w:p w14:paraId="0F6C66ED"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La répartition des emplois par secteur d’activité confère une place importante à l’agriculture (72,1% en 2019 contre 74,3% en 2011). Les femmes sont majoritaires dans les secteurs d’activité tels qu’autre industrie (77,2%), restaurant/ hôtel (67,1%), agriculture (54,2%) et commerce (52,5%).</w:t>
            </w:r>
          </w:p>
          <w:p w14:paraId="4CB54DF7"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Le mariage des enfants persiste, avec respectivement 24,2% et 60,6% de femmes âgées de 20 à 24 ans qui étaient mariées ou en couple avant respectivement l’âge de 15 ans et l’âge de 18 ans en 2019 (contre respectivement 29,7% et 66% en 2015).</w:t>
            </w:r>
          </w:p>
          <w:p w14:paraId="627CDB97"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Les services offerts par l’Office National de l’emploi aux demandeurs d’emplois au cours de ces dernières années sont passés de 8 619 placements en 2011 à 14 779 en 2015 toutes catégories confondues. De même, 60% des demandes d’emploi, tous sexes confondus, émanent des jeunes diplômés de 25 à 35 ans qui sont massivement présents sur le marché formel du travail.</w:t>
            </w:r>
          </w:p>
          <w:p w14:paraId="6B01080B"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Depuis 2015, on observe une croissance négative de la productivité du travail, du fait notamment de la faible création de valeur ajoutée sectorielle, des crises multiples (sécurité, pétrole, climat), avec une contribution quasi stable de l’agriculture plutôt informelle aux emplois (entre 77% et 79% en projection). La création des emplois dans les autres secteurs (industries, services modernes) demeure plus faible et dans une constante. Cela explique un taux de vulnérabilité élevé des emplois (plus de 90% des emplois sont occupés par des travailleurs indépendants dans l’informel). La proportion des travailleurs salariés (moins de 7% des emplois) et des chefs d’entreprises (moins de 1% des emplois) souligne la nécessité de développer les compétences de qualité dont l’économie a besoin et promouvoir des emplois décents dans un scénario de croissance forte, diversifiée et inclusive.</w:t>
            </w:r>
          </w:p>
          <w:p w14:paraId="219E862F" w14:textId="77777777" w:rsidR="002121C4" w:rsidRPr="00D66BF5" w:rsidRDefault="002121C4" w:rsidP="00C06929">
            <w:pPr>
              <w:spacing w:line="240" w:lineRule="auto"/>
              <w:jc w:val="both"/>
              <w:rPr>
                <w:rFonts w:ascii="Times New Roman" w:hAnsi="Times New Roman"/>
              </w:rPr>
            </w:pPr>
            <w:r w:rsidRPr="00D66BF5">
              <w:rPr>
                <w:rFonts w:ascii="Times New Roman" w:hAnsi="Times New Roman"/>
              </w:rPr>
              <w:t>En 2019, s’agissant du travail forcé, 39% des enfants âgés de 5 à 17 ans ont participé à une activité économique ou à une tâche ménagère, contre 51,5% en 2014/2015, traduisant ainsi de progrès notable en matière d’élimination du travail des enfants avec notamment une surveillance très rapprochée et une répression de ce phénomène par les autorités publiques. Cependant, la prévalence du travail des enfants est légèrement plus élevée chez les f</w:t>
            </w:r>
            <w:r>
              <w:rPr>
                <w:rFonts w:ascii="Times New Roman" w:hAnsi="Times New Roman"/>
              </w:rPr>
              <w:t>illes</w:t>
            </w:r>
            <w:r w:rsidRPr="00D66BF5">
              <w:rPr>
                <w:rFonts w:ascii="Times New Roman" w:hAnsi="Times New Roman"/>
              </w:rPr>
              <w:t xml:space="preserve"> que chez les </w:t>
            </w:r>
            <w:r>
              <w:rPr>
                <w:rFonts w:ascii="Times New Roman" w:hAnsi="Times New Roman"/>
              </w:rPr>
              <w:t>garçons</w:t>
            </w:r>
            <w:r w:rsidRPr="00D66BF5">
              <w:rPr>
                <w:rFonts w:ascii="Times New Roman" w:hAnsi="Times New Roman"/>
              </w:rPr>
              <w:t xml:space="preserve"> (respectivement 39,6% et 38,5% en 2019), à cause notamment de leur emploi </w:t>
            </w:r>
            <w:r w:rsidRPr="00D66BF5">
              <w:rPr>
                <w:rFonts w:ascii="Times New Roman" w:hAnsi="Times New Roman"/>
              </w:rPr>
              <w:lastRenderedPageBreak/>
              <w:t>fréquent dans les tâches ménagères. En outre, le travail des enfants est nettement plus fréquent en milieu rural qu’en milieu urbain (respectivement 42,3% et 24,4% en 2019), du fait de la précarité des revenus des parents qui pousse les enfants à exercer des petits métiers ou taches pour subvenir à leurs besoins.</w:t>
            </w:r>
          </w:p>
          <w:p w14:paraId="598E7A09" w14:textId="77777777" w:rsidR="002121C4" w:rsidRPr="00D66BF5" w:rsidRDefault="002121C4" w:rsidP="00C06929">
            <w:pPr>
              <w:autoSpaceDE w:val="0"/>
              <w:autoSpaceDN w:val="0"/>
              <w:adjustRightInd w:val="0"/>
              <w:jc w:val="both"/>
              <w:rPr>
                <w:rFonts w:ascii="Times New Roman" w:hAnsi="Times New Roman"/>
              </w:rPr>
            </w:pPr>
            <w:r w:rsidRPr="00D66BF5">
              <w:rPr>
                <w:rFonts w:ascii="Times New Roman" w:hAnsi="Times New Roman"/>
              </w:rPr>
              <w:t xml:space="preserve">En ce qui concerne la lutte contre la traite des personnes (TDP), le Gouvernement tchadien a accompli des progrès </w:t>
            </w:r>
            <w:r w:rsidRPr="30DCC7F0">
              <w:rPr>
                <w:rFonts w:ascii="Times New Roman" w:hAnsi="Times New Roman"/>
              </w:rPr>
              <w:t xml:space="preserve">significatifs </w:t>
            </w:r>
            <w:r w:rsidRPr="00D66BF5">
              <w:rPr>
                <w:rFonts w:ascii="Times New Roman" w:hAnsi="Times New Roman"/>
              </w:rPr>
              <w:t xml:space="preserve"> </w:t>
            </w:r>
            <w:r w:rsidRPr="30DCC7F0">
              <w:rPr>
                <w:rFonts w:ascii="Times New Roman" w:hAnsi="Times New Roman"/>
              </w:rPr>
              <w:t xml:space="preserve">depuis l’année </w:t>
            </w:r>
            <w:r w:rsidRPr="00D66BF5">
              <w:rPr>
                <w:rFonts w:ascii="Times New Roman" w:hAnsi="Times New Roman"/>
              </w:rPr>
              <w:t>2018 selon le rapport 2019 du Département d’État américain</w:t>
            </w:r>
            <w:r w:rsidRPr="30DCC7F0">
              <w:rPr>
                <w:rFonts w:ascii="Times New Roman" w:hAnsi="Times New Roman"/>
              </w:rPr>
              <w:t>, avec la mise en place de la loi 012/PR/2018 sur la lutte contre la traite des personnes au Tchad, la signature du décret portant mise en place de la Commission nationale sur la lutte contre la traite des personnes au Tchad, ainsi que la création du Comité Technique Multisectoriel sur la lutte contre le trafic illicite des migrants et la traite des personnes en mai 2021.</w:t>
            </w:r>
            <w:r w:rsidRPr="00D66BF5">
              <w:rPr>
                <w:rFonts w:ascii="Times New Roman" w:hAnsi="Times New Roman"/>
              </w:rPr>
              <w:t xml:space="preserve"> En raison de ses efforts accrus, notamment à travers la criminalisation officielle en 2018 de la traite des personnes, y compris l’exploitation sexuelle et par le travail, le Tchad a été reclassé au niveau 2 alors qu’il était sur la liste de surveillance de catégorie 2.</w:t>
            </w:r>
          </w:p>
        </w:tc>
      </w:tr>
      <w:tr w:rsidR="002121C4" w:rsidRPr="00D66BF5" w14:paraId="40A2E6DA"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148154E7"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ODD 9 :</w:t>
            </w:r>
            <w:r w:rsidRPr="00D66BF5">
              <w:rPr>
                <w:rFonts w:ascii="Times New Roman" w:hAnsi="Times New Roman"/>
                <w:b/>
              </w:rPr>
              <w:t xml:space="preserve"> Bâtir une infrastructure résiliente, promouvoir une industrialisation durable qui profite à tous et encourager l’innovation</w:t>
            </w:r>
          </w:p>
        </w:tc>
      </w:tr>
      <w:tr w:rsidR="002121C4" w:rsidRPr="00D66BF5" w14:paraId="4B881EF1" w14:textId="77777777" w:rsidTr="00C06929">
        <w:trPr>
          <w:trHeight w:val="751"/>
        </w:trPr>
        <w:tc>
          <w:tcPr>
            <w:tcW w:w="241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447F173B" w14:textId="77777777" w:rsidR="002121C4" w:rsidRPr="00D66BF5" w:rsidRDefault="002121C4" w:rsidP="00C06929">
            <w:pPr>
              <w:spacing w:after="0" w:line="240" w:lineRule="auto"/>
              <w:rPr>
                <w:rFonts w:ascii="Times New Roman" w:hAnsi="Times New Roman"/>
              </w:rPr>
            </w:pPr>
            <w:r w:rsidRPr="00D66BF5">
              <w:rPr>
                <w:rFonts w:ascii="Times New Roman" w:hAnsi="Times New Roman"/>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AAB0AB3"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Selon l’ADAC en 2018 le nombre total de passager voyageant au départ et à l’arrivée de l’aéroport de N’Djamena on observe une croissance de voyageurs entre 2018 et 2019 avec 106 960 000 en 2018 contre 142 883 000 en 2019 et une baisse en 2020 avec 55 619 000 voyageurs en 2020. En ce qui concerne le fret aérien transporté, on note une nette croissance allant de 4 860 000 tonnes en 2018 à 4 428 000 tonnes en 2019 pour atteindre 6 385 022 000 tonnes en 2020. </w:t>
            </w:r>
          </w:p>
          <w:p w14:paraId="6EC64DD1"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Le Tchad entend faire du développement des infrastructures de base un levier de la consolidation de la croissance économique et de l’amélioration du bien-être des populations. Le bitumage de route est passé de 2 297 km en 2017 à 2 435 km en 2019 soit une augmentation de 138 km </w:t>
            </w:r>
            <w:proofErr w:type="gramStart"/>
            <w:r w:rsidRPr="00D66BF5">
              <w:rPr>
                <w:rFonts w:ascii="Times New Roman" w:hAnsi="Times New Roman"/>
              </w:rPr>
              <w:t>suite à</w:t>
            </w:r>
            <w:proofErr w:type="gramEnd"/>
            <w:r w:rsidRPr="00D66BF5">
              <w:rPr>
                <w:rFonts w:ascii="Times New Roman" w:hAnsi="Times New Roman"/>
              </w:rPr>
              <w:t xml:space="preserve"> la mise en œuvre la stratégie nationale des transports.</w:t>
            </w:r>
          </w:p>
          <w:p w14:paraId="48A42E21" w14:textId="77777777" w:rsidR="002121C4" w:rsidRPr="00D66BF5" w:rsidRDefault="002121C4" w:rsidP="00C06929">
            <w:pPr>
              <w:spacing w:after="0" w:line="240" w:lineRule="auto"/>
              <w:jc w:val="both"/>
              <w:rPr>
                <w:rFonts w:ascii="Times New Roman" w:hAnsi="Times New Roman"/>
              </w:rPr>
            </w:pPr>
          </w:p>
          <w:p w14:paraId="5D8A94B5"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valeur ajoutée dans l’industrie manufacturière en proportion du PIB renvoie à l’évolution du poids du secteur secondaire dans le PIB. Le secteur est dominé par les industries agro-alimentaires (abattage et transformation de la viande et du poisson). En 2019, le secteur a profité amplement de la bonne tenue de l’activité dans la branche BTP induite par la reprise de l’investissement public. En dépit d’une baisse de l’apport de la branche industries manufacturières à la croissance qui est devenu nulle en 2019 alors qu’il était de 0,6 point en 2018. Le secteur secondaire a connu une augmentation sensible de sa contribution à la croissance pour se hisser à 1,9 point en 2019 contre 0,9 point en 2018. Quant à la production industrielle, il faut noter que la valeur ajoutée manufacturière (MVA) exprimée en pourcentage du PIB réel est restée stable entre 2014 et 2019 (environ 10%), après une période de croissance entre 2010 et 2012. Cette variation traduit les investissements réalisés dans les industries manufacturières au cours de cette période.</w:t>
            </w:r>
          </w:p>
          <w:p w14:paraId="2877D319" w14:textId="77777777" w:rsidR="002121C4" w:rsidRPr="00D66BF5" w:rsidRDefault="002121C4" w:rsidP="00C06929">
            <w:pPr>
              <w:spacing w:after="0" w:line="240" w:lineRule="auto"/>
              <w:jc w:val="both"/>
              <w:rPr>
                <w:rFonts w:ascii="Times New Roman" w:hAnsi="Times New Roman"/>
              </w:rPr>
            </w:pPr>
          </w:p>
          <w:p w14:paraId="17EA3CC7"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Les émissions de dioxyde de carbone (CO2) par unité de valeur ajoutée traduisent l’utilisation des ressources et un recours aux technologies et procédés industriels, notamment la combustion de carburant, propres et respectueux de l’environnement. Au Tchad, la valeur de cet indicateur n’a pas changé faute des nouvelles données </w:t>
            </w:r>
            <w:r w:rsidRPr="00D66BF5">
              <w:rPr>
                <w:rFonts w:ascii="Times New Roman" w:hAnsi="Times New Roman"/>
              </w:rPr>
              <w:lastRenderedPageBreak/>
              <w:t xml:space="preserve">disponible depuis 2016 qui est de 0,080 (Centre d'analyse des informations relatives au dioxyde de carbone, division des sciences de l'environnement, </w:t>
            </w:r>
            <w:proofErr w:type="spellStart"/>
            <w:r w:rsidRPr="00D66BF5">
              <w:rPr>
                <w:rFonts w:ascii="Times New Roman" w:hAnsi="Times New Roman"/>
              </w:rPr>
              <w:t>Oak</w:t>
            </w:r>
            <w:proofErr w:type="spellEnd"/>
            <w:r w:rsidRPr="00D66BF5">
              <w:rPr>
                <w:rFonts w:ascii="Times New Roman" w:hAnsi="Times New Roman"/>
              </w:rPr>
              <w:t xml:space="preserve"> Ridge National </w:t>
            </w:r>
            <w:proofErr w:type="spellStart"/>
            <w:r w:rsidRPr="00D66BF5">
              <w:rPr>
                <w:rFonts w:ascii="Times New Roman" w:hAnsi="Times New Roman"/>
              </w:rPr>
              <w:t>Laboratory</w:t>
            </w:r>
            <w:proofErr w:type="spellEnd"/>
            <w:r w:rsidRPr="00D66BF5">
              <w:rPr>
                <w:rFonts w:ascii="Times New Roman" w:hAnsi="Times New Roman"/>
              </w:rPr>
              <w:t>, Tennessee, États-Unis).</w:t>
            </w:r>
          </w:p>
          <w:p w14:paraId="102A57D7" w14:textId="77777777" w:rsidR="002121C4" w:rsidRPr="00D66BF5" w:rsidRDefault="002121C4" w:rsidP="00C06929">
            <w:pPr>
              <w:spacing w:after="0" w:line="240" w:lineRule="auto"/>
              <w:jc w:val="both"/>
              <w:rPr>
                <w:rFonts w:ascii="Times New Roman" w:hAnsi="Times New Roman"/>
              </w:rPr>
            </w:pPr>
          </w:p>
          <w:p w14:paraId="437899C3"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En 2016, le niveau des dépenses annuelles de recherche-développement était relativement faible, s’établissant à 0,3% du PIB annuel. Cela traduit l’étendue des efforts à fournir tant par le secteur public que celui privé pour le soutien financier à la recherche-développement.</w:t>
            </w:r>
          </w:p>
          <w:p w14:paraId="04AFB2B3" w14:textId="77777777" w:rsidR="002121C4" w:rsidRPr="00D66BF5" w:rsidRDefault="002121C4" w:rsidP="00C06929">
            <w:pPr>
              <w:spacing w:after="0" w:line="240" w:lineRule="auto"/>
              <w:jc w:val="both"/>
              <w:rPr>
                <w:rFonts w:ascii="Times New Roman" w:hAnsi="Times New Roman"/>
              </w:rPr>
            </w:pPr>
          </w:p>
          <w:p w14:paraId="63671CDF"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En 2016, on a estimé à 57,89 le nombre de chercheurs pour un million d’habitant. Ainsi, des conditions doivent être facilitées pour attirer les potentiels chercheurs à se consacrer à la recherche-développement.</w:t>
            </w:r>
          </w:p>
          <w:p w14:paraId="05CB786C"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Au Tchad, la proportion de la population ayant accès à un réseau mobile demeure relativement faible. La situation par type de technologie est la suivante :</w:t>
            </w:r>
          </w:p>
          <w:p w14:paraId="69D77FCE"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Pour la 2G, une part de 86% de la population y a accès depuis 2015 ;</w:t>
            </w:r>
          </w:p>
          <w:p w14:paraId="0B4EE100"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Pour la 3G, la part de la population y ayant accès est passée de 13% en 2015 à 42% en 2018 ;</w:t>
            </w:r>
          </w:p>
          <w:p w14:paraId="6C1A6456"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Pour la 4G, la part de la population y ayant accès est passée de 8,6% en 2015 à 12% en 2018.</w:t>
            </w:r>
          </w:p>
        </w:tc>
      </w:tr>
      <w:tr w:rsidR="002121C4" w:rsidRPr="00D66BF5" w14:paraId="70D3FD22"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4017EC60"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 xml:space="preserve">ODD 10 : </w:t>
            </w:r>
            <w:r w:rsidRPr="00D66BF5">
              <w:rPr>
                <w:rFonts w:ascii="Times New Roman" w:hAnsi="Times New Roman"/>
                <w:b/>
              </w:rPr>
              <w:t>Réduire les inégalités dans les pays et d’un pays à l’autre</w:t>
            </w:r>
          </w:p>
        </w:tc>
      </w:tr>
      <w:tr w:rsidR="002121C4" w:rsidRPr="00D66BF5" w14:paraId="1CCBB9FD" w14:textId="77777777" w:rsidTr="00C06929">
        <w:trPr>
          <w:trHeight w:val="325"/>
        </w:trPr>
        <w:tc>
          <w:tcPr>
            <w:tcW w:w="2410"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14:paraId="0FA2EE86" w14:textId="77777777" w:rsidR="002121C4" w:rsidRPr="00D66BF5" w:rsidRDefault="002121C4" w:rsidP="00C06929">
            <w:pPr>
              <w:spacing w:after="0" w:line="240" w:lineRule="auto"/>
              <w:rPr>
                <w:rFonts w:ascii="Times New Roman" w:hAnsi="Times New Roman"/>
              </w:rPr>
            </w:pPr>
            <w:r w:rsidRPr="00D66BF5">
              <w:rPr>
                <w:rFonts w:ascii="Times New Roman" w:hAnsi="Times New Roman"/>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hideMark/>
          </w:tcPr>
          <w:p w14:paraId="78A5572E"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Des progrès constants ont été réalisés pour assurer progressivement et durablement une croissance des revenus des 40% de la population les plus pauvres à un rythme plus rapide que le revenu moyen national. Les dépenses des ménages sont passées de 1 490 510 F CFA, soit près de 124 209 F CFA par mois en 2011 à 1 815 212 FCFA soit près de 151 268 F CFA par mois en 2019, soit une hausse de 22% de dépenses des ménages par mois. Par milieu de résidence, la dépense moyenne annuelle par ménage est 2,3 fois plus importante en milieu urbain (3 188 125 FCFA) qu’en milieu rural (1 398 393 F CFA). Quel que soit le milieu de résidence, la dépense moyenne annuelle par ménage croît régulièrement lorsqu’on va des ménages les plus pauvres aux plus riches.</w:t>
            </w:r>
          </w:p>
          <w:p w14:paraId="7A0E6B01"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162C09C4"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Le taux de croissance des dépenses des ménages pour les 40% de la population les plus pauvres a baissé, passant de 66,6% en 2011 à 57,5% en 2019. L’accroissement du revenu par habitant quant à lui reste globalement positif ces dernières années. Il est en moyenne autour de 3,8% sur la période 2010-2021 avec une décroissance successive sur la période 2012 à 2016 passants de 8,2% à - 2,6%. Cependant, on observe une augmentation entre le niveau de 2020 et l’estimation de 2021 respectivement de -0,4% à 5,1%.</w:t>
            </w:r>
          </w:p>
          <w:p w14:paraId="327F562E"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5A1A0278"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 xml:space="preserve">La proportion de personnes vivant avec moins de la moitié du revenu médian au niveau national est passée de 20,3% en 2011 à 9,7% en 2019 selon les travaux de la Banque Mondiale sur la base des données d’ECOSIT 3 et 4 respectivement. Ces améliorations des conditions de vie des vulnérables sont dues à la mise en œuvre des deux premiers Plans Nationaux de Développement. Toutefois, des disparités existent entre le milieu urbain avec 3%, et le milieu rural avec 11,9% en 2019. En 2019, la proportion de personnes vivant avec moins de la moitié du revenu médian varie avec le sexe du chef de ménage. Ainsi, les ménages dirigés par des hommes constituent la grande majorité avec 75,3% contre 24,7% de ceux dirigés par des </w:t>
            </w:r>
            <w:r w:rsidRPr="00D66BF5">
              <w:rPr>
                <w:rFonts w:ascii="Times New Roman" w:hAnsi="Times New Roman"/>
              </w:rPr>
              <w:lastRenderedPageBreak/>
              <w:t>femmes. De même, la proportion de personnes vivant avec moins de la moitié du revenu médian varie avec les classes d’âges, le groupe d’âge 25 – 43 ans constitue près de la moitié avec 47,7% suivi du groupe d’âge 44 – 64 ans avec 36,2%. C’est dans les groupes d’âges 65 ans et plus, et moins de 25 ans qu’on enregistre les moins des pauvres avec 10,4% et 5,8% respectivement.</w:t>
            </w:r>
          </w:p>
          <w:p w14:paraId="32DD94AE"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Selon la même enquête, globalement, on remarque que les dépenses moyennes annuelles d’éducation passent de 21 222 F CFA par enfant en 2010/2011 à 21 760 F CFA par enfant en 2017/2018 soit une hausse de 2,5% entre 2011 et 2018.</w:t>
            </w:r>
            <w:r w:rsidRPr="00D66BF5">
              <w:t xml:space="preserve"> </w:t>
            </w:r>
            <w:r w:rsidRPr="00D66BF5">
              <w:rPr>
                <w:rFonts w:ascii="Times New Roman" w:hAnsi="Times New Roman"/>
              </w:rPr>
              <w:t>En outre, les parts des dépenses chez les pauvres sont plus élevées que chez les non pauvres au niveau des dépenses d’habillement et chaussures (6,2% contre 5,9%), logement, eau, électricité, gaz et autres combustibles (18,4% contre 13,7%) et santé et hygiène (3,7% contre 3,5%).</w:t>
            </w:r>
          </w:p>
          <w:p w14:paraId="799D9DF1"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Le Revenu national brut (RNB) par habitant a connu une baisse entre 2012 et 2016 et une augmentation successive entre 2016 - 2019, puis une baisse en 2020</w:t>
            </w:r>
          </w:p>
          <w:p w14:paraId="2EC11260"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3FEAAF09"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Au Tchad, le montant total des ressources extérieures allouées au développement est passé de $614,34 millions en 2015 à $872,39 millions en 2019 selon l’OCDE.</w:t>
            </w:r>
          </w:p>
          <w:p w14:paraId="2949D505"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107DF81C"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Au niveau national, il y a eu beaucoup de progrès dans la mise en œuvre des politiques migratoires à travers la Commission Nationale d'Accueil de Réinsertion des Réfugiés et des Rapatriées (CNARR) créée en 2011 par décret n° 11-839/PR/PM/MAT/11 et ayant pour mission de mettre en application les instruments juridiques internationaux et les lois nationales relatives aux réfugiés et aux demandeurs d'asile. De plus, le Tchad a approuvé la libre circulation dans la Zone CEMAC et la suppression des visas dans les pays du G5 Sahel en 2019. La Loi d’asile a été voté en Décembre 2020 qui confirme les droits socio-économiques et la documentation officielle permettant une véritable croissance inclusive.</w:t>
            </w:r>
          </w:p>
          <w:p w14:paraId="4BA4151A"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70CA527F"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 xml:space="preserve">Concernant la facilitation de la migration et la mobilité de façon ordonnée, </w:t>
            </w:r>
            <w:r>
              <w:rPr>
                <w:rFonts w:ascii="Times New Roman" w:hAnsi="Times New Roman"/>
              </w:rPr>
              <w:t xml:space="preserve">et </w:t>
            </w:r>
            <w:r w:rsidRPr="00D66BF5">
              <w:rPr>
                <w:rFonts w:ascii="Times New Roman" w:hAnsi="Times New Roman"/>
              </w:rPr>
              <w:t>régulière, notamment par la mise en œuvre de politiques migratoires planifiées et bien gérées, le Tchad a adopté le Pacte mondial pour les migrations sures, ordonnées et régulières</w:t>
            </w:r>
            <w:r>
              <w:rPr>
                <w:rFonts w:ascii="Times New Roman" w:hAnsi="Times New Roman"/>
              </w:rPr>
              <w:t xml:space="preserve"> (PMM)</w:t>
            </w:r>
            <w:r w:rsidRPr="00D66BF5">
              <w:rPr>
                <w:rFonts w:ascii="Times New Roman" w:hAnsi="Times New Roman"/>
              </w:rPr>
              <w:t>, et élaboré un plan d’actions prioritaire pour sa mise en œuvre jusqu’en 2021. En novembre 2020, le Tchad a organisé une Consultation nationale pour l’Examen national volontaire du PMM.</w:t>
            </w:r>
            <w:r>
              <w:rPr>
                <w:rFonts w:ascii="Times New Roman" w:hAnsi="Times New Roman"/>
              </w:rPr>
              <w:t xml:space="preserve"> Depuis Février 2021, le Tchad est par ailleurs un des « Pays Champions » de la mise en œuvre du PMM, ce qui lui offre un espace d’apprentissage et de mise en valeur des bonnes pratiques de gestion des migrations. </w:t>
            </w:r>
          </w:p>
        </w:tc>
      </w:tr>
      <w:tr w:rsidR="002121C4" w:rsidRPr="00D66BF5" w14:paraId="0EB13F76"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4EAAEF75"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ODD 11 </w:t>
            </w:r>
            <w:r w:rsidRPr="00D66BF5">
              <w:rPr>
                <w:rFonts w:ascii="Times New Roman" w:hAnsi="Times New Roman"/>
                <w:b/>
              </w:rPr>
              <w:t>: Faire en sorte que les villes et les établissements humains soient ouverts à tous, sûrs, résilients et durables</w:t>
            </w:r>
          </w:p>
        </w:tc>
      </w:tr>
      <w:tr w:rsidR="002121C4" w:rsidRPr="00D66BF5" w14:paraId="3DACD725" w14:textId="77777777" w:rsidTr="00C06929">
        <w:trPr>
          <w:trHeight w:val="764"/>
        </w:trPr>
        <w:tc>
          <w:tcPr>
            <w:tcW w:w="2410"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40DC512F" w14:textId="77777777" w:rsidR="002121C4" w:rsidRPr="00D66BF5" w:rsidRDefault="002121C4" w:rsidP="00C06929">
            <w:pPr>
              <w:spacing w:line="240" w:lineRule="auto"/>
              <w:rPr>
                <w:rFonts w:ascii="Times New Roman" w:hAnsi="Times New Roman"/>
              </w:rPr>
            </w:pPr>
            <w:r w:rsidRPr="00D66BF5">
              <w:rPr>
                <w:rFonts w:ascii="Times New Roman" w:hAnsi="Times New Roman"/>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tcPr>
          <w:p w14:paraId="5F233E35"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En dehors de la capitale N’Djaména, la plupart des centres urbains présentent un caractère plus rural qu’urbain, si l’on considère les aspects qualitatifs (activités dominantes, type de bâtis, équipements). En 2012, un Schéma Directeur d’Aménagement et d’Urbanisme (SDAU) a été réalisé, mais n’a pas été approuvé du fait de l’incompatibilité de ce dernier avec les développements actuels de la ville de N’Djaména. Cependant, il a été relancé par le Ministère de l’Aménagement du Territoire de l’Urbanisme et de l’Habitat pour qu’il prenne en considération tous les aspects urbanistiques de la capitale tchadienne ; </w:t>
            </w:r>
          </w:p>
          <w:p w14:paraId="661651B1" w14:textId="77777777" w:rsidR="002121C4" w:rsidRPr="00D66BF5" w:rsidRDefault="002121C4" w:rsidP="00C06929">
            <w:pPr>
              <w:spacing w:after="0" w:line="240" w:lineRule="auto"/>
              <w:jc w:val="both"/>
              <w:rPr>
                <w:rFonts w:ascii="Times New Roman" w:hAnsi="Times New Roman"/>
              </w:rPr>
            </w:pPr>
          </w:p>
          <w:p w14:paraId="0148D65C"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lastRenderedPageBreak/>
              <w:t>En 2013, le Ministère de l’Aménagement du Territoire de l’Urbanisme et de l’Habitat a mis en place un schéma National d’Aménagement du Territoire. Enfin, l’enjeu principal est de faire en sorte que l’urbanisation et le développement urbain aient un positionnement adéquat dans le contexte national et régional d’ici 2035, en mettant l’accent sur la satisfaction des besoins de base de la population (énergie, eau potable, assainissement, transports, hygiène, etc.) ; Le premier Plan de Contingence Inondation pour la ville de N’Djaména et le Plan de contingence multirisque ont été élaborés y compris les plans d’organisation de secours (ORSEC) et de la revue juridique et institutionnelle.</w:t>
            </w:r>
          </w:p>
          <w:p w14:paraId="62543FD7" w14:textId="77777777" w:rsidR="002121C4" w:rsidRPr="00D66BF5" w:rsidRDefault="002121C4" w:rsidP="00C06929">
            <w:pPr>
              <w:spacing w:after="0" w:line="240" w:lineRule="auto"/>
              <w:jc w:val="both"/>
              <w:rPr>
                <w:rFonts w:ascii="Times New Roman" w:hAnsi="Times New Roman"/>
              </w:rPr>
            </w:pPr>
          </w:p>
          <w:p w14:paraId="552212B1"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Tous ces plans élaborés, la mise en œuvre reste un défi compte tenu de la récession budgétaire de l’Etat et la mobilité des cadres de l’Etat ayant initié ces plans.</w:t>
            </w:r>
          </w:p>
          <w:p w14:paraId="1733F1B6" w14:textId="77777777" w:rsidR="002121C4" w:rsidRPr="00D66BF5" w:rsidRDefault="002121C4" w:rsidP="00C06929">
            <w:pPr>
              <w:spacing w:after="0" w:line="240" w:lineRule="auto"/>
              <w:jc w:val="both"/>
              <w:rPr>
                <w:rFonts w:ascii="Times New Roman" w:hAnsi="Times New Roman"/>
              </w:rPr>
            </w:pPr>
          </w:p>
          <w:p w14:paraId="3ECC8BB0"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La croissance démographique rapide et l’exode rural constituent une pression sur les villes et se manifeste à travers une carence en logement et de l’insalubrité. Cela créé une pression pour les villes qui se solde par une croissance urbaine et favorisant ainsi la création des bidons villes. </w:t>
            </w:r>
          </w:p>
          <w:p w14:paraId="4817BE19" w14:textId="77777777" w:rsidR="002121C4" w:rsidRPr="00D66BF5" w:rsidRDefault="002121C4" w:rsidP="00C06929">
            <w:pPr>
              <w:spacing w:after="0" w:line="240" w:lineRule="auto"/>
              <w:jc w:val="both"/>
              <w:rPr>
                <w:rFonts w:ascii="Times New Roman" w:hAnsi="Times New Roman"/>
              </w:rPr>
            </w:pPr>
          </w:p>
          <w:p w14:paraId="51E492C8"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La proportion des populations urbaines vivant dans des quartiers de taudis, des implantations sauvages ou des logements inadéquats est passée de 88,2% en 2015 à 86,2% en 2019, soit une baisse de 2 points de pourcentage. Bien que cette baisse soit lente mais elle démontre en quelque sorte les efforts fournis par les autorités pour sortir la population de cette précarité. </w:t>
            </w:r>
          </w:p>
          <w:p w14:paraId="48DFEA5B"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Pour ce qui est de l’urbanisation, il faut noter que le taux d’urbanisation du Tchad est passé de 21,9% en 2009, à 18,4% en 2011 puis à 22,4% en 2019, il reste le plus faible au monde.</w:t>
            </w:r>
          </w:p>
          <w:p w14:paraId="512E8DE2" w14:textId="77777777" w:rsidR="002121C4" w:rsidRPr="00D66BF5" w:rsidRDefault="002121C4" w:rsidP="00C06929">
            <w:pPr>
              <w:spacing w:after="0" w:line="240" w:lineRule="auto"/>
              <w:jc w:val="both"/>
              <w:rPr>
                <w:rFonts w:ascii="Times New Roman" w:hAnsi="Times New Roman"/>
              </w:rPr>
            </w:pPr>
          </w:p>
          <w:p w14:paraId="0205F55E"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Pour ce qui concerne la promiscuité, la densité d’occupation du logement par ménage où on dénombre entre 2 à 4 personnes par pièce est estimée à 42,1% en 2011 et à 40,5% en 2019.</w:t>
            </w:r>
          </w:p>
          <w:p w14:paraId="39A2B798" w14:textId="77777777" w:rsidR="002121C4" w:rsidRPr="00D66BF5" w:rsidRDefault="002121C4" w:rsidP="00C06929">
            <w:pPr>
              <w:spacing w:after="0" w:line="240" w:lineRule="auto"/>
              <w:jc w:val="both"/>
              <w:rPr>
                <w:rFonts w:ascii="Times New Roman" w:hAnsi="Times New Roman"/>
              </w:rPr>
            </w:pPr>
          </w:p>
          <w:p w14:paraId="326A0EA6"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ville de N’Djamena connaît une extension démographique très rapide due au fait qu’elle concentre la plupart des activités économiques. Cependant, le développement de la ville ne suit pas du fait des difficultés liées à la qualité de vie, notamment en matière d’assainissement et d’hygiène, de transports urbains, de logement, de sécurité et du coût de vie.</w:t>
            </w:r>
          </w:p>
          <w:p w14:paraId="29C0CB46"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Le Tchad est l’un des pays qui n’a pas pu offrir à sa population des logements sociaux dont le déficit est estimé à plus de 370 000 logements (Ministère en charge de l’Habitat 2019</w:t>
            </w:r>
            <w:proofErr w:type="gramStart"/>
            <w:r w:rsidRPr="00D66BF5">
              <w:rPr>
                <w:rFonts w:ascii="Times New Roman" w:hAnsi="Times New Roman"/>
              </w:rPr>
              <w:t>).La</w:t>
            </w:r>
            <w:proofErr w:type="gramEnd"/>
            <w:r w:rsidRPr="00D66BF5">
              <w:rPr>
                <w:rFonts w:ascii="Times New Roman" w:hAnsi="Times New Roman"/>
              </w:rPr>
              <w:t xml:space="preserve"> Loi fondamentale a défini un mode de gestion des communes dont les conseillers élus au suffrage direct et issus de toutes les couches de la société. En 2020, 42 communes sur 414 disposent des conseillers élus, soit 10,1%.</w:t>
            </w:r>
          </w:p>
          <w:p w14:paraId="64431584" w14:textId="77777777" w:rsidR="002121C4" w:rsidRPr="00D66BF5" w:rsidRDefault="002121C4" w:rsidP="00C06929">
            <w:pPr>
              <w:spacing w:after="0" w:line="240" w:lineRule="auto"/>
              <w:jc w:val="both"/>
              <w:rPr>
                <w:rFonts w:ascii="Times New Roman" w:hAnsi="Times New Roman"/>
              </w:rPr>
            </w:pPr>
          </w:p>
          <w:p w14:paraId="7C9D6807"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Le pays s’est doté en 2015 d’un Plan d’Action National de Renforcement des Capacités pour la Réduction des Risques de Catastrophes, la Préparation et la Réponse aux Urgences pour la période 2015-2020. En 2018, seulement 13% des administrations locales (provinces) disposent de stratégie locale de réduction des risques de catastrophe.</w:t>
            </w:r>
          </w:p>
        </w:tc>
      </w:tr>
      <w:tr w:rsidR="002121C4" w:rsidRPr="00D66BF5" w14:paraId="19E9B637"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2AC670FF"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lastRenderedPageBreak/>
              <w:t>ODD 12 </w:t>
            </w:r>
            <w:r w:rsidRPr="00D66BF5">
              <w:rPr>
                <w:rFonts w:ascii="Times New Roman" w:hAnsi="Times New Roman"/>
                <w:b/>
              </w:rPr>
              <w:t>: Établir des modes de consommation et de production durables</w:t>
            </w:r>
          </w:p>
        </w:tc>
      </w:tr>
      <w:tr w:rsidR="002121C4" w:rsidRPr="00D66BF5" w14:paraId="381F12F3" w14:textId="77777777" w:rsidTr="00C06929">
        <w:trPr>
          <w:trHeight w:val="4022"/>
        </w:trPr>
        <w:tc>
          <w:tcPr>
            <w:tcW w:w="241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6000BB6" w14:textId="77777777" w:rsidR="002121C4" w:rsidRPr="00D66BF5" w:rsidRDefault="002121C4" w:rsidP="00C06929">
            <w:pPr>
              <w:spacing w:line="240" w:lineRule="auto"/>
              <w:rPr>
                <w:rFonts w:ascii="Times New Roman" w:hAnsi="Times New Roman"/>
              </w:rPr>
            </w:pPr>
            <w:r w:rsidRPr="00D66BF5">
              <w:rPr>
                <w:rFonts w:ascii="Times New Roman" w:hAnsi="Times New Roman"/>
              </w:rPr>
              <w:lastRenderedPageBreak/>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ACE13A5"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Le Tchad dispose d’un programme national de conservation de la biodiversité et de la lutte contre le changement climatique dont les objectifs sont, entre autres, la réduction de la pression sur les ressources naturelles, la promotion de l’agroforesterie et la reforestation. La mise en œuvre de ce programme a permis d’entreprendre plusieurs actions visant à assurer la production durable de ressources naturelles.</w:t>
            </w:r>
          </w:p>
          <w:p w14:paraId="0ED46235" w14:textId="77777777" w:rsidR="002121C4" w:rsidRPr="00D66BF5" w:rsidRDefault="002121C4" w:rsidP="00C06929">
            <w:pPr>
              <w:spacing w:after="0" w:line="240" w:lineRule="auto"/>
              <w:jc w:val="both"/>
              <w:rPr>
                <w:rFonts w:ascii="Times New Roman" w:hAnsi="Times New Roman"/>
              </w:rPr>
            </w:pPr>
          </w:p>
          <w:p w14:paraId="04C846C0"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La consommation matérielle nationale a connu une augmentation en passant de 35,8tonnes en 2015 à 37,6tonnes en 2017 soit une hausse de 5,0%</w:t>
            </w:r>
            <w:r>
              <w:rPr>
                <w:rFonts w:ascii="Times New Roman" w:hAnsi="Times New Roman"/>
              </w:rPr>
              <w:t>.</w:t>
            </w:r>
            <w:r w:rsidRPr="00D66BF5">
              <w:rPr>
                <w:rFonts w:ascii="Times New Roman" w:hAnsi="Times New Roman"/>
              </w:rPr>
              <w:t xml:space="preserve"> </w:t>
            </w:r>
            <w:proofErr w:type="gramStart"/>
            <w:r>
              <w:rPr>
                <w:rFonts w:ascii="Times New Roman" w:hAnsi="Times New Roman"/>
              </w:rPr>
              <w:t>P</w:t>
            </w:r>
            <w:r w:rsidRPr="00D66BF5">
              <w:rPr>
                <w:rFonts w:ascii="Times New Roman" w:hAnsi="Times New Roman"/>
              </w:rPr>
              <w:t>ar contre</w:t>
            </w:r>
            <w:proofErr w:type="gramEnd"/>
            <w:r w:rsidRPr="00D66BF5">
              <w:rPr>
                <w:rFonts w:ascii="Times New Roman" w:hAnsi="Times New Roman"/>
              </w:rPr>
              <w:t xml:space="preserve"> la consommation matérielle nationale par habitant, </w:t>
            </w:r>
            <w:r>
              <w:rPr>
                <w:rFonts w:ascii="Times New Roman" w:hAnsi="Times New Roman"/>
              </w:rPr>
              <w:t xml:space="preserve">à la faveur de </w:t>
            </w:r>
            <w:r w:rsidRPr="00D66BF5">
              <w:rPr>
                <w:rFonts w:ascii="Times New Roman" w:hAnsi="Times New Roman"/>
              </w:rPr>
              <w:t>l’accroissement de la population, présente une évolution inverse. Elle est, en effet, passée de 2,71 tonnes par habitant en 2014 à 2,57 en 2017, soit une baisse de 5,2%</w:t>
            </w:r>
          </w:p>
          <w:p w14:paraId="124EEFC5" w14:textId="77777777" w:rsidR="002121C4" w:rsidRPr="00D66BF5" w:rsidRDefault="002121C4" w:rsidP="00C06929">
            <w:pPr>
              <w:spacing w:after="0" w:line="240" w:lineRule="auto"/>
              <w:jc w:val="both"/>
              <w:rPr>
                <w:rFonts w:ascii="Times New Roman" w:hAnsi="Times New Roman"/>
              </w:rPr>
            </w:pPr>
          </w:p>
          <w:p w14:paraId="79511EFF"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Le Ministère de l'Environnement, de l'Eau et de la Pêche a mis en place un cadre stratégique opérationnel pour la gestion durable, la promotion et la valorisation de 10 produits forestiers non ligneux prioritaires. Plus généralement, elle intervient dans le PND 2017-2021 dans le domaine du développement des chaines de valeur de l'agriculture, l'élevage, la forêt, la pêche et l'aquaculture pour le renforcement de la sécurité alimentaire et nutritionnelle, la formulation et la mise en œuvre des politiques et stratégies sectorielles en faveur de la Sécurité Alimentaire et Nutritionnelle et la valorisation et gestion durable des ressources naturelles pour le renforcement de la résilience.</w:t>
            </w:r>
          </w:p>
        </w:tc>
      </w:tr>
      <w:tr w:rsidR="002121C4" w:rsidRPr="00D66BF5" w14:paraId="39AA32FC" w14:textId="77777777" w:rsidTr="00C06929">
        <w:trPr>
          <w:trHeight w:val="340"/>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1B26C6ED" w14:textId="77777777" w:rsidR="002121C4" w:rsidRPr="00D66BF5" w:rsidRDefault="002121C4" w:rsidP="00C06929">
            <w:pPr>
              <w:spacing w:after="0" w:line="240" w:lineRule="auto"/>
              <w:jc w:val="both"/>
              <w:rPr>
                <w:rFonts w:ascii="Times New Roman" w:hAnsi="Times New Roman"/>
                <w:b/>
              </w:rPr>
            </w:pPr>
            <w:r w:rsidRPr="00D66BF5">
              <w:rPr>
                <w:rFonts w:ascii="Times New Roman" w:hAnsi="Times New Roman"/>
                <w:b/>
                <w:color w:val="FF0000"/>
              </w:rPr>
              <w:t>ODD 13 </w:t>
            </w:r>
            <w:r w:rsidRPr="00D66BF5">
              <w:rPr>
                <w:rFonts w:ascii="Times New Roman" w:hAnsi="Times New Roman"/>
                <w:b/>
              </w:rPr>
              <w:t>: Prendre d’urgence des mesures pour lutter contre les changements climatiques et leurs répercussions</w:t>
            </w:r>
          </w:p>
        </w:tc>
      </w:tr>
      <w:tr w:rsidR="002121C4" w:rsidRPr="00D66BF5" w14:paraId="5C4F840C" w14:textId="77777777" w:rsidTr="00C06929">
        <w:trPr>
          <w:trHeight w:val="1247"/>
        </w:trPr>
        <w:tc>
          <w:tcPr>
            <w:tcW w:w="241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172D2ED" w14:textId="77777777" w:rsidR="002121C4" w:rsidRPr="00D66BF5" w:rsidRDefault="002121C4" w:rsidP="00C06929">
            <w:pPr>
              <w:spacing w:line="240" w:lineRule="auto"/>
              <w:rPr>
                <w:rFonts w:ascii="Times New Roman" w:hAnsi="Times New Roman"/>
              </w:rPr>
            </w:pPr>
            <w:r w:rsidRPr="00D66BF5">
              <w:rPr>
                <w:rFonts w:ascii="Times New Roman" w:hAnsi="Times New Roman"/>
              </w:rPr>
              <w:t>QUELQUES RÉALISATIONS/CONSTATS</w:t>
            </w:r>
          </w:p>
        </w:tc>
        <w:tc>
          <w:tcPr>
            <w:tcW w:w="8080" w:type="dxa"/>
            <w:gridSpan w:val="2"/>
            <w:tcBorders>
              <w:top w:val="single" w:sz="4" w:space="0" w:color="auto"/>
              <w:left w:val="single" w:sz="4" w:space="0" w:color="auto"/>
              <w:bottom w:val="single" w:sz="4" w:space="0" w:color="auto"/>
              <w:right w:val="single" w:sz="4" w:space="0" w:color="auto"/>
            </w:tcBorders>
            <w:hideMark/>
          </w:tcPr>
          <w:p w14:paraId="3D129EB9"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En 2015, le Tchad a élaboré son Plan d’Action National de Renforcement des Capacités pour la Réduction des Risques de Catastrophes, la Préparation et la Réponse aux Urgences pour la période 2015-2020, au lendemain de la Conférence Mondiale de Sendai sur la Réduction des Risques de Catastrophes. En 2016, le premier Plan de Contingence Inondation pour la ville de N’Djamena ainsi que le Plan de contingence multirisques et l’adoption de la politique Nationale pour la lutte contre le Changement Climatique consécutivement à l’enclenchement de l’élaboration de la Politique Nationale de l’Environnement (PNE 2020) ont été réalisés. La même année, le Tchad a signé l’accord de Paris sur les changements climatiques adopté le 12 décembre 2015, qui a été ratifié le 12 janvier 2017. Le pays fait partie des 195 signataires et 186 parties prenantes qui ont soumis leur nouveau plan d'action climat à la Convention Cadre des Nations Unies sur les Changements Climatiques.</w:t>
            </w:r>
          </w:p>
          <w:p w14:paraId="0E5FE3C5" w14:textId="77777777" w:rsidR="002121C4" w:rsidRPr="00D66BF5" w:rsidRDefault="002121C4" w:rsidP="00C06929">
            <w:pPr>
              <w:spacing w:after="0" w:line="240" w:lineRule="auto"/>
              <w:jc w:val="both"/>
              <w:rPr>
                <w:rFonts w:ascii="Times New Roman" w:hAnsi="Times New Roman"/>
              </w:rPr>
            </w:pPr>
          </w:p>
          <w:p w14:paraId="0FB1B7C3"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En mars 2019, un manuel d’éducation au changement climatique pour le développement durable</w:t>
            </w:r>
          </w:p>
          <w:p w14:paraId="2FE37A59" w14:textId="77777777" w:rsidR="002121C4" w:rsidRPr="00D66BF5" w:rsidRDefault="002121C4" w:rsidP="00C06929">
            <w:pPr>
              <w:spacing w:after="0" w:line="240" w:lineRule="auto"/>
              <w:jc w:val="both"/>
              <w:rPr>
                <w:rFonts w:ascii="Times New Roman" w:hAnsi="Times New Roman"/>
              </w:rPr>
            </w:pPr>
            <w:proofErr w:type="gramStart"/>
            <w:r w:rsidRPr="00D66BF5">
              <w:rPr>
                <w:rFonts w:ascii="Times New Roman" w:hAnsi="Times New Roman"/>
              </w:rPr>
              <w:t>au</w:t>
            </w:r>
            <w:proofErr w:type="gramEnd"/>
            <w:r w:rsidRPr="00D66BF5">
              <w:rPr>
                <w:rFonts w:ascii="Times New Roman" w:hAnsi="Times New Roman"/>
              </w:rPr>
              <w:t xml:space="preserve"> Tchad a été validé.  En 2018, le Tchad a adopté sa politique Nationale pour la lutte contre le Changement Climatique (SNCC) et a consécutivement enclenché le processus d’élaboration de la Politique Nationale de L’Environnement (PNE). Le PND (2017-2021) consacre dans son axe 4, un sous axe sur la « création d’un cadre de vie propice à l’épanouissement de la population tout en assurant la préservation des ressources naturelles et en s’adaptant aux changements climatiques ».</w:t>
            </w:r>
          </w:p>
          <w:p w14:paraId="44D97F40" w14:textId="77777777" w:rsidR="002121C4" w:rsidRPr="00D66BF5" w:rsidRDefault="002121C4" w:rsidP="00C06929">
            <w:pPr>
              <w:spacing w:after="0" w:line="240" w:lineRule="auto"/>
              <w:jc w:val="both"/>
              <w:rPr>
                <w:rFonts w:ascii="Times New Roman" w:hAnsi="Times New Roman"/>
              </w:rPr>
            </w:pPr>
          </w:p>
          <w:p w14:paraId="66F388B3"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Les engagements nationaux en matière de changements climatiques sont inscrits dans les documents de politique et de stratégie relatifs aux changements </w:t>
            </w:r>
            <w:r w:rsidRPr="00D66BF5">
              <w:rPr>
                <w:rFonts w:ascii="Times New Roman" w:hAnsi="Times New Roman"/>
              </w:rPr>
              <w:lastRenderedPageBreak/>
              <w:t>climatiques, qui définissent les axes devant guider l’action du gouvernement dans ce domaine. Il s’agit de :</w:t>
            </w:r>
          </w:p>
          <w:p w14:paraId="27D01BB0"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La Contribution Prévue Déterminée au Niveau National (CPDN, devenue CDN) soumis avant la COP 21 en 2015 et qui prévoit la mise en œuvre d’une dizaine des programmes structurants dans le domaine de l’adaptation et une douzaine de programmes prioritaires dans le secteur de l’atténuation.</w:t>
            </w:r>
          </w:p>
          <w:p w14:paraId="75C2EE8C"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La Stratégie Nationale pour la lutte contre le Changement Climatique (SNCC) adoptée en 2018, qui a pour vision « d’asseoir à l’horizon 2030, une économie plus résiliente aux changements climatiques et s’inscrivant dans une trajectoire de développement moins émettrice de gaz à effet de serre ».</w:t>
            </w:r>
          </w:p>
          <w:p w14:paraId="5246793A"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La Politique Nationale de l’Environnement validée en 2020, qui se fixe pour objectif de combattre essentiellement quatre grands problèmes :(i) la dégradation des ressources naturelles et la perte de la biodiversité ;(ii) les changements climatiques et les risques environnementaux ;(iii) les difficultés d’accès aux ressources et (iv) les insuffisances de gouvernance et de mobilisation de ressources.</w:t>
            </w:r>
          </w:p>
          <w:p w14:paraId="74A59663"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Ce cadre organisationnel traduit, à juste titre, la volonté du Tchad de contribuer efficacement à l’effort mondial de lutte contre le réchauffement global de la planète auquel le pays est très vulnérable eu égard à la fragilité de ses écosystèmes, de son économie fortement dépendante de secteurs sensibles aux variabilités climatiques.</w:t>
            </w:r>
          </w:p>
          <w:p w14:paraId="0F873886" w14:textId="77777777" w:rsidR="002121C4" w:rsidRPr="00D66BF5" w:rsidRDefault="002121C4" w:rsidP="00C06929">
            <w:pPr>
              <w:spacing w:after="0" w:line="240" w:lineRule="auto"/>
              <w:jc w:val="both"/>
              <w:rPr>
                <w:rFonts w:ascii="Times New Roman" w:hAnsi="Times New Roman"/>
              </w:rPr>
            </w:pPr>
          </w:p>
          <w:p w14:paraId="5190172A"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Le Tchad a toujours été particulièrement vulnérable aux effets des aléas climatiques qui se manifestent à travers la sècheresse, les inondations, les épidémies, les incendies et accidents climatiques. Cela est d’autant plus préoccupant que les changements climatiques ont aggravé la dégradation des ressources naturelles dont dépend la majeure partie de l’économie et ont accentué la précarité des conditions de vie des populations. Ces perturbations continuent à provoquer d’importantes pertes matérielles et en vies humaines, ainsi que des déplacements périodiques des populations.</w:t>
            </w:r>
          </w:p>
          <w:p w14:paraId="1FD57FB9" w14:textId="77777777" w:rsidR="002121C4" w:rsidRPr="00D66BF5" w:rsidRDefault="002121C4" w:rsidP="00C06929">
            <w:pPr>
              <w:spacing w:after="0" w:line="240" w:lineRule="auto"/>
              <w:jc w:val="both"/>
              <w:rPr>
                <w:rFonts w:ascii="Times New Roman" w:hAnsi="Times New Roman"/>
              </w:rPr>
            </w:pPr>
          </w:p>
          <w:p w14:paraId="5C91B166"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Aussi, la lutte contre les changements climatiques constitue-t-elle l’une des préoccupations majeures du gouvernement tchadien qui a signé en 1992 et ratifié en 1993 la Convention Cadre des Nations Unies sur les Changement Climatiques. Le Tchad a réalisé sa première communication nationale initiale sur les changements climatiques en 2001 et entrepris à partir de 2010 la mise en œuvre du Programme d’Action National d’Adaptation aux changements climatiques. Notons par ailleurs qu’une augmentation substantielle d’appui spécialisé de 9,2 à plus de 82,5 millions $US a été reçu par le Tchad entre 2012 à 2018 aux fins de la mise en place de moyens efficaces de planification et de gestion face aux changements climatiques.</w:t>
            </w:r>
          </w:p>
        </w:tc>
      </w:tr>
      <w:tr w:rsidR="002121C4" w:rsidRPr="00D66BF5" w14:paraId="4AA7BD43" w14:textId="77777777" w:rsidTr="00C06929">
        <w:trPr>
          <w:trHeight w:val="1061"/>
        </w:trPr>
        <w:tc>
          <w:tcPr>
            <w:tcW w:w="10490" w:type="dxa"/>
            <w:gridSpan w:val="3"/>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7189B312"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color w:val="FF0000"/>
              </w:rPr>
              <w:lastRenderedPageBreak/>
              <w:t>ODD 15 </w:t>
            </w:r>
            <w:r w:rsidRPr="00D66BF5">
              <w:rPr>
                <w:rFonts w:ascii="Times New Roman" w:hAnsi="Times New Roman"/>
              </w:rPr>
              <w:t xml:space="preserve">: </w:t>
            </w:r>
            <w:r w:rsidRPr="00D66BF5">
              <w:rPr>
                <w:rFonts w:ascii="Times New Roman" w:hAnsi="Times New Roman"/>
                <w:b/>
                <w:bCs/>
              </w:rPr>
              <w:t>Préserver et restaurer les écosystèmes terrestres, en veillant à les exploiter de façon durable, gérer durablement les forêts, lutter contre la désertification, enrayer et inverser le processus de dégradation des terres et mettre fin à l’appauvrissement de la biodiversité</w:t>
            </w:r>
          </w:p>
        </w:tc>
      </w:tr>
    </w:tbl>
    <w:p w14:paraId="201499C5" w14:textId="77777777" w:rsidR="002121C4" w:rsidRDefault="002121C4" w:rsidP="002121C4"/>
    <w:p w14:paraId="515BD9A8" w14:textId="77777777" w:rsidR="002121C4" w:rsidRPr="00D66BF5" w:rsidRDefault="002121C4" w:rsidP="002121C4">
      <w:pPr>
        <w:spacing w:after="0"/>
        <w:rPr>
          <w:vanish/>
          <w:sz w:val="20"/>
        </w:rPr>
      </w:pPr>
    </w:p>
    <w:tbl>
      <w:tblPr>
        <w:tblW w:w="5597"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1"/>
        <w:gridCol w:w="8103"/>
      </w:tblGrid>
      <w:tr w:rsidR="002121C4" w:rsidRPr="00D66BF5" w14:paraId="27EDB450" w14:textId="77777777" w:rsidTr="00C06929">
        <w:trPr>
          <w:trHeight w:val="915"/>
        </w:trPr>
        <w:tc>
          <w:tcPr>
            <w:tcW w:w="1109" w:type="pct"/>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hideMark/>
          </w:tcPr>
          <w:p w14:paraId="4BB9D99F" w14:textId="77777777" w:rsidR="002121C4" w:rsidRPr="00D66BF5" w:rsidRDefault="002121C4" w:rsidP="00C06929">
            <w:pPr>
              <w:spacing w:after="0" w:line="240" w:lineRule="auto"/>
              <w:rPr>
                <w:rFonts w:ascii="Times New Roman" w:hAnsi="Times New Roman"/>
                <w:color w:val="000000"/>
              </w:rPr>
            </w:pPr>
            <w:r w:rsidRPr="00D66BF5">
              <w:rPr>
                <w:rFonts w:ascii="Times New Roman" w:hAnsi="Times New Roman"/>
                <w:color w:val="000000"/>
              </w:rPr>
              <w:t>QUELQUES RÉALISATIONS/CONSTATS</w:t>
            </w:r>
          </w:p>
        </w:tc>
        <w:tc>
          <w:tcPr>
            <w:tcW w:w="3891" w:type="pct"/>
            <w:tcBorders>
              <w:top w:val="single" w:sz="4" w:space="0" w:color="auto"/>
              <w:left w:val="single" w:sz="4" w:space="0" w:color="auto"/>
              <w:bottom w:val="single" w:sz="4" w:space="0" w:color="auto"/>
              <w:right w:val="single" w:sz="4" w:space="0" w:color="auto"/>
            </w:tcBorders>
            <w:hideMark/>
          </w:tcPr>
          <w:p w14:paraId="33DE8F90" w14:textId="77777777" w:rsidR="002121C4" w:rsidRPr="00D66BF5" w:rsidRDefault="002121C4" w:rsidP="00C06929">
            <w:pPr>
              <w:spacing w:after="0"/>
              <w:jc w:val="both"/>
              <w:rPr>
                <w:rFonts w:ascii="Times New Roman" w:hAnsi="Times New Roman"/>
              </w:rPr>
            </w:pPr>
            <w:r w:rsidRPr="00D66BF5">
              <w:rPr>
                <w:rFonts w:ascii="Times New Roman" w:hAnsi="Times New Roman"/>
              </w:rPr>
              <w:t xml:space="preserve">La surface des zones forestières en proportion de la surface terrestre est à la baisse continue depuis 2015. En effet, cette proportion a connu une baisse de 0,43% en cinq ans, passant ainsi de 3,88% à 3,45% entre 2015 et 2020. Cette situation est liée essentiellement à </w:t>
            </w:r>
            <w:r w:rsidRPr="00D66BF5">
              <w:rPr>
                <w:rFonts w:ascii="Times New Roman" w:hAnsi="Times New Roman"/>
              </w:rPr>
              <w:lastRenderedPageBreak/>
              <w:t>l’exploitation forestière intense, à l’empiètement des activités agricoles sur les terres forestières et aux établissements humains. Avec l’hypothèse d’une baisse continue et régulière sous les effets conjugués du changement climatique et de l’action anthropique, cette dégradation pourrait s’accentuer du fait de l’absence de plans d’aménagement forestier à long terme.</w:t>
            </w:r>
          </w:p>
          <w:p w14:paraId="7C36693E" w14:textId="77777777" w:rsidR="002121C4" w:rsidRPr="00D66BF5" w:rsidRDefault="002121C4" w:rsidP="00C06929">
            <w:pPr>
              <w:spacing w:after="0"/>
              <w:jc w:val="both"/>
              <w:rPr>
                <w:rFonts w:ascii="Times New Roman" w:hAnsi="Times New Roman"/>
              </w:rPr>
            </w:pPr>
          </w:p>
          <w:p w14:paraId="4E7058DF" w14:textId="77777777" w:rsidR="002121C4" w:rsidRPr="00D66BF5" w:rsidRDefault="002121C4" w:rsidP="00C06929">
            <w:pPr>
              <w:spacing w:after="0"/>
              <w:jc w:val="both"/>
              <w:rPr>
                <w:rFonts w:ascii="Times New Roman" w:hAnsi="Times New Roman"/>
              </w:rPr>
            </w:pPr>
            <w:r w:rsidRPr="00D66BF5">
              <w:rPr>
                <w:rFonts w:ascii="Times New Roman" w:hAnsi="Times New Roman"/>
              </w:rPr>
              <w:t>La proportion des sites importants pour la biodiversité des eaux douces se trouvant dans des aires protégées a connu une tendance à la stagnation autour de 70,22% de 2015 à 2019 suite au respect des engagements souscrits par le pays en la matière, notamment, la conservation de la biodiversité et des aires protégées. Cependant la proportion des sites importants pour la biodiversité terrestre a connu une baisse de 3,29%, passant de 70,6% à 67,31% entre 2018 et 2019. Cette situation est due en partie aux pratiques culturales inadéquates ainsi qu’aux activités liées à l’exploration et à l’exploitation de ressources minières.</w:t>
            </w:r>
          </w:p>
          <w:p w14:paraId="470E4BD6" w14:textId="77777777" w:rsidR="002121C4" w:rsidRPr="00D66BF5" w:rsidRDefault="002121C4" w:rsidP="00C06929">
            <w:pPr>
              <w:spacing w:before="60" w:after="0"/>
              <w:jc w:val="both"/>
              <w:rPr>
                <w:rFonts w:ascii="Times New Roman" w:hAnsi="Times New Roman"/>
              </w:rPr>
            </w:pPr>
          </w:p>
          <w:p w14:paraId="0A802F01" w14:textId="77777777" w:rsidR="002121C4" w:rsidRPr="00D66BF5" w:rsidRDefault="002121C4" w:rsidP="00C06929">
            <w:pPr>
              <w:spacing w:after="0"/>
              <w:jc w:val="both"/>
              <w:rPr>
                <w:rFonts w:ascii="Times New Roman" w:hAnsi="Times New Roman"/>
              </w:rPr>
            </w:pPr>
            <w:r w:rsidRPr="00D66BF5">
              <w:rPr>
                <w:rFonts w:ascii="Times New Roman" w:hAnsi="Times New Roman"/>
              </w:rPr>
              <w:t>En 2016, le Tchad a adhéré au Plan de Convergence pour la Gestion Durable des Ecosystèmes Forestiers d’Afrique Centrale 2015-2025 dont le but est d’améliorer la gestion de la diversité biologique, de l’environnement et des aires protégées.</w:t>
            </w:r>
          </w:p>
          <w:p w14:paraId="7298002B" w14:textId="77777777" w:rsidR="002121C4" w:rsidRPr="00D66BF5" w:rsidRDefault="002121C4" w:rsidP="00C06929">
            <w:pPr>
              <w:spacing w:after="0"/>
              <w:jc w:val="both"/>
              <w:rPr>
                <w:rFonts w:ascii="Times New Roman" w:hAnsi="Times New Roman"/>
              </w:rPr>
            </w:pPr>
            <w:r w:rsidRPr="00D66BF5">
              <w:rPr>
                <w:rFonts w:ascii="Times New Roman" w:hAnsi="Times New Roman"/>
              </w:rPr>
              <w:t>En 2018, le Tchad a adopté une Stratégie Nationale sur l’Accès aux Ressources Génétiques et le Partage des Avantages Justes et Equitables découlant de leur Utilisation (APA). La Stratégie Nationale (SN-APA 2018) vise de façon globale à « mettre en place des mesures législatives, administratives et de politique générale harmonisée, transparente et opérationnelles conformément aux dispositions de la Convention sur la Diversité Biologique et du Protocole de Nagoya sur l’APA ».</w:t>
            </w:r>
          </w:p>
          <w:p w14:paraId="4C4B6469" w14:textId="77777777" w:rsidR="002121C4" w:rsidRPr="00D66BF5" w:rsidRDefault="002121C4" w:rsidP="00C06929">
            <w:pPr>
              <w:spacing w:after="0"/>
              <w:jc w:val="both"/>
              <w:rPr>
                <w:rFonts w:ascii="Times New Roman" w:hAnsi="Times New Roman"/>
              </w:rPr>
            </w:pPr>
          </w:p>
          <w:p w14:paraId="0357F47A" w14:textId="77777777" w:rsidR="002121C4" w:rsidRPr="00D66BF5" w:rsidRDefault="002121C4" w:rsidP="00C06929">
            <w:pPr>
              <w:spacing w:after="0"/>
              <w:jc w:val="both"/>
              <w:rPr>
                <w:rFonts w:ascii="Times New Roman" w:hAnsi="Times New Roman"/>
              </w:rPr>
            </w:pPr>
            <w:r w:rsidRPr="00D66BF5">
              <w:rPr>
                <w:rFonts w:ascii="Times New Roman" w:hAnsi="Times New Roman"/>
              </w:rPr>
              <w:t xml:space="preserve">Le Tchad dispose d’une Stratégie et Plan d’Action National pour la Biodiversité (SPANB) couvrant la période 2011-2020, ayant pour objectif de contribuer à réduire substantiellement la perte de la diversité biologique. Selon l’évaluation de décembre 2018, on note quelques progrès dans la réalisation des objectifs nationaux établis conformément à l’objectif 2 d’Aichi pour la biodiversité du plan stratégique pour la diversité biologique 2011-2020. Cependant, des difficultés financières persistantes ont entravé la mise en œuvre de certains projets et programmes relatifs à la biodiversité. </w:t>
            </w:r>
          </w:p>
          <w:p w14:paraId="604AA81D" w14:textId="77777777" w:rsidR="002121C4" w:rsidRPr="00D66BF5" w:rsidRDefault="002121C4" w:rsidP="00C06929">
            <w:pPr>
              <w:spacing w:after="0"/>
              <w:jc w:val="both"/>
              <w:rPr>
                <w:rFonts w:ascii="Times New Roman" w:hAnsi="Times New Roman"/>
              </w:rPr>
            </w:pPr>
          </w:p>
          <w:p w14:paraId="2B20386D" w14:textId="77777777" w:rsidR="002121C4" w:rsidRPr="00D66BF5" w:rsidRDefault="002121C4" w:rsidP="00C06929">
            <w:pPr>
              <w:spacing w:after="0"/>
              <w:jc w:val="both"/>
              <w:rPr>
                <w:rFonts w:ascii="Times New Roman" w:hAnsi="Times New Roman"/>
              </w:rPr>
            </w:pPr>
            <w:r w:rsidRPr="00D66BF5">
              <w:rPr>
                <w:rFonts w:ascii="Times New Roman" w:hAnsi="Times New Roman"/>
              </w:rPr>
              <w:t xml:space="preserve">Les efforts fournis dans ce domaine se sont traduits par la création de trois parcs nationaux, sept réserves de faune et une réserve de la biosphère qui totalisent plus de onze millions d’hectares. En plus, les projets de création de deux parcs </w:t>
            </w:r>
            <w:proofErr w:type="spellStart"/>
            <w:r w:rsidRPr="00D66BF5">
              <w:rPr>
                <w:rFonts w:ascii="Times New Roman" w:hAnsi="Times New Roman"/>
              </w:rPr>
              <w:t>Siniaka</w:t>
            </w:r>
            <w:proofErr w:type="spellEnd"/>
            <w:r w:rsidRPr="00D66BF5">
              <w:rPr>
                <w:rFonts w:ascii="Times New Roman" w:hAnsi="Times New Roman"/>
              </w:rPr>
              <w:t xml:space="preserve"> Minia et Za-</w:t>
            </w:r>
            <w:proofErr w:type="spellStart"/>
            <w:r w:rsidRPr="00D66BF5">
              <w:rPr>
                <w:rFonts w:ascii="Times New Roman" w:hAnsi="Times New Roman"/>
              </w:rPr>
              <w:t>soo</w:t>
            </w:r>
            <w:proofErr w:type="spellEnd"/>
            <w:r w:rsidRPr="00D66BF5">
              <w:rPr>
                <w:rFonts w:ascii="Times New Roman" w:hAnsi="Times New Roman"/>
              </w:rPr>
              <w:t xml:space="preserve"> sont en cours.</w:t>
            </w:r>
          </w:p>
          <w:p w14:paraId="0E2189EA" w14:textId="77777777" w:rsidR="002121C4" w:rsidRPr="00D66BF5" w:rsidRDefault="002121C4" w:rsidP="00C06929">
            <w:pPr>
              <w:spacing w:after="0"/>
              <w:jc w:val="both"/>
              <w:rPr>
                <w:rFonts w:ascii="Times New Roman" w:hAnsi="Times New Roman"/>
              </w:rPr>
            </w:pPr>
          </w:p>
          <w:p w14:paraId="37B48118" w14:textId="77777777" w:rsidR="002121C4" w:rsidRPr="00D630E8" w:rsidRDefault="002121C4" w:rsidP="00C06929">
            <w:pPr>
              <w:spacing w:after="0" w:line="240" w:lineRule="auto"/>
              <w:jc w:val="both"/>
              <w:rPr>
                <w:rFonts w:ascii="Times New Roman" w:hAnsi="Times New Roman"/>
              </w:rPr>
            </w:pPr>
            <w:r w:rsidRPr="00D66BF5">
              <w:rPr>
                <w:rFonts w:ascii="Times New Roman" w:hAnsi="Times New Roman"/>
              </w:rPr>
              <w:t xml:space="preserve">Le Tchad dispose d’une stratégie nationale pour la gestion durable des Produits forestiers non ligneux (PFNL) au Tchad et d’un cadre stratégique opérationnel de gestion durable, promotion et valorisation des 10 PFNL au Tchad (Phoenix </w:t>
            </w:r>
            <w:proofErr w:type="spellStart"/>
            <w:r w:rsidRPr="00D66BF5">
              <w:rPr>
                <w:rFonts w:ascii="Times New Roman" w:hAnsi="Times New Roman"/>
              </w:rPr>
              <w:t>dactylifera</w:t>
            </w:r>
            <w:proofErr w:type="spellEnd"/>
            <w:r w:rsidRPr="00D66BF5">
              <w:rPr>
                <w:rFonts w:ascii="Times New Roman" w:hAnsi="Times New Roman"/>
              </w:rPr>
              <w:t xml:space="preserve">, </w:t>
            </w:r>
            <w:proofErr w:type="spellStart"/>
            <w:r w:rsidRPr="00D66BF5">
              <w:rPr>
                <w:rFonts w:ascii="Times New Roman" w:hAnsi="Times New Roman"/>
              </w:rPr>
              <w:t>Adansonia</w:t>
            </w:r>
            <w:proofErr w:type="spellEnd"/>
            <w:r w:rsidRPr="00D66BF5">
              <w:rPr>
                <w:rFonts w:ascii="Times New Roman" w:hAnsi="Times New Roman"/>
              </w:rPr>
              <w:t xml:space="preserve"> </w:t>
            </w:r>
            <w:proofErr w:type="spellStart"/>
            <w:r w:rsidRPr="00D66BF5">
              <w:rPr>
                <w:rFonts w:ascii="Times New Roman" w:hAnsi="Times New Roman"/>
              </w:rPr>
              <w:t>digitata</w:t>
            </w:r>
            <w:proofErr w:type="spellEnd"/>
            <w:r w:rsidRPr="00D66BF5">
              <w:rPr>
                <w:rFonts w:ascii="Times New Roman" w:hAnsi="Times New Roman"/>
              </w:rPr>
              <w:t xml:space="preserve">, Ziziphus </w:t>
            </w:r>
            <w:proofErr w:type="spellStart"/>
            <w:r w:rsidRPr="00D66BF5">
              <w:rPr>
                <w:rFonts w:ascii="Times New Roman" w:hAnsi="Times New Roman"/>
              </w:rPr>
              <w:t>sp</w:t>
            </w:r>
            <w:proofErr w:type="spellEnd"/>
            <w:r w:rsidRPr="00D66BF5">
              <w:rPr>
                <w:rFonts w:ascii="Times New Roman" w:hAnsi="Times New Roman"/>
              </w:rPr>
              <w:t xml:space="preserve">. </w:t>
            </w:r>
            <w:proofErr w:type="spellStart"/>
            <w:r w:rsidRPr="00D630E8">
              <w:rPr>
                <w:rFonts w:ascii="Times New Roman" w:hAnsi="Times New Roman"/>
              </w:rPr>
              <w:t>Boscia</w:t>
            </w:r>
            <w:proofErr w:type="spellEnd"/>
            <w:r w:rsidRPr="00D630E8">
              <w:rPr>
                <w:rFonts w:ascii="Times New Roman" w:hAnsi="Times New Roman"/>
              </w:rPr>
              <w:t xml:space="preserve"> senegalensis, </w:t>
            </w:r>
            <w:proofErr w:type="spellStart"/>
            <w:r w:rsidRPr="00D630E8">
              <w:rPr>
                <w:rFonts w:ascii="Times New Roman" w:hAnsi="Times New Roman"/>
              </w:rPr>
              <w:t>Tamarindus</w:t>
            </w:r>
            <w:proofErr w:type="spellEnd"/>
            <w:r w:rsidRPr="00D630E8">
              <w:rPr>
                <w:rFonts w:ascii="Times New Roman" w:hAnsi="Times New Roman"/>
              </w:rPr>
              <w:t xml:space="preserve"> </w:t>
            </w:r>
            <w:proofErr w:type="spellStart"/>
            <w:r w:rsidRPr="00D630E8">
              <w:rPr>
                <w:rFonts w:ascii="Times New Roman" w:hAnsi="Times New Roman"/>
              </w:rPr>
              <w:t>indica</w:t>
            </w:r>
            <w:proofErr w:type="spellEnd"/>
            <w:r w:rsidRPr="00D630E8">
              <w:rPr>
                <w:rFonts w:ascii="Times New Roman" w:hAnsi="Times New Roman"/>
              </w:rPr>
              <w:t xml:space="preserve">, </w:t>
            </w:r>
            <w:proofErr w:type="spellStart"/>
            <w:r w:rsidRPr="00D630E8">
              <w:rPr>
                <w:rFonts w:ascii="Times New Roman" w:hAnsi="Times New Roman"/>
              </w:rPr>
              <w:t>Arthrospira</w:t>
            </w:r>
            <w:proofErr w:type="spellEnd"/>
            <w:r w:rsidRPr="00D630E8">
              <w:rPr>
                <w:rFonts w:ascii="Times New Roman" w:hAnsi="Times New Roman"/>
              </w:rPr>
              <w:t xml:space="preserve"> </w:t>
            </w:r>
            <w:proofErr w:type="spellStart"/>
            <w:r w:rsidRPr="00D630E8">
              <w:rPr>
                <w:rFonts w:ascii="Times New Roman" w:hAnsi="Times New Roman"/>
              </w:rPr>
              <w:t>platensis</w:t>
            </w:r>
            <w:proofErr w:type="spellEnd"/>
            <w:r w:rsidRPr="00D630E8">
              <w:rPr>
                <w:rFonts w:ascii="Times New Roman" w:hAnsi="Times New Roman"/>
              </w:rPr>
              <w:t xml:space="preserve">, Acacia </w:t>
            </w:r>
            <w:proofErr w:type="spellStart"/>
            <w:r w:rsidRPr="00D630E8">
              <w:rPr>
                <w:rFonts w:ascii="Times New Roman" w:hAnsi="Times New Roman"/>
              </w:rPr>
              <w:t>senegal</w:t>
            </w:r>
            <w:proofErr w:type="spellEnd"/>
            <w:r w:rsidRPr="00D630E8">
              <w:rPr>
                <w:rFonts w:ascii="Times New Roman" w:hAnsi="Times New Roman"/>
              </w:rPr>
              <w:t xml:space="preserve">, Acacia seyal, </w:t>
            </w:r>
            <w:proofErr w:type="spellStart"/>
            <w:r w:rsidRPr="00D630E8">
              <w:rPr>
                <w:rFonts w:ascii="Times New Roman" w:hAnsi="Times New Roman"/>
              </w:rPr>
              <w:t>Vitellaria</w:t>
            </w:r>
            <w:proofErr w:type="spellEnd"/>
            <w:r w:rsidRPr="00D630E8">
              <w:rPr>
                <w:rFonts w:ascii="Times New Roman" w:hAnsi="Times New Roman"/>
              </w:rPr>
              <w:t xml:space="preserve"> </w:t>
            </w:r>
            <w:proofErr w:type="spellStart"/>
            <w:r w:rsidRPr="00D630E8">
              <w:rPr>
                <w:rFonts w:ascii="Times New Roman" w:hAnsi="Times New Roman"/>
              </w:rPr>
              <w:t>paradoxa</w:t>
            </w:r>
            <w:proofErr w:type="spellEnd"/>
            <w:r w:rsidRPr="00D630E8">
              <w:rPr>
                <w:rFonts w:ascii="Times New Roman" w:hAnsi="Times New Roman"/>
              </w:rPr>
              <w:t xml:space="preserve">, Balanites aegyptiaca, et </w:t>
            </w:r>
            <w:proofErr w:type="spellStart"/>
            <w:r w:rsidRPr="00D630E8">
              <w:rPr>
                <w:rFonts w:ascii="Times New Roman" w:hAnsi="Times New Roman"/>
              </w:rPr>
              <w:t>Parkia</w:t>
            </w:r>
            <w:proofErr w:type="spellEnd"/>
            <w:r w:rsidRPr="00D630E8">
              <w:rPr>
                <w:rFonts w:ascii="Times New Roman" w:hAnsi="Times New Roman"/>
              </w:rPr>
              <w:t xml:space="preserve"> </w:t>
            </w:r>
            <w:proofErr w:type="spellStart"/>
            <w:r w:rsidRPr="00D630E8">
              <w:rPr>
                <w:rFonts w:ascii="Times New Roman" w:hAnsi="Times New Roman"/>
              </w:rPr>
              <w:t>biglobosa</w:t>
            </w:r>
            <w:proofErr w:type="spellEnd"/>
            <w:r w:rsidRPr="00D630E8">
              <w:rPr>
                <w:rFonts w:ascii="Times New Roman" w:hAnsi="Times New Roman"/>
              </w:rPr>
              <w:t>).</w:t>
            </w:r>
          </w:p>
          <w:p w14:paraId="22C93A35" w14:textId="77777777" w:rsidR="002121C4" w:rsidRPr="00D630E8" w:rsidRDefault="002121C4" w:rsidP="00C06929">
            <w:pPr>
              <w:spacing w:after="0" w:line="240" w:lineRule="auto"/>
              <w:jc w:val="both"/>
              <w:rPr>
                <w:rFonts w:ascii="Times New Roman" w:hAnsi="Times New Roman"/>
              </w:rPr>
            </w:pPr>
          </w:p>
          <w:p w14:paraId="1CCAB77B"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lastRenderedPageBreak/>
              <w:t>Le Tchad dispose également d’un programme pays pour le Fonds Vert Climat au Tchad. Ce programme permet de mettre en œuvre des programmes et projets de gestion de restauration des écosystèmes terrestres et de la biodiversité, (les forêts, lutter contre la désertification, etc..).</w:t>
            </w:r>
          </w:p>
        </w:tc>
      </w:tr>
    </w:tbl>
    <w:p w14:paraId="652B379A" w14:textId="77777777" w:rsidR="002121C4" w:rsidRDefault="002121C4" w:rsidP="002121C4"/>
    <w:p w14:paraId="46010748" w14:textId="77777777" w:rsidR="002121C4" w:rsidRPr="00D66BF5" w:rsidRDefault="002121C4" w:rsidP="002121C4">
      <w:pPr>
        <w:spacing w:after="0"/>
        <w:rPr>
          <w:vanish/>
          <w:sz w:val="20"/>
        </w:rPr>
      </w:pPr>
    </w:p>
    <w:tbl>
      <w:tblPr>
        <w:tblW w:w="5597"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991"/>
        <w:gridCol w:w="8103"/>
      </w:tblGrid>
      <w:tr w:rsidR="002121C4" w:rsidRPr="00D66BF5" w14:paraId="65511130" w14:textId="77777777" w:rsidTr="00C06929">
        <w:trPr>
          <w:trHeight w:val="340"/>
        </w:trPr>
        <w:tc>
          <w:tcPr>
            <w:tcW w:w="5000" w:type="pct"/>
            <w:gridSpan w:val="2"/>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3081240F" w14:textId="77777777" w:rsidR="002121C4" w:rsidRPr="00D66BF5" w:rsidRDefault="002121C4" w:rsidP="00C06929">
            <w:pPr>
              <w:spacing w:after="0"/>
              <w:rPr>
                <w:rFonts w:ascii="Times New Roman" w:hAnsi="Times New Roman"/>
                <w:b/>
                <w:bCs/>
              </w:rPr>
            </w:pPr>
            <w:r w:rsidRPr="00D66BF5">
              <w:rPr>
                <w:rFonts w:ascii="Times New Roman" w:hAnsi="Times New Roman"/>
                <w:b/>
                <w:bCs/>
                <w:color w:val="FF0000"/>
              </w:rPr>
              <w:t>ODD 16 </w:t>
            </w:r>
            <w:r w:rsidRPr="00D66BF5">
              <w:rPr>
                <w:rFonts w:ascii="Times New Roman" w:hAnsi="Times New Roman"/>
                <w:b/>
                <w:bCs/>
              </w:rPr>
              <w:t>: Promouvoir l’avènement de sociétés pacifiques et inclusives aux fins du développement durable, assurer l’accès de tous à la justice et mettre en place, à tous les niveaux, des institutions efficaces, responsables et ouvertes à tous</w:t>
            </w:r>
          </w:p>
        </w:tc>
      </w:tr>
      <w:tr w:rsidR="002121C4" w:rsidRPr="00D66BF5" w14:paraId="6B133876" w14:textId="77777777" w:rsidTr="00C06929">
        <w:trPr>
          <w:trHeight w:val="703"/>
        </w:trPr>
        <w:tc>
          <w:tcPr>
            <w:tcW w:w="110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20D520D" w14:textId="77777777" w:rsidR="002121C4" w:rsidRPr="00D66BF5" w:rsidRDefault="002121C4" w:rsidP="00C06929">
            <w:pPr>
              <w:rPr>
                <w:rFonts w:ascii="Times New Roman" w:hAnsi="Times New Roman"/>
              </w:rPr>
            </w:pPr>
            <w:r w:rsidRPr="00D66BF5">
              <w:rPr>
                <w:rFonts w:ascii="Times New Roman" w:hAnsi="Times New Roman"/>
              </w:rPr>
              <w:t>QUELQUES RÉALISATIONS/CONSTATS</w:t>
            </w:r>
          </w:p>
        </w:tc>
        <w:tc>
          <w:tcPr>
            <w:tcW w:w="3891" w:type="pct"/>
            <w:tcBorders>
              <w:top w:val="single" w:sz="4" w:space="0" w:color="auto"/>
              <w:left w:val="single" w:sz="4" w:space="0" w:color="auto"/>
              <w:bottom w:val="single" w:sz="4" w:space="0" w:color="auto"/>
              <w:right w:val="single" w:sz="4" w:space="0" w:color="auto"/>
            </w:tcBorders>
            <w:hideMark/>
          </w:tcPr>
          <w:p w14:paraId="0411A0FB"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En 2016, les flux financiers illicites en pourcentage du PIB est de 20% selon le rapport du groupe de haut niveau sur les flux financiers illicites en provenance d’Afrique, commandité par la conférence conjointe UA/CEA. Chaque année, la CEA estime que ce sont 88,6 milliards de dollars qui quittent le continent sous forme de fuites illicites de capitaux, ce qui équivaut à 3,7% du PIB de l’Afrique en 2019, soit presqu’autant que les rentrées annuelles combinées de l’aide publique au développement (évaluées à 48 milliards de dollars) additionnées des investissements étrangers directs reçus par les pays africains (estimés à une moyenne annuelle de 54 milliards de dollars entre 2015 et 2019).</w:t>
            </w:r>
          </w:p>
          <w:p w14:paraId="33597229" w14:textId="77777777" w:rsidR="002121C4" w:rsidRPr="00D66BF5" w:rsidRDefault="002121C4" w:rsidP="00C06929">
            <w:pPr>
              <w:spacing w:after="0" w:line="240" w:lineRule="auto"/>
              <w:jc w:val="both"/>
              <w:rPr>
                <w:rFonts w:ascii="Times New Roman" w:hAnsi="Times New Roman"/>
              </w:rPr>
            </w:pPr>
          </w:p>
          <w:p w14:paraId="097D527C"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Selon le rapport de Janvier 2020 de </w:t>
            </w:r>
            <w:proofErr w:type="spellStart"/>
            <w:r w:rsidRPr="00D66BF5">
              <w:rPr>
                <w:rFonts w:ascii="Times New Roman" w:hAnsi="Times New Roman"/>
              </w:rPr>
              <w:t>Transparency</w:t>
            </w:r>
            <w:proofErr w:type="spellEnd"/>
            <w:r w:rsidRPr="00D66BF5">
              <w:rPr>
                <w:rFonts w:ascii="Times New Roman" w:hAnsi="Times New Roman"/>
              </w:rPr>
              <w:t xml:space="preserve"> International, le Tchad occupe le 160ème rang sur 180 pays concernés par la perception de la corruption. On observe une légère amélioration par rapport à 2018 (165/183). Par ailleurs, le rapport relève que la corruption persistante fragilise le système de santé et contribue au recul de la démocratie dans le contexte de la COVID-19 lié à une urgence de santé publique.</w:t>
            </w:r>
          </w:p>
          <w:p w14:paraId="27D20C61" w14:textId="77777777" w:rsidR="002121C4" w:rsidRPr="00D66BF5" w:rsidRDefault="002121C4" w:rsidP="00C06929">
            <w:pPr>
              <w:spacing w:after="0" w:line="240" w:lineRule="auto"/>
              <w:jc w:val="both"/>
              <w:rPr>
                <w:rFonts w:ascii="Times New Roman" w:hAnsi="Times New Roman"/>
              </w:rPr>
            </w:pPr>
          </w:p>
          <w:p w14:paraId="4031BAF5"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Les dépenses publiques primaires en proportion du budget initial approuvé, par secteur (ou par code budgétaire ou autre critère similaire) ont connu une augmentation significative, passant de 60,2% en 2015 à 65,5% en 2020, soit 5,3 points de pourcentage. La remontée de la part des dépenses primaires en 2020traduit la baisse des investissements de l’Etat et l’importance de la prise en charge par l’Etat des dépenses liées à la lutte contre la pandémie de la COVID-19.</w:t>
            </w:r>
          </w:p>
          <w:p w14:paraId="4EDE1B0D"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39C09797"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Au niveau national, les femmes représentent un peu plus de la moitié de la population totale, soit 50,6%. Cependant elles sont sous-représentées dans les instances de prise de décisions. Toutefois, il faut noter que la Commission Nationale des Droits de l’Homme (CNDH) est composée de 11 commissaires dont 5 femmes (soit un taux de représentation féminine de 45,5%) et un représentant des organisations des personnes en situation de handicap.</w:t>
            </w:r>
          </w:p>
          <w:p w14:paraId="2C845BD7"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6CC414BB"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Dans le cadre de la promotion de l’égalité de genre, le Tchad a adopté en 2018 la loi n° 22 instituant la parité dans les fonctions nominatives et électives en République du Tchad dont le décret d’application n°0433 a été signé le 5 mars 2021. En matière de santé de reproduction, la loi n°006 portant santé de la reproduction adoptée en 2002 a vu son décret d’application signé le 14 octobre 2020.</w:t>
            </w:r>
          </w:p>
          <w:p w14:paraId="395C2AAB" w14:textId="77777777" w:rsidR="002121C4" w:rsidRPr="00D66BF5" w:rsidRDefault="002121C4" w:rsidP="00C06929">
            <w:pPr>
              <w:autoSpaceDE w:val="0"/>
              <w:autoSpaceDN w:val="0"/>
              <w:adjustRightInd w:val="0"/>
              <w:spacing w:after="0" w:line="240" w:lineRule="auto"/>
              <w:jc w:val="both"/>
              <w:rPr>
                <w:rFonts w:ascii="Times New Roman" w:hAnsi="Times New Roman"/>
              </w:rPr>
            </w:pPr>
          </w:p>
          <w:p w14:paraId="1FDDA8C8" w14:textId="77777777" w:rsidR="002121C4" w:rsidRPr="00D66BF5" w:rsidRDefault="002121C4" w:rsidP="00C06929">
            <w:pPr>
              <w:autoSpaceDE w:val="0"/>
              <w:autoSpaceDN w:val="0"/>
              <w:adjustRightInd w:val="0"/>
              <w:spacing w:after="0" w:line="240" w:lineRule="auto"/>
              <w:jc w:val="both"/>
              <w:rPr>
                <w:rFonts w:ascii="Times New Roman" w:hAnsi="Times New Roman"/>
              </w:rPr>
            </w:pPr>
            <w:r w:rsidRPr="00D66BF5">
              <w:rPr>
                <w:rFonts w:ascii="Times New Roman" w:hAnsi="Times New Roman"/>
              </w:rPr>
              <w:t>Le Tchad, Etat Parti de plusieurs organisations internationales et sous régionales, notamment l’ONU, l’UA, la CEMAC, la CEEAC, le G5 Sahel, la CENSAD, la CILSS, la CBLT, l’OCI, etc., ne s’est pas intégré dans une nouvelle organisation internationale ou sous régionale ces deux dernières années.</w:t>
            </w:r>
          </w:p>
          <w:p w14:paraId="15A0BF26" w14:textId="77777777" w:rsidR="002121C4" w:rsidRPr="00D66BF5" w:rsidRDefault="002121C4" w:rsidP="00C06929">
            <w:pPr>
              <w:spacing w:after="0" w:line="240" w:lineRule="auto"/>
              <w:jc w:val="both"/>
              <w:rPr>
                <w:rFonts w:ascii="Times New Roman" w:hAnsi="Times New Roman"/>
              </w:rPr>
            </w:pPr>
          </w:p>
          <w:p w14:paraId="52D1DB03"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En 2020 selon le classement de Global </w:t>
            </w:r>
            <w:proofErr w:type="spellStart"/>
            <w:r w:rsidRPr="00D66BF5">
              <w:rPr>
                <w:rFonts w:ascii="Times New Roman" w:hAnsi="Times New Roman"/>
              </w:rPr>
              <w:t>Terrorism</w:t>
            </w:r>
            <w:proofErr w:type="spellEnd"/>
            <w:r w:rsidRPr="00D66BF5">
              <w:rPr>
                <w:rFonts w:ascii="Times New Roman" w:hAnsi="Times New Roman"/>
              </w:rPr>
              <w:t xml:space="preserve"> Index (GTI 2020), le Tchad est classé 34 e sur 134 pays affectés par le terrorisme avec un score de 4,829. Il avance de 4 places par rapport à son classement de 2019 (score 4,762)</w:t>
            </w:r>
          </w:p>
          <w:p w14:paraId="57CBE37F" w14:textId="77777777" w:rsidR="002121C4" w:rsidRPr="00D66BF5" w:rsidRDefault="002121C4" w:rsidP="00C06929">
            <w:pPr>
              <w:spacing w:after="0" w:line="240" w:lineRule="auto"/>
              <w:jc w:val="both"/>
              <w:rPr>
                <w:rFonts w:ascii="Times New Roman" w:hAnsi="Times New Roman"/>
              </w:rPr>
            </w:pPr>
          </w:p>
          <w:p w14:paraId="43E35E12"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 xml:space="preserve">Le 23 mars 2020, 98 soldats Tchadiens sont tués dans une attaque de Boko Haram contre la base de </w:t>
            </w:r>
            <w:proofErr w:type="spellStart"/>
            <w:r w:rsidRPr="00D66BF5">
              <w:rPr>
                <w:rFonts w:ascii="Times New Roman" w:hAnsi="Times New Roman"/>
              </w:rPr>
              <w:t>Bohoma</w:t>
            </w:r>
            <w:proofErr w:type="spellEnd"/>
            <w:r w:rsidRPr="00D66BF5">
              <w:rPr>
                <w:rFonts w:ascii="Times New Roman" w:hAnsi="Times New Roman"/>
              </w:rPr>
              <w:t xml:space="preserve">, une île du Lac-Tchad. Ce bilan est le plus lourd jamais enregistré dans un combat contre les djihadistes depuis 2018. </w:t>
            </w:r>
            <w:r>
              <w:rPr>
                <w:rFonts w:ascii="Times New Roman" w:hAnsi="Times New Roman"/>
              </w:rPr>
              <w:t>Les attaques contre les forces de sécurité et les populations civiles continue à se produire au cours de l’année 2021.</w:t>
            </w:r>
          </w:p>
          <w:p w14:paraId="049CB7B4" w14:textId="77777777" w:rsidR="002121C4" w:rsidRDefault="002121C4" w:rsidP="00C06929">
            <w:pPr>
              <w:spacing w:after="0" w:line="240" w:lineRule="auto"/>
              <w:jc w:val="both"/>
              <w:rPr>
                <w:rFonts w:ascii="Times New Roman" w:hAnsi="Times New Roman"/>
              </w:rPr>
            </w:pPr>
            <w:r w:rsidRPr="37570B67">
              <w:rPr>
                <w:rFonts w:ascii="Times New Roman" w:hAnsi="Times New Roman"/>
              </w:rPr>
              <w:t xml:space="preserve">Depuis 2017, le Tchad met en œuvre un programme de Désengagement, Désassociation, Réintégration et Réconciliation (DDRR) finalisé à créer les conditions nécessaires pour la réintégration des anciens associés aux Organisations Extrémistes Violentes telles que Boko Haram et l’Etat Islamique en Afrique de l’Ouest. A travers ce programme, mis en œuvre en coordination avec les autres pays du bassin du Lac Tchad dans le cadre de la “Stratégie régionale de stabilisation, redressement et résilience des zones du Lac Tchad affectées par la crise de Boko Haram”, le Tchad est en train de se doter des outils législatifs et opérationnels nécessaires pour la gestion des cas d’individus ayant quitté les organisations extrémistes violentes. Ce processus inclut la mise en place d’un système de triage finalisé à la détermination du niveau de risque de chaque individu désassocié et son conséquent référencement vers des parcours de poursuite judiciaire ou de réinsertion et réintégration communautaires, ainsi que des initiatives au niveau local finalisées à promouvoir l’acceptation des anciens associés à bas risque dans leurs communautés de retour, telles que la mise en place d’un système d’appui psychosocial pour les anciens associés et les victimes des organisations extrémistes violentes, des initiatives pour la résolution pacifique des conflits inter- et intra-communautaires, l’amélioration de l’accès aux services de base et des campagnes de communication et de sensibilisation des communautés affectés par les activités des organisations extrémistes violentes.  </w:t>
            </w:r>
          </w:p>
          <w:p w14:paraId="0B401BBB" w14:textId="77777777" w:rsidR="002121C4" w:rsidRDefault="002121C4" w:rsidP="00C06929">
            <w:pPr>
              <w:spacing w:after="0" w:line="240" w:lineRule="auto"/>
              <w:jc w:val="both"/>
              <w:rPr>
                <w:rFonts w:ascii="Times New Roman" w:hAnsi="Times New Roman"/>
              </w:rPr>
            </w:pPr>
          </w:p>
          <w:p w14:paraId="35749646" w14:textId="77777777" w:rsidR="002121C4" w:rsidRPr="00D66BF5" w:rsidRDefault="002121C4" w:rsidP="00C06929">
            <w:pPr>
              <w:spacing w:after="0" w:line="240" w:lineRule="auto"/>
              <w:jc w:val="both"/>
              <w:rPr>
                <w:rFonts w:ascii="Times New Roman" w:hAnsi="Times New Roman"/>
              </w:rPr>
            </w:pPr>
          </w:p>
          <w:p w14:paraId="54B5BDE4" w14:textId="77777777" w:rsidR="002121C4" w:rsidRPr="00D66BF5" w:rsidRDefault="002121C4" w:rsidP="00C06929">
            <w:pPr>
              <w:spacing w:after="0" w:line="240" w:lineRule="auto"/>
              <w:jc w:val="both"/>
              <w:rPr>
                <w:rFonts w:ascii="Times New Roman" w:hAnsi="Times New Roman"/>
              </w:rPr>
            </w:pPr>
            <w:r w:rsidRPr="00D66BF5">
              <w:rPr>
                <w:rFonts w:ascii="Times New Roman" w:hAnsi="Times New Roman"/>
              </w:rPr>
              <w:t>D’autre part, le Tchad continue de faire face aux attaques des mouvements politico-armés qui ont conduit au décès du Chef de l’Etat, le 20 avril 2021. Ce qui a conduit à la mise en place d’un Conseil Militaire de Transition (CMT) et d’un Gouvernement de Transition. Il est créé au sein de ce Gouvernement un ministère d’Etat en chargé de la Réconciliation nationale et du dialogue dont l’une des missions est d’organiser un forum national inclusif.</w:t>
            </w:r>
          </w:p>
          <w:p w14:paraId="5B42B216" w14:textId="77777777" w:rsidR="002121C4" w:rsidRPr="00D66BF5" w:rsidRDefault="002121C4" w:rsidP="00C06929">
            <w:pPr>
              <w:spacing w:after="0"/>
              <w:jc w:val="both"/>
              <w:rPr>
                <w:rFonts w:ascii="Times New Roman" w:hAnsi="Times New Roman"/>
              </w:rPr>
            </w:pPr>
          </w:p>
          <w:p w14:paraId="28B6E32A" w14:textId="77777777" w:rsidR="002121C4" w:rsidRPr="00D66BF5" w:rsidRDefault="002121C4" w:rsidP="00C06929">
            <w:pPr>
              <w:spacing w:after="0"/>
              <w:jc w:val="both"/>
              <w:rPr>
                <w:rFonts w:ascii="Times New Roman" w:hAnsi="Times New Roman"/>
              </w:rPr>
            </w:pPr>
            <w:r w:rsidRPr="00D66BF5">
              <w:rPr>
                <w:rFonts w:ascii="Times New Roman" w:hAnsi="Times New Roman"/>
              </w:rPr>
              <w:t>La proportion des hommes ayant fait l’objet de discrimination ou harcèlement au cours des 12 mois précédents pour des motifs interdits par le droit international des Droits de l’Homme est de 12,8% chez les hommes et 17,4% chez les femmes selon MICS 2019. On constate que les femmes sont plus discriminées que les hommes. Dans le milieu rural, la proportion pour les hommes est de 12,5% et de 16,4% pour les femmes tandis qu’en milieu urbain, elle est de 13,9% pour les hommes et 21,2% pour les femmes. Le phénomène est plus accentué en milieu urbain que rural.</w:t>
            </w:r>
          </w:p>
          <w:p w14:paraId="0B358EB0" w14:textId="77777777" w:rsidR="002121C4" w:rsidRPr="00D66BF5" w:rsidRDefault="002121C4" w:rsidP="00C06929">
            <w:pPr>
              <w:spacing w:after="0"/>
              <w:jc w:val="both"/>
              <w:rPr>
                <w:rFonts w:ascii="Times New Roman" w:hAnsi="Times New Roman"/>
              </w:rPr>
            </w:pPr>
            <w:r w:rsidRPr="00D66BF5">
              <w:rPr>
                <w:rFonts w:ascii="Times New Roman" w:hAnsi="Times New Roman"/>
              </w:rPr>
              <w:t xml:space="preserve">Malgré l’existence des cadres juridiques (Loi 012/PR/2018 du 20 juin 2018 portant ratification de l’ordonnance n°006/PR/2018 du 30 mars 2018), on constate une nette détérioration du traitement des enfants. En effet, selon la MICS 2019, la proportion des enfants âgés de 1 à 14 ans ayant subi des châtiments corporels ou des agressions psychologiques infligées par une personne s’occupant d’eux est de 76,1% dont 30,2% ont </w:t>
            </w:r>
            <w:r w:rsidRPr="00D66BF5">
              <w:rPr>
                <w:rFonts w:ascii="Times New Roman" w:hAnsi="Times New Roman"/>
              </w:rPr>
              <w:lastRenderedPageBreak/>
              <w:t>subi de violences physiques sévères contre 71% en 2015 avec 15% de châtiments physiques sévères).</w:t>
            </w:r>
          </w:p>
          <w:p w14:paraId="20AFB3E8" w14:textId="77777777" w:rsidR="002121C4" w:rsidRPr="00D66BF5" w:rsidRDefault="002121C4" w:rsidP="00C06929">
            <w:pPr>
              <w:spacing w:after="0"/>
              <w:jc w:val="both"/>
              <w:rPr>
                <w:rFonts w:ascii="Times New Roman" w:hAnsi="Times New Roman"/>
              </w:rPr>
            </w:pPr>
          </w:p>
          <w:p w14:paraId="0F958714" w14:textId="77777777" w:rsidR="002121C4" w:rsidRPr="00D66BF5" w:rsidRDefault="002121C4" w:rsidP="00C06929">
            <w:pPr>
              <w:spacing w:after="0"/>
              <w:jc w:val="both"/>
              <w:rPr>
                <w:rFonts w:ascii="Times New Roman" w:hAnsi="Times New Roman"/>
              </w:rPr>
            </w:pPr>
            <w:r w:rsidRPr="00D66BF5">
              <w:rPr>
                <w:rFonts w:ascii="Times New Roman" w:hAnsi="Times New Roman"/>
              </w:rPr>
              <w:t>La proportion des détenus en instance de jugement a diminué nettement, passant de 72,5% en 2017 à 50,2% en 2019, puis 49,9% en 2020 Ces améliorations sont dues aux progrès notables enregistrés au cours des dernières années en ce qui concerne la promotion de l’Etat de droit aux niveaux national et international, ainsi que l’accès à la justice à tous les citoyens dans des conditions d’égalité. On note aussi une légère amélioration du nombre des cours d’appels, des tribunaux de grande instance, des justices de paix, des établissements pénitentiaires et des magistrats.</w:t>
            </w:r>
          </w:p>
          <w:p w14:paraId="766BBBCA" w14:textId="77777777" w:rsidR="002121C4" w:rsidRPr="00D66BF5" w:rsidRDefault="002121C4" w:rsidP="00C06929">
            <w:pPr>
              <w:spacing w:after="0"/>
              <w:jc w:val="both"/>
              <w:rPr>
                <w:rFonts w:ascii="Times New Roman" w:hAnsi="Times New Roman"/>
              </w:rPr>
            </w:pPr>
          </w:p>
          <w:p w14:paraId="1E10370F" w14:textId="77777777" w:rsidR="002121C4" w:rsidRPr="00D66BF5" w:rsidRDefault="002121C4" w:rsidP="00C06929">
            <w:pPr>
              <w:spacing w:after="0"/>
              <w:jc w:val="both"/>
              <w:rPr>
                <w:rFonts w:ascii="Times New Roman" w:hAnsi="Times New Roman"/>
              </w:rPr>
            </w:pPr>
            <w:r w:rsidRPr="00D66BF5">
              <w:rPr>
                <w:rFonts w:ascii="Times New Roman" w:hAnsi="Times New Roman"/>
              </w:rPr>
              <w:t>La réforme du système d’état civil par Ordonnance du Président de la République du 14 février 2020 qui a été ratifiée par l’Assemblée Nationale ainsi que la mise en place et l’opérationnalisation de l’Agence Nationale des Titres Sécurisés (ANATS). La Politique Sectorielle de la Justice de 2018 intégrant la stratégie intérimaire de justice pour mineurs de 2017 a été validée.</w:t>
            </w:r>
          </w:p>
          <w:p w14:paraId="6F1D0BE5" w14:textId="77777777" w:rsidR="002121C4" w:rsidRPr="00D66BF5" w:rsidRDefault="002121C4" w:rsidP="00C06929">
            <w:pPr>
              <w:spacing w:after="0"/>
              <w:jc w:val="both"/>
              <w:rPr>
                <w:rFonts w:ascii="Times New Roman" w:hAnsi="Times New Roman"/>
              </w:rPr>
            </w:pPr>
          </w:p>
          <w:p w14:paraId="485E3B0A" w14:textId="77777777" w:rsidR="002121C4" w:rsidRPr="00D66BF5" w:rsidRDefault="002121C4" w:rsidP="00C06929">
            <w:pPr>
              <w:spacing w:after="0"/>
              <w:jc w:val="both"/>
              <w:rPr>
                <w:rFonts w:ascii="Times New Roman" w:hAnsi="Times New Roman"/>
              </w:rPr>
            </w:pPr>
            <w:r w:rsidRPr="00D66BF5">
              <w:rPr>
                <w:rFonts w:ascii="Times New Roman" w:hAnsi="Times New Roman"/>
              </w:rPr>
              <w:t>Toutefois, le taux de déclaration des naissances reste faible au Tchad, avec seulement 25,7% chez les enfants âgés de 0 à 5 ans en 2019 (MICS 2019) même si on relève une nette amélioration par rapport à 2015 (12%, EDS-MICS 2014-2015). Aussi, 23% de ces enfants possèdent un acte de naissance, contre 9% en 2014. En fonction du sexe, il n’y a qu’une légère différence : 25,5% de filles et 25,9% de garçons sont enregistrés à l’état civil. Les taux d’enregistrement des naissances sont plus élevés en zones urbaines (50%) et davantage très faibles dans les zones rurales (21%). Il est de 59,2% à N’Djaména, contre 8,3% dans la province du Lac et 13,3% dans la province de l’Ennedi Est. En effet, depuis quelques années, le pays procède à la réforme de sa législation en matière d’enregistrement des naissances. En effet, en 2020, le Gouvernement a procédé à une profonde réforme du système d’état civil à travers la loi n° 006/PR/2020 portant ratification de l’Ordonnance 002/PR/2020 du 14 février 2020. Cette loi rentre dans le cadre des missions de l’Agence Nationale des Titres Sécurisés (ANATS) pour mettre en place un registre des populations à travers un système de gestion de l’état civil couplé à un système de production des titres sécurisés.</w:t>
            </w:r>
          </w:p>
          <w:p w14:paraId="620BC95F" w14:textId="77777777" w:rsidR="002121C4" w:rsidRPr="00D66BF5" w:rsidRDefault="002121C4" w:rsidP="00C06929">
            <w:pPr>
              <w:spacing w:after="0"/>
              <w:jc w:val="both"/>
              <w:rPr>
                <w:rFonts w:ascii="Times New Roman" w:hAnsi="Times New Roman"/>
              </w:rPr>
            </w:pPr>
          </w:p>
          <w:p w14:paraId="79391A13" w14:textId="77777777" w:rsidR="002121C4" w:rsidRPr="00D66BF5" w:rsidRDefault="002121C4" w:rsidP="00C06929">
            <w:pPr>
              <w:spacing w:after="0"/>
              <w:jc w:val="both"/>
              <w:rPr>
                <w:rFonts w:ascii="Times New Roman" w:hAnsi="Times New Roman"/>
              </w:rPr>
            </w:pPr>
            <w:r w:rsidRPr="00D66BF5">
              <w:rPr>
                <w:rFonts w:ascii="Times New Roman" w:hAnsi="Times New Roman"/>
              </w:rPr>
              <w:t>La loi prévoit la création des centres d’accueil des usagers comme un lieu d’enrôlement des individus, de déclaration des éléments d’état civil et des titres sécurisés. Suivant l’article 10 de la loi, il est institué un Numéro National d’Identification (NNI) unique, inintelligible et non séquentiel. Le NNI permet de lier les données biographiques aux données biométriques de la personne.</w:t>
            </w:r>
          </w:p>
          <w:p w14:paraId="1EAA3F91" w14:textId="77777777" w:rsidR="002121C4" w:rsidRPr="00D66BF5" w:rsidRDefault="002121C4" w:rsidP="00C06929">
            <w:pPr>
              <w:spacing w:after="0"/>
              <w:jc w:val="both"/>
              <w:rPr>
                <w:rFonts w:ascii="Times New Roman" w:hAnsi="Times New Roman"/>
              </w:rPr>
            </w:pPr>
          </w:p>
          <w:p w14:paraId="0455707A" w14:textId="77777777" w:rsidR="002121C4" w:rsidRPr="00D66BF5" w:rsidRDefault="002121C4" w:rsidP="00C06929">
            <w:pPr>
              <w:spacing w:after="0"/>
              <w:jc w:val="both"/>
              <w:rPr>
                <w:rFonts w:ascii="Times New Roman" w:hAnsi="Times New Roman"/>
              </w:rPr>
            </w:pPr>
            <w:r w:rsidRPr="00D66BF5">
              <w:rPr>
                <w:rFonts w:ascii="Times New Roman" w:hAnsi="Times New Roman"/>
              </w:rPr>
              <w:t xml:space="preserve">Conformément à ses engagements internationaux, le Tchad a aboli la peine de mort pour les actes terroristes à travers la loi 003/PR/2020 promulguée le 20 mai 2020. Le Tchad a ainsi rejoint le rang des pays abolitionnistes de la peine de mort. Les prochaines étapes concerneront la ratification du Deuxième protocole facultatif se rapportant au Pacte international relatif aux droits civils et politiques et du Protocole facultatif relatif à la </w:t>
            </w:r>
            <w:r w:rsidRPr="00D66BF5">
              <w:rPr>
                <w:rFonts w:ascii="Times New Roman" w:hAnsi="Times New Roman"/>
              </w:rPr>
              <w:lastRenderedPageBreak/>
              <w:t>Convention contre la torture et autres peines ou traitements cruels, inhumains ou dégradants.</w:t>
            </w:r>
          </w:p>
          <w:p w14:paraId="5CC8A0C8" w14:textId="77777777" w:rsidR="002121C4" w:rsidRDefault="002121C4" w:rsidP="00C06929">
            <w:pPr>
              <w:spacing w:after="0"/>
              <w:jc w:val="both"/>
              <w:rPr>
                <w:rFonts w:ascii="Times New Roman" w:hAnsi="Times New Roman"/>
              </w:rPr>
            </w:pPr>
          </w:p>
          <w:p w14:paraId="17CCF5CB" w14:textId="77777777" w:rsidR="002121C4" w:rsidRDefault="002121C4" w:rsidP="00C06929">
            <w:pPr>
              <w:spacing w:line="257" w:lineRule="auto"/>
              <w:jc w:val="both"/>
              <w:rPr>
                <w:rFonts w:ascii="Times New Roman" w:eastAsia="Times New Roman" w:hAnsi="Times New Roman"/>
                <w:sz w:val="24"/>
                <w:szCs w:val="24"/>
                <w:lang w:val="fr"/>
              </w:rPr>
            </w:pPr>
            <w:r w:rsidRPr="00F52473">
              <w:rPr>
                <w:rFonts w:ascii="Times New Roman" w:eastAsia="Times New Roman" w:hAnsi="Times New Roman"/>
                <w:sz w:val="24"/>
                <w:szCs w:val="24"/>
                <w:lang w:val="fr"/>
              </w:rPr>
              <w:t xml:space="preserve">Pour renforcer le cadre national juridique et institutionnel de lutte contre la traite des personnes, le Tchad </w:t>
            </w:r>
            <w:r w:rsidRPr="30DCC7F0">
              <w:rPr>
                <w:rFonts w:ascii="Times New Roman" w:eastAsia="Times New Roman" w:hAnsi="Times New Roman"/>
                <w:sz w:val="24"/>
                <w:szCs w:val="24"/>
                <w:lang w:val="fr"/>
              </w:rPr>
              <w:t>a mis en place</w:t>
            </w:r>
            <w:r w:rsidRPr="00F52473">
              <w:rPr>
                <w:rFonts w:ascii="Times New Roman" w:eastAsia="Times New Roman" w:hAnsi="Times New Roman"/>
                <w:sz w:val="24"/>
                <w:szCs w:val="24"/>
                <w:lang w:val="fr"/>
              </w:rPr>
              <w:t xml:space="preserve"> le mécanisme national d’orientation des victimes de traite des personnes et les procédures opérationnelles standards pour la lutte contre la traite des personnes.</w:t>
            </w:r>
            <w:r w:rsidRPr="30DCC7F0">
              <w:rPr>
                <w:rFonts w:ascii="Times New Roman" w:eastAsia="Times New Roman" w:hAnsi="Times New Roman"/>
                <w:sz w:val="24"/>
                <w:szCs w:val="24"/>
                <w:lang w:val="fr"/>
              </w:rPr>
              <w:t xml:space="preserve"> </w:t>
            </w:r>
            <w:r w:rsidRPr="00F52473">
              <w:rPr>
                <w:rFonts w:ascii="Times New Roman" w:eastAsia="Times New Roman" w:hAnsi="Times New Roman"/>
                <w:sz w:val="24"/>
                <w:szCs w:val="24"/>
                <w:lang w:val="fr"/>
              </w:rPr>
              <w:t xml:space="preserve">Le nouveau mécanisme a officiellement été adopté le lundi 13 septembre 2021 </w:t>
            </w:r>
            <w:r w:rsidRPr="30DCC7F0">
              <w:rPr>
                <w:rFonts w:ascii="Times New Roman" w:eastAsia="Times New Roman" w:hAnsi="Times New Roman"/>
                <w:sz w:val="24"/>
                <w:szCs w:val="24"/>
                <w:lang w:val="fr"/>
              </w:rPr>
              <w:t xml:space="preserve">et constitue un outil important pour </w:t>
            </w:r>
            <w:r w:rsidRPr="00F52473">
              <w:rPr>
                <w:rFonts w:ascii="Times New Roman" w:eastAsia="Times New Roman" w:hAnsi="Times New Roman"/>
                <w:sz w:val="24"/>
                <w:szCs w:val="24"/>
                <w:lang w:val="fr"/>
              </w:rPr>
              <w:t xml:space="preserve">le Comité Technique Multisectoriel de lutte contre la traite des personnes et trafic illicite des migrants </w:t>
            </w:r>
            <w:r w:rsidRPr="30DCC7F0">
              <w:rPr>
                <w:rFonts w:ascii="Times New Roman" w:eastAsia="Times New Roman" w:hAnsi="Times New Roman"/>
                <w:sz w:val="24"/>
                <w:szCs w:val="24"/>
                <w:lang w:val="fr"/>
              </w:rPr>
              <w:t>ainsi que toutes les parties prenantes intervenant dans la lutte contre la traite des personnes</w:t>
            </w:r>
            <w:r w:rsidRPr="00F52473">
              <w:rPr>
                <w:rFonts w:ascii="Times New Roman" w:eastAsia="Times New Roman" w:hAnsi="Times New Roman"/>
                <w:sz w:val="24"/>
                <w:szCs w:val="24"/>
                <w:lang w:val="fr"/>
              </w:rPr>
              <w:t>.</w:t>
            </w:r>
          </w:p>
          <w:p w14:paraId="2CFE3E1F" w14:textId="77777777" w:rsidR="002121C4" w:rsidRPr="00D66BF5" w:rsidRDefault="002121C4" w:rsidP="00C06929">
            <w:pPr>
              <w:spacing w:after="0"/>
              <w:jc w:val="both"/>
              <w:rPr>
                <w:rFonts w:ascii="Times New Roman" w:hAnsi="Times New Roman"/>
              </w:rPr>
            </w:pPr>
            <w:r w:rsidRPr="00542373">
              <w:rPr>
                <w:rFonts w:ascii="Times New Roman" w:eastAsia="Times New Roman" w:hAnsi="Times New Roman"/>
                <w:sz w:val="24"/>
                <w:szCs w:val="24"/>
              </w:rPr>
              <w:t>Afin de renforcer la sécurité aux frontières de manière durable, et disposer d’une base statistique fiable pour conduire leur politique migratoire, le Tchad s’est doté d’un Système d’information pour la gestion des frontières, capable de collecter, traiter, stocker et analyser les informations sur les voyageurs en temps réel.</w:t>
            </w:r>
          </w:p>
          <w:p w14:paraId="30A1E8C7" w14:textId="77777777" w:rsidR="002121C4" w:rsidRDefault="002121C4" w:rsidP="00C06929">
            <w:pPr>
              <w:spacing w:after="0"/>
              <w:jc w:val="both"/>
              <w:rPr>
                <w:rFonts w:ascii="Times New Roman" w:hAnsi="Times New Roman"/>
              </w:rPr>
            </w:pPr>
            <w:r w:rsidRPr="00D66BF5">
              <w:rPr>
                <w:rFonts w:ascii="Times New Roman" w:hAnsi="Times New Roman"/>
              </w:rPr>
              <w:t>Enfin, le Tchad a pris 8 engagements importants au Forum Mondial pour les Réfugiés pour améliorer l’environnement de protection des réfugiés au Tchad et renforcer la coexistence pacifique entre refugies et communautés hôtes.</w:t>
            </w:r>
          </w:p>
          <w:p w14:paraId="4E6BF900" w14:textId="77777777" w:rsidR="002121C4" w:rsidRDefault="002121C4" w:rsidP="00C06929">
            <w:pPr>
              <w:spacing w:after="0"/>
              <w:jc w:val="both"/>
              <w:rPr>
                <w:rFonts w:ascii="Times New Roman" w:hAnsi="Times New Roman"/>
              </w:rPr>
            </w:pPr>
          </w:p>
          <w:p w14:paraId="1F3C659F" w14:textId="77777777" w:rsidR="002121C4" w:rsidRPr="00D66BF5" w:rsidRDefault="002121C4" w:rsidP="00C06929">
            <w:pPr>
              <w:spacing w:after="0"/>
              <w:jc w:val="both"/>
              <w:rPr>
                <w:rFonts w:ascii="Times New Roman" w:hAnsi="Times New Roman"/>
              </w:rPr>
            </w:pPr>
            <w:r w:rsidRPr="00EE3FB0">
              <w:rPr>
                <w:rFonts w:ascii="Times New Roman" w:hAnsi="Times New Roman"/>
              </w:rPr>
              <w:t>-</w:t>
            </w:r>
            <w:r w:rsidRPr="00EE3FB0">
              <w:rPr>
                <w:rFonts w:ascii="Times New Roman" w:hAnsi="Times New Roman"/>
              </w:rPr>
              <w:tab/>
            </w:r>
            <w:r>
              <w:rPr>
                <w:rFonts w:ascii="Times New Roman" w:hAnsi="Times New Roman"/>
              </w:rPr>
              <w:t>En partenariat avec le HCR, l’agence des Nations unies pour les réfugiés, le Tchad a procédé à la d</w:t>
            </w:r>
            <w:r w:rsidRPr="00EE3FB0">
              <w:rPr>
                <w:rFonts w:ascii="Times New Roman" w:hAnsi="Times New Roman"/>
              </w:rPr>
              <w:t>istribution du premier lot de 3 000 cartes nationales d’identité aux personnes déplacées internes, dans le cadre de la stratégie de protection et de recherche des solutions durables au profit des personnes relevant du mandat du HCR et s’arrime aux engagements du Tchad au Segment à Haut Niveau (HLS) sur l’Eradication de l’Apatridie d’ici 2024 et au processus de Bali (Outil H)</w:t>
            </w:r>
            <w:r>
              <w:rPr>
                <w:rFonts w:ascii="Times New Roman" w:hAnsi="Times New Roman"/>
              </w:rPr>
              <w:t>.</w:t>
            </w:r>
          </w:p>
        </w:tc>
      </w:tr>
      <w:tr w:rsidR="002121C4" w:rsidRPr="00D66BF5" w14:paraId="09C6FB85" w14:textId="77777777" w:rsidTr="00C06929">
        <w:trPr>
          <w:trHeight w:val="655"/>
        </w:trPr>
        <w:tc>
          <w:tcPr>
            <w:tcW w:w="5000" w:type="pct"/>
            <w:gridSpan w:val="2"/>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5B69ED71" w14:textId="77777777" w:rsidR="002121C4" w:rsidRPr="00D66BF5" w:rsidRDefault="002121C4" w:rsidP="00C06929">
            <w:pPr>
              <w:spacing w:after="0"/>
              <w:rPr>
                <w:rFonts w:ascii="Times New Roman" w:hAnsi="Times New Roman"/>
                <w:b/>
              </w:rPr>
            </w:pPr>
            <w:r w:rsidRPr="00D66BF5">
              <w:rPr>
                <w:rFonts w:ascii="Times New Roman" w:hAnsi="Times New Roman"/>
                <w:b/>
                <w:color w:val="FF0000"/>
              </w:rPr>
              <w:lastRenderedPageBreak/>
              <w:t>ODD 17 </w:t>
            </w:r>
            <w:r w:rsidRPr="00D66BF5">
              <w:rPr>
                <w:rFonts w:ascii="Times New Roman" w:hAnsi="Times New Roman"/>
                <w:b/>
              </w:rPr>
              <w:t>: Renforcer les moyens de mettre en œuvre le Partenariat mondial pour le développement durable et le revitaliser.</w:t>
            </w:r>
          </w:p>
        </w:tc>
      </w:tr>
    </w:tbl>
    <w:p w14:paraId="31ABCD46" w14:textId="77777777" w:rsidR="002121C4" w:rsidRDefault="002121C4" w:rsidP="002121C4"/>
    <w:p w14:paraId="26EEB380" w14:textId="77777777" w:rsidR="002121C4" w:rsidRPr="00D66BF5" w:rsidRDefault="002121C4" w:rsidP="002121C4">
      <w:pPr>
        <w:spacing w:after="0"/>
        <w:rPr>
          <w:rFonts w:ascii="Times New Roman" w:hAnsi="Times New Roman"/>
          <w:vanish/>
        </w:rPr>
      </w:pPr>
    </w:p>
    <w:tbl>
      <w:tblPr>
        <w:tblW w:w="5597"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6"/>
        <w:gridCol w:w="7968"/>
      </w:tblGrid>
      <w:tr w:rsidR="002121C4" w:rsidRPr="00D66BF5" w14:paraId="6DA53682" w14:textId="77777777" w:rsidTr="00C06929">
        <w:trPr>
          <w:trHeight w:val="2137"/>
        </w:trPr>
        <w:tc>
          <w:tcPr>
            <w:tcW w:w="1138"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hideMark/>
          </w:tcPr>
          <w:p w14:paraId="2E68EA67" w14:textId="77777777" w:rsidR="002121C4" w:rsidRPr="00D66BF5" w:rsidRDefault="002121C4" w:rsidP="00C06929">
            <w:pPr>
              <w:spacing w:after="0" w:line="240" w:lineRule="auto"/>
              <w:rPr>
                <w:rFonts w:ascii="Times New Roman" w:hAnsi="Times New Roman"/>
                <w:b/>
                <w:color w:val="000000"/>
              </w:rPr>
            </w:pPr>
            <w:r w:rsidRPr="00D66BF5">
              <w:rPr>
                <w:rFonts w:ascii="Times New Roman" w:hAnsi="Times New Roman"/>
                <w:b/>
                <w:color w:val="000000"/>
              </w:rPr>
              <w:t>QUELQUES RÉALISATIONS/CONSTATS</w:t>
            </w:r>
          </w:p>
        </w:tc>
        <w:tc>
          <w:tcPr>
            <w:tcW w:w="3862" w:type="pct"/>
            <w:tcBorders>
              <w:top w:val="single" w:sz="4" w:space="0" w:color="auto"/>
              <w:left w:val="single" w:sz="4" w:space="0" w:color="auto"/>
              <w:bottom w:val="single" w:sz="4" w:space="0" w:color="auto"/>
              <w:right w:val="single" w:sz="4" w:space="0" w:color="auto"/>
            </w:tcBorders>
            <w:hideMark/>
          </w:tcPr>
          <w:p w14:paraId="09F52E0A" w14:textId="77777777" w:rsidR="002121C4" w:rsidRPr="00D66BF5" w:rsidRDefault="002121C4" w:rsidP="00C06929">
            <w:pPr>
              <w:spacing w:after="0"/>
              <w:jc w:val="both"/>
              <w:rPr>
                <w:rFonts w:ascii="Times New Roman" w:hAnsi="Times New Roman"/>
                <w:color w:val="000000"/>
              </w:rPr>
            </w:pPr>
            <w:r w:rsidRPr="00D66BF5">
              <w:rPr>
                <w:rFonts w:ascii="Times New Roman" w:hAnsi="Times New Roman"/>
                <w:color w:val="000000"/>
              </w:rPr>
              <w:t>L’évolution des recettes publiques au Tchad a connu une tendance en dents de scie. Les recettes de l’Etat en proportion du PIB sont passées de 10,0% en 2015 à 17,7% en 2021, soit un gain de 7,7 points de pourcentage. Cette évolution s’explique par l’amélioration des recettes fiscales qui représentent en moyenne 54,2% des recettes de l’Etat sur ladite période grâce notamment à la mise en place d’une réforme organisationnelle et à l’initiation d’un processus d’informatisation des administrations en charge de la mobilisation des ressources.</w:t>
            </w:r>
          </w:p>
          <w:p w14:paraId="1DF3E717" w14:textId="77777777" w:rsidR="002121C4" w:rsidRPr="00D66BF5" w:rsidRDefault="002121C4" w:rsidP="00C06929">
            <w:pPr>
              <w:spacing w:after="0"/>
              <w:jc w:val="both"/>
              <w:rPr>
                <w:rFonts w:ascii="Times New Roman" w:hAnsi="Times New Roman"/>
                <w:color w:val="000000"/>
              </w:rPr>
            </w:pPr>
            <w:r w:rsidRPr="00D66BF5">
              <w:rPr>
                <w:rFonts w:ascii="Times New Roman" w:hAnsi="Times New Roman"/>
                <w:color w:val="000000"/>
              </w:rPr>
              <w:t>De 2015 à 2021, la proportion du budget national financé par les impôts nationaux est passée de 53,3% à 56,6%, soit un gain de 3,3 points de pourcentage. Cependant, cette évolution qui pourrait être meilleure, a été freinée notamment par le solde budgétaire qui est pratiquement négatif sur la période en raison, d’une part, d’importantes dépenses pour la sécurité, des charges salariales dans les secteurs sociaux et au développement d’infrastructures et, d’autre part, par la forte dépendance de l’économie aux cours mondiaux du pétrole, mais aussi de la pluviométrie pour les produits agricoles.</w:t>
            </w:r>
          </w:p>
          <w:p w14:paraId="30F50C56" w14:textId="77777777" w:rsidR="002121C4" w:rsidRPr="00D66BF5" w:rsidRDefault="002121C4" w:rsidP="00C06929">
            <w:pPr>
              <w:spacing w:after="0"/>
              <w:jc w:val="both"/>
              <w:rPr>
                <w:rFonts w:ascii="Times New Roman" w:hAnsi="Times New Roman"/>
                <w:color w:val="000000"/>
              </w:rPr>
            </w:pPr>
          </w:p>
          <w:p w14:paraId="43E714CF" w14:textId="77777777" w:rsidR="002121C4" w:rsidRPr="00D66BF5" w:rsidRDefault="002121C4" w:rsidP="00C06929">
            <w:pPr>
              <w:spacing w:after="0"/>
              <w:jc w:val="both"/>
              <w:rPr>
                <w:rFonts w:ascii="Times New Roman" w:hAnsi="Times New Roman"/>
              </w:rPr>
            </w:pPr>
            <w:r w:rsidRPr="00D66BF5">
              <w:rPr>
                <w:rFonts w:ascii="Times New Roman" w:hAnsi="Times New Roman"/>
              </w:rPr>
              <w:t>A l’instar de tous les pays en développement, le Tchad bénéficie d’aides en bilatéral et multilatéral de divers pays et institutions internationales. Sur la période de 2016 au second trimestre de 2020, l’aide internationale accordée à la république du Tchad évolue globalement à la hausse passant de plus de 534 millions USD en 2016 à 780 millions USD en 2018 et à 567 millions USD en 2019. La situation de l’aide globale au second trimestre de 2020 s’établit à environ 392 millions USD. En projection, les déclarations d’intention d’aide internationale font ressortir une tendance à la hausse d’environ 652 millions USD en 2021. En effet, il ressort de ces promesses d’aide que pour l’année 2021, sur un total prévisionnel de 651 968 805 USD, les engagements représentent seulement 30 340 838 USD, soit 4,65%.</w:t>
            </w:r>
          </w:p>
          <w:p w14:paraId="131633AD" w14:textId="77777777" w:rsidR="002121C4" w:rsidRPr="00D66BF5" w:rsidRDefault="002121C4" w:rsidP="00C06929">
            <w:pPr>
              <w:spacing w:after="0"/>
              <w:jc w:val="both"/>
              <w:rPr>
                <w:rFonts w:ascii="Times New Roman" w:hAnsi="Times New Roman"/>
              </w:rPr>
            </w:pPr>
          </w:p>
          <w:p w14:paraId="55C92B98" w14:textId="77777777" w:rsidR="002121C4" w:rsidRPr="00D66BF5" w:rsidRDefault="002121C4" w:rsidP="00C06929">
            <w:pPr>
              <w:spacing w:after="0"/>
              <w:jc w:val="both"/>
              <w:rPr>
                <w:rFonts w:ascii="Times New Roman" w:hAnsi="Times New Roman"/>
              </w:rPr>
            </w:pPr>
            <w:r w:rsidRPr="00D66BF5">
              <w:rPr>
                <w:rFonts w:ascii="Times New Roman" w:hAnsi="Times New Roman"/>
              </w:rPr>
              <w:t>L’encours de la dette est passé de 1 420,44 milliards de FCFA en 2015 à 728,40 milliards de FCFA en 2017, soit 65,8 points de pourcentage. En proportion du PIB, il est respectivement de 21,0% en 2015 et 11,6% en 2017, dessous du seuil de soutenabilité de 70% du PIB fixé par la CEMAC. De 2017 à 2020, le service de la dette en proportion des exportations est passé de 60,5% à 43,5%, soit une baisse de 17 points de pourcentage.</w:t>
            </w:r>
          </w:p>
          <w:p w14:paraId="219A4574" w14:textId="77777777" w:rsidR="002121C4" w:rsidRPr="00D66BF5" w:rsidRDefault="002121C4" w:rsidP="00C06929">
            <w:pPr>
              <w:spacing w:after="0"/>
              <w:jc w:val="both"/>
              <w:rPr>
                <w:rFonts w:ascii="Times New Roman" w:hAnsi="Times New Roman"/>
              </w:rPr>
            </w:pPr>
          </w:p>
          <w:p w14:paraId="366747CF" w14:textId="77777777" w:rsidR="002121C4" w:rsidRPr="00D66BF5" w:rsidRDefault="002121C4" w:rsidP="00C06929">
            <w:pPr>
              <w:spacing w:after="0"/>
              <w:jc w:val="both"/>
              <w:rPr>
                <w:rFonts w:ascii="Times New Roman" w:hAnsi="Times New Roman"/>
              </w:rPr>
            </w:pPr>
            <w:r w:rsidRPr="00D66BF5">
              <w:rPr>
                <w:rFonts w:ascii="Times New Roman" w:hAnsi="Times New Roman"/>
              </w:rPr>
              <w:t>Au cours de la période 2015-2021, le Tchad a mobilisé d’importantes ressources pour financer son développement économique et mener des actions contribuant largement à l’atteinte des ODD. Au cours de la période considérée, les ressources extérieures mobilisées sont passées de 202,0 milliards de FCFA à 280,0 milliards de FCFA, soit une variation de 38,6 points de pourcentage.</w:t>
            </w:r>
          </w:p>
          <w:p w14:paraId="333AB3C8" w14:textId="77777777" w:rsidR="002121C4" w:rsidRPr="00D66BF5" w:rsidRDefault="002121C4" w:rsidP="00C06929">
            <w:pPr>
              <w:spacing w:after="0"/>
              <w:jc w:val="both"/>
              <w:rPr>
                <w:rFonts w:ascii="Times New Roman" w:hAnsi="Times New Roman"/>
              </w:rPr>
            </w:pPr>
          </w:p>
          <w:p w14:paraId="6E0FC27D" w14:textId="77777777" w:rsidR="002121C4" w:rsidRPr="00D66BF5" w:rsidRDefault="002121C4" w:rsidP="00C06929">
            <w:pPr>
              <w:spacing w:after="0"/>
              <w:jc w:val="both"/>
              <w:rPr>
                <w:rFonts w:ascii="Times New Roman" w:hAnsi="Times New Roman"/>
              </w:rPr>
            </w:pPr>
            <w:r w:rsidRPr="00D66BF5">
              <w:rPr>
                <w:rFonts w:ascii="Times New Roman" w:hAnsi="Times New Roman"/>
              </w:rPr>
              <w:t xml:space="preserve">En termes de facilité des affaires, le Tchad est classé 182ème mondial. Cela représente une légère baisse par rapport à l’édition 2019, dans laquelle le pays était classé 181ème. Bien que le pays soit ouvert aux investissements, la faible diversification de l’économie, l’insuffisance et le mauvais état des infrastructures, ainsi que l’étroitesse du marché intérieur et le manque de main-d’œuvre qualifiée, constituent des contraintes majeures. </w:t>
            </w:r>
          </w:p>
        </w:tc>
      </w:tr>
    </w:tbl>
    <w:p w14:paraId="4446B179" w14:textId="77777777" w:rsidR="002121C4" w:rsidRDefault="002121C4" w:rsidP="003D4B79">
      <w:pPr>
        <w:spacing w:after="0"/>
        <w:jc w:val="both"/>
        <w:rPr>
          <w:rFonts w:ascii="Calibri Light" w:hAnsi="Calibri Light"/>
          <w:bCs/>
          <w:szCs w:val="20"/>
        </w:rPr>
      </w:pPr>
    </w:p>
    <w:p w14:paraId="022D45DC" w14:textId="1DDDAA58" w:rsidR="00993B27" w:rsidRDefault="00993B27" w:rsidP="003D4B79">
      <w:pPr>
        <w:spacing w:after="0"/>
        <w:jc w:val="both"/>
        <w:rPr>
          <w:rFonts w:ascii="Calibri Light" w:hAnsi="Calibri Light"/>
          <w:bCs/>
          <w:szCs w:val="20"/>
        </w:rPr>
      </w:pPr>
    </w:p>
    <w:p w14:paraId="5BDCA5E5" w14:textId="3AD52E50" w:rsidR="00993B27" w:rsidRDefault="00993B27" w:rsidP="003D4B79">
      <w:pPr>
        <w:spacing w:after="0"/>
        <w:jc w:val="both"/>
        <w:rPr>
          <w:rFonts w:ascii="Calibri Light" w:hAnsi="Calibri Light"/>
          <w:bCs/>
          <w:szCs w:val="20"/>
        </w:rPr>
      </w:pPr>
    </w:p>
    <w:p w14:paraId="1F5E9106" w14:textId="09EE647B" w:rsidR="00993B27" w:rsidRDefault="00993B27" w:rsidP="003D4B79">
      <w:pPr>
        <w:spacing w:after="0"/>
        <w:jc w:val="both"/>
        <w:rPr>
          <w:rFonts w:ascii="Calibri Light" w:hAnsi="Calibri Light"/>
          <w:bCs/>
          <w:szCs w:val="20"/>
        </w:rPr>
      </w:pPr>
    </w:p>
    <w:p w14:paraId="1991793C" w14:textId="7CE4AF43" w:rsidR="00993B27" w:rsidRDefault="00993B27" w:rsidP="003D4B79">
      <w:pPr>
        <w:spacing w:after="0"/>
        <w:jc w:val="both"/>
        <w:rPr>
          <w:rFonts w:ascii="Calibri Light" w:hAnsi="Calibri Light"/>
          <w:bCs/>
          <w:szCs w:val="20"/>
        </w:rPr>
      </w:pPr>
    </w:p>
    <w:p w14:paraId="6C248D94" w14:textId="51586ADD" w:rsidR="00993B27" w:rsidRDefault="0088227F" w:rsidP="003D4B79">
      <w:pPr>
        <w:spacing w:after="0"/>
        <w:jc w:val="both"/>
        <w:rPr>
          <w:rFonts w:ascii="Calibri Light" w:hAnsi="Calibri Light"/>
          <w:bCs/>
          <w:szCs w:val="20"/>
        </w:rPr>
      </w:pPr>
      <w:r>
        <w:rPr>
          <w:rFonts w:ascii="Calibri Light" w:hAnsi="Calibri Light"/>
          <w:bCs/>
          <w:szCs w:val="20"/>
        </w:rPr>
        <w:t>Annexe 8 : Impact de laCOVID-19 sur les ODD</w:t>
      </w:r>
    </w:p>
    <w:p w14:paraId="27C58313" w14:textId="5F422CAB" w:rsidR="0088227F" w:rsidRDefault="0088227F" w:rsidP="003D4B79">
      <w:pPr>
        <w:spacing w:after="0"/>
        <w:jc w:val="both"/>
        <w:rPr>
          <w:rFonts w:ascii="Calibri Light" w:hAnsi="Calibri Light"/>
          <w:bCs/>
          <w:szCs w:val="20"/>
        </w:rPr>
      </w:pPr>
    </w:p>
    <w:p w14:paraId="295B3B7A" w14:textId="77777777" w:rsidR="0088227F" w:rsidRPr="00CD37DE" w:rsidRDefault="0088227F" w:rsidP="0088227F">
      <w:pPr>
        <w:spacing w:line="240" w:lineRule="auto"/>
        <w:jc w:val="both"/>
        <w:rPr>
          <w:rFonts w:ascii="Times New Roman" w:hAnsi="Times New Roman"/>
          <w:sz w:val="24"/>
          <w:szCs w:val="24"/>
        </w:rPr>
      </w:pPr>
      <w:r w:rsidRPr="001D553C">
        <w:rPr>
          <w:rFonts w:ascii="Times New Roman" w:hAnsi="Times New Roman"/>
          <w:b/>
          <w:bCs/>
          <w:sz w:val="24"/>
          <w:szCs w:val="24"/>
        </w:rPr>
        <w:t>ODD1</w:t>
      </w:r>
      <w:r w:rsidRPr="001D553C">
        <w:rPr>
          <w:rFonts w:ascii="Times New Roman" w:hAnsi="Times New Roman"/>
          <w:sz w:val="24"/>
          <w:szCs w:val="24"/>
        </w:rPr>
        <w:t xml:space="preserve"> : l’un</w:t>
      </w:r>
      <w:r>
        <w:rPr>
          <w:rFonts w:ascii="Times New Roman" w:hAnsi="Times New Roman"/>
          <w:sz w:val="24"/>
          <w:szCs w:val="24"/>
        </w:rPr>
        <w:t>e</w:t>
      </w:r>
      <w:r w:rsidRPr="001D553C">
        <w:rPr>
          <w:rFonts w:ascii="Times New Roman" w:hAnsi="Times New Roman"/>
          <w:sz w:val="24"/>
          <w:szCs w:val="24"/>
        </w:rPr>
        <w:t xml:space="preserve"> des cibles priorisées par l’ODD1 est d</w:t>
      </w:r>
      <w:r>
        <w:rPr>
          <w:rFonts w:ascii="Times New Roman" w:hAnsi="Times New Roman"/>
          <w:sz w:val="24"/>
          <w:szCs w:val="24"/>
        </w:rPr>
        <w:t>e</w:t>
      </w:r>
      <w:r w:rsidRPr="001D553C">
        <w:rPr>
          <w:rFonts w:ascii="Times New Roman" w:hAnsi="Times New Roman"/>
          <w:sz w:val="24"/>
          <w:szCs w:val="24"/>
        </w:rPr>
        <w:t xml:space="preserve"> renforcer la résilience des pauvres et des personnes en situation vulnérable et réduire leur exposition et leur vulnérabilité aux phénomènes climatiques extrêmes et autres chocs et catastrophes d’ordre économique, social et environnemental. Face à </w:t>
      </w:r>
      <w:r>
        <w:rPr>
          <w:rFonts w:ascii="Times New Roman" w:hAnsi="Times New Roman"/>
          <w:sz w:val="24"/>
          <w:szCs w:val="24"/>
        </w:rPr>
        <w:t xml:space="preserve">la </w:t>
      </w:r>
      <w:r w:rsidRPr="001D553C">
        <w:rPr>
          <w:rFonts w:ascii="Times New Roman" w:hAnsi="Times New Roman"/>
          <w:sz w:val="24"/>
          <w:szCs w:val="24"/>
        </w:rPr>
        <w:t>COVID-19, le gouvernement a pris plusieurs mesures parmi lesquelles la fermeture des frontières, l’instauration de couvre-feu, les restrictions de mobilité de la population, l’interdiction de réunions et de rassemblements publics de plus de 50 personnes etc. Ces mesures ont entraîné un dysfonctionnement des chaines d’approvisionnement des denrées alimentaires et des intrants nécessaires aux systèmes de production agro-</w:t>
      </w:r>
      <w:proofErr w:type="spellStart"/>
      <w:r w:rsidRPr="001D553C">
        <w:rPr>
          <w:rFonts w:ascii="Times New Roman" w:hAnsi="Times New Roman"/>
          <w:sz w:val="24"/>
          <w:szCs w:val="24"/>
        </w:rPr>
        <w:t>sylvo</w:t>
      </w:r>
      <w:proofErr w:type="spellEnd"/>
      <w:r w:rsidRPr="001D553C">
        <w:rPr>
          <w:rFonts w:ascii="Times New Roman" w:hAnsi="Times New Roman"/>
          <w:sz w:val="24"/>
          <w:szCs w:val="24"/>
        </w:rPr>
        <w:t xml:space="preserve">-pastoraux et halieutiques. Ainsi, pour atténuer les impacts directs/indirects de la </w:t>
      </w:r>
      <w:r w:rsidRPr="001D553C">
        <w:rPr>
          <w:rFonts w:ascii="Times New Roman" w:hAnsi="Times New Roman"/>
          <w:sz w:val="24"/>
          <w:szCs w:val="24"/>
        </w:rPr>
        <w:lastRenderedPageBreak/>
        <w:t xml:space="preserve">COVID-19 sur la sécurité alimentaire, la nutrition, l'agriculture, le gouvernement et ses partenaires techniques </w:t>
      </w:r>
      <w:r>
        <w:rPr>
          <w:rFonts w:ascii="Times New Roman" w:hAnsi="Times New Roman"/>
          <w:sz w:val="24"/>
          <w:szCs w:val="24"/>
        </w:rPr>
        <w:t xml:space="preserve">et </w:t>
      </w:r>
      <w:r w:rsidRPr="001D553C">
        <w:rPr>
          <w:rFonts w:ascii="Times New Roman" w:hAnsi="Times New Roman"/>
          <w:sz w:val="24"/>
          <w:szCs w:val="24"/>
        </w:rPr>
        <w:t xml:space="preserve">financiers ont également mis en place des stratégies parmi lesquels on peut citer la Stratégie multisectorielle du système des Nations Unies pour aider le gouvernement et le peuple tchadien à faire face à la crise du coronavirus,  ainsi que les programmes de criticité qui sont mis en place et qui servent de cadre global pour la réponse à la </w:t>
      </w:r>
      <w:r>
        <w:rPr>
          <w:rFonts w:ascii="Times New Roman" w:hAnsi="Times New Roman"/>
          <w:sz w:val="24"/>
          <w:szCs w:val="24"/>
        </w:rPr>
        <w:t xml:space="preserve">pandémie de la </w:t>
      </w:r>
      <w:r w:rsidRPr="001D553C">
        <w:rPr>
          <w:rFonts w:ascii="Times New Roman" w:hAnsi="Times New Roman"/>
          <w:sz w:val="24"/>
          <w:szCs w:val="24"/>
        </w:rPr>
        <w:t>COVID-19. Dans cette optique, des financements ont été mobilisés par le Gouvernement et les partenaires techniques et financier pour fournir une aide alimentaire aux populations tchadiennes en général, aux ménages vulnérables et groupes aux besoins spécifiques en particulier ; Renforcer les instruments de prévention et de gestion des crises alimentaires et des catastrophes ; et Renforcer le capital productif et les chaines de valeur agro-</w:t>
      </w:r>
      <w:proofErr w:type="spellStart"/>
      <w:r w:rsidRPr="001D553C">
        <w:rPr>
          <w:rFonts w:ascii="Times New Roman" w:hAnsi="Times New Roman"/>
          <w:sz w:val="24"/>
          <w:szCs w:val="24"/>
        </w:rPr>
        <w:t>sylvo</w:t>
      </w:r>
      <w:proofErr w:type="spellEnd"/>
      <w:r w:rsidRPr="001D553C">
        <w:rPr>
          <w:rFonts w:ascii="Times New Roman" w:hAnsi="Times New Roman"/>
          <w:sz w:val="24"/>
          <w:szCs w:val="24"/>
        </w:rPr>
        <w:t xml:space="preserve">-pastorales et halieutiques. Des transferts monétaires non-conditionnels et la distribution des intrants et matériels agro-pastoraux et de déstockage de bétail, de distribution des noyaux de petits ruminants au profit des populations réfugiées, retournées et hôtes affectés par les différentes crises </w:t>
      </w:r>
      <w:r>
        <w:rPr>
          <w:rFonts w:ascii="Times New Roman" w:hAnsi="Times New Roman"/>
          <w:sz w:val="24"/>
          <w:szCs w:val="24"/>
        </w:rPr>
        <w:t xml:space="preserve">dans </w:t>
      </w:r>
      <w:r w:rsidRPr="001D553C">
        <w:rPr>
          <w:rFonts w:ascii="Times New Roman" w:hAnsi="Times New Roman"/>
          <w:sz w:val="24"/>
          <w:szCs w:val="24"/>
        </w:rPr>
        <w:t>le</w:t>
      </w:r>
      <w:r>
        <w:rPr>
          <w:rFonts w:ascii="Times New Roman" w:hAnsi="Times New Roman"/>
          <w:sz w:val="24"/>
          <w:szCs w:val="24"/>
        </w:rPr>
        <w:t>s</w:t>
      </w:r>
      <w:r w:rsidRPr="001D553C">
        <w:rPr>
          <w:rFonts w:ascii="Times New Roman" w:hAnsi="Times New Roman"/>
          <w:sz w:val="24"/>
          <w:szCs w:val="24"/>
        </w:rPr>
        <w:t xml:space="preserve"> pays</w:t>
      </w:r>
      <w:r>
        <w:rPr>
          <w:rFonts w:ascii="Times New Roman" w:hAnsi="Times New Roman"/>
          <w:sz w:val="24"/>
          <w:szCs w:val="24"/>
        </w:rPr>
        <w:t xml:space="preserve"> voisins</w:t>
      </w:r>
      <w:r w:rsidRPr="001D553C">
        <w:rPr>
          <w:rFonts w:ascii="Times New Roman" w:hAnsi="Times New Roman"/>
          <w:sz w:val="24"/>
          <w:szCs w:val="24"/>
        </w:rPr>
        <w:t>.</w:t>
      </w:r>
    </w:p>
    <w:p w14:paraId="2C058DA4" w14:textId="77777777" w:rsidR="0088227F" w:rsidRPr="00CD37DE" w:rsidRDefault="0088227F" w:rsidP="0088227F">
      <w:pPr>
        <w:spacing w:line="240" w:lineRule="auto"/>
        <w:jc w:val="both"/>
        <w:rPr>
          <w:rFonts w:ascii="Times New Roman" w:hAnsi="Times New Roman"/>
          <w:sz w:val="24"/>
          <w:szCs w:val="24"/>
        </w:rPr>
      </w:pPr>
      <w:r w:rsidRPr="00CD37DE">
        <w:rPr>
          <w:rFonts w:ascii="Times New Roman" w:hAnsi="Times New Roman"/>
          <w:b/>
          <w:bCs/>
          <w:sz w:val="24"/>
          <w:szCs w:val="24"/>
        </w:rPr>
        <w:t xml:space="preserve">ODD2 </w:t>
      </w:r>
      <w:r w:rsidRPr="00CD37DE">
        <w:rPr>
          <w:rFonts w:ascii="Times New Roman" w:hAnsi="Times New Roman"/>
          <w:sz w:val="24"/>
          <w:szCs w:val="24"/>
        </w:rPr>
        <w:t>: Le Tchad n’est pas sur la bonne voie pour atteindre la Faim Zéro d’ici à 2030 si les tendances selon les derniers enquêtes (</w:t>
      </w:r>
      <w:r w:rsidRPr="00972A17">
        <w:rPr>
          <w:rFonts w:ascii="Times New Roman" w:hAnsi="Times New Roman"/>
          <w:sz w:val="24"/>
          <w:szCs w:val="24"/>
        </w:rPr>
        <w:t>Enquête Nationale sur la Sécurité</w:t>
      </w:r>
      <w:r>
        <w:rPr>
          <w:rFonts w:ascii="Times New Roman" w:hAnsi="Times New Roman"/>
          <w:sz w:val="24"/>
          <w:szCs w:val="24"/>
        </w:rPr>
        <w:t xml:space="preserve"> </w:t>
      </w:r>
      <w:r w:rsidRPr="00972A17">
        <w:rPr>
          <w:rFonts w:ascii="Times New Roman" w:hAnsi="Times New Roman"/>
          <w:sz w:val="24"/>
          <w:szCs w:val="24"/>
        </w:rPr>
        <w:t>Alimentaire des ménages ruraux</w:t>
      </w:r>
      <w:r>
        <w:rPr>
          <w:rFonts w:ascii="Times New Roman" w:hAnsi="Times New Roman"/>
          <w:sz w:val="24"/>
          <w:szCs w:val="24"/>
        </w:rPr>
        <w:t xml:space="preserve"> ; </w:t>
      </w:r>
      <w:r w:rsidRPr="001D0347">
        <w:rPr>
          <w:rFonts w:ascii="Times New Roman" w:hAnsi="Times New Roman"/>
          <w:sz w:val="24"/>
          <w:szCs w:val="24"/>
        </w:rPr>
        <w:t>Évaluation Rapide de Nutrition</w:t>
      </w:r>
      <w:r>
        <w:rPr>
          <w:rFonts w:ascii="Times New Roman" w:hAnsi="Times New Roman"/>
          <w:sz w:val="24"/>
          <w:szCs w:val="24"/>
        </w:rPr>
        <w:t xml:space="preserve"> ; et </w:t>
      </w:r>
      <w:r w:rsidRPr="001D0347">
        <w:rPr>
          <w:rFonts w:ascii="Times New Roman" w:hAnsi="Times New Roman"/>
          <w:sz w:val="24"/>
          <w:szCs w:val="24"/>
        </w:rPr>
        <w:t>Cadre Harmonisé</w:t>
      </w:r>
      <w:r w:rsidRPr="00CD37DE">
        <w:rPr>
          <w:rFonts w:ascii="Times New Roman" w:hAnsi="Times New Roman"/>
          <w:sz w:val="24"/>
          <w:szCs w:val="24"/>
        </w:rPr>
        <w:t xml:space="preserve">) se poursuivent. Bien qu'une étude approfondie sur l'effet du covid-19 sur l'agriculture et la sécurité alimentaire n'ait pas encore été menée pour le Tchad, les derniers chiffres du </w:t>
      </w:r>
      <w:r>
        <w:rPr>
          <w:rFonts w:ascii="Times New Roman" w:hAnsi="Times New Roman"/>
          <w:sz w:val="24"/>
          <w:szCs w:val="24"/>
        </w:rPr>
        <w:t>Programme Alimentaire Mondial</w:t>
      </w:r>
      <w:r w:rsidRPr="00CD37DE">
        <w:rPr>
          <w:rFonts w:ascii="Times New Roman" w:hAnsi="Times New Roman"/>
          <w:sz w:val="24"/>
          <w:szCs w:val="24"/>
        </w:rPr>
        <w:t xml:space="preserve"> au niveau global révèlent qu’en raison de la pandémie de </w:t>
      </w:r>
      <w:r>
        <w:rPr>
          <w:rFonts w:ascii="Times New Roman" w:hAnsi="Times New Roman"/>
          <w:sz w:val="24"/>
          <w:szCs w:val="24"/>
        </w:rPr>
        <w:t xml:space="preserve">la </w:t>
      </w:r>
      <w:r w:rsidRPr="00CD37DE">
        <w:rPr>
          <w:rFonts w:ascii="Times New Roman" w:hAnsi="Times New Roman"/>
          <w:sz w:val="24"/>
          <w:szCs w:val="24"/>
        </w:rPr>
        <w:t>COVID-19 ce nombre de personne qui risquent de souffrir d’insécurité alimentaire aiguë d’ici à la fin de l’année 2020 pourrait doubler. Pour des personnes qui se trouvent au bord de la famine, des mesures doivent être rapidement mises en œuvre afin de fournir de la nourriture et une aide humanitaire aux régions les plus à risque. Un changement profond du système d’alimentation et d’agriculture est nécessaire afin de nourrir des personnes qui souffrent de la faim. Augmenter les capacités de la productivité agricole et renforcer les systèmes durables de production de nourriture sont nécessaires pour permettre de réduire le problème de la faim.</w:t>
      </w:r>
      <w:r>
        <w:rPr>
          <w:rFonts w:ascii="Times New Roman" w:hAnsi="Times New Roman"/>
          <w:sz w:val="24"/>
          <w:szCs w:val="24"/>
        </w:rPr>
        <w:t xml:space="preserve"> </w:t>
      </w:r>
      <w:r w:rsidRPr="00C059BA">
        <w:rPr>
          <w:rFonts w:ascii="Times New Roman" w:hAnsi="Times New Roman"/>
          <w:sz w:val="24"/>
          <w:szCs w:val="24"/>
        </w:rPr>
        <w:t xml:space="preserve">La situation au Tchad est marquée actuellement par des séquences </w:t>
      </w:r>
      <w:r>
        <w:rPr>
          <w:rFonts w:ascii="Times New Roman" w:hAnsi="Times New Roman"/>
          <w:sz w:val="24"/>
          <w:szCs w:val="24"/>
        </w:rPr>
        <w:t>de sècheresse</w:t>
      </w:r>
      <w:r w:rsidRPr="00C059BA">
        <w:rPr>
          <w:rFonts w:ascii="Times New Roman" w:hAnsi="Times New Roman"/>
          <w:sz w:val="24"/>
          <w:szCs w:val="24"/>
        </w:rPr>
        <w:t xml:space="preserve"> relativement longues en début de la campagne et des inondations sévères qui ont faits que cette année plus de 400 000 personnes sont affectés, 10 000 têtes de bétail perdues ; 150 000 ha des champs détruits ; les stocks des commerçants des marchés inondés ont été sérieusement affectés. Ces évaluations montrent que des actions sont plus que jamais importantes notamment pour la réduction des risques de désastre qui sont très récurrentes ces dernières années. Il s’agit en fait de mettre l’accent sur les priorités telles que (i) Comprendre les risques de catastrophe (identification, évaluation et analyse des risques, éducation, recherche et sensibilisation ; (ii) Renforcer la gouvernance et les institutions pour gérer les risques de catastrophe (cadres législatifs, politiques, stratégiques sur la RRC) ; (iii) Investir dans la RRC à des fins de résilience ( intégration de la RRC dans l’ensemble des secteurs concernés et prise en compte des risques sous-jacents) et (iv) Renforcer la préparation aux catastrophes pour intervenir de manière efficace et pour « reconstruire en mieux » durant la phase de relèvement, de remise en état et de reconstruction. Il s’agit aussi de mettre en œuvre des projets d’investissement dans le domaine agro-</w:t>
      </w:r>
      <w:proofErr w:type="spellStart"/>
      <w:r w:rsidRPr="00C059BA">
        <w:rPr>
          <w:rFonts w:ascii="Times New Roman" w:hAnsi="Times New Roman"/>
          <w:sz w:val="24"/>
          <w:szCs w:val="24"/>
        </w:rPr>
        <w:t>sylvo</w:t>
      </w:r>
      <w:proofErr w:type="spellEnd"/>
      <w:r w:rsidRPr="00C059BA">
        <w:rPr>
          <w:rFonts w:ascii="Times New Roman" w:hAnsi="Times New Roman"/>
          <w:sz w:val="24"/>
          <w:szCs w:val="24"/>
        </w:rPr>
        <w:t>-pastoral.</w:t>
      </w:r>
    </w:p>
    <w:p w14:paraId="6C1789A4"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b/>
          <w:sz w:val="24"/>
        </w:rPr>
        <w:t>ODD3 :</w:t>
      </w:r>
      <w:r w:rsidRPr="000824A6">
        <w:rPr>
          <w:rFonts w:ascii="Times New Roman" w:hAnsi="Times New Roman"/>
          <w:sz w:val="24"/>
        </w:rPr>
        <w:t xml:space="preserve"> La faiblesse du système de santé et la prévalence des maladies sous-jacentes telles que le paludisme et la malnutrition sont des facteurs de vulnérabilité de grande ampleur pour les populations tchadiennes. La crainte que le système de santé soit submergé à la suite d’une propagation rapide de la maladie demeure car au Tchad il y a très peu de personnel soignant (seulement 0,5 médecins et 4 infirmiers pour 10 000 habitants). En outre, le pays dépend </w:t>
      </w:r>
      <w:r w:rsidRPr="00CD37DE">
        <w:rPr>
          <w:rFonts w:ascii="Times New Roman" w:eastAsiaTheme="minorHAnsi" w:hAnsi="Times New Roman"/>
          <w:sz w:val="24"/>
          <w:szCs w:val="24"/>
        </w:rPr>
        <w:t>entièrement</w:t>
      </w:r>
      <w:r w:rsidRPr="000824A6">
        <w:rPr>
          <w:rFonts w:ascii="Times New Roman" w:hAnsi="Times New Roman"/>
          <w:sz w:val="24"/>
        </w:rPr>
        <w:t xml:space="preserve"> de l’étranger pour ses besoins pharmaceutiques ; ainsi les perturbations des chaînes d’approvisionnement consécutives aux mesures </w:t>
      </w:r>
      <w:r w:rsidRPr="000824A6">
        <w:rPr>
          <w:rFonts w:ascii="Times New Roman" w:hAnsi="Times New Roman"/>
          <w:sz w:val="24"/>
        </w:rPr>
        <w:lastRenderedPageBreak/>
        <w:t>barrières contre la pandémie limitent l’accès aux fournitures et équipements requis pour lutter contre la COVID-19, tels que les trousses de dépistage, les équipements de protection individuelle, les respirateurs et les produits pharmaceutiques.</w:t>
      </w:r>
    </w:p>
    <w:p w14:paraId="5E085A34" w14:textId="77777777" w:rsidR="0088227F" w:rsidRPr="00720B1A" w:rsidRDefault="0088227F" w:rsidP="0088227F">
      <w:pPr>
        <w:autoSpaceDE w:val="0"/>
        <w:autoSpaceDN w:val="0"/>
        <w:adjustRightInd w:val="0"/>
        <w:spacing w:after="0" w:line="240" w:lineRule="auto"/>
        <w:jc w:val="both"/>
        <w:rPr>
          <w:rFonts w:ascii="Times New Roman" w:hAnsi="Times New Roman"/>
        </w:rPr>
      </w:pPr>
    </w:p>
    <w:p w14:paraId="01796006"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sz w:val="24"/>
        </w:rPr>
        <w:t xml:space="preserve">La pandémie de </w:t>
      </w:r>
      <w:r>
        <w:rPr>
          <w:rFonts w:ascii="Times New Roman" w:hAnsi="Times New Roman"/>
          <w:sz w:val="24"/>
        </w:rPr>
        <w:t xml:space="preserve">la </w:t>
      </w:r>
      <w:r w:rsidRPr="000824A6">
        <w:rPr>
          <w:rFonts w:ascii="Times New Roman" w:hAnsi="Times New Roman"/>
          <w:sz w:val="24"/>
        </w:rPr>
        <w:t xml:space="preserve">COVID-19 perturbe les services essentiels de santé y compris les services liés à la tuberculose et au VIH. Les modèles mathématiques réalisés au Tchad par le mécanisme de financement mondial en mai 2020, signalent une augmentation de 3% de la mortalité maternelle pendant les 12 mois suivants du fait du nombre élevé d’accouchements en moins dans les structures de santé par peur de transmission du virus et la pression élevée de la COVID-19 sur les systèmes de santé et les ressources déjà insuffisantes. </w:t>
      </w:r>
    </w:p>
    <w:p w14:paraId="28658592"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sz w:val="24"/>
        </w:rPr>
        <w:t xml:space="preserve"> </w:t>
      </w:r>
    </w:p>
    <w:p w14:paraId="59C1FF24"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b/>
          <w:sz w:val="24"/>
        </w:rPr>
        <w:t xml:space="preserve">ODD4 : </w:t>
      </w:r>
      <w:r w:rsidRPr="000824A6">
        <w:rPr>
          <w:rFonts w:ascii="Times New Roman" w:hAnsi="Times New Roman"/>
          <w:sz w:val="24"/>
        </w:rPr>
        <w:t xml:space="preserve">À l’instar de la quasi-totalité des pays du monde, le Tchad a procédé à la fermeture des établissements scolaires et universitaires, </w:t>
      </w:r>
      <w:r w:rsidRPr="00CD37DE">
        <w:rPr>
          <w:rFonts w:ascii="Times New Roman" w:hAnsi="Times New Roman"/>
          <w:sz w:val="24"/>
          <w:szCs w:val="24"/>
        </w:rPr>
        <w:t>alors que</w:t>
      </w:r>
      <w:r w:rsidRPr="000824A6">
        <w:rPr>
          <w:rFonts w:ascii="Times New Roman" w:hAnsi="Times New Roman"/>
          <w:sz w:val="24"/>
        </w:rPr>
        <w:t xml:space="preserve"> les programmes scolaires de l’année scolaire 2019-2020 n’étaient </w:t>
      </w:r>
      <w:r w:rsidRPr="00CD37DE">
        <w:rPr>
          <w:rFonts w:ascii="Times New Roman" w:hAnsi="Times New Roman"/>
          <w:sz w:val="24"/>
          <w:szCs w:val="24"/>
        </w:rPr>
        <w:t>exécutés</w:t>
      </w:r>
      <w:r w:rsidRPr="000824A6">
        <w:rPr>
          <w:rFonts w:ascii="Times New Roman" w:hAnsi="Times New Roman"/>
          <w:sz w:val="24"/>
        </w:rPr>
        <w:t xml:space="preserve"> qu’à hauteur d’environ deux-tiers. Cette fermeture des établissements d’enseignement a un large éventail d’effets négatifs sur les enfants et les jeunes, dont l’interruption de l’apprentissage qui est d’une importance capitale pour le développement social et comportemental. De plus, de nombreux enfants qui fréquentent les écoles disposant de cantines scolaires perdent les repas fournis dans ces écoles, avec des répercussions sur le revenu familial. L’interruption scolaire entraîne également des lacunes dans les services de garde d’enfants, ce qui a des pressions sur l’équilibre entre le travail et la vie personnelle, en particulier pour les femmes et les parents qui sont amenés à faciliter l’apprentissage des enfants à la maison. On peut aussi relever qu’une interruption durable de l’éducation pourrait entraîner une augmentation du travail des enfants et du mariage des enfants. </w:t>
      </w:r>
    </w:p>
    <w:p w14:paraId="0265E9E7" w14:textId="77777777" w:rsidR="0088227F" w:rsidRPr="00720B1A" w:rsidRDefault="0088227F" w:rsidP="0088227F">
      <w:pPr>
        <w:autoSpaceDE w:val="0"/>
        <w:autoSpaceDN w:val="0"/>
        <w:adjustRightInd w:val="0"/>
        <w:spacing w:after="0" w:line="240" w:lineRule="auto"/>
        <w:jc w:val="both"/>
        <w:rPr>
          <w:rFonts w:ascii="Times New Roman" w:hAnsi="Times New Roman"/>
        </w:rPr>
      </w:pPr>
    </w:p>
    <w:p w14:paraId="1ACAE83C" w14:textId="77777777" w:rsidR="0088227F" w:rsidRPr="00720B1A" w:rsidRDefault="0088227F" w:rsidP="0088227F">
      <w:pPr>
        <w:shd w:val="clear" w:color="auto" w:fill="FFFFFF" w:themeFill="background1"/>
        <w:autoSpaceDE w:val="0"/>
        <w:autoSpaceDN w:val="0"/>
        <w:adjustRightInd w:val="0"/>
        <w:spacing w:after="0" w:line="240" w:lineRule="auto"/>
        <w:jc w:val="both"/>
        <w:rPr>
          <w:rFonts w:ascii="Times New Roman" w:hAnsi="Times New Roman"/>
        </w:rPr>
      </w:pPr>
      <w:r w:rsidRPr="000824A6">
        <w:rPr>
          <w:rFonts w:ascii="Times New Roman" w:hAnsi="Times New Roman"/>
          <w:color w:val="000000"/>
          <w:sz w:val="24"/>
        </w:rPr>
        <w:t>Selon le rapport d’études d’impact due à COVID-19, l’évaluation du secteur de l’éducation faite sur la base du nombre des enseignants vacataires et communautaires issue des annuaires statistiques de l’enseignement fondamental et de l’enseignement supérieur fait ressortir un manque à gagner estimer à 3,3 milliards de FCFA en termes de vacations à payer. En raison de la crise, 3 023 602 d’enfants âgés de 3 à 17 ans seront en besoin d’éducation et 139 676 élèves n’auront plus l’accès aux cantines scolaires. Plusieurs centaines de milliers de jeunes filles (âgées de 15 à 24 ans) et de femmes pauvres analphabètes vivant en milieu rural</w:t>
      </w:r>
      <w:r w:rsidRPr="00A31C2E">
        <w:rPr>
          <w:rFonts w:ascii="Times New Roman" w:hAnsi="Times New Roman"/>
          <w:color w:val="000000"/>
          <w:sz w:val="24"/>
        </w:rPr>
        <w:t xml:space="preserve"> n’ont pu bénéficier pleinement de leur droit à l’éducation en 2020</w:t>
      </w:r>
      <w:r w:rsidRPr="000824A6">
        <w:rPr>
          <w:rFonts w:ascii="Times New Roman" w:hAnsi="Times New Roman"/>
          <w:color w:val="000000"/>
          <w:sz w:val="24"/>
        </w:rPr>
        <w:t>.</w:t>
      </w:r>
    </w:p>
    <w:p w14:paraId="753C0ACE" w14:textId="77777777" w:rsidR="0088227F" w:rsidRPr="00720B1A" w:rsidRDefault="0088227F" w:rsidP="0088227F">
      <w:pPr>
        <w:autoSpaceDE w:val="0"/>
        <w:autoSpaceDN w:val="0"/>
        <w:adjustRightInd w:val="0"/>
        <w:spacing w:after="0" w:line="240" w:lineRule="auto"/>
        <w:jc w:val="both"/>
        <w:rPr>
          <w:rFonts w:ascii="Times New Roman" w:hAnsi="Times New Roman"/>
        </w:rPr>
      </w:pPr>
    </w:p>
    <w:p w14:paraId="1B777CD8" w14:textId="77777777" w:rsidR="0088227F" w:rsidRDefault="0088227F" w:rsidP="0088227F">
      <w:pPr>
        <w:autoSpaceDE w:val="0"/>
        <w:autoSpaceDN w:val="0"/>
        <w:adjustRightInd w:val="0"/>
        <w:spacing w:after="0" w:line="240" w:lineRule="auto"/>
        <w:jc w:val="both"/>
        <w:rPr>
          <w:rFonts w:ascii="Times New Roman" w:hAnsi="Times New Roman"/>
          <w:sz w:val="24"/>
        </w:rPr>
      </w:pPr>
      <w:r w:rsidRPr="000824A6">
        <w:rPr>
          <w:rFonts w:ascii="Times New Roman" w:hAnsi="Times New Roman"/>
          <w:b/>
          <w:sz w:val="24"/>
        </w:rPr>
        <w:t>ODD5 :</w:t>
      </w:r>
      <w:r w:rsidRPr="000824A6">
        <w:rPr>
          <w:rFonts w:ascii="Times New Roman" w:hAnsi="Times New Roman"/>
          <w:sz w:val="24"/>
        </w:rPr>
        <w:t xml:space="preserve"> Selon la note </w:t>
      </w:r>
      <w:r>
        <w:rPr>
          <w:rFonts w:ascii="Times New Roman" w:hAnsi="Times New Roman"/>
          <w:sz w:val="24"/>
        </w:rPr>
        <w:t>de synthèse « l’impact de la COVID-19 sur les femmes », Avril 2020 du Secrétaire Général des Nations Unies, l</w:t>
      </w:r>
      <w:r w:rsidRPr="00274F70">
        <w:rPr>
          <w:rFonts w:ascii="Times New Roman" w:hAnsi="Times New Roman"/>
          <w:sz w:val="24"/>
        </w:rPr>
        <w:t>a pandémie accentue les inégalités préexistantes, exposant les vulnérabilités des systèmes sociaux, politiques et économiques qui, à leur tour, amplifient les effets de la pandémie.</w:t>
      </w:r>
      <w:r>
        <w:rPr>
          <w:rFonts w:ascii="Times New Roman" w:hAnsi="Times New Roman"/>
          <w:sz w:val="24"/>
        </w:rPr>
        <w:t xml:space="preserve"> </w:t>
      </w:r>
      <w:r w:rsidRPr="000824A6">
        <w:rPr>
          <w:rFonts w:ascii="Times New Roman" w:hAnsi="Times New Roman"/>
          <w:sz w:val="24"/>
        </w:rPr>
        <w:t xml:space="preserve">Bien que la </w:t>
      </w:r>
      <w:r>
        <w:rPr>
          <w:rFonts w:ascii="Times New Roman" w:hAnsi="Times New Roman"/>
          <w:sz w:val="24"/>
        </w:rPr>
        <w:t xml:space="preserve">tendance mondiale comme au Tchad des cas de </w:t>
      </w:r>
      <w:r w:rsidRPr="000824A6">
        <w:rPr>
          <w:rFonts w:ascii="Times New Roman" w:hAnsi="Times New Roman"/>
          <w:sz w:val="24"/>
        </w:rPr>
        <w:t>COVID-19 montre que les hommes sont plus touchés que les femmes</w:t>
      </w:r>
      <w:r>
        <w:rPr>
          <w:rFonts w:ascii="Times New Roman" w:hAnsi="Times New Roman"/>
          <w:sz w:val="24"/>
        </w:rPr>
        <w:t>, l</w:t>
      </w:r>
      <w:r w:rsidRPr="00274F70">
        <w:rPr>
          <w:rFonts w:ascii="Times New Roman" w:hAnsi="Times New Roman"/>
          <w:sz w:val="24"/>
        </w:rPr>
        <w:t>es violences de genre connaissent une augmentation exponentielle sous l’effet des pressions économiques et sociales engendrées par la pandémie de COVID-19 et dans le contexte des restrictions de mouvement et des mesures d’isolement social. De nombreuses femmes sont forcées de se confiner chez elles avec leur agresseur. Or, les services qui sont censés leur apporter une aide sont perturbés ou inaccessibles.</w:t>
      </w:r>
    </w:p>
    <w:p w14:paraId="51FD359F" w14:textId="77777777" w:rsidR="0088227F" w:rsidRDefault="0088227F" w:rsidP="0088227F">
      <w:pPr>
        <w:autoSpaceDE w:val="0"/>
        <w:autoSpaceDN w:val="0"/>
        <w:adjustRightInd w:val="0"/>
        <w:spacing w:after="0" w:line="240" w:lineRule="auto"/>
        <w:jc w:val="both"/>
        <w:rPr>
          <w:rFonts w:ascii="Times New Roman" w:hAnsi="Times New Roman"/>
          <w:sz w:val="24"/>
        </w:rPr>
      </w:pPr>
    </w:p>
    <w:p w14:paraId="79FEF5B7" w14:textId="77777777" w:rsidR="0088227F" w:rsidRDefault="0088227F" w:rsidP="0088227F">
      <w:pPr>
        <w:autoSpaceDE w:val="0"/>
        <w:autoSpaceDN w:val="0"/>
        <w:adjustRightInd w:val="0"/>
        <w:spacing w:line="240" w:lineRule="auto"/>
        <w:jc w:val="both"/>
        <w:rPr>
          <w:rFonts w:ascii="Times New Roman" w:hAnsi="Times New Roman"/>
          <w:iCs/>
          <w:color w:val="0D0D0D" w:themeColor="text1" w:themeTint="F2"/>
        </w:rPr>
      </w:pPr>
      <w:r>
        <w:rPr>
          <w:rFonts w:ascii="Times New Roman" w:hAnsi="Times New Roman"/>
          <w:sz w:val="24"/>
        </w:rPr>
        <w:t>Ainsi, l</w:t>
      </w:r>
      <w:r w:rsidRPr="006C1077">
        <w:rPr>
          <w:rFonts w:ascii="Times New Roman" w:hAnsi="Times New Roman"/>
          <w:sz w:val="24"/>
        </w:rPr>
        <w:t>a situation épidémiologique de cette maladie à Coronavirus, présentée par la Coordination Nationale de Riposte Sanitaire, le 11 juillet 2020 fait état d’un nombre total de cas confirmés de 880 dont 229 femmes.75 décès dont 16 femmes ont été déplorés.</w:t>
      </w:r>
      <w:r>
        <w:rPr>
          <w:rFonts w:ascii="Times New Roman" w:hAnsi="Times New Roman"/>
          <w:sz w:val="24"/>
        </w:rPr>
        <w:t xml:space="preserve"> </w:t>
      </w:r>
      <w:r w:rsidRPr="006C1077">
        <w:rPr>
          <w:rFonts w:ascii="Times New Roman" w:hAnsi="Times New Roman"/>
          <w:sz w:val="24"/>
        </w:rPr>
        <w:t xml:space="preserve">Une enquête sur les conséquences de la pandémie sur l’utilisation des services de santé maternelle et de prise en charge des </w:t>
      </w:r>
      <w:r>
        <w:rPr>
          <w:rFonts w:ascii="Times New Roman" w:hAnsi="Times New Roman"/>
          <w:sz w:val="24"/>
        </w:rPr>
        <w:t xml:space="preserve">violences basées sur </w:t>
      </w:r>
      <w:r>
        <w:rPr>
          <w:rFonts w:ascii="Times New Roman" w:hAnsi="Times New Roman"/>
          <w:sz w:val="24"/>
        </w:rPr>
        <w:lastRenderedPageBreak/>
        <w:t xml:space="preserve">le genre a </w:t>
      </w:r>
      <w:r w:rsidRPr="006C1077">
        <w:rPr>
          <w:rFonts w:ascii="Times New Roman" w:hAnsi="Times New Roman"/>
          <w:sz w:val="24"/>
        </w:rPr>
        <w:t>été organisé par le Ministère de la Santé Publique du Tchad</w:t>
      </w:r>
      <w:r>
        <w:rPr>
          <w:rFonts w:ascii="Times New Roman" w:hAnsi="Times New Roman"/>
          <w:sz w:val="24"/>
        </w:rPr>
        <w:t xml:space="preserve"> en juin 2020. </w:t>
      </w:r>
      <w:r w:rsidRPr="00D8056D">
        <w:rPr>
          <w:rFonts w:ascii="Times New Roman" w:hAnsi="Times New Roman"/>
        </w:rPr>
        <w:t>Les résultats montrent</w:t>
      </w:r>
      <w:r>
        <w:rPr>
          <w:rFonts w:ascii="Times New Roman" w:hAnsi="Times New Roman"/>
        </w:rPr>
        <w:t xml:space="preserve"> une grande baisse du taux de fréquentation des formations sanitaires par les femmes et les filles. Ainsi,</w:t>
      </w:r>
      <w:r w:rsidRPr="00D8056D">
        <w:rPr>
          <w:rFonts w:ascii="Times New Roman" w:hAnsi="Times New Roman"/>
          <w:iCs/>
          <w:color w:val="0D0D0D" w:themeColor="text1" w:themeTint="F2"/>
        </w:rPr>
        <w:t xml:space="preserve"> au mois d’avril et mai, une baisse du nombre de nouvelles acceptan</w:t>
      </w:r>
      <w:r>
        <w:rPr>
          <w:rFonts w:ascii="Times New Roman" w:hAnsi="Times New Roman"/>
          <w:iCs/>
          <w:color w:val="0D0D0D" w:themeColor="text1" w:themeTint="F2"/>
        </w:rPr>
        <w:t>tes en planification familiale a été constatée</w:t>
      </w:r>
      <w:r w:rsidRPr="00D8056D">
        <w:rPr>
          <w:rFonts w:ascii="Times New Roman" w:hAnsi="Times New Roman"/>
          <w:iCs/>
          <w:color w:val="0D0D0D" w:themeColor="text1" w:themeTint="F2"/>
        </w:rPr>
        <w:t xml:space="preserve"> dans 13 établissements de santé</w:t>
      </w:r>
      <w:r>
        <w:rPr>
          <w:rFonts w:ascii="Times New Roman" w:hAnsi="Times New Roman"/>
          <w:iCs/>
          <w:color w:val="0D0D0D" w:themeColor="text1" w:themeTint="F2"/>
        </w:rPr>
        <w:t xml:space="preserve"> </w:t>
      </w:r>
      <w:r w:rsidRPr="00D8056D">
        <w:rPr>
          <w:rFonts w:ascii="Times New Roman" w:hAnsi="Times New Roman"/>
          <w:iCs/>
          <w:color w:val="0D0D0D" w:themeColor="text1" w:themeTint="F2"/>
        </w:rPr>
        <w:t>(379</w:t>
      </w:r>
      <w:r>
        <w:rPr>
          <w:rFonts w:ascii="Times New Roman" w:hAnsi="Times New Roman"/>
          <w:iCs/>
          <w:color w:val="0D0D0D" w:themeColor="text1" w:themeTint="F2"/>
        </w:rPr>
        <w:t xml:space="preserve"> contre 492 en 2019 aux mêmes mois)</w:t>
      </w:r>
      <w:r w:rsidRPr="00D8056D">
        <w:rPr>
          <w:rFonts w:ascii="Times New Roman" w:hAnsi="Times New Roman"/>
          <w:iCs/>
          <w:color w:val="0D0D0D" w:themeColor="text1" w:themeTint="F2"/>
        </w:rPr>
        <w:t>. Il est remarqué une baisse plus prononcée, dans la même période, des clientes de service</w:t>
      </w:r>
      <w:r>
        <w:rPr>
          <w:rFonts w:ascii="Times New Roman" w:hAnsi="Times New Roman"/>
          <w:iCs/>
          <w:color w:val="0D0D0D" w:themeColor="text1" w:themeTint="F2"/>
        </w:rPr>
        <w:t>s</w:t>
      </w:r>
      <w:r w:rsidRPr="00D8056D">
        <w:rPr>
          <w:rFonts w:ascii="Times New Roman" w:hAnsi="Times New Roman"/>
          <w:iCs/>
          <w:color w:val="0D0D0D" w:themeColor="text1" w:themeTint="F2"/>
        </w:rPr>
        <w:t xml:space="preserve"> de consultations prénatales (CPN1</w:t>
      </w:r>
      <w:r>
        <w:rPr>
          <w:rFonts w:ascii="Times New Roman" w:hAnsi="Times New Roman"/>
          <w:iCs/>
          <w:color w:val="0D0D0D" w:themeColor="text1" w:themeTint="F2"/>
        </w:rPr>
        <w:t> : 1 592 au mois de mai 2020 contre 2 361 dans la même période en 2020</w:t>
      </w:r>
      <w:r w:rsidRPr="00D8056D">
        <w:rPr>
          <w:rFonts w:ascii="Times New Roman" w:hAnsi="Times New Roman"/>
          <w:iCs/>
          <w:color w:val="0D0D0D" w:themeColor="text1" w:themeTint="F2"/>
        </w:rPr>
        <w:t xml:space="preserve">) et des </w:t>
      </w:r>
      <w:r w:rsidRPr="00620F63">
        <w:rPr>
          <w:rFonts w:ascii="Times New Roman" w:hAnsi="Times New Roman"/>
          <w:iCs/>
          <w:color w:val="0D0D0D" w:themeColor="text1" w:themeTint="F2"/>
        </w:rPr>
        <w:t>chutes les plus drastiques du nombre total d'accouchements effectués dans 15 formations sanitaires</w:t>
      </w:r>
      <w:r w:rsidRPr="00D8056D">
        <w:rPr>
          <w:rFonts w:ascii="Times New Roman" w:hAnsi="Times New Roman"/>
          <w:iCs/>
          <w:color w:val="0D0D0D" w:themeColor="text1" w:themeTint="F2"/>
        </w:rPr>
        <w:t xml:space="preserve"> (40,66% soit 6.541 contre 16</w:t>
      </w:r>
      <w:r>
        <w:rPr>
          <w:rFonts w:ascii="Times New Roman" w:hAnsi="Times New Roman"/>
          <w:iCs/>
          <w:color w:val="0D0D0D" w:themeColor="text1" w:themeTint="F2"/>
        </w:rPr>
        <w:t xml:space="preserve"> </w:t>
      </w:r>
      <w:r w:rsidRPr="00D8056D">
        <w:rPr>
          <w:rFonts w:ascii="Times New Roman" w:hAnsi="Times New Roman"/>
          <w:iCs/>
          <w:color w:val="0D0D0D" w:themeColor="text1" w:themeTint="F2"/>
        </w:rPr>
        <w:t>086 dans la même période en 2019).</w:t>
      </w:r>
    </w:p>
    <w:p w14:paraId="45256F55" w14:textId="77777777" w:rsidR="0088227F" w:rsidRDefault="0088227F" w:rsidP="0088227F">
      <w:pPr>
        <w:jc w:val="both"/>
        <w:rPr>
          <w:rFonts w:ascii="Times New Roman" w:hAnsi="Times New Roman"/>
          <w:iCs/>
          <w:color w:val="0D0D0D" w:themeColor="text1" w:themeTint="F2"/>
        </w:rPr>
      </w:pPr>
      <w:r>
        <w:rPr>
          <w:rFonts w:ascii="Times New Roman" w:hAnsi="Times New Roman"/>
          <w:iCs/>
          <w:color w:val="0D0D0D" w:themeColor="text1" w:themeTint="F2"/>
        </w:rPr>
        <w:t xml:space="preserve">En outre, au total 75 cas déclarés de violence basée sur le genre entre mai – juin 2020 (soit 22 Viols ; 4 agressions sexuelles, 42 violences physiques pour infidélité ; 1 mariage précoce ; 3 </w:t>
      </w:r>
      <w:r w:rsidRPr="00FD76DE">
        <w:rPr>
          <w:rFonts w:ascii="Times New Roman" w:hAnsi="Times New Roman"/>
        </w:rPr>
        <w:t>mutilation génitale féminine</w:t>
      </w:r>
      <w:r>
        <w:rPr>
          <w:rFonts w:ascii="Times New Roman" w:hAnsi="Times New Roman"/>
        </w:rPr>
        <w:t xml:space="preserve"> ; 3 </w:t>
      </w:r>
      <w:r w:rsidRPr="00FD76DE">
        <w:rPr>
          <w:rFonts w:ascii="Times New Roman" w:hAnsi="Times New Roman"/>
        </w:rPr>
        <w:t>grossesses non désirés</w:t>
      </w:r>
      <w:r>
        <w:rPr>
          <w:rFonts w:ascii="Times New Roman" w:hAnsi="Times New Roman"/>
        </w:rPr>
        <w:t>)</w:t>
      </w:r>
      <w:r w:rsidRPr="0070419D">
        <w:rPr>
          <w:rFonts w:ascii="Times New Roman" w:hAnsi="Times New Roman"/>
          <w:iCs/>
          <w:color w:val="0D0D0D" w:themeColor="text1" w:themeTint="F2"/>
        </w:rPr>
        <w:t xml:space="preserve">. </w:t>
      </w:r>
    </w:p>
    <w:p w14:paraId="482CE17A"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b/>
          <w:sz w:val="24"/>
        </w:rPr>
        <w:t>ODD6 :</w:t>
      </w:r>
      <w:r w:rsidRPr="000824A6">
        <w:rPr>
          <w:rFonts w:ascii="Times New Roman" w:hAnsi="Times New Roman"/>
          <w:sz w:val="24"/>
        </w:rPr>
        <w:t xml:space="preserve">  la malnutrition aigüe globale va affecter un total de 1,997,507 enfants de 6 à 59 mois, soit 59% de l’ensemble des enfants de moins de 5 ans, et parmi lesquels 561,039 seront affectés par la malnutrition aigüe sévère. En termes de malnutrition chronique et pertes économiques, on note que sur le long terme, la situation actuelle pourrait conduire à une augmentation de la malnutrition chronique, qui reste très élevée au Tchad à</w:t>
      </w:r>
      <w:r w:rsidRPr="000824A6">
        <w:rPr>
          <w:rFonts w:ascii="Times New Roman" w:hAnsi="Times New Roman"/>
          <w:color w:val="FF0000"/>
          <w:sz w:val="24"/>
        </w:rPr>
        <w:t xml:space="preserve"> </w:t>
      </w:r>
      <w:r w:rsidRPr="000824A6">
        <w:rPr>
          <w:rFonts w:ascii="Times New Roman" w:hAnsi="Times New Roman"/>
          <w:sz w:val="24"/>
        </w:rPr>
        <w:t xml:space="preserve">32%, avec 8 provinces au-delà du seuil élevé de 20% mais inférieur à 30% et 12 provinces au-delà du seuil critique de 30%. La COVID-19 a mis en exergue la problématique de l’accès à l’eau et </w:t>
      </w:r>
      <w:r w:rsidRPr="00CD37DE">
        <w:rPr>
          <w:rFonts w:ascii="Times New Roman" w:hAnsi="Times New Roman"/>
          <w:sz w:val="24"/>
          <w:szCs w:val="24"/>
        </w:rPr>
        <w:t>à</w:t>
      </w:r>
      <w:r w:rsidRPr="000824A6" w:rsidDel="00BE4C0D">
        <w:rPr>
          <w:rFonts w:ascii="Times New Roman" w:hAnsi="Times New Roman"/>
          <w:sz w:val="24"/>
        </w:rPr>
        <w:t xml:space="preserve"> </w:t>
      </w:r>
      <w:r w:rsidRPr="000824A6">
        <w:rPr>
          <w:rFonts w:ascii="Times New Roman" w:hAnsi="Times New Roman"/>
          <w:sz w:val="24"/>
        </w:rPr>
        <w:t xml:space="preserve">l’assainissement dans les formations sanitaires en particulier pour assurer l’hygiène et les pratiques de prévention et contrôle de la COVID-19. Avec la faiblesse des indicateurs en matière d’accès à l’eau potable et </w:t>
      </w:r>
      <w:r w:rsidRPr="00CD37DE">
        <w:rPr>
          <w:rFonts w:ascii="Times New Roman" w:hAnsi="Times New Roman"/>
          <w:sz w:val="24"/>
          <w:szCs w:val="24"/>
        </w:rPr>
        <w:t>à</w:t>
      </w:r>
      <w:r w:rsidRPr="000824A6" w:rsidDel="00B36CCB">
        <w:rPr>
          <w:rFonts w:ascii="Times New Roman" w:hAnsi="Times New Roman"/>
          <w:sz w:val="24"/>
        </w:rPr>
        <w:t xml:space="preserve"> </w:t>
      </w:r>
      <w:r w:rsidRPr="000824A6">
        <w:rPr>
          <w:rFonts w:ascii="Times New Roman" w:hAnsi="Times New Roman"/>
          <w:sz w:val="24"/>
        </w:rPr>
        <w:t xml:space="preserve">l’assainissement, </w:t>
      </w:r>
      <w:r w:rsidRPr="00CD37DE">
        <w:rPr>
          <w:rFonts w:ascii="Times New Roman" w:hAnsi="Times New Roman"/>
          <w:sz w:val="24"/>
          <w:szCs w:val="24"/>
        </w:rPr>
        <w:t>la pratique</w:t>
      </w:r>
      <w:r w:rsidRPr="000824A6">
        <w:rPr>
          <w:rFonts w:ascii="Times New Roman" w:hAnsi="Times New Roman"/>
          <w:sz w:val="24"/>
        </w:rPr>
        <w:t xml:space="preserve"> de lavage des mains demeure un défi aussi bien en milieu rural qu’urbain. </w:t>
      </w:r>
    </w:p>
    <w:p w14:paraId="7CD2D7BD" w14:textId="77777777" w:rsidR="0088227F" w:rsidRPr="00720B1A" w:rsidRDefault="0088227F" w:rsidP="0088227F">
      <w:pPr>
        <w:autoSpaceDE w:val="0"/>
        <w:autoSpaceDN w:val="0"/>
        <w:adjustRightInd w:val="0"/>
        <w:spacing w:after="0" w:line="240" w:lineRule="auto"/>
        <w:jc w:val="both"/>
        <w:rPr>
          <w:rFonts w:ascii="Times New Roman" w:hAnsi="Times New Roman"/>
        </w:rPr>
      </w:pPr>
    </w:p>
    <w:p w14:paraId="3FAB665F"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b/>
          <w:sz w:val="24"/>
        </w:rPr>
        <w:t>ODD8 :</w:t>
      </w:r>
      <w:r w:rsidRPr="000824A6">
        <w:rPr>
          <w:rFonts w:ascii="Times New Roman" w:hAnsi="Times New Roman"/>
          <w:sz w:val="24"/>
        </w:rPr>
        <w:t xml:space="preserve"> Le taux d’inflation en moyenne annuelle s’est établi à 4% en 2018 contre -0,9% en 2017, -1,0% en 2019 (INSEED, 2019) et s’établirait à 3,6% après la pandémie de COVID-19. Les finances publiques sont également affectées par la COVID-19. Ainsi, le déficit budgétaire en 2020 et 2021 se creusera en raison de la baisse des recettes pétrolières et de l'augmentation des dépenses. </w:t>
      </w:r>
    </w:p>
    <w:p w14:paraId="2D8315F7" w14:textId="77777777" w:rsidR="0088227F" w:rsidRPr="00720B1A" w:rsidRDefault="0088227F" w:rsidP="0088227F">
      <w:pPr>
        <w:autoSpaceDE w:val="0"/>
        <w:autoSpaceDN w:val="0"/>
        <w:adjustRightInd w:val="0"/>
        <w:spacing w:after="0" w:line="240" w:lineRule="auto"/>
        <w:jc w:val="both"/>
        <w:rPr>
          <w:rFonts w:ascii="Times New Roman" w:hAnsi="Times New Roman"/>
        </w:rPr>
      </w:pPr>
    </w:p>
    <w:p w14:paraId="18EE7B33" w14:textId="77777777" w:rsidR="0088227F" w:rsidRPr="00CD37DE" w:rsidRDefault="0088227F" w:rsidP="0088227F">
      <w:pPr>
        <w:autoSpaceDE w:val="0"/>
        <w:autoSpaceDN w:val="0"/>
        <w:adjustRightInd w:val="0"/>
        <w:spacing w:after="0" w:line="240" w:lineRule="auto"/>
        <w:jc w:val="both"/>
        <w:rPr>
          <w:rFonts w:ascii="Times New Roman" w:hAnsi="Times New Roman"/>
          <w:sz w:val="24"/>
          <w:szCs w:val="24"/>
        </w:rPr>
      </w:pPr>
      <w:r w:rsidRPr="000824A6">
        <w:rPr>
          <w:rFonts w:ascii="Times New Roman" w:hAnsi="Times New Roman"/>
          <w:sz w:val="24"/>
        </w:rPr>
        <w:t>Selon le rapport du F</w:t>
      </w:r>
      <w:r>
        <w:rPr>
          <w:rFonts w:ascii="Times New Roman" w:hAnsi="Times New Roman"/>
          <w:sz w:val="24"/>
        </w:rPr>
        <w:t xml:space="preserve">onds </w:t>
      </w:r>
      <w:r w:rsidRPr="000824A6">
        <w:rPr>
          <w:rFonts w:ascii="Times New Roman" w:hAnsi="Times New Roman"/>
          <w:sz w:val="24"/>
        </w:rPr>
        <w:t>M</w:t>
      </w:r>
      <w:r>
        <w:rPr>
          <w:rFonts w:ascii="Times New Roman" w:hAnsi="Times New Roman"/>
          <w:sz w:val="24"/>
        </w:rPr>
        <w:t xml:space="preserve">onétaire </w:t>
      </w:r>
      <w:r w:rsidRPr="000824A6">
        <w:rPr>
          <w:rFonts w:ascii="Times New Roman" w:hAnsi="Times New Roman"/>
          <w:sz w:val="24"/>
        </w:rPr>
        <w:t>I</w:t>
      </w:r>
      <w:r>
        <w:rPr>
          <w:rFonts w:ascii="Times New Roman" w:hAnsi="Times New Roman"/>
          <w:sz w:val="24"/>
        </w:rPr>
        <w:t>nternational</w:t>
      </w:r>
      <w:r w:rsidRPr="000824A6">
        <w:rPr>
          <w:rFonts w:ascii="Times New Roman" w:hAnsi="Times New Roman"/>
          <w:sz w:val="24"/>
        </w:rPr>
        <w:t xml:space="preserve"> 2020, pour ce qui est du secteur réel, les simulations intégrant les effets de cette pandémie montrent que la croissance du P</w:t>
      </w:r>
      <w:r>
        <w:rPr>
          <w:rFonts w:ascii="Times New Roman" w:hAnsi="Times New Roman"/>
          <w:sz w:val="24"/>
        </w:rPr>
        <w:t xml:space="preserve">roduit </w:t>
      </w:r>
      <w:r w:rsidRPr="000824A6">
        <w:rPr>
          <w:rFonts w:ascii="Times New Roman" w:hAnsi="Times New Roman"/>
          <w:sz w:val="24"/>
        </w:rPr>
        <w:t>I</w:t>
      </w:r>
      <w:r>
        <w:rPr>
          <w:rFonts w:ascii="Times New Roman" w:hAnsi="Times New Roman"/>
          <w:sz w:val="24"/>
        </w:rPr>
        <w:t xml:space="preserve">ntérieur </w:t>
      </w:r>
      <w:r w:rsidRPr="000824A6">
        <w:rPr>
          <w:rFonts w:ascii="Times New Roman" w:hAnsi="Times New Roman"/>
          <w:sz w:val="24"/>
        </w:rPr>
        <w:t>B</w:t>
      </w:r>
      <w:r>
        <w:rPr>
          <w:rFonts w:ascii="Times New Roman" w:hAnsi="Times New Roman"/>
          <w:sz w:val="24"/>
        </w:rPr>
        <w:t>rut</w:t>
      </w:r>
      <w:r w:rsidRPr="000824A6">
        <w:rPr>
          <w:rFonts w:ascii="Times New Roman" w:hAnsi="Times New Roman"/>
          <w:sz w:val="24"/>
        </w:rPr>
        <w:t xml:space="preserve"> réel projetée à 3,9 % en 2020 (dont 7,5% pour le secteur pétrolier et 3% pour le secteur hors pétrole) avant la crise se situerait à -0,8% (dont 2,4% pour le secteur pétrolier et -1,5% pour le secteur hors pétrole) en raison du ralentissement des activités pétrolières (3,2%) et aussi du secteur non pétrolier (-1,3%). Il apparaît clairement que le modèle de croissance du P</w:t>
      </w:r>
      <w:r>
        <w:rPr>
          <w:rFonts w:ascii="Times New Roman" w:hAnsi="Times New Roman"/>
          <w:sz w:val="24"/>
        </w:rPr>
        <w:t xml:space="preserve">roduit </w:t>
      </w:r>
      <w:r w:rsidRPr="000824A6">
        <w:rPr>
          <w:rFonts w:ascii="Times New Roman" w:hAnsi="Times New Roman"/>
          <w:sz w:val="24"/>
        </w:rPr>
        <w:t>I</w:t>
      </w:r>
      <w:r>
        <w:rPr>
          <w:rFonts w:ascii="Times New Roman" w:hAnsi="Times New Roman"/>
          <w:sz w:val="24"/>
        </w:rPr>
        <w:t xml:space="preserve">ntérieur </w:t>
      </w:r>
      <w:r w:rsidRPr="000824A6">
        <w:rPr>
          <w:rFonts w:ascii="Times New Roman" w:hAnsi="Times New Roman"/>
          <w:sz w:val="24"/>
        </w:rPr>
        <w:t>B</w:t>
      </w:r>
      <w:r>
        <w:rPr>
          <w:rFonts w:ascii="Times New Roman" w:hAnsi="Times New Roman"/>
          <w:sz w:val="24"/>
        </w:rPr>
        <w:t>rut</w:t>
      </w:r>
      <w:r w:rsidRPr="000824A6">
        <w:rPr>
          <w:rFonts w:ascii="Times New Roman" w:hAnsi="Times New Roman"/>
          <w:sz w:val="24"/>
        </w:rPr>
        <w:t xml:space="preserve"> n’affiche pas une certaine résilience aux chocs du fait d’une faible valorisation des secteurs porteurs et de faibles productivités sectorielles. </w:t>
      </w:r>
      <w:r w:rsidRPr="00CD37DE">
        <w:rPr>
          <w:rFonts w:ascii="Times New Roman" w:hAnsi="Times New Roman"/>
          <w:sz w:val="24"/>
          <w:szCs w:val="24"/>
        </w:rPr>
        <w:t xml:space="preserve"> </w:t>
      </w:r>
    </w:p>
    <w:p w14:paraId="0FF91E89" w14:textId="77777777" w:rsidR="0088227F" w:rsidRPr="00CD37DE" w:rsidRDefault="0088227F" w:rsidP="0088227F">
      <w:pPr>
        <w:autoSpaceDE w:val="0"/>
        <w:autoSpaceDN w:val="0"/>
        <w:adjustRightInd w:val="0"/>
        <w:spacing w:after="0" w:line="240" w:lineRule="auto"/>
        <w:jc w:val="both"/>
        <w:rPr>
          <w:rFonts w:ascii="Times New Roman" w:hAnsi="Times New Roman"/>
          <w:sz w:val="24"/>
          <w:szCs w:val="24"/>
        </w:rPr>
      </w:pPr>
    </w:p>
    <w:p w14:paraId="63151A6D"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sz w:val="24"/>
        </w:rPr>
        <w:t>Le marché du travail au Tchad connaît une contraction consécutive à la COVID-19. Selon les statistiques nationales (</w:t>
      </w:r>
      <w:r w:rsidRPr="003A222B">
        <w:rPr>
          <w:rFonts w:ascii="Times New Roman" w:hAnsi="Times New Roman"/>
          <w:sz w:val="24"/>
        </w:rPr>
        <w:t>Chambre de commerce d'industrie, d'agriculture, des mines et d'artisanat</w:t>
      </w:r>
      <w:r>
        <w:rPr>
          <w:rFonts w:ascii="Times New Roman" w:hAnsi="Times New Roman"/>
          <w:sz w:val="24"/>
        </w:rPr>
        <w:t xml:space="preserve"> ; </w:t>
      </w:r>
      <w:r w:rsidRPr="003A222B">
        <w:rPr>
          <w:rFonts w:ascii="Times New Roman" w:hAnsi="Times New Roman"/>
          <w:sz w:val="24"/>
        </w:rPr>
        <w:t>Office Nationale pour la Promotion de l’Emploi</w:t>
      </w:r>
      <w:r>
        <w:rPr>
          <w:rFonts w:ascii="Times New Roman" w:hAnsi="Times New Roman"/>
          <w:sz w:val="24"/>
        </w:rPr>
        <w:t> ;</w:t>
      </w:r>
      <w:r w:rsidRPr="000824A6">
        <w:rPr>
          <w:rFonts w:ascii="Times New Roman" w:hAnsi="Times New Roman"/>
          <w:sz w:val="24"/>
        </w:rPr>
        <w:t xml:space="preserve"> et </w:t>
      </w:r>
      <w:r w:rsidRPr="003A222B">
        <w:rPr>
          <w:rFonts w:ascii="Times New Roman" w:hAnsi="Times New Roman"/>
          <w:sz w:val="24"/>
        </w:rPr>
        <w:t>Caisse Nationale de Prévoyance Sociale</w:t>
      </w:r>
      <w:r w:rsidRPr="000824A6">
        <w:rPr>
          <w:rFonts w:ascii="Times New Roman" w:hAnsi="Times New Roman"/>
          <w:sz w:val="24"/>
        </w:rPr>
        <w:t xml:space="preserve">) près de 288 607 personnes sont en chômage technique dont les plus importants sont dans le secteur du commerce non alimentaire (155 585 postes), le secteur de l’éducation toute catégorie confondue (78 541postes), le transport urbain (15 210 postes), et enfin le secteur des grillades de viande et des restaurants avec respectivement un effectif de 9 220 et 7 460 personnes en arrêt d’activité. Sur la base des données de l'Office Nationale pour la Promotion de l’Emploi et de la Caisse Nationale de Prévoyance Sociale, il ressort qu’en termes d’homologation des postes de travail, les nationaux perdront 100 postes ; 6.000 personnes bénéficiaires de l’auto-emploi seront en difficulté. S’agissant du programme crédit agricole de </w:t>
      </w:r>
      <w:r>
        <w:rPr>
          <w:rFonts w:ascii="Times New Roman" w:hAnsi="Times New Roman"/>
          <w:sz w:val="24"/>
        </w:rPr>
        <w:t>l’</w:t>
      </w:r>
      <w:r w:rsidRPr="003A222B">
        <w:rPr>
          <w:rFonts w:ascii="Times New Roman" w:hAnsi="Times New Roman"/>
          <w:sz w:val="24"/>
        </w:rPr>
        <w:t xml:space="preserve">Office Nationale pour </w:t>
      </w:r>
      <w:r w:rsidRPr="003A222B">
        <w:rPr>
          <w:rFonts w:ascii="Times New Roman" w:hAnsi="Times New Roman"/>
          <w:sz w:val="24"/>
        </w:rPr>
        <w:lastRenderedPageBreak/>
        <w:t>la Promotion de l’Emploi</w:t>
      </w:r>
      <w:r w:rsidRPr="000824A6">
        <w:rPr>
          <w:rFonts w:ascii="Times New Roman" w:hAnsi="Times New Roman"/>
          <w:sz w:val="24"/>
        </w:rPr>
        <w:t>, 50.000 emplois saisonniers seront perdus et 150.000 personnes seront en difficulté. Environ 82 300 travailleurs journaliers à N’Djaména sont en difficultés. A cela, s’ajoute la situation d’environ 250 000 nouveaux diplômés qui frappent chaque année à la porte du marché de travail tchadien. La situation de ces jeunes risque d’être compromise par la pandémie du COVID-19. En effet, le ralentissement des activités économiques plongerait ces jeunes diplômés dans un chômage massif et structurel si des mesures atténuantes ne sont prises par les autorités publiques.</w:t>
      </w:r>
      <w:r w:rsidRPr="00CD37DE">
        <w:rPr>
          <w:rFonts w:cs="Calibri"/>
          <w:color w:val="000000"/>
          <w:sz w:val="24"/>
          <w:szCs w:val="24"/>
        </w:rPr>
        <w:t xml:space="preserve"> </w:t>
      </w:r>
      <w:r w:rsidRPr="000824A6">
        <w:rPr>
          <w:rFonts w:ascii="Times New Roman" w:hAnsi="Times New Roman"/>
          <w:sz w:val="24"/>
        </w:rPr>
        <w:t>La persistance du niveau encore élevé de sous-emploi et de vulnérabilité du travail recommande d’investir à la fois sur la transformation structurelle de l’économie pour accroître la contribution des secteurs de l’industrie et des services modernes à la création des richesses et des emplois décents.</w:t>
      </w:r>
    </w:p>
    <w:p w14:paraId="3BA3AB54" w14:textId="77777777" w:rsidR="0088227F" w:rsidRPr="00720B1A" w:rsidRDefault="0088227F" w:rsidP="0088227F">
      <w:pPr>
        <w:autoSpaceDE w:val="0"/>
        <w:autoSpaceDN w:val="0"/>
        <w:adjustRightInd w:val="0"/>
        <w:spacing w:after="0" w:line="240" w:lineRule="auto"/>
        <w:jc w:val="both"/>
        <w:rPr>
          <w:rFonts w:ascii="Times New Roman" w:hAnsi="Times New Roman"/>
        </w:rPr>
      </w:pPr>
    </w:p>
    <w:p w14:paraId="10F0864B"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b/>
          <w:sz w:val="24"/>
        </w:rPr>
        <w:t>ODD 9 :</w:t>
      </w:r>
      <w:r w:rsidRPr="000824A6">
        <w:rPr>
          <w:rFonts w:ascii="Times New Roman" w:hAnsi="Times New Roman"/>
          <w:sz w:val="24"/>
        </w:rPr>
        <w:t xml:space="preserve"> Selon le rapport du Fonds Monétaire Internationale de juillet 2020, malgré la chute du prix du pétrole, les recettes pétrolières vont augmenter de 30% en 2020 grâce au paiement en 2020 de l’Impôt de l’exercice 2019 par la société Pétrolière Chinoise (China National Petroleum Corporation) conformément au régime de droit commun. Cependant les effets de la chute des prix du pétrole en 2020 entraineraient une baisse de recette pétrolière de 26% en 2021. En conséquence, </w:t>
      </w:r>
      <w:r w:rsidRPr="00CD37DE">
        <w:rPr>
          <w:rFonts w:ascii="Times New Roman" w:hAnsi="Times New Roman"/>
          <w:sz w:val="24"/>
          <w:szCs w:val="24"/>
        </w:rPr>
        <w:t>le déficit budgétaire est estimé à</w:t>
      </w:r>
      <w:r w:rsidRPr="000824A6">
        <w:rPr>
          <w:rFonts w:ascii="Times New Roman" w:hAnsi="Times New Roman"/>
          <w:sz w:val="24"/>
        </w:rPr>
        <w:t xml:space="preserve"> 1,9 % en 2020 et se creusera à 3,8 % en 2021. En revanche, les dépenses publiques augmenteront en raison d'une hausse de la masse salariale et des transferts vers le secteur de la santé pour contenir la pandémie de COVID-19. </w:t>
      </w:r>
    </w:p>
    <w:p w14:paraId="765C9760" w14:textId="77777777" w:rsidR="0088227F" w:rsidRPr="00720B1A" w:rsidRDefault="0088227F" w:rsidP="0088227F">
      <w:pPr>
        <w:autoSpaceDE w:val="0"/>
        <w:autoSpaceDN w:val="0"/>
        <w:adjustRightInd w:val="0"/>
        <w:spacing w:after="0" w:line="240" w:lineRule="auto"/>
        <w:jc w:val="both"/>
        <w:rPr>
          <w:rFonts w:ascii="Times New Roman" w:hAnsi="Times New Roman"/>
        </w:rPr>
      </w:pPr>
    </w:p>
    <w:p w14:paraId="59283D8D" w14:textId="77777777" w:rsidR="0088227F" w:rsidRPr="00720B1A" w:rsidRDefault="0088227F" w:rsidP="0088227F">
      <w:pPr>
        <w:autoSpaceDE w:val="0"/>
        <w:autoSpaceDN w:val="0"/>
        <w:adjustRightInd w:val="0"/>
        <w:spacing w:after="0" w:line="240" w:lineRule="auto"/>
        <w:jc w:val="both"/>
        <w:rPr>
          <w:rFonts w:ascii="Times New Roman" w:hAnsi="Times New Roman"/>
        </w:rPr>
      </w:pPr>
      <w:r w:rsidRPr="000824A6">
        <w:rPr>
          <w:rFonts w:ascii="Times New Roman" w:hAnsi="Times New Roman"/>
          <w:color w:val="000000"/>
          <w:sz w:val="24"/>
        </w:rPr>
        <w:t xml:space="preserve">Les échanges extérieurs sont durement touchés par la crise sanitaire. Sous l'effet de la balance commerciale, le déficit des comptes courants se creuserait en 2020. Les exportations de pétrole devraient chuter de près de 40 % en 2020 et les exportations totales de 31 % en raison de l'impact de COVID-19 sur la demande mondiale, du choc des prix du pétrole et des fermetures de frontières. Les importations totales ne s'ajusteront pas de la même façon, mais elles augmenteront plutôt de 2,3 %. </w:t>
      </w:r>
      <w:r>
        <w:rPr>
          <w:rFonts w:ascii="Times New Roman" w:hAnsi="Times New Roman"/>
          <w:color w:val="000000"/>
          <w:sz w:val="24"/>
        </w:rPr>
        <w:t xml:space="preserve"> </w:t>
      </w:r>
    </w:p>
    <w:p w14:paraId="77CE37D7" w14:textId="77777777" w:rsidR="0088227F" w:rsidRPr="00CD37DE" w:rsidRDefault="0088227F" w:rsidP="0088227F">
      <w:pPr>
        <w:spacing w:after="0" w:line="240" w:lineRule="auto"/>
        <w:jc w:val="both"/>
        <w:rPr>
          <w:rFonts w:ascii="Times New Roman" w:hAnsi="Times New Roman"/>
          <w:sz w:val="24"/>
          <w:szCs w:val="24"/>
        </w:rPr>
      </w:pPr>
    </w:p>
    <w:p w14:paraId="3D412958" w14:textId="77777777" w:rsidR="0088227F" w:rsidRPr="00CD37DE" w:rsidRDefault="0088227F" w:rsidP="0088227F">
      <w:pPr>
        <w:spacing w:line="240" w:lineRule="auto"/>
        <w:jc w:val="both"/>
        <w:rPr>
          <w:rFonts w:ascii="Times New Roman" w:hAnsi="Times New Roman"/>
          <w:sz w:val="24"/>
          <w:szCs w:val="24"/>
        </w:rPr>
      </w:pPr>
      <w:r w:rsidRPr="00CD37DE">
        <w:rPr>
          <w:rFonts w:ascii="Times New Roman" w:hAnsi="Times New Roman"/>
          <w:sz w:val="24"/>
          <w:szCs w:val="24"/>
        </w:rPr>
        <w:t>Ces arrêts d’activités ont provoqué une perte de revenus considérable aux entités économiques, ce qui est une atteinte à leurs droits économiques et sociaux. Le chiffre d’affaire considéré comme le manque à gagner pendant le mois d’avril 2020 est estimé à 176,8 milliards de FCFA (rapport d’étude d’impact due à COVID-19). Néanmoins, certains secteurs semblent avoir bénéficié de ces mesures. Par exemple, pour la première fois, la raffinerie exporte des produits pétroliers raffinés vers le Cameroun (la raffinerie était confrontée à une surproduction quelques semaines auparavant), la société sucrière a augmenté ses ventes intérieures, qui avaient été entravées par les importations frauduleuses, la Coton Tchad vend son huile végétale sur le marché local.</w:t>
      </w:r>
    </w:p>
    <w:p w14:paraId="07DBE0BA" w14:textId="77777777" w:rsidR="0088227F" w:rsidRPr="00C261AF" w:rsidRDefault="0088227F" w:rsidP="0088227F">
      <w:pPr>
        <w:spacing w:line="240" w:lineRule="auto"/>
        <w:jc w:val="both"/>
        <w:rPr>
          <w:rFonts w:ascii="Times New Roman" w:hAnsi="Times New Roman"/>
          <w:sz w:val="24"/>
          <w:szCs w:val="24"/>
        </w:rPr>
      </w:pPr>
      <w:r w:rsidRPr="00CD37DE">
        <w:rPr>
          <w:rFonts w:ascii="Times New Roman" w:hAnsi="Times New Roman"/>
          <w:b/>
          <w:bCs/>
          <w:sz w:val="24"/>
          <w:szCs w:val="24"/>
        </w:rPr>
        <w:t>ODD 10</w:t>
      </w:r>
      <w:r w:rsidRPr="00CD37DE">
        <w:rPr>
          <w:rFonts w:ascii="Times New Roman" w:hAnsi="Times New Roman"/>
          <w:sz w:val="24"/>
          <w:szCs w:val="24"/>
        </w:rPr>
        <w:t xml:space="preserve"> :  </w:t>
      </w:r>
      <w:r w:rsidRPr="00C261AF">
        <w:rPr>
          <w:rFonts w:ascii="Times New Roman" w:hAnsi="Times New Roman"/>
          <w:sz w:val="24"/>
          <w:szCs w:val="24"/>
        </w:rPr>
        <w:t>Selon les résultats de ECOSIT 4,</w:t>
      </w:r>
      <w:r>
        <w:rPr>
          <w:rFonts w:ascii="Times New Roman" w:hAnsi="Times New Roman"/>
          <w:sz w:val="24"/>
          <w:szCs w:val="24"/>
        </w:rPr>
        <w:t xml:space="preserve"> 2019</w:t>
      </w:r>
      <w:r w:rsidRPr="00C261AF">
        <w:rPr>
          <w:rFonts w:ascii="Times New Roman" w:hAnsi="Times New Roman"/>
          <w:sz w:val="24"/>
          <w:szCs w:val="24"/>
        </w:rPr>
        <w:t xml:space="preserve"> l’analyse de l’inégalité est faite en suivant l’approche dépenses de consommation des ménages par milieu de résidence selon les quintiles de bien-être ; et l’approche basée sur l’analyse de l’indice de Gini calculé sur la base des dépenses totales de consommation des ménages, fait ressortir que le fossé entre riches et pauvres ; milieu rural et milieu urbain devient de plus en plus large et s’illustre par des discriminations de toute sorte.</w:t>
      </w:r>
    </w:p>
    <w:p w14:paraId="1948E530" w14:textId="77777777" w:rsidR="0088227F" w:rsidRPr="00C261AF" w:rsidRDefault="0088227F" w:rsidP="0088227F">
      <w:pPr>
        <w:spacing w:line="240" w:lineRule="auto"/>
        <w:jc w:val="both"/>
        <w:rPr>
          <w:rFonts w:ascii="Times New Roman" w:hAnsi="Times New Roman"/>
          <w:sz w:val="24"/>
          <w:szCs w:val="24"/>
        </w:rPr>
      </w:pPr>
      <w:r w:rsidRPr="00C261AF">
        <w:rPr>
          <w:rFonts w:ascii="Times New Roman" w:hAnsi="Times New Roman"/>
          <w:sz w:val="24"/>
          <w:szCs w:val="24"/>
        </w:rPr>
        <w:t>De même, en 2019, l’O</w:t>
      </w:r>
      <w:r>
        <w:rPr>
          <w:rFonts w:ascii="Times New Roman" w:hAnsi="Times New Roman"/>
          <w:sz w:val="24"/>
          <w:szCs w:val="24"/>
        </w:rPr>
        <w:t xml:space="preserve">rganisation non-Gouvernementale </w:t>
      </w:r>
      <w:r w:rsidRPr="00C261AF">
        <w:rPr>
          <w:rFonts w:ascii="Times New Roman" w:hAnsi="Times New Roman"/>
          <w:sz w:val="24"/>
          <w:szCs w:val="24"/>
        </w:rPr>
        <w:t xml:space="preserve">Oxfam, en partenariat avec </w:t>
      </w:r>
      <w:r>
        <w:rPr>
          <w:rFonts w:ascii="Times New Roman" w:hAnsi="Times New Roman"/>
          <w:sz w:val="24"/>
          <w:szCs w:val="24"/>
        </w:rPr>
        <w:t xml:space="preserve">le </w:t>
      </w:r>
      <w:r w:rsidRPr="00646D99">
        <w:rPr>
          <w:rFonts w:ascii="Times New Roman" w:hAnsi="Times New Roman"/>
          <w:sz w:val="24"/>
          <w:szCs w:val="24"/>
        </w:rPr>
        <w:t xml:space="preserve">Centre d’Etude et de Recherche pour la Gouvernance, les Industries Extractives et le Développement </w:t>
      </w:r>
      <w:r w:rsidRPr="00C261AF">
        <w:rPr>
          <w:rFonts w:ascii="Times New Roman" w:hAnsi="Times New Roman"/>
          <w:sz w:val="24"/>
          <w:szCs w:val="24"/>
        </w:rPr>
        <w:t xml:space="preserve">a présenté un rapport sur les inégalités au Sahel, au </w:t>
      </w:r>
      <w:r w:rsidRPr="00646D99">
        <w:rPr>
          <w:rFonts w:ascii="Times New Roman" w:hAnsi="Times New Roman"/>
          <w:sz w:val="24"/>
          <w:szCs w:val="24"/>
        </w:rPr>
        <w:t>Centre d'Etude et de Formation pour le Développement</w:t>
      </w:r>
      <w:r w:rsidRPr="00C261AF">
        <w:rPr>
          <w:rFonts w:ascii="Times New Roman" w:hAnsi="Times New Roman"/>
          <w:sz w:val="24"/>
          <w:szCs w:val="24"/>
        </w:rPr>
        <w:t xml:space="preserve">. Ce rapport décrit sous trois piliers, les types d’inégalités qui sont communes aux pays du Sahel en examinant principalement la question de fiscalité, les politiques sociales et agricole. Comparativement à ses voisins, </w:t>
      </w:r>
      <w:r w:rsidRPr="00C261AF">
        <w:rPr>
          <w:rFonts w:ascii="Times New Roman" w:hAnsi="Times New Roman"/>
          <w:sz w:val="24"/>
          <w:szCs w:val="24"/>
        </w:rPr>
        <w:lastRenderedPageBreak/>
        <w:t xml:space="preserve">le Tchad est le pays sahélien le plus inégalitaire où les 10% de la population les plus riches possèdent une part deux fois plus importante du revenu national brut, que les 40% de la population les plus pauvres. En dépit de l’exploitation du pétrole depuis 2003, </w:t>
      </w:r>
      <w:r w:rsidRPr="00496FB4">
        <w:rPr>
          <w:rFonts w:ascii="Times New Roman" w:hAnsi="Times New Roman"/>
          <w:sz w:val="24"/>
          <w:szCs w:val="24"/>
        </w:rPr>
        <w:t>le Tchad est classé 187</w:t>
      </w:r>
      <w:r w:rsidRPr="00496FB4">
        <w:rPr>
          <w:rFonts w:ascii="Times New Roman" w:hAnsi="Times New Roman"/>
          <w:sz w:val="24"/>
          <w:szCs w:val="24"/>
          <w:vertAlign w:val="superscript"/>
        </w:rPr>
        <w:t>e</w:t>
      </w:r>
      <w:r w:rsidRPr="00496FB4">
        <w:rPr>
          <w:rFonts w:ascii="Times New Roman" w:hAnsi="Times New Roman"/>
          <w:sz w:val="24"/>
          <w:szCs w:val="24"/>
        </w:rPr>
        <w:t xml:space="preserve"> sur 189 pays au monde en termes d’indice de développement humain en 2020</w:t>
      </w:r>
      <w:r w:rsidRPr="00C261AF">
        <w:rPr>
          <w:rFonts w:ascii="Times New Roman" w:hAnsi="Times New Roman"/>
          <w:sz w:val="24"/>
          <w:szCs w:val="24"/>
        </w:rPr>
        <w:t xml:space="preserve">. Le rapport précise que les choix budgétaires et les politiques fiscales des gouvernements des pays sahéliens ne permettent pas de lever des ressources suffisantes pour financer des services publics de qualité à tous, ni de réduire les inégalités de revenus dans la population. </w:t>
      </w:r>
    </w:p>
    <w:p w14:paraId="1C8D1CF6" w14:textId="77777777" w:rsidR="0088227F" w:rsidRPr="00C261AF" w:rsidRDefault="0088227F" w:rsidP="0088227F">
      <w:pPr>
        <w:spacing w:line="240" w:lineRule="auto"/>
        <w:jc w:val="both"/>
        <w:rPr>
          <w:rFonts w:ascii="Times New Roman" w:hAnsi="Times New Roman"/>
          <w:sz w:val="24"/>
          <w:szCs w:val="24"/>
        </w:rPr>
      </w:pPr>
      <w:r w:rsidRPr="00C261AF">
        <w:rPr>
          <w:rFonts w:ascii="Times New Roman" w:hAnsi="Times New Roman"/>
          <w:sz w:val="24"/>
          <w:szCs w:val="24"/>
        </w:rPr>
        <w:t xml:space="preserve">Dans ces pays, les opportunités de formation, de travail, d’émancipation économique et financière sont très faibles pour une grande part de la population, en particulier en milieu rural. Il est également mentionné que le Tchad figure parmi les 12 pays qui affichent des taux de discrimination très élevé en matière du genre. « Des pratiques coutumières discriminatoires et la mauvaise application des cadres législatifs expliquent d’importants écarts femmes-hommes en matière de propriété foncière et non foncière. Les veuves sont particulièrement vulnérables à la dépossession des biens </w:t>
      </w:r>
      <w:r>
        <w:rPr>
          <w:rFonts w:ascii="Times New Roman" w:hAnsi="Times New Roman"/>
          <w:sz w:val="24"/>
          <w:szCs w:val="24"/>
        </w:rPr>
        <w:t>ou susceptibles d’être</w:t>
      </w:r>
      <w:r w:rsidRPr="00C261AF">
        <w:rPr>
          <w:rFonts w:ascii="Times New Roman" w:hAnsi="Times New Roman"/>
          <w:sz w:val="24"/>
          <w:szCs w:val="24"/>
        </w:rPr>
        <w:t xml:space="preserve"> déshéritée</w:t>
      </w:r>
      <w:r>
        <w:rPr>
          <w:rFonts w:ascii="Times New Roman" w:hAnsi="Times New Roman"/>
          <w:sz w:val="24"/>
          <w:szCs w:val="24"/>
        </w:rPr>
        <w:t>s</w:t>
      </w:r>
      <w:r w:rsidRPr="00C261AF">
        <w:rPr>
          <w:rFonts w:ascii="Times New Roman" w:hAnsi="Times New Roman"/>
          <w:sz w:val="24"/>
          <w:szCs w:val="24"/>
        </w:rPr>
        <w:t xml:space="preserve"> ». </w:t>
      </w:r>
    </w:p>
    <w:p w14:paraId="6C9CB785" w14:textId="77777777" w:rsidR="0088227F" w:rsidRPr="00CD37DE" w:rsidRDefault="0088227F" w:rsidP="0088227F">
      <w:pPr>
        <w:spacing w:line="240" w:lineRule="auto"/>
        <w:jc w:val="both"/>
        <w:rPr>
          <w:rFonts w:ascii="Times New Roman" w:hAnsi="Times New Roman"/>
          <w:sz w:val="24"/>
          <w:szCs w:val="24"/>
        </w:rPr>
      </w:pPr>
      <w:r w:rsidRPr="00C261AF">
        <w:rPr>
          <w:rFonts w:ascii="Times New Roman" w:hAnsi="Times New Roman"/>
          <w:sz w:val="24"/>
          <w:szCs w:val="24"/>
        </w:rPr>
        <w:t xml:space="preserve">Selon le rapport d’Enquête </w:t>
      </w:r>
      <w:r w:rsidRPr="00854E96">
        <w:rPr>
          <w:rFonts w:ascii="Times New Roman" w:hAnsi="Times New Roman"/>
          <w:sz w:val="24"/>
          <w:szCs w:val="24"/>
        </w:rPr>
        <w:t xml:space="preserve">Démographique et de Santé et à Indicateurs Multiples </w:t>
      </w:r>
      <w:r w:rsidRPr="00C261AF">
        <w:rPr>
          <w:rFonts w:ascii="Times New Roman" w:hAnsi="Times New Roman"/>
          <w:sz w:val="24"/>
          <w:szCs w:val="24"/>
        </w:rPr>
        <w:t>2015 les enfants de 5-17 ans ont travaillé la semaine dernière suivant l’enquête représentent 52%.  La même source indique qu’une 1 femme sur 5 déclare être victime de violence physique et 12% des femmes subissent des violences sexuelles chaque année ; 35% des filles sont mariées avant l’âge de 15 ans et 44% ont vécu des mutilations génitales féminines.</w:t>
      </w:r>
    </w:p>
    <w:p w14:paraId="53396552" w14:textId="77777777" w:rsidR="0088227F" w:rsidRDefault="0088227F" w:rsidP="0088227F">
      <w:pPr>
        <w:shd w:val="clear" w:color="auto" w:fill="FFFFFF" w:themeFill="background1"/>
        <w:spacing w:line="240" w:lineRule="auto"/>
        <w:jc w:val="both"/>
        <w:rPr>
          <w:rFonts w:ascii="Times New Roman" w:hAnsi="Times New Roman"/>
          <w:sz w:val="24"/>
          <w:szCs w:val="24"/>
        </w:rPr>
      </w:pPr>
      <w:r w:rsidRPr="00CD37DE">
        <w:rPr>
          <w:rFonts w:ascii="Times New Roman" w:hAnsi="Times New Roman"/>
          <w:b/>
          <w:bCs/>
          <w:sz w:val="24"/>
          <w:szCs w:val="24"/>
        </w:rPr>
        <w:t>ODD 11 :</w:t>
      </w:r>
      <w:r w:rsidRPr="00CD37DE">
        <w:rPr>
          <w:rFonts w:ascii="Times New Roman" w:hAnsi="Times New Roman"/>
          <w:sz w:val="24"/>
          <w:szCs w:val="24"/>
        </w:rPr>
        <w:t xml:space="preserve"> selon le rapport d’études d’impact due à COVID-19, les entreprises de télécommunications ont augmenté leurs ventes à l’ère du confinement/télétravail. Concernant le transport urbain, les pertes mensuelles sont estimées à 761 millions de FCFA. Pour ce qui est des transports interurbains, les pertes mensuelles sont évaluées à 633 millions de FCFA. </w:t>
      </w:r>
      <w:r w:rsidRPr="00CD37DE">
        <w:rPr>
          <w:rFonts w:ascii="Times New Roman" w:hAnsi="Times New Roman"/>
          <w:sz w:val="24"/>
          <w:shd w:val="clear" w:color="auto" w:fill="FFFFFF" w:themeFill="background1"/>
        </w:rPr>
        <w:t>Pour le transport aérien, même si certaines compagnies ont repris leurs vols internationaux en août 2020, cette reprise est progressive et la situation n’est toujours pas revenue à la normale et plusieurs dizaines de vols mensuels des six (06) compagnies qui desservent le Tchad sont encore annulés avec une perte énorme pour l’économie nationale</w:t>
      </w:r>
      <w:r w:rsidRPr="00CD37DE">
        <w:rPr>
          <w:rFonts w:ascii="Times New Roman" w:hAnsi="Times New Roman"/>
          <w:sz w:val="24"/>
          <w:szCs w:val="24"/>
        </w:rPr>
        <w:t xml:space="preserve">. A ce secteur, il faut ajouter l’arrêt des activités de la compagnie nationale TCHADIA Airlines. </w:t>
      </w:r>
    </w:p>
    <w:p w14:paraId="5BF0EC4E" w14:textId="77777777" w:rsidR="0088227F" w:rsidRDefault="0088227F" w:rsidP="0088227F">
      <w:pPr>
        <w:shd w:val="clear" w:color="auto" w:fill="FFFFFF" w:themeFill="background1"/>
        <w:spacing w:line="240" w:lineRule="auto"/>
        <w:jc w:val="both"/>
        <w:rPr>
          <w:rFonts w:ascii="Times New Roman" w:hAnsi="Times New Roman"/>
          <w:sz w:val="24"/>
          <w:szCs w:val="24"/>
        </w:rPr>
      </w:pPr>
      <w:r w:rsidRPr="00E70B6A">
        <w:rPr>
          <w:rFonts w:ascii="Times New Roman" w:hAnsi="Times New Roman"/>
          <w:b/>
          <w:bCs/>
          <w:sz w:val="24"/>
          <w:szCs w:val="24"/>
        </w:rPr>
        <w:t xml:space="preserve">ODD13 </w:t>
      </w:r>
      <w:r w:rsidRPr="00940B62">
        <w:rPr>
          <w:rFonts w:ascii="Times New Roman" w:hAnsi="Times New Roman"/>
          <w:sz w:val="24"/>
          <w:szCs w:val="24"/>
        </w:rPr>
        <w:t>: Le Tchad est un pays fortement exposé à différents types de risques de catastrophes. La dernière décennie a été particulièrement marquée par des chocs climatiques et hydrologiques de plus en plus récurrents et complexes. Les sécheresses et les inondations sont parmi les aléas les plus importants du pays et les conséquences de catastrophes qu’elles engendrent pèsent lourdement sur le développement socioéconomique du pays. A ce titre, il devient clair que l’Adaptation au Changement Climatique (ACC) est une préoccupation majeure du pays. Les scénarii laissent en effet à penser que les phénomènes climatiques extrêmes seront plus rapprochés dans le temps et plus intenses</w:t>
      </w:r>
    </w:p>
    <w:p w14:paraId="44A64D4B" w14:textId="77777777" w:rsidR="0088227F" w:rsidRPr="00CD37DE" w:rsidRDefault="0088227F" w:rsidP="0088227F">
      <w:pPr>
        <w:spacing w:line="240" w:lineRule="auto"/>
        <w:jc w:val="both"/>
        <w:rPr>
          <w:rFonts w:ascii="Times New Roman" w:hAnsi="Times New Roman"/>
          <w:sz w:val="24"/>
          <w:szCs w:val="24"/>
        </w:rPr>
      </w:pPr>
      <w:r w:rsidRPr="00CD37DE">
        <w:rPr>
          <w:rFonts w:ascii="Times New Roman" w:hAnsi="Times New Roman"/>
          <w:b/>
          <w:bCs/>
          <w:sz w:val="24"/>
          <w:szCs w:val="24"/>
        </w:rPr>
        <w:t>ODD 17</w:t>
      </w:r>
      <w:r w:rsidRPr="00CD37DE">
        <w:rPr>
          <w:rFonts w:ascii="Times New Roman" w:hAnsi="Times New Roman"/>
          <w:sz w:val="24"/>
          <w:szCs w:val="24"/>
        </w:rPr>
        <w:t xml:space="preserve"> : En ce qui concerne l'établissement de partenariats pour soutenir la mise en œuvre des </w:t>
      </w:r>
      <w:r>
        <w:rPr>
          <w:rFonts w:ascii="Times New Roman" w:hAnsi="Times New Roman"/>
          <w:sz w:val="24"/>
          <w:szCs w:val="24"/>
        </w:rPr>
        <w:t>objectifs de développement durable</w:t>
      </w:r>
      <w:r w:rsidRPr="00CD37DE">
        <w:rPr>
          <w:rFonts w:ascii="Times New Roman" w:hAnsi="Times New Roman"/>
          <w:sz w:val="24"/>
          <w:szCs w:val="24"/>
        </w:rPr>
        <w:t xml:space="preserve">, le covid-19 a entravé les efforts en cours pour fournir des formations et soutien technique aux institutions nationales sur la conception et la mise en œuvre de programmes de planification des réponses pour la sécurité alimentaire et la nutrition avec une alerte précoce consolidée et des mécanismes de coordination, ainsi que des filets sociaux sensibles aux chocs, sensibles à la nutrition et au genre; des programmes de formation et de communication pour une meilleure nutrition et des pratiques agricoles résilientes; et l'amélioration des mécanismes de coordination de l'alimentation </w:t>
      </w:r>
      <w:r w:rsidRPr="00CD37DE">
        <w:rPr>
          <w:rFonts w:ascii="Times New Roman" w:hAnsi="Times New Roman"/>
          <w:sz w:val="24"/>
          <w:szCs w:val="24"/>
        </w:rPr>
        <w:lastRenderedPageBreak/>
        <w:t>et de la nutrition. En outre, la fourniture de la chaîne d'approvisionnement, des T</w:t>
      </w:r>
      <w:r>
        <w:rPr>
          <w:rFonts w:ascii="Times New Roman" w:hAnsi="Times New Roman"/>
          <w:sz w:val="24"/>
          <w:szCs w:val="24"/>
        </w:rPr>
        <w:t>echnologie de l’information et de la communication</w:t>
      </w:r>
      <w:r w:rsidRPr="00CD37DE">
        <w:rPr>
          <w:rFonts w:ascii="Times New Roman" w:hAnsi="Times New Roman"/>
          <w:sz w:val="24"/>
          <w:szCs w:val="24"/>
        </w:rPr>
        <w:t>, de la gestion de l'information et d'autres services logistiques à la communauté humanitaire et de développement est affectée négativement, tout comme la fourniture de services des vols humanitaire de Nations Unies pour permettre aux partenaires d'atteindre les zones d'intervention humanitaire.</w:t>
      </w:r>
    </w:p>
    <w:p w14:paraId="3AF011BC" w14:textId="77777777" w:rsidR="0088227F" w:rsidRPr="00CD37DE" w:rsidRDefault="0088227F" w:rsidP="0088227F">
      <w:pPr>
        <w:spacing w:after="0" w:line="240" w:lineRule="auto"/>
        <w:jc w:val="both"/>
        <w:rPr>
          <w:rFonts w:ascii="Calibri-Light" w:hAnsi="Calibri-Light"/>
          <w:color w:val="000000"/>
        </w:rPr>
      </w:pPr>
      <w:r w:rsidRPr="00CD37DE">
        <w:rPr>
          <w:rFonts w:ascii="Calibri-Light" w:hAnsi="Calibri-Light"/>
          <w:color w:val="000000"/>
        </w:rPr>
        <w:br w:type="page"/>
      </w:r>
    </w:p>
    <w:p w14:paraId="08B881E1" w14:textId="77777777" w:rsidR="0088227F" w:rsidRDefault="0088227F" w:rsidP="003D4B79">
      <w:pPr>
        <w:spacing w:after="0"/>
        <w:jc w:val="both"/>
        <w:rPr>
          <w:rFonts w:ascii="Calibri Light" w:hAnsi="Calibri Light"/>
          <w:bCs/>
          <w:szCs w:val="20"/>
        </w:rPr>
      </w:pPr>
    </w:p>
    <w:p w14:paraId="317695AF" w14:textId="77777777" w:rsidR="0088227F" w:rsidRDefault="0088227F" w:rsidP="003D4B79">
      <w:pPr>
        <w:spacing w:after="0"/>
        <w:jc w:val="both"/>
        <w:rPr>
          <w:rFonts w:ascii="Calibri Light" w:hAnsi="Calibri Light"/>
          <w:bCs/>
          <w:szCs w:val="20"/>
        </w:rPr>
      </w:pPr>
    </w:p>
    <w:p w14:paraId="4808831E" w14:textId="099ADFC8" w:rsidR="00993B27" w:rsidRDefault="00993B27" w:rsidP="003D4B79">
      <w:pPr>
        <w:spacing w:after="0"/>
        <w:jc w:val="both"/>
        <w:rPr>
          <w:rFonts w:ascii="Calibri Light" w:hAnsi="Calibri Light"/>
          <w:bCs/>
          <w:szCs w:val="20"/>
        </w:rPr>
      </w:pPr>
    </w:p>
    <w:p w14:paraId="1587B2E2" w14:textId="11E6368F" w:rsidR="00993B27" w:rsidRDefault="00993B27" w:rsidP="003D4B79">
      <w:pPr>
        <w:spacing w:after="0"/>
        <w:jc w:val="both"/>
        <w:rPr>
          <w:rFonts w:ascii="Calibri Light" w:hAnsi="Calibri Light"/>
          <w:bCs/>
          <w:szCs w:val="20"/>
        </w:rPr>
      </w:pPr>
    </w:p>
    <w:p w14:paraId="47C7D71A" w14:textId="5893E167" w:rsidR="00993B27" w:rsidRDefault="00993B27" w:rsidP="003D4B79">
      <w:pPr>
        <w:spacing w:after="0"/>
        <w:jc w:val="both"/>
        <w:rPr>
          <w:rFonts w:ascii="Calibri Light" w:hAnsi="Calibri Light"/>
          <w:bCs/>
          <w:szCs w:val="20"/>
        </w:rPr>
      </w:pPr>
    </w:p>
    <w:p w14:paraId="3C3B07E8" w14:textId="3FAB20CE" w:rsidR="00993B27" w:rsidRDefault="00993B27" w:rsidP="003D4B79">
      <w:pPr>
        <w:spacing w:after="0"/>
        <w:jc w:val="both"/>
        <w:rPr>
          <w:rFonts w:ascii="Calibri Light" w:hAnsi="Calibri Light"/>
          <w:bCs/>
          <w:szCs w:val="20"/>
        </w:rPr>
      </w:pPr>
    </w:p>
    <w:p w14:paraId="23164A4A" w14:textId="292CCF5A" w:rsidR="00993B27" w:rsidRDefault="00993B27" w:rsidP="003D4B79">
      <w:pPr>
        <w:spacing w:after="0"/>
        <w:jc w:val="both"/>
        <w:rPr>
          <w:rFonts w:ascii="Calibri Light" w:hAnsi="Calibri Light"/>
          <w:bCs/>
          <w:szCs w:val="20"/>
        </w:rPr>
      </w:pPr>
    </w:p>
    <w:p w14:paraId="371B7AB3" w14:textId="343EF80D" w:rsidR="00993B27" w:rsidRDefault="00993B27" w:rsidP="003D4B79">
      <w:pPr>
        <w:spacing w:after="0"/>
        <w:jc w:val="both"/>
        <w:rPr>
          <w:rFonts w:ascii="Calibri Light" w:hAnsi="Calibri Light"/>
          <w:bCs/>
          <w:szCs w:val="20"/>
        </w:rPr>
      </w:pPr>
    </w:p>
    <w:p w14:paraId="6EBEC816" w14:textId="280EEB21" w:rsidR="00993B27" w:rsidRDefault="00993B27" w:rsidP="003D4B79">
      <w:pPr>
        <w:spacing w:after="0"/>
        <w:jc w:val="both"/>
        <w:rPr>
          <w:rFonts w:ascii="Calibri Light" w:hAnsi="Calibri Light"/>
          <w:bCs/>
          <w:szCs w:val="20"/>
        </w:rPr>
      </w:pPr>
    </w:p>
    <w:p w14:paraId="5F5F23A2" w14:textId="12E82130" w:rsidR="00993B27" w:rsidRPr="00993B27" w:rsidRDefault="00993B27" w:rsidP="00993B27">
      <w:pPr>
        <w:spacing w:after="0"/>
        <w:jc w:val="center"/>
        <w:rPr>
          <w:rFonts w:ascii="Calibri Light" w:hAnsi="Calibri Light"/>
          <w:b/>
          <w:szCs w:val="20"/>
          <w:u w:val="single"/>
        </w:rPr>
      </w:pPr>
      <w:r>
        <w:rPr>
          <w:rFonts w:ascii="Calibri Light" w:hAnsi="Calibri Light"/>
          <w:b/>
          <w:szCs w:val="20"/>
        </w:rPr>
        <w:t xml:space="preserve">……… </w:t>
      </w:r>
      <w:r w:rsidRPr="00993B27">
        <w:rPr>
          <w:rFonts w:ascii="Calibri Light" w:hAnsi="Calibri Light"/>
          <w:b/>
          <w:szCs w:val="20"/>
        </w:rPr>
        <w:t>FIN</w:t>
      </w:r>
      <w:r>
        <w:rPr>
          <w:rFonts w:ascii="Calibri Light" w:hAnsi="Calibri Light"/>
          <w:b/>
          <w:szCs w:val="20"/>
        </w:rPr>
        <w:t xml:space="preserve"> …….</w:t>
      </w:r>
    </w:p>
    <w:sectPr w:rsidR="00993B27" w:rsidRPr="00993B27" w:rsidSect="00792435">
      <w:headerReference w:type="default" r:id="rId18"/>
      <w:footerReference w:type="default" r:id="rId19"/>
      <w:headerReference w:type="first" r:id="rId20"/>
      <w:pgSz w:w="11906" w:h="16838"/>
      <w:pgMar w:top="851" w:right="851" w:bottom="851" w:left="1134" w:header="158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EB2B6D" w14:textId="77777777" w:rsidR="0080316C" w:rsidRDefault="0080316C" w:rsidP="00725366">
      <w:pPr>
        <w:spacing w:after="0" w:line="240" w:lineRule="auto"/>
      </w:pPr>
      <w:r>
        <w:separator/>
      </w:r>
    </w:p>
  </w:endnote>
  <w:endnote w:type="continuationSeparator" w:id="0">
    <w:p w14:paraId="708DD3FB" w14:textId="77777777" w:rsidR="0080316C" w:rsidRDefault="0080316C" w:rsidP="00725366">
      <w:pPr>
        <w:spacing w:after="0" w:line="240" w:lineRule="auto"/>
      </w:pPr>
      <w:r>
        <w:continuationSeparator/>
      </w:r>
    </w:p>
  </w:endnote>
  <w:endnote w:type="continuationNotice" w:id="1">
    <w:p w14:paraId="7E47FA3B" w14:textId="77777777" w:rsidR="0080316C" w:rsidRDefault="008031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quot;Times New Roman&quot;,seri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Yu Mincho">
    <w:altName w:val="Yu Gothic"/>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Light">
    <w:altName w:val="Calibri"/>
    <w:panose1 w:val="00000000000000000000"/>
    <w:charset w:val="00"/>
    <w:family w:val="swiss"/>
    <w:notTrueType/>
    <w:pitch w:val="default"/>
    <w:sig w:usb0="00000003" w:usb1="09060000" w:usb2="00000010" w:usb3="00000000" w:csb0="00080001" w:csb1="00000000"/>
  </w:font>
  <w:font w:name="HelveticaNeueLTCom-LtCn">
    <w:altName w:val="Arial"/>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Vrinda">
    <w:panose1 w:val="00000400000000000000"/>
    <w:charset w:val="00"/>
    <w:family w:val="swiss"/>
    <w:pitch w:val="variable"/>
    <w:sig w:usb0="00010003" w:usb1="00000000" w:usb2="00000000" w:usb3="00000000" w:csb0="00000001" w:csb1="00000000"/>
  </w:font>
  <w:font w:name="Andalus">
    <w:altName w:val="Times New Roman"/>
    <w:charset w:val="00"/>
    <w:family w:val="roman"/>
    <w:pitch w:val="variable"/>
    <w:sig w:usb0="00000000"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B2045" w14:textId="7140E48E" w:rsidR="00146DBA" w:rsidRPr="007B01A2" w:rsidRDefault="00146DBA">
    <w:pPr>
      <w:pStyle w:val="Pieddepage"/>
      <w:jc w:val="center"/>
      <w:rPr>
        <w:color w:val="4472C4"/>
      </w:rPr>
    </w:pPr>
    <w:r w:rsidRPr="007B01A2">
      <w:rPr>
        <w:color w:val="4472C4"/>
      </w:rPr>
      <w:t xml:space="preserve">Page </w:t>
    </w:r>
    <w:r w:rsidRPr="007B01A2">
      <w:rPr>
        <w:color w:val="4472C4"/>
      </w:rPr>
      <w:fldChar w:fldCharType="begin"/>
    </w:r>
    <w:r w:rsidRPr="007B01A2">
      <w:rPr>
        <w:color w:val="4472C4"/>
      </w:rPr>
      <w:instrText>PAGE  \* Arabic  \* MERGEFORMAT</w:instrText>
    </w:r>
    <w:r w:rsidRPr="007B01A2">
      <w:rPr>
        <w:color w:val="4472C4"/>
      </w:rPr>
      <w:fldChar w:fldCharType="separate"/>
    </w:r>
    <w:r>
      <w:rPr>
        <w:noProof/>
        <w:color w:val="4472C4"/>
      </w:rPr>
      <w:t>96</w:t>
    </w:r>
    <w:r w:rsidRPr="007B01A2">
      <w:rPr>
        <w:color w:val="4472C4"/>
      </w:rPr>
      <w:fldChar w:fldCharType="end"/>
    </w:r>
    <w:r w:rsidRPr="007B01A2">
      <w:rPr>
        <w:color w:val="4472C4"/>
      </w:rPr>
      <w:t xml:space="preserve"> sur </w:t>
    </w:r>
    <w:r w:rsidRPr="007B01A2">
      <w:rPr>
        <w:color w:val="4472C4"/>
      </w:rPr>
      <w:fldChar w:fldCharType="begin"/>
    </w:r>
    <w:r w:rsidRPr="007B01A2">
      <w:rPr>
        <w:color w:val="4472C4"/>
      </w:rPr>
      <w:instrText>NUMPAGES  \* arabe  \* MERGEFORMAT</w:instrText>
    </w:r>
    <w:r w:rsidRPr="007B01A2">
      <w:rPr>
        <w:color w:val="4472C4"/>
      </w:rPr>
      <w:fldChar w:fldCharType="separate"/>
    </w:r>
    <w:r w:rsidRPr="00E3126F">
      <w:rPr>
        <w:noProof/>
        <w:color w:val="4472C4"/>
      </w:rPr>
      <w:t>Erreur </w:t>
    </w:r>
    <w:r>
      <w:rPr>
        <w:b/>
        <w:bCs/>
        <w:noProof/>
        <w:color w:val="4472C4"/>
      </w:rPr>
      <w:t>! Argument de commutateur inconnu.</w:t>
    </w:r>
    <w:r w:rsidRPr="007B01A2">
      <w:rPr>
        <w:color w:val="4472C4"/>
      </w:rPr>
      <w:fldChar w:fldCharType="end"/>
    </w:r>
  </w:p>
  <w:p w14:paraId="2D01DAF3" w14:textId="77777777" w:rsidR="00146DBA" w:rsidRDefault="00146DB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A7007" w14:textId="77777777" w:rsidR="0080316C" w:rsidRDefault="0080316C" w:rsidP="00725366">
      <w:pPr>
        <w:spacing w:after="0" w:line="240" w:lineRule="auto"/>
      </w:pPr>
      <w:r>
        <w:separator/>
      </w:r>
    </w:p>
  </w:footnote>
  <w:footnote w:type="continuationSeparator" w:id="0">
    <w:p w14:paraId="28323954" w14:textId="77777777" w:rsidR="0080316C" w:rsidRDefault="0080316C" w:rsidP="00725366">
      <w:pPr>
        <w:spacing w:after="0" w:line="240" w:lineRule="auto"/>
      </w:pPr>
      <w:r>
        <w:continuationSeparator/>
      </w:r>
    </w:p>
  </w:footnote>
  <w:footnote w:type="continuationNotice" w:id="1">
    <w:p w14:paraId="5F0124D7" w14:textId="77777777" w:rsidR="0080316C" w:rsidRDefault="0080316C">
      <w:pPr>
        <w:spacing w:after="0" w:line="240" w:lineRule="auto"/>
      </w:pPr>
    </w:p>
  </w:footnote>
  <w:footnote w:id="2">
    <w:p w14:paraId="6621BE8F" w14:textId="77777777" w:rsidR="00146DBA" w:rsidRPr="008F346F" w:rsidRDefault="00146DBA" w:rsidP="00B91FB7">
      <w:pPr>
        <w:pStyle w:val="Notedebasdepage"/>
        <w:rPr>
          <w:lang w:val="fr-FR"/>
        </w:rPr>
      </w:pPr>
      <w:r>
        <w:rPr>
          <w:rStyle w:val="Appelnotedebasdep"/>
        </w:rPr>
        <w:footnoteRef/>
      </w:r>
      <w:r>
        <w:t xml:space="preserve"> </w:t>
      </w:r>
      <w:r w:rsidRPr="008F346F">
        <w:rPr>
          <w:sz w:val="16"/>
          <w:szCs w:val="16"/>
        </w:rPr>
        <w:t>Rapport FMI 20/231 de septembre 2019</w:t>
      </w:r>
      <w:r w:rsidRPr="008F346F">
        <w:t>.</w:t>
      </w:r>
    </w:p>
  </w:footnote>
  <w:footnote w:id="3">
    <w:p w14:paraId="379867CA" w14:textId="77777777" w:rsidR="00146DBA" w:rsidRPr="00013EBF" w:rsidRDefault="00146DBA" w:rsidP="00B91FB7">
      <w:pPr>
        <w:pStyle w:val="Notedebasdepage"/>
        <w:rPr>
          <w:lang w:val="fr-FR"/>
        </w:rPr>
      </w:pPr>
      <w:r>
        <w:rPr>
          <w:rStyle w:val="Appelnotedebasdep"/>
        </w:rPr>
        <w:footnoteRef/>
      </w:r>
      <w:r>
        <w:t xml:space="preserve"> </w:t>
      </w:r>
      <w:r w:rsidRPr="00013EBF">
        <w:rPr>
          <w:sz w:val="16"/>
          <w:szCs w:val="16"/>
        </w:rPr>
        <w:t>Rapport des services du FMI. Juillet 2020</w:t>
      </w:r>
      <w:r>
        <w:rPr>
          <w:sz w:val="16"/>
          <w:szCs w:val="16"/>
        </w:rPr>
        <w:t>.</w:t>
      </w:r>
    </w:p>
  </w:footnote>
  <w:footnote w:id="4">
    <w:p w14:paraId="62FF4A89" w14:textId="77777777" w:rsidR="00146DBA" w:rsidRPr="00F300BF" w:rsidRDefault="00146DBA" w:rsidP="00B91FB7">
      <w:pPr>
        <w:pStyle w:val="Notedebasdepage"/>
        <w:spacing w:before="0" w:after="0"/>
        <w:rPr>
          <w:sz w:val="16"/>
          <w:szCs w:val="16"/>
          <w:lang w:val="fr-FR"/>
        </w:rPr>
      </w:pPr>
      <w:r w:rsidRPr="00F300BF">
        <w:rPr>
          <w:rStyle w:val="Appelnotedebasdep"/>
        </w:rPr>
        <w:footnoteRef/>
      </w:r>
      <w:r w:rsidRPr="00F300BF">
        <w:rPr>
          <w:sz w:val="16"/>
          <w:szCs w:val="16"/>
        </w:rPr>
        <w:t xml:space="preserve"> Le Tchad obtient un score de 20/100 à l'indice de perception de la corruption et est classé 18ème pays le plus corrompu au monde selon </w:t>
      </w:r>
      <w:proofErr w:type="spellStart"/>
      <w:r w:rsidRPr="00F300BF">
        <w:rPr>
          <w:sz w:val="16"/>
          <w:szCs w:val="16"/>
        </w:rPr>
        <w:t>Transparency</w:t>
      </w:r>
      <w:proofErr w:type="spellEnd"/>
      <w:r w:rsidRPr="00F300BF">
        <w:rPr>
          <w:sz w:val="16"/>
          <w:szCs w:val="16"/>
        </w:rPr>
        <w:t xml:space="preserve"> International (2019).  </w:t>
      </w:r>
    </w:p>
  </w:footnote>
  <w:footnote w:id="5">
    <w:p w14:paraId="76DB46E7" w14:textId="77777777" w:rsidR="00146DBA" w:rsidRPr="00F300BF" w:rsidRDefault="00146DBA" w:rsidP="00B91FB7">
      <w:pPr>
        <w:pStyle w:val="Notedebasdepage"/>
        <w:spacing w:before="0" w:after="0"/>
        <w:rPr>
          <w:sz w:val="16"/>
          <w:szCs w:val="16"/>
        </w:rPr>
      </w:pPr>
      <w:r w:rsidRPr="00F300BF">
        <w:rPr>
          <w:rStyle w:val="Appelnotedebasdep"/>
        </w:rPr>
        <w:footnoteRef/>
      </w:r>
      <w:r w:rsidRPr="00F300BF">
        <w:rPr>
          <w:sz w:val="16"/>
          <w:szCs w:val="16"/>
        </w:rPr>
        <w:t xml:space="preserve"> La sous-utilisation de la main-d’œuvre représente à la fois la hausse du chômage, du sous-emploi, illustrant de facto, une baisse en volume et en qualité du recours au facteur travail dans l’économie.</w:t>
      </w:r>
    </w:p>
  </w:footnote>
  <w:footnote w:id="6">
    <w:p w14:paraId="553C03A7" w14:textId="77777777" w:rsidR="00146DBA" w:rsidRPr="00F300BF" w:rsidRDefault="00146DBA" w:rsidP="00B91FB7">
      <w:pPr>
        <w:pStyle w:val="Notedebasdepage"/>
        <w:spacing w:before="0" w:after="0"/>
        <w:rPr>
          <w:sz w:val="16"/>
          <w:szCs w:val="16"/>
        </w:rPr>
      </w:pPr>
      <w:r w:rsidRPr="00F300BF">
        <w:rPr>
          <w:rStyle w:val="Appelnotedebasdep"/>
        </w:rPr>
        <w:footnoteRef/>
      </w:r>
      <w:r w:rsidRPr="00F300BF">
        <w:rPr>
          <w:sz w:val="16"/>
          <w:szCs w:val="16"/>
        </w:rPr>
        <w:t xml:space="preserve"> Il faut noter qu’un certain manque de données statistiques sur les groupes les plus vulnérables et la désagrégation limitée des données par groupes ne permettent pas une analyse complète sur ce sujet.</w:t>
      </w:r>
    </w:p>
  </w:footnote>
  <w:footnote w:id="7">
    <w:p w14:paraId="7A6501B2" w14:textId="77777777" w:rsidR="00146DBA" w:rsidRPr="001465C4" w:rsidRDefault="00146DBA" w:rsidP="00B91FB7">
      <w:pPr>
        <w:pStyle w:val="Notedebasdepage"/>
        <w:spacing w:before="0" w:after="0"/>
        <w:rPr>
          <w:sz w:val="16"/>
          <w:szCs w:val="16"/>
          <w:lang w:val="fr-FR"/>
        </w:rPr>
      </w:pPr>
      <w:r w:rsidRPr="00F300BF">
        <w:rPr>
          <w:rStyle w:val="Appelnotedebasdep"/>
        </w:rPr>
        <w:footnoteRef/>
      </w:r>
      <w:r w:rsidRPr="001465C4">
        <w:rPr>
          <w:sz w:val="16"/>
          <w:szCs w:val="16"/>
          <w:lang w:val="fr-FR"/>
        </w:rPr>
        <w:t xml:space="preserve"> Cibles 8.1 ; 8.2 ; 8.3 ; 9.2 ; 9.3 ; 9.4 </w:t>
      </w:r>
    </w:p>
  </w:footnote>
  <w:footnote w:id="8">
    <w:p w14:paraId="7EBF1CCB" w14:textId="08C3EDCC" w:rsidR="00146DBA" w:rsidRPr="002557CD" w:rsidRDefault="00146DBA">
      <w:pPr>
        <w:pStyle w:val="Notedebasdepage"/>
      </w:pPr>
      <w:r>
        <w:rPr>
          <w:rStyle w:val="Appelnotedebasdep"/>
        </w:rPr>
        <w:footnoteRef/>
      </w:r>
      <w:r>
        <w:t xml:space="preserve"> </w:t>
      </w:r>
      <w:r w:rsidRPr="002557CD">
        <w:rPr>
          <w:sz w:val="18"/>
          <w:szCs w:val="18"/>
        </w:rPr>
        <w:t>OCHA, Aperçu de la situation humanitaire, Cadre Harmonisé, HNO 2021, Septembre 2021.</w:t>
      </w:r>
    </w:p>
  </w:footnote>
  <w:footnote w:id="9">
    <w:p w14:paraId="581DB585" w14:textId="77777777" w:rsidR="00146DBA" w:rsidRPr="00F22761" w:rsidRDefault="00146DBA" w:rsidP="00F22761">
      <w:pPr>
        <w:pStyle w:val="Notedebasdepage"/>
        <w:jc w:val="both"/>
        <w:rPr>
          <w:sz w:val="18"/>
          <w:szCs w:val="18"/>
        </w:rPr>
      </w:pPr>
      <w:r w:rsidRPr="00F22761">
        <w:rPr>
          <w:rStyle w:val="Appelnotedebasdep"/>
          <w:sz w:val="10"/>
          <w:szCs w:val="10"/>
        </w:rPr>
        <w:footnoteRef/>
      </w:r>
      <w:r w:rsidRPr="00F22761">
        <w:rPr>
          <w:sz w:val="18"/>
          <w:szCs w:val="18"/>
        </w:rPr>
        <w:t xml:space="preserve"> En septembre 2021, les statistiques de l’insécurité alimentaire et de la malnutrition étaient de : </w:t>
      </w:r>
    </w:p>
    <w:p w14:paraId="06C98530" w14:textId="77777777" w:rsidR="00146DBA" w:rsidRPr="00F22761" w:rsidRDefault="00146DBA" w:rsidP="00F22761">
      <w:pPr>
        <w:pStyle w:val="Notedebasdepage"/>
        <w:jc w:val="both"/>
        <w:rPr>
          <w:sz w:val="18"/>
          <w:szCs w:val="18"/>
        </w:rPr>
      </w:pPr>
      <w:r w:rsidRPr="00F22761">
        <w:rPr>
          <w:sz w:val="18"/>
          <w:szCs w:val="18"/>
        </w:rPr>
        <w:t>-</w:t>
      </w:r>
      <w:r w:rsidRPr="00F22761">
        <w:rPr>
          <w:sz w:val="18"/>
          <w:szCs w:val="18"/>
        </w:rPr>
        <w:tab/>
        <w:t>5.1 Millions de de personnes en insécurité alimentaire dont 1.7 de personnes en insécurité alimentaire sévère ;</w:t>
      </w:r>
    </w:p>
    <w:p w14:paraId="7C073C0E" w14:textId="77777777" w:rsidR="00146DBA" w:rsidRPr="00F22761" w:rsidRDefault="00146DBA" w:rsidP="00F22761">
      <w:pPr>
        <w:pStyle w:val="Notedebasdepage"/>
        <w:jc w:val="both"/>
        <w:rPr>
          <w:sz w:val="18"/>
          <w:szCs w:val="18"/>
        </w:rPr>
      </w:pPr>
      <w:r w:rsidRPr="00F22761">
        <w:rPr>
          <w:sz w:val="18"/>
          <w:szCs w:val="18"/>
        </w:rPr>
        <w:t>-</w:t>
      </w:r>
      <w:r w:rsidRPr="00F22761">
        <w:rPr>
          <w:sz w:val="18"/>
          <w:szCs w:val="18"/>
        </w:rPr>
        <w:tab/>
        <w:t>533 536 enfants souffrants de MAM ciblés par le cluster ;</w:t>
      </w:r>
    </w:p>
    <w:p w14:paraId="3C97D913" w14:textId="77777777" w:rsidR="00146DBA" w:rsidRPr="00F22761" w:rsidRDefault="00146DBA" w:rsidP="00F22761">
      <w:pPr>
        <w:pStyle w:val="Notedebasdepage"/>
        <w:jc w:val="both"/>
        <w:rPr>
          <w:sz w:val="18"/>
          <w:szCs w:val="18"/>
        </w:rPr>
      </w:pPr>
      <w:r w:rsidRPr="00F22761">
        <w:rPr>
          <w:sz w:val="18"/>
          <w:szCs w:val="18"/>
        </w:rPr>
        <w:t>-</w:t>
      </w:r>
      <w:r w:rsidRPr="00F22761">
        <w:rPr>
          <w:sz w:val="18"/>
          <w:szCs w:val="18"/>
        </w:rPr>
        <w:tab/>
        <w:t>292 278 enfants souffrants de MAS ciblés par le cluster ;</w:t>
      </w:r>
    </w:p>
    <w:p w14:paraId="286F8EA3" w14:textId="77777777" w:rsidR="00146DBA" w:rsidRPr="00F22761" w:rsidRDefault="00146DBA" w:rsidP="00F22761">
      <w:pPr>
        <w:pStyle w:val="Notedebasdepage"/>
        <w:jc w:val="both"/>
        <w:rPr>
          <w:sz w:val="18"/>
          <w:szCs w:val="18"/>
        </w:rPr>
      </w:pPr>
      <w:r w:rsidRPr="00F22761">
        <w:rPr>
          <w:sz w:val="18"/>
          <w:szCs w:val="18"/>
        </w:rPr>
        <w:t>-</w:t>
      </w:r>
      <w:r w:rsidRPr="00F22761">
        <w:rPr>
          <w:sz w:val="18"/>
          <w:szCs w:val="18"/>
        </w:rPr>
        <w:tab/>
        <w:t>30% de la population du Tchad affectée par l’insécurité alimentaire.</w:t>
      </w:r>
    </w:p>
    <w:p w14:paraId="0F649F8B" w14:textId="5ABFC9CC" w:rsidR="00146DBA" w:rsidRPr="00F22761" w:rsidRDefault="00146DBA" w:rsidP="00F22761">
      <w:pPr>
        <w:pStyle w:val="Notedebasdepage"/>
        <w:jc w:val="both"/>
      </w:pPr>
      <w:r w:rsidRPr="00F22761">
        <w:rPr>
          <w:sz w:val="20"/>
          <w:szCs w:val="20"/>
        </w:rPr>
        <w:t>Source : https://www.humanitarianresponse.info/sites/www.humanitarianresponse.info/files/documents/files/tcd_viz_apercusituationhumanitaire_20210916.pdf</w:t>
      </w:r>
    </w:p>
  </w:footnote>
  <w:footnote w:id="10">
    <w:p w14:paraId="2436AE58" w14:textId="461D1C20" w:rsidR="00146DBA" w:rsidRPr="00CD2CDF" w:rsidRDefault="00146DBA">
      <w:pPr>
        <w:pStyle w:val="Notedebasdepage"/>
        <w:rPr>
          <w:lang w:val="fr-FR"/>
        </w:rPr>
      </w:pPr>
      <w:r>
        <w:rPr>
          <w:rStyle w:val="Appelnotedebasdep"/>
        </w:rPr>
        <w:footnoteRef/>
      </w:r>
      <w:r>
        <w:t xml:space="preserve"> </w:t>
      </w:r>
      <w:r>
        <w:rPr>
          <w:lang w:val="fr-FR"/>
        </w:rPr>
        <w:t>OCHA, Tchad aperçu des inondations Octobre 2021</w:t>
      </w:r>
    </w:p>
  </w:footnote>
  <w:footnote w:id="11">
    <w:p w14:paraId="253DA520" w14:textId="677C5689" w:rsidR="00146DBA" w:rsidRPr="0027701A" w:rsidRDefault="00146DBA">
      <w:pPr>
        <w:pStyle w:val="Notedebasdepage"/>
      </w:pPr>
      <w:r>
        <w:rPr>
          <w:rStyle w:val="Appelnotedebasdep"/>
        </w:rPr>
        <w:footnoteRef/>
      </w:r>
      <w:r>
        <w:t xml:space="preserve"> </w:t>
      </w:r>
      <w:r w:rsidRPr="0027701A">
        <w:t>Rapport FMI 20/231 de septembre 2019</w:t>
      </w:r>
    </w:p>
  </w:footnote>
  <w:footnote w:id="12">
    <w:p w14:paraId="38AD7E61" w14:textId="76354AAE" w:rsidR="00146DBA" w:rsidRPr="00F22761" w:rsidRDefault="00146DBA" w:rsidP="00F22761">
      <w:pPr>
        <w:pStyle w:val="Notedebasdepage"/>
        <w:jc w:val="both"/>
        <w:rPr>
          <w:lang w:val="en-US"/>
        </w:rPr>
      </w:pPr>
      <w:r>
        <w:rPr>
          <w:rStyle w:val="Appelnotedebasdep"/>
        </w:rPr>
        <w:footnoteRef/>
      </w:r>
      <w:r>
        <w:t xml:space="preserve"> </w:t>
      </w:r>
      <w:r w:rsidRPr="00F22761">
        <w:rPr>
          <w:lang w:val="fr-FR"/>
        </w:rPr>
        <w:t>Le Tchad est classé dernier de</w:t>
      </w:r>
      <w:r w:rsidRPr="00F22761">
        <w:rPr>
          <w:i/>
          <w:iCs/>
          <w:lang w:val="fr-FR"/>
        </w:rPr>
        <w:t xml:space="preserve"> l’Indice du capital humain 2020</w:t>
      </w:r>
      <w:r w:rsidRPr="00F22761">
        <w:rPr>
          <w:lang w:val="fr-FR"/>
        </w:rPr>
        <w:t xml:space="preserve"> de la Banque mondiale. </w:t>
      </w:r>
      <w:r>
        <w:rPr>
          <w:lang w:val="en-US"/>
        </w:rPr>
        <w:t>Cf. World Bank, “</w:t>
      </w:r>
      <w:r w:rsidRPr="00F22761">
        <w:rPr>
          <w:i/>
          <w:iCs/>
          <w:lang w:val="en-US"/>
        </w:rPr>
        <w:t>The Human Capital Index 2020 Update: Human Capital in the Time of COVID-19</w:t>
      </w:r>
      <w:r>
        <w:rPr>
          <w:lang w:val="en-US"/>
        </w:rPr>
        <w:t xml:space="preserve">”, September </w:t>
      </w:r>
      <w:proofErr w:type="gramStart"/>
      <w:r>
        <w:rPr>
          <w:lang w:val="en-US"/>
        </w:rPr>
        <w:t>2020;</w:t>
      </w:r>
      <w:proofErr w:type="gramEnd"/>
      <w:r>
        <w:rPr>
          <w:lang w:val="en-US"/>
        </w:rPr>
        <w:t xml:space="preserve"> </w:t>
      </w:r>
    </w:p>
  </w:footnote>
  <w:footnote w:id="13">
    <w:p w14:paraId="45BD2CDA" w14:textId="77777777" w:rsidR="00146DBA" w:rsidRPr="00CD70C1" w:rsidRDefault="00146DBA" w:rsidP="006860DC">
      <w:pPr>
        <w:pStyle w:val="Notedebasdepage"/>
        <w:jc w:val="both"/>
        <w:rPr>
          <w:sz w:val="20"/>
          <w:szCs w:val="20"/>
          <w:lang w:val="fr-FR"/>
        </w:rPr>
      </w:pPr>
      <w:r w:rsidRPr="003357E8">
        <w:rPr>
          <w:sz w:val="20"/>
          <w:szCs w:val="20"/>
          <w:lang w:val="fr-FR"/>
        </w:rPr>
        <w:footnoteRef/>
      </w:r>
      <w:r w:rsidRPr="003357E8">
        <w:rPr>
          <w:sz w:val="20"/>
          <w:szCs w:val="20"/>
          <w:lang w:val="fr-FR"/>
        </w:rPr>
        <w:t xml:space="preserve"> Déclaration du directeur du département Afrique du FMI, </w:t>
      </w:r>
      <w:proofErr w:type="spellStart"/>
      <w:r w:rsidRPr="003357E8">
        <w:rPr>
          <w:sz w:val="20"/>
          <w:szCs w:val="20"/>
          <w:lang w:val="fr-FR"/>
        </w:rPr>
        <w:t>Abebe</w:t>
      </w:r>
      <w:proofErr w:type="spellEnd"/>
      <w:r w:rsidRPr="003357E8">
        <w:rPr>
          <w:sz w:val="20"/>
          <w:szCs w:val="20"/>
          <w:lang w:val="fr-FR"/>
        </w:rPr>
        <w:t xml:space="preserve"> </w:t>
      </w:r>
      <w:proofErr w:type="spellStart"/>
      <w:r w:rsidRPr="003357E8">
        <w:rPr>
          <w:sz w:val="20"/>
          <w:szCs w:val="20"/>
          <w:lang w:val="fr-FR"/>
        </w:rPr>
        <w:t>Aemro</w:t>
      </w:r>
      <w:proofErr w:type="spellEnd"/>
      <w:r w:rsidRPr="003357E8">
        <w:rPr>
          <w:sz w:val="20"/>
          <w:szCs w:val="20"/>
          <w:lang w:val="fr-FR"/>
        </w:rPr>
        <w:t xml:space="preserve"> </w:t>
      </w:r>
      <w:proofErr w:type="spellStart"/>
      <w:r w:rsidRPr="003357E8">
        <w:rPr>
          <w:sz w:val="20"/>
          <w:szCs w:val="20"/>
          <w:lang w:val="fr-FR"/>
        </w:rPr>
        <w:t>Selassie</w:t>
      </w:r>
      <w:proofErr w:type="spellEnd"/>
      <w:r w:rsidRPr="003357E8">
        <w:rPr>
          <w:sz w:val="20"/>
          <w:szCs w:val="20"/>
          <w:lang w:val="fr-FR"/>
        </w:rPr>
        <w:t xml:space="preserve"> : le traitement de la dette du Tchad par ses créanciers privés est indispensable à son redressement économique le 7 septembre 2021</w:t>
      </w:r>
    </w:p>
  </w:footnote>
  <w:footnote w:id="14">
    <w:p w14:paraId="056E78B9" w14:textId="77777777" w:rsidR="00146DBA" w:rsidRPr="00CD70C1" w:rsidRDefault="00146DBA" w:rsidP="006860DC">
      <w:pPr>
        <w:pStyle w:val="Notedebasdepage"/>
        <w:jc w:val="both"/>
        <w:rPr>
          <w:sz w:val="20"/>
          <w:szCs w:val="20"/>
          <w:lang w:val="fr-FR"/>
        </w:rPr>
      </w:pPr>
      <w:r>
        <w:rPr>
          <w:rStyle w:val="Appelnotedebasdep"/>
        </w:rPr>
        <w:footnoteRef/>
      </w:r>
      <w:r>
        <w:t xml:space="preserve"> </w:t>
      </w:r>
      <w:hyperlink r:id="rId1" w:history="1">
        <w:r w:rsidRPr="00CD70C1">
          <w:rPr>
            <w:sz w:val="20"/>
            <w:szCs w:val="20"/>
            <w:lang w:val="fr-FR"/>
          </w:rPr>
          <w:t>https://www.swissinfo.ch/eng/glencore-under-pressure-from-imf-to-rework-chad-loan/46713736</w:t>
        </w:r>
      </w:hyperlink>
    </w:p>
    <w:p w14:paraId="7A19F64B" w14:textId="77777777" w:rsidR="00146DBA" w:rsidRPr="003357E8" w:rsidRDefault="00146DBA" w:rsidP="006860DC">
      <w:pPr>
        <w:pStyle w:val="Notedebasdepage"/>
        <w:jc w:val="both"/>
        <w:rPr>
          <w:lang w:val="fr-FR"/>
        </w:rPr>
      </w:pPr>
      <w:r w:rsidRPr="00CD70C1">
        <w:rPr>
          <w:sz w:val="20"/>
          <w:szCs w:val="20"/>
          <w:lang w:val="fr-FR"/>
        </w:rPr>
        <w:t>https://www.latribune.fr/depeches/reuters/KBN2H60B1/tchad-glencore-ouvre-des-discussions-pour-restructurer-la-dette.html</w:t>
      </w:r>
    </w:p>
  </w:footnote>
  <w:footnote w:id="15">
    <w:p w14:paraId="40815DE4" w14:textId="2C905B1D" w:rsidR="00146DBA" w:rsidRPr="00CD2CDF" w:rsidRDefault="00146DBA">
      <w:pPr>
        <w:pStyle w:val="Notedebasdepage"/>
        <w:rPr>
          <w:sz w:val="18"/>
          <w:szCs w:val="18"/>
        </w:rPr>
      </w:pPr>
      <w:r>
        <w:rPr>
          <w:rStyle w:val="Appelnotedebasdep"/>
        </w:rPr>
        <w:footnoteRef/>
      </w:r>
      <w:r>
        <w:t xml:space="preserve"> </w:t>
      </w:r>
      <w:r w:rsidRPr="00CD2CDF">
        <w:rPr>
          <w:sz w:val="18"/>
          <w:szCs w:val="18"/>
        </w:rPr>
        <w:t xml:space="preserve">Rapport de la revue biennale sur les </w:t>
      </w:r>
      <w:proofErr w:type="spellStart"/>
      <w:r w:rsidRPr="00CD2CDF">
        <w:rPr>
          <w:sz w:val="18"/>
          <w:szCs w:val="18"/>
        </w:rPr>
        <w:t>progrés</w:t>
      </w:r>
      <w:proofErr w:type="spellEnd"/>
      <w:r w:rsidRPr="00CD2CDF">
        <w:rPr>
          <w:sz w:val="18"/>
          <w:szCs w:val="18"/>
        </w:rPr>
        <w:t xml:space="preserve"> </w:t>
      </w:r>
      <w:proofErr w:type="spellStart"/>
      <w:r w:rsidRPr="00CD2CDF">
        <w:rPr>
          <w:sz w:val="18"/>
          <w:szCs w:val="18"/>
        </w:rPr>
        <w:t>realisés</w:t>
      </w:r>
      <w:proofErr w:type="spellEnd"/>
      <w:r w:rsidRPr="00CD2CDF">
        <w:rPr>
          <w:sz w:val="18"/>
          <w:szCs w:val="18"/>
        </w:rPr>
        <w:t xml:space="preserve"> par le Tchad dans le cadre des objectifs et cibles de la Déclaration de Malabo 2014. Juillet 2021</w:t>
      </w:r>
    </w:p>
  </w:footnote>
  <w:footnote w:id="16">
    <w:p w14:paraId="3E80A3F0" w14:textId="2E2F46B8" w:rsidR="00146DBA" w:rsidRPr="00F22761" w:rsidRDefault="00146DBA">
      <w:pPr>
        <w:pStyle w:val="Notedebasdepage"/>
        <w:rPr>
          <w:lang w:val="fr-FR"/>
        </w:rPr>
      </w:pPr>
      <w:r>
        <w:rPr>
          <w:rStyle w:val="Appelnotedebasdep"/>
        </w:rPr>
        <w:footnoteRef/>
      </w:r>
      <w:r>
        <w:t xml:space="preserve"> Données du </w:t>
      </w:r>
      <w:r w:rsidRPr="005A7449">
        <w:t>Minist</w:t>
      </w:r>
      <w:r>
        <w:t>è</w:t>
      </w:r>
      <w:r w:rsidRPr="005A7449">
        <w:t xml:space="preserve">re </w:t>
      </w:r>
      <w:r>
        <w:t xml:space="preserve">tchadien </w:t>
      </w:r>
      <w:r w:rsidRPr="005A7449">
        <w:t>de</w:t>
      </w:r>
      <w:r>
        <w:t>s</w:t>
      </w:r>
      <w:r w:rsidRPr="005A7449">
        <w:t xml:space="preserve"> Finance</w:t>
      </w:r>
      <w:r>
        <w:t>s</w:t>
      </w:r>
      <w:r w:rsidRPr="005A7449">
        <w:t xml:space="preserve"> et du Budget</w:t>
      </w:r>
      <w:r>
        <w:t>,</w:t>
      </w:r>
      <w:r w:rsidRPr="005A7449">
        <w:t xml:space="preserve"> 31 mai 2019</w:t>
      </w:r>
      <w:r>
        <w:t> ;</w:t>
      </w:r>
    </w:p>
  </w:footnote>
  <w:footnote w:id="17">
    <w:p w14:paraId="7BE6C9EA" w14:textId="132C1B11" w:rsidR="00146DBA" w:rsidRPr="00CE1144" w:rsidRDefault="00146DBA" w:rsidP="00CE1144">
      <w:pPr>
        <w:pStyle w:val="Notedebasdepage"/>
        <w:jc w:val="both"/>
      </w:pPr>
      <w:r>
        <w:rPr>
          <w:rStyle w:val="Appelnotedebasdep"/>
        </w:rPr>
        <w:footnoteRef/>
      </w:r>
      <w:r>
        <w:t xml:space="preserve"> </w:t>
      </w:r>
      <w:r w:rsidRPr="00CE1144">
        <w:rPr>
          <w:rFonts w:cs="Calibri"/>
          <w:bCs w:val="0"/>
          <w:sz w:val="20"/>
          <w:szCs w:val="20"/>
          <w:lang w:val="fr-FR"/>
        </w:rPr>
        <w:t>Le Comité pour l’élimination de la discrimination raciale a pris note des informations fournies par le Tchad sur la coexistence des éleveurs (nomades et semi-nomades) et des agriculteurs. Néanmoins, le Comité s’est inquiété de ce que la fréquence des tensions entre ces deux groupes puisse dégénérer en conflits opposant nomades et semi-nomades aux autres groupes de la population. Le Comité a recommandé au Tchad de prendre des mesures ou de renforcer celles qui existaient pour réduire les tensions entre les nomades et semi-nomades et les autres groupes et éviter qu’elles ne dégénèrent en conflits ethniques – extrait du rapport A/HRC/WG.6/31/TCD/2 soumis au cours de l’EPU 2018.</w:t>
      </w:r>
    </w:p>
  </w:footnote>
  <w:footnote w:id="18">
    <w:p w14:paraId="4EED5078" w14:textId="7F360F7F" w:rsidR="00146DBA" w:rsidRPr="00874518" w:rsidRDefault="00146DBA">
      <w:pPr>
        <w:pStyle w:val="Notedebasdepage"/>
        <w:rPr>
          <w:lang w:val="en-US"/>
        </w:rPr>
      </w:pPr>
      <w:r>
        <w:rPr>
          <w:rStyle w:val="Appelnotedebasdep"/>
        </w:rPr>
        <w:footnoteRef/>
      </w:r>
      <w:r w:rsidRPr="00874518">
        <w:rPr>
          <w:lang w:val="en-US"/>
        </w:rPr>
        <w:t xml:space="preserve"> CNARR/UNHCR, Sept. </w:t>
      </w:r>
      <w:proofErr w:type="gramStart"/>
      <w:r w:rsidRPr="00874518">
        <w:rPr>
          <w:lang w:val="en-US"/>
        </w:rPr>
        <w:t>2021 ;</w:t>
      </w:r>
      <w:proofErr w:type="gramEnd"/>
    </w:p>
  </w:footnote>
  <w:footnote w:id="19">
    <w:p w14:paraId="66FA3F79" w14:textId="72B26FEF" w:rsidR="00146DBA" w:rsidRPr="00231235" w:rsidRDefault="00146DBA">
      <w:pPr>
        <w:pStyle w:val="Notedebasdepage"/>
        <w:rPr>
          <w:rFonts w:ascii="Times New Roman" w:hAnsi="Times New Roman"/>
          <w:sz w:val="20"/>
          <w:lang w:val="en-US"/>
        </w:rPr>
      </w:pPr>
      <w:r>
        <w:rPr>
          <w:rStyle w:val="Appelnotedebasdep"/>
        </w:rPr>
        <w:footnoteRef/>
      </w:r>
      <w:r w:rsidRPr="00CE1144">
        <w:rPr>
          <w:lang w:val="en-US"/>
        </w:rPr>
        <w:t xml:space="preserve"> </w:t>
      </w:r>
      <w:r w:rsidRPr="00CE1144">
        <w:rPr>
          <w:rFonts w:ascii="Times New Roman" w:hAnsi="Times New Roman" w:cs="Calibri"/>
          <w:bCs w:val="0"/>
          <w:sz w:val="20"/>
          <w:szCs w:val="20"/>
          <w:lang w:val="en-US"/>
        </w:rPr>
        <w:t>Lac Round 13_dashboard_FR.pdf (iom.int)</w:t>
      </w:r>
      <w:r w:rsidRPr="00F52473">
        <w:rPr>
          <w:lang w:val="en-US"/>
        </w:rPr>
        <w:t xml:space="preserve"> </w:t>
      </w:r>
      <w:r w:rsidRPr="00F52473">
        <w:rPr>
          <w:rFonts w:ascii="Times New Roman" w:hAnsi="Times New Roman" w:cs="Calibri"/>
          <w:sz w:val="20"/>
          <w:szCs w:val="20"/>
          <w:lang w:val="en-US"/>
        </w:rPr>
        <w:t xml:space="preserve"> </w:t>
      </w:r>
      <w:hyperlink r:id="rId2" w:history="1">
        <w:r w:rsidRPr="00F52473">
          <w:rPr>
            <w:rStyle w:val="Lienhypertexte"/>
            <w:rFonts w:ascii="Times New Roman" w:hAnsi="Times New Roman" w:cs="Calibri"/>
            <w:sz w:val="20"/>
            <w:szCs w:val="20"/>
            <w:lang w:val="en-US"/>
          </w:rPr>
          <w:t xml:space="preserve">DTM OIM Round 16, </w:t>
        </w:r>
        <w:proofErr w:type="spellStart"/>
        <w:r w:rsidRPr="00F52473">
          <w:rPr>
            <w:rStyle w:val="Lienhypertexte"/>
            <w:rFonts w:ascii="Times New Roman" w:hAnsi="Times New Roman" w:cs="Calibri"/>
            <w:sz w:val="20"/>
            <w:szCs w:val="20"/>
            <w:lang w:val="en-US"/>
          </w:rPr>
          <w:t>Octobre</w:t>
        </w:r>
        <w:proofErr w:type="spellEnd"/>
        <w:r w:rsidRPr="00F52473">
          <w:rPr>
            <w:rStyle w:val="Lienhypertexte"/>
            <w:rFonts w:ascii="Times New Roman" w:hAnsi="Times New Roman" w:cs="Calibri"/>
            <w:sz w:val="20"/>
            <w:szCs w:val="20"/>
            <w:lang w:val="en-US"/>
          </w:rPr>
          <w:t xml:space="preserve"> 2021</w:t>
        </w:r>
      </w:hyperlink>
      <w:r w:rsidRPr="00F52473">
        <w:rPr>
          <w:lang w:val="en-US"/>
        </w:rPr>
        <w:t xml:space="preserve"> Ibid.</w:t>
      </w:r>
      <w:r w:rsidRPr="00F52473">
        <w:rPr>
          <w:rFonts w:ascii="Times New Roman" w:hAnsi="Times New Roman" w:cs="Calibri"/>
          <w:bCs w:val="0"/>
          <w:sz w:val="20"/>
          <w:szCs w:val="20"/>
          <w:lang w:val="en-US"/>
        </w:rPr>
        <w:t xml:space="preserve"> </w:t>
      </w:r>
    </w:p>
  </w:footnote>
  <w:footnote w:id="20">
    <w:p w14:paraId="5B74F84A" w14:textId="2873EA27" w:rsidR="00146DBA" w:rsidRPr="0007014E" w:rsidRDefault="00146DBA" w:rsidP="6BC40FD5">
      <w:pPr>
        <w:rPr>
          <w:lang w:val="en-US"/>
        </w:rPr>
      </w:pPr>
      <w:r>
        <w:footnoteRef/>
      </w:r>
      <w:r w:rsidRPr="0007014E">
        <w:rPr>
          <w:lang w:val="en-US"/>
        </w:rPr>
        <w:t xml:space="preserve"> </w:t>
      </w:r>
      <w:r w:rsidRPr="0007014E">
        <w:rPr>
          <w:rFonts w:ascii="Times New Roman" w:eastAsia="Times New Roman" w:hAnsi="Times New Roman"/>
          <w:b/>
          <w:bCs/>
          <w:color w:val="D13438"/>
          <w:sz w:val="24"/>
          <w:szCs w:val="24"/>
          <w:u w:val="single"/>
          <w:lang w:val="en-US"/>
        </w:rPr>
        <w:t>HNO Chad 2021,</w:t>
      </w:r>
      <w:r w:rsidRPr="0007014E">
        <w:rPr>
          <w:rFonts w:ascii="Times New Roman" w:eastAsia="Times New Roman" w:hAnsi="Times New Roman"/>
          <w:color w:val="D13438"/>
          <w:sz w:val="24"/>
          <w:szCs w:val="24"/>
          <w:u w:val="single"/>
          <w:lang w:val="en-US"/>
        </w:rPr>
        <w:t xml:space="preserve"> </w:t>
      </w:r>
      <w:hyperlink r:id="rId3" w:history="1">
        <w:r w:rsidRPr="0007014E">
          <w:rPr>
            <w:rStyle w:val="Lienhypertexte"/>
            <w:rFonts w:ascii="Times New Roman" w:eastAsia="Times New Roman" w:hAnsi="Times New Roman"/>
            <w:sz w:val="24"/>
            <w:szCs w:val="24"/>
            <w:lang w:val="en-US"/>
          </w:rPr>
          <w:t>tcd_str_hno2021_20210415.pdf (humanitarianresponse.info</w:t>
        </w:r>
      </w:hyperlink>
    </w:p>
  </w:footnote>
  <w:footnote w:id="21">
    <w:p w14:paraId="16549DC1" w14:textId="77777777" w:rsidR="00146DBA" w:rsidRPr="00F8344B" w:rsidRDefault="00146DBA" w:rsidP="00A8375B">
      <w:pPr>
        <w:pStyle w:val="Notedebasdepage"/>
        <w:rPr>
          <w:lang w:val="en-US"/>
        </w:rPr>
      </w:pPr>
      <w:r>
        <w:rPr>
          <w:rStyle w:val="Appelnotedebasdep"/>
        </w:rPr>
        <w:footnoteRef/>
      </w:r>
      <w:r w:rsidRPr="00861F99">
        <w:rPr>
          <w:lang w:val="en-US"/>
        </w:rPr>
        <w:t xml:space="preserve"> </w:t>
      </w:r>
      <w:r w:rsidRPr="008C0CF1">
        <w:rPr>
          <w:i/>
          <w:iCs/>
          <w:sz w:val="16"/>
          <w:szCs w:val="16"/>
          <w:lang w:val="en-US"/>
        </w:rPr>
        <w:t>Lake Chad Region: Climate-related security risk assessment</w:t>
      </w:r>
      <w:r w:rsidRPr="008C0CF1">
        <w:rPr>
          <w:sz w:val="16"/>
          <w:szCs w:val="16"/>
          <w:lang w:val="en-US"/>
        </w:rPr>
        <w:t>. Expert Working Group on Climate-related Security Risks, July 2018</w:t>
      </w:r>
      <w:r>
        <w:rPr>
          <w:lang w:val="en-US"/>
        </w:rPr>
        <w:t xml:space="preserve">.  </w:t>
      </w:r>
    </w:p>
  </w:footnote>
  <w:footnote w:id="22">
    <w:p w14:paraId="4734AAC3" w14:textId="77777777" w:rsidR="00146DBA" w:rsidRPr="008C0CF1" w:rsidRDefault="00146DBA" w:rsidP="00A8375B">
      <w:pPr>
        <w:pStyle w:val="Notedebasdepage"/>
        <w:rPr>
          <w:sz w:val="16"/>
          <w:szCs w:val="16"/>
          <w:lang w:val="fr-FR"/>
        </w:rPr>
      </w:pPr>
      <w:r>
        <w:rPr>
          <w:rStyle w:val="Appelnotedebasdep"/>
        </w:rPr>
        <w:footnoteRef/>
      </w:r>
      <w:r w:rsidRPr="00BC5D61">
        <w:rPr>
          <w:lang w:val="fr-FR"/>
        </w:rPr>
        <w:t xml:space="preserve"> </w:t>
      </w:r>
      <w:r w:rsidRPr="008C0CF1">
        <w:rPr>
          <w:sz w:val="16"/>
          <w:szCs w:val="16"/>
          <w:lang w:val="fr-FR"/>
        </w:rPr>
        <w:t xml:space="preserve">Saleh, O.M. </w:t>
      </w:r>
      <w:r w:rsidRPr="008C0CF1">
        <w:rPr>
          <w:i/>
          <w:iCs/>
          <w:sz w:val="16"/>
          <w:szCs w:val="16"/>
          <w:lang w:val="fr-FR"/>
        </w:rPr>
        <w:t>Le Code Pastoral : Un outil de sécurisation des systèmes pastoraux et de renforcement des capacités de résilience des pasteurs</w:t>
      </w:r>
      <w:r w:rsidRPr="008C0CF1">
        <w:rPr>
          <w:sz w:val="16"/>
          <w:szCs w:val="16"/>
          <w:lang w:val="fr-FR"/>
        </w:rPr>
        <w:t>.  Colloque Régional de N’Djamena, 27-29 May 2013</w:t>
      </w:r>
      <w:r w:rsidRPr="00623B81">
        <w:rPr>
          <w:lang w:val="fr-FR"/>
        </w:rPr>
        <w:t xml:space="preserve">.  </w:t>
      </w:r>
      <w:r w:rsidRPr="008C0CF1">
        <w:rPr>
          <w:sz w:val="16"/>
          <w:szCs w:val="16"/>
          <w:lang w:val="fr-FR"/>
        </w:rPr>
        <w:t>Ce déplacement des mouvements de transhumance vers le sud, dû au climat, ne se limite pas au Tchad.  Les conflits entre agriculteurs et éleveurs ont également augmenté au Nigeria, où les éleveurs migrent vers le sud, y compris dans les zones plus humides du pays.  La violence entre agriculteurs et éleveurs dans la Middle Belt du Nigeria a tué environ 1 200 personnes au cours des six</w:t>
      </w:r>
      <w:r w:rsidRPr="008C0CF1">
        <w:rPr>
          <w:lang w:val="fr-FR"/>
        </w:rPr>
        <w:t xml:space="preserve"> </w:t>
      </w:r>
      <w:r w:rsidRPr="008C0CF1">
        <w:rPr>
          <w:sz w:val="16"/>
          <w:szCs w:val="16"/>
          <w:lang w:val="fr-FR"/>
        </w:rPr>
        <w:t>premiers mois de 2018, soit environ six fois le nombre de civils tués par le Boko Haram au cours de la même période, tout en déplaçant environ 300 000 personnes (</w:t>
      </w:r>
      <w:proofErr w:type="spellStart"/>
      <w:r w:rsidRPr="008C0CF1">
        <w:rPr>
          <w:sz w:val="16"/>
          <w:szCs w:val="16"/>
          <w:lang w:val="fr-FR"/>
        </w:rPr>
        <w:t>Stopping</w:t>
      </w:r>
      <w:proofErr w:type="spellEnd"/>
      <w:r w:rsidRPr="008C0CF1">
        <w:rPr>
          <w:sz w:val="16"/>
          <w:szCs w:val="16"/>
          <w:lang w:val="fr-FR"/>
        </w:rPr>
        <w:t xml:space="preserve"> </w:t>
      </w:r>
      <w:proofErr w:type="spellStart"/>
      <w:r w:rsidRPr="008C0CF1">
        <w:rPr>
          <w:sz w:val="16"/>
          <w:szCs w:val="16"/>
          <w:lang w:val="fr-FR"/>
        </w:rPr>
        <w:t>Nigeria’s</w:t>
      </w:r>
      <w:proofErr w:type="spellEnd"/>
      <w:r w:rsidRPr="008C0CF1">
        <w:rPr>
          <w:sz w:val="16"/>
          <w:szCs w:val="16"/>
          <w:lang w:val="fr-FR"/>
        </w:rPr>
        <w:t xml:space="preserve"> </w:t>
      </w:r>
      <w:proofErr w:type="spellStart"/>
      <w:r w:rsidRPr="008C0CF1">
        <w:rPr>
          <w:sz w:val="16"/>
          <w:szCs w:val="16"/>
          <w:lang w:val="fr-FR"/>
        </w:rPr>
        <w:t>Spiralling</w:t>
      </w:r>
      <w:proofErr w:type="spellEnd"/>
      <w:r w:rsidRPr="008C0CF1">
        <w:rPr>
          <w:sz w:val="16"/>
          <w:szCs w:val="16"/>
          <w:lang w:val="fr-FR"/>
        </w:rPr>
        <w:t xml:space="preserve"> Farmer-Herder Violence.  International Crisis Group. </w:t>
      </w:r>
      <w:proofErr w:type="spellStart"/>
      <w:r w:rsidRPr="008C0CF1">
        <w:rPr>
          <w:sz w:val="16"/>
          <w:szCs w:val="16"/>
          <w:lang w:val="fr-FR"/>
        </w:rPr>
        <w:t>Africa</w:t>
      </w:r>
      <w:proofErr w:type="spellEnd"/>
      <w:r w:rsidRPr="008C0CF1">
        <w:rPr>
          <w:sz w:val="16"/>
          <w:szCs w:val="16"/>
          <w:lang w:val="fr-FR"/>
        </w:rPr>
        <w:t xml:space="preserve"> Report N° 262, 26 July 2018).  </w:t>
      </w:r>
    </w:p>
  </w:footnote>
  <w:footnote w:id="23">
    <w:p w14:paraId="4A87D6C7" w14:textId="77777777" w:rsidR="00146DBA" w:rsidRPr="00A8375B" w:rsidRDefault="00146DBA" w:rsidP="00A8375B">
      <w:pPr>
        <w:pStyle w:val="Notedebasdepage"/>
        <w:rPr>
          <w:lang w:val="en-US"/>
        </w:rPr>
      </w:pPr>
      <w:r>
        <w:rPr>
          <w:rStyle w:val="Appelnotedebasdep"/>
        </w:rPr>
        <w:footnoteRef/>
      </w:r>
      <w:r w:rsidRPr="00BC5D61">
        <w:rPr>
          <w:lang w:val="fr-FR"/>
        </w:rPr>
        <w:t xml:space="preserve"> </w:t>
      </w:r>
      <w:proofErr w:type="spellStart"/>
      <w:r w:rsidRPr="008C0CF1">
        <w:rPr>
          <w:sz w:val="16"/>
          <w:szCs w:val="16"/>
          <w:lang w:val="fr-FR"/>
        </w:rPr>
        <w:t>Krätli</w:t>
      </w:r>
      <w:proofErr w:type="spellEnd"/>
      <w:r w:rsidRPr="008C0CF1">
        <w:rPr>
          <w:sz w:val="16"/>
          <w:szCs w:val="16"/>
          <w:lang w:val="fr-FR"/>
        </w:rPr>
        <w:t xml:space="preserve">, S. </w:t>
      </w:r>
      <w:r w:rsidRPr="008C0CF1">
        <w:rPr>
          <w:i/>
          <w:iCs/>
          <w:sz w:val="16"/>
          <w:szCs w:val="16"/>
          <w:lang w:val="fr-FR"/>
        </w:rPr>
        <w:t>Systèmes pastoraux dans le Dar Sila, Tchad</w:t>
      </w:r>
      <w:r w:rsidRPr="008C0CF1">
        <w:rPr>
          <w:sz w:val="16"/>
          <w:szCs w:val="16"/>
          <w:lang w:val="fr-FR"/>
        </w:rPr>
        <w:t xml:space="preserve">. </w:t>
      </w:r>
      <w:r w:rsidRPr="00A8375B">
        <w:rPr>
          <w:sz w:val="16"/>
          <w:lang w:val="en-US"/>
        </w:rPr>
        <w:t>Feinstein International Centre, Tufts University, 2017</w:t>
      </w:r>
      <w:r w:rsidRPr="00A8375B">
        <w:rPr>
          <w:lang w:val="en-US"/>
        </w:rPr>
        <w:t xml:space="preserve">.  </w:t>
      </w:r>
    </w:p>
  </w:footnote>
  <w:footnote w:id="24">
    <w:p w14:paraId="7CFB376E" w14:textId="669B4BEE" w:rsidR="00146DBA" w:rsidRPr="0007014E" w:rsidRDefault="00146DBA" w:rsidP="6BC40FD5">
      <w:pPr>
        <w:rPr>
          <w:rFonts w:ascii="Times New Roman" w:eastAsia="Times New Roman" w:hAnsi="Times New Roman"/>
          <w:lang w:val="en-US" w:eastAsia="fr-FR"/>
        </w:rPr>
      </w:pPr>
      <w:r>
        <w:footnoteRef/>
      </w:r>
      <w:r w:rsidRPr="0007014E">
        <w:rPr>
          <w:lang w:val="en-US"/>
        </w:rPr>
        <w:t xml:space="preserve"> </w:t>
      </w:r>
      <w:r w:rsidRPr="0007014E">
        <w:rPr>
          <w:rFonts w:ascii="Times New Roman" w:eastAsia="Times New Roman" w:hAnsi="Times New Roman"/>
          <w:lang w:val="en-US" w:eastAsia="fr-FR"/>
        </w:rPr>
        <w:t>(IOM and American University 2021. “Climate Change, Food Security and Migration in Chad: A Complex Nexus”).</w:t>
      </w:r>
    </w:p>
  </w:footnote>
  <w:footnote w:id="25">
    <w:p w14:paraId="641CD878" w14:textId="77777777" w:rsidR="00146DBA" w:rsidRPr="00A8375B" w:rsidRDefault="00146DBA" w:rsidP="00F00327">
      <w:pPr>
        <w:pStyle w:val="Notedebasdepage"/>
        <w:rPr>
          <w:sz w:val="20"/>
          <w:lang w:val="en-US"/>
        </w:rPr>
      </w:pPr>
      <w:r w:rsidRPr="006117D9">
        <w:rPr>
          <w:rStyle w:val="Appelnotedebasdep"/>
          <w:rFonts w:ascii="Calibri" w:hAnsi="Calibri" w:cs="Calibri"/>
          <w:sz w:val="20"/>
          <w:szCs w:val="20"/>
        </w:rPr>
        <w:footnoteRef/>
      </w:r>
      <w:r w:rsidRPr="00A8375B">
        <w:rPr>
          <w:sz w:val="20"/>
          <w:lang w:val="en-US"/>
        </w:rPr>
        <w:t xml:space="preserve"> </w:t>
      </w:r>
      <w:hyperlink r:id="rId4" w:history="1">
        <w:r w:rsidRPr="00A8375B">
          <w:rPr>
            <w:rStyle w:val="Lienhypertexte"/>
            <w:sz w:val="20"/>
            <w:lang w:val="en-US"/>
          </w:rPr>
          <w:t>https://chad.un.org/index.php/fr/35283-plan-national-de-developpement-du-tchad-2017-2021</w:t>
        </w:r>
      </w:hyperlink>
      <w:r w:rsidRPr="00A8375B">
        <w:rPr>
          <w:sz w:val="20"/>
          <w:lang w:val="en-US"/>
        </w:rPr>
        <w:t xml:space="preserve">  https://chad.un.org/index.php/fr/35283-plan-national-de-developpement-du-tchad-2017-2021.</w:t>
      </w:r>
    </w:p>
  </w:footnote>
  <w:footnote w:id="26">
    <w:p w14:paraId="5FE1AF32" w14:textId="77777777" w:rsidR="00146DBA" w:rsidRPr="009A21CD" w:rsidRDefault="00146DBA" w:rsidP="00D66BF5">
      <w:pPr>
        <w:pStyle w:val="Notedebasdepage"/>
      </w:pPr>
      <w:r>
        <w:rPr>
          <w:rStyle w:val="Appelnotedebasdep"/>
        </w:rPr>
        <w:footnoteRef/>
      </w:r>
      <w:r>
        <w:t xml:space="preserve"> </w:t>
      </w:r>
      <w:r w:rsidRPr="00AB7709">
        <w:rPr>
          <w:rFonts w:ascii="Times New Roman" w:hAnsi="Times New Roman"/>
          <w:sz w:val="16"/>
          <w:szCs w:val="16"/>
        </w:rPr>
        <w:t>Mesure synthétique de la différence entre la répartition effective des dépenses de consommation et une répartition hypothétique dans laquelle chaque personne reçoit une part identique (0 représentant l’absence d’inégalité et 1 la plus grande inégalité possible).</w:t>
      </w:r>
    </w:p>
  </w:footnote>
  <w:footnote w:id="27">
    <w:p w14:paraId="0C9E3F0E" w14:textId="300927CC" w:rsidR="00146DBA" w:rsidRDefault="00146DBA" w:rsidP="761E5622">
      <w:pPr>
        <w:pStyle w:val="Notedebasdepage"/>
        <w:jc w:val="both"/>
      </w:pPr>
      <w:r w:rsidRPr="761E5622">
        <w:rPr>
          <w:rStyle w:val="Appelnotedebasdep"/>
        </w:rPr>
        <w:footnoteRef/>
      </w:r>
      <w:r>
        <w:t xml:space="preserve"> </w:t>
      </w:r>
      <w:r w:rsidRPr="761E5622">
        <w:rPr>
          <w:sz w:val="20"/>
          <w:szCs w:val="20"/>
        </w:rPr>
        <w:t>Plus d’informations : https://chad.un.org/fr/122659-loim-salue-le-decret-historique-instituant-la-premiere-commission-nationale-de-lutte-contre#:~:text=En%202018%2C%20le%20pays%20a,la%20sensibilisation%20contre%20le%20fl%C3%A9au</w:t>
      </w:r>
    </w:p>
  </w:footnote>
  <w:footnote w:id="28">
    <w:p w14:paraId="5E79C847" w14:textId="77777777" w:rsidR="00146DBA" w:rsidRPr="00167222" w:rsidRDefault="00146DBA" w:rsidP="00DA6E2C">
      <w:pPr>
        <w:pStyle w:val="Notedebasdepage"/>
        <w:rPr>
          <w:lang w:val="fr-FR"/>
        </w:rPr>
      </w:pPr>
      <w:r>
        <w:rPr>
          <w:rStyle w:val="Appelnotedebasdep"/>
        </w:rPr>
        <w:footnoteRef/>
      </w:r>
      <w:r>
        <w:t xml:space="preserve"> </w:t>
      </w:r>
      <w:hyperlink r:id="rId5" w:history="1">
        <w:r w:rsidRPr="00167222">
          <w:rPr>
            <w:rStyle w:val="Lienhypertexte"/>
            <w:lang w:val="fr-FR"/>
          </w:rPr>
          <w:t>Cameroun-</w:t>
        </w:r>
        <w:proofErr w:type="gramStart"/>
        <w:r w:rsidRPr="00167222">
          <w:rPr>
            <w:rStyle w:val="Lienhypertexte"/>
            <w:lang w:val="fr-FR"/>
          </w:rPr>
          <w:t>Tchad:</w:t>
        </w:r>
        <w:proofErr w:type="gramEnd"/>
        <w:r w:rsidRPr="00167222">
          <w:rPr>
            <w:rStyle w:val="Lienhypertexte"/>
            <w:lang w:val="fr-FR"/>
          </w:rPr>
          <w:t xml:space="preserve"> une coopération dynamique et diversifiée - </w:t>
        </w:r>
        <w:proofErr w:type="spellStart"/>
        <w:r w:rsidRPr="00167222">
          <w:rPr>
            <w:rStyle w:val="Lienhypertexte"/>
            <w:lang w:val="fr-FR"/>
          </w:rPr>
          <w:t>Cameroon</w:t>
        </w:r>
        <w:proofErr w:type="spellEnd"/>
        <w:r w:rsidRPr="00167222">
          <w:rPr>
            <w:rStyle w:val="Lienhypertexte"/>
            <w:lang w:val="fr-FR"/>
          </w:rPr>
          <w:t xml:space="preserve"> Radio </w:t>
        </w:r>
        <w:proofErr w:type="spellStart"/>
        <w:r w:rsidRPr="00167222">
          <w:rPr>
            <w:rStyle w:val="Lienhypertexte"/>
            <w:lang w:val="fr-FR"/>
          </w:rPr>
          <w:t>Television</w:t>
        </w:r>
        <w:proofErr w:type="spellEnd"/>
        <w:r w:rsidRPr="00167222">
          <w:rPr>
            <w:rStyle w:val="Lienhypertexte"/>
            <w:lang w:val="fr-FR"/>
          </w:rPr>
          <w:t xml:space="preserve"> (crtv.cm)</w:t>
        </w:r>
      </w:hyperlink>
      <w:r>
        <w:t xml:space="preserve"> </w:t>
      </w:r>
    </w:p>
  </w:footnote>
  <w:footnote w:id="29">
    <w:p w14:paraId="0105451B" w14:textId="77777777" w:rsidR="00146DBA" w:rsidRPr="002E582E" w:rsidRDefault="00146DBA" w:rsidP="00DA6E2C">
      <w:pPr>
        <w:pStyle w:val="Notedebasdepage"/>
        <w:rPr>
          <w:rFonts w:cs="Calibri"/>
          <w:sz w:val="20"/>
          <w:szCs w:val="20"/>
          <w:lang w:val="fr-FR"/>
        </w:rPr>
      </w:pPr>
      <w:r w:rsidRPr="004E1884">
        <w:rPr>
          <w:rStyle w:val="Appelnotedebasdep"/>
          <w:rFonts w:cs="Calibri"/>
          <w:sz w:val="20"/>
          <w:szCs w:val="20"/>
        </w:rPr>
        <w:footnoteRef/>
      </w:r>
      <w:r w:rsidRPr="002E582E">
        <w:rPr>
          <w:rFonts w:cs="Calibri"/>
          <w:sz w:val="20"/>
          <w:szCs w:val="20"/>
          <w:lang w:val="fr-FR"/>
        </w:rPr>
        <w:t xml:space="preserve"> </w:t>
      </w:r>
      <w:hyperlink r:id="rId6" w:history="1">
        <w:r w:rsidRPr="002E582E">
          <w:rPr>
            <w:rStyle w:val="Lienhypertexte"/>
            <w:rFonts w:cs="Calibri"/>
            <w:sz w:val="20"/>
            <w:szCs w:val="20"/>
            <w:lang w:val="fr-FR"/>
          </w:rPr>
          <w:t>https://www.iom.int/fr/news/loim-au-secours-de-migrants-tchadiens-en-detresse-expulses-de-libye</w:t>
        </w:r>
      </w:hyperlink>
      <w:r w:rsidRPr="002E582E">
        <w:rPr>
          <w:rFonts w:cs="Calibri"/>
          <w:sz w:val="20"/>
          <w:szCs w:val="20"/>
          <w:lang w:val="fr-FR"/>
        </w:rPr>
        <w:t xml:space="preserve"> </w:t>
      </w:r>
    </w:p>
  </w:footnote>
  <w:footnote w:id="30">
    <w:p w14:paraId="4238D335" w14:textId="77777777" w:rsidR="00146DBA" w:rsidRPr="002E582E" w:rsidRDefault="00146DBA" w:rsidP="00DA6E2C">
      <w:pPr>
        <w:pStyle w:val="Notedebasdepage"/>
        <w:rPr>
          <w:rFonts w:cs="Calibri"/>
          <w:sz w:val="20"/>
          <w:szCs w:val="20"/>
          <w:lang w:val="fr-FR"/>
        </w:rPr>
      </w:pPr>
      <w:r w:rsidRPr="004E1884">
        <w:rPr>
          <w:rStyle w:val="Appelnotedebasdep"/>
          <w:rFonts w:cs="Calibri"/>
          <w:sz w:val="20"/>
          <w:szCs w:val="20"/>
        </w:rPr>
        <w:footnoteRef/>
      </w:r>
      <w:r w:rsidRPr="002E582E">
        <w:rPr>
          <w:rFonts w:cs="Calibri"/>
          <w:sz w:val="20"/>
          <w:szCs w:val="20"/>
          <w:lang w:val="fr-FR"/>
        </w:rPr>
        <w:t xml:space="preserve"> </w:t>
      </w:r>
      <w:hyperlink r:id="rId7" w:history="1">
        <w:r w:rsidRPr="002E582E">
          <w:rPr>
            <w:rStyle w:val="Lienhypertexte"/>
            <w:rFonts w:cs="Calibri"/>
            <w:sz w:val="20"/>
            <w:szCs w:val="20"/>
            <w:lang w:val="fr-FR"/>
          </w:rPr>
          <w:t>https://migration.iom.int/node/9538</w:t>
        </w:r>
      </w:hyperlink>
      <w:r w:rsidRPr="002E582E">
        <w:rPr>
          <w:rFonts w:cs="Calibri"/>
          <w:sz w:val="20"/>
          <w:szCs w:val="20"/>
          <w:lang w:val="fr-FR"/>
        </w:rPr>
        <w:t xml:space="preserve"> </w:t>
      </w:r>
    </w:p>
  </w:footnote>
  <w:footnote w:id="31">
    <w:p w14:paraId="190B6D27" w14:textId="77777777" w:rsidR="00146DBA" w:rsidRPr="002E582E" w:rsidRDefault="00146DBA" w:rsidP="00DA6E2C">
      <w:pPr>
        <w:pStyle w:val="Notedebasdepage"/>
        <w:rPr>
          <w:rFonts w:cs="Calibri"/>
          <w:sz w:val="20"/>
          <w:szCs w:val="20"/>
          <w:lang w:val="fr-FR"/>
        </w:rPr>
      </w:pPr>
      <w:r w:rsidRPr="004E1884">
        <w:rPr>
          <w:rStyle w:val="Appelnotedebasdep"/>
          <w:rFonts w:cs="Calibri"/>
          <w:sz w:val="20"/>
          <w:szCs w:val="20"/>
        </w:rPr>
        <w:footnoteRef/>
      </w:r>
      <w:r w:rsidRPr="002E582E">
        <w:rPr>
          <w:rFonts w:cs="Calibri"/>
          <w:sz w:val="20"/>
          <w:szCs w:val="20"/>
          <w:lang w:val="fr-FR"/>
        </w:rPr>
        <w:t xml:space="preserve"> </w:t>
      </w:r>
      <w:hyperlink r:id="rId8" w:history="1">
        <w:r w:rsidRPr="002E582E">
          <w:rPr>
            <w:rStyle w:val="Lienhypertexte"/>
            <w:rFonts w:cs="Calibri"/>
            <w:sz w:val="20"/>
            <w:szCs w:val="20"/>
            <w:lang w:val="fr-FR"/>
          </w:rPr>
          <w:t>https://data2.unhcr.org/en/documents/details/79656</w:t>
        </w:r>
      </w:hyperlink>
      <w:r w:rsidRPr="002E582E">
        <w:rPr>
          <w:rFonts w:cs="Calibri"/>
          <w:sz w:val="20"/>
          <w:szCs w:val="20"/>
          <w:lang w:val="fr-FR"/>
        </w:rPr>
        <w:t xml:space="preserve"> </w:t>
      </w:r>
    </w:p>
  </w:footnote>
  <w:footnote w:id="32">
    <w:p w14:paraId="66672863" w14:textId="77777777" w:rsidR="00146DBA" w:rsidRPr="004E1884" w:rsidRDefault="00146DBA" w:rsidP="00DA6E2C">
      <w:pPr>
        <w:pStyle w:val="Notedebasdepage"/>
        <w:rPr>
          <w:rFonts w:cs="Calibri"/>
          <w:sz w:val="20"/>
          <w:szCs w:val="20"/>
          <w:lang w:val="en-GB"/>
        </w:rPr>
      </w:pPr>
      <w:r w:rsidRPr="004E1884">
        <w:rPr>
          <w:rStyle w:val="Appelnotedebasdep"/>
          <w:rFonts w:cs="Calibri"/>
          <w:sz w:val="20"/>
          <w:szCs w:val="20"/>
        </w:rPr>
        <w:footnoteRef/>
      </w:r>
      <w:r w:rsidRPr="004E1884">
        <w:rPr>
          <w:rFonts w:cs="Calibri"/>
          <w:sz w:val="20"/>
          <w:szCs w:val="20"/>
          <w:lang w:val="en-GB"/>
        </w:rPr>
        <w:t xml:space="preserve"> </w:t>
      </w:r>
      <w:r>
        <w:rPr>
          <w:rFonts w:cs="Calibri"/>
          <w:sz w:val="20"/>
          <w:szCs w:val="20"/>
          <w:lang w:val="en-GB"/>
        </w:rPr>
        <w:t xml:space="preserve">West and Central Africa — Lake Chad Basin Crisis Monthly Dashboard 34 (28 </w:t>
      </w:r>
      <w:proofErr w:type="spellStart"/>
      <w:r>
        <w:rPr>
          <w:rFonts w:cs="Calibri"/>
          <w:sz w:val="20"/>
          <w:szCs w:val="20"/>
          <w:lang w:val="en-GB"/>
        </w:rPr>
        <w:t>Juillet</w:t>
      </w:r>
      <w:proofErr w:type="spellEnd"/>
      <w:r>
        <w:rPr>
          <w:rFonts w:cs="Calibri"/>
          <w:sz w:val="20"/>
          <w:szCs w:val="20"/>
          <w:lang w:val="en-GB"/>
        </w:rPr>
        <w:t xml:space="preserve"> 2021) https://displacement.iom.int/reports/afrique-de-l%E2%80%99ouest-et-du-centre-%E2%80%94-tableau-de-bord-mensuel-sur-la-crise-du-bassin-du-lac-0?close=true</w:t>
      </w:r>
    </w:p>
  </w:footnote>
  <w:footnote w:id="33">
    <w:p w14:paraId="1E855926" w14:textId="77777777" w:rsidR="00146DBA" w:rsidRPr="00466751" w:rsidRDefault="00146DBA" w:rsidP="00DA6E2C">
      <w:pPr>
        <w:pStyle w:val="Notedebasdepage"/>
        <w:rPr>
          <w:rFonts w:cs="Calibri"/>
          <w:sz w:val="20"/>
          <w:szCs w:val="20"/>
          <w:lang w:val="en-GB"/>
        </w:rPr>
      </w:pPr>
      <w:r w:rsidRPr="00466751">
        <w:rPr>
          <w:rStyle w:val="Appelnotedebasdep"/>
          <w:rFonts w:cs="Calibri"/>
          <w:sz w:val="20"/>
          <w:szCs w:val="20"/>
        </w:rPr>
        <w:footnoteRef/>
      </w:r>
      <w:r w:rsidRPr="00466751">
        <w:rPr>
          <w:rFonts w:cs="Calibri"/>
          <w:sz w:val="20"/>
          <w:szCs w:val="20"/>
          <w:lang w:val="en-GB"/>
        </w:rPr>
        <w:t xml:space="preserve"> </w:t>
      </w:r>
      <w:hyperlink r:id="rId9" w:history="1">
        <w:r w:rsidRPr="00466751">
          <w:rPr>
            <w:rStyle w:val="Lienhypertexte"/>
            <w:rFonts w:cs="Calibri"/>
            <w:sz w:val="20"/>
            <w:szCs w:val="20"/>
            <w:lang w:val="en-GB"/>
          </w:rPr>
          <w:t>https://reliefweb.int/sites/reliefweb.int/files/resources/DTM%20Chad_Logone%20Oriental_Moyen-Chari_R2_Rapport%20Narratif_Draft3_ab_om_yak_final.pdf</w:t>
        </w:r>
      </w:hyperlink>
      <w:r w:rsidRPr="00466751">
        <w:rPr>
          <w:rFonts w:cs="Calibri"/>
          <w:sz w:val="20"/>
          <w:szCs w:val="20"/>
          <w:lang w:val="en-GB"/>
        </w:rPr>
        <w:t xml:space="preserve"> </w:t>
      </w:r>
    </w:p>
  </w:footnote>
  <w:footnote w:id="34">
    <w:p w14:paraId="7CB9D1F4" w14:textId="77777777" w:rsidR="00146DBA" w:rsidRPr="00466751" w:rsidRDefault="00146DBA" w:rsidP="00DA6E2C">
      <w:pPr>
        <w:pStyle w:val="Notedebasdepage"/>
        <w:rPr>
          <w:rFonts w:cs="Calibri"/>
          <w:sz w:val="20"/>
          <w:szCs w:val="20"/>
          <w:lang w:val="en-GB"/>
        </w:rPr>
      </w:pPr>
      <w:r w:rsidRPr="00466751">
        <w:rPr>
          <w:rStyle w:val="Appelnotedebasdep"/>
          <w:rFonts w:cs="Calibri"/>
          <w:sz w:val="20"/>
          <w:szCs w:val="20"/>
        </w:rPr>
        <w:footnoteRef/>
      </w:r>
      <w:hyperlink r:id="rId10" w:anchor=":~:text=Quelque%2073%20000%20retourn%C3%A9s%20tchadiens,2003%20sont%20toujours%20au%20Tchad.&amp;text=Les%20perspectives%20de%20retour%20en%20RCA%20restent%20faibles" w:history="1">
        <w:r w:rsidRPr="00F4244C">
          <w:rPr>
            <w:rStyle w:val="Lienhypertexte"/>
            <w:rFonts w:cs="Calibri"/>
            <w:sz w:val="20"/>
            <w:szCs w:val="20"/>
            <w:lang w:val="en-GB"/>
          </w:rPr>
          <w:t>https://www.humanitarianresponse.info/en/operations/chad/sud#:~:text=Quelque%2073%20000%20retourn%C3%A9s%20tchadiens,2003%20sont%20toujours%20au%20Tchad.&amp;text=Les%20perspectives%20de%20retour%20en%20RCA%20restent%20faibles</w:t>
        </w:r>
      </w:hyperlink>
      <w:r w:rsidRPr="00466751">
        <w:rPr>
          <w:rFonts w:cs="Calibri"/>
          <w:sz w:val="20"/>
          <w:szCs w:val="20"/>
          <w:lang w:val="en-GB"/>
        </w:rPr>
        <w:t xml:space="preserve">. </w:t>
      </w:r>
    </w:p>
  </w:footnote>
  <w:footnote w:id="35">
    <w:p w14:paraId="7FB884F5" w14:textId="77777777" w:rsidR="00146DBA" w:rsidRPr="00894E9A" w:rsidRDefault="00146DBA" w:rsidP="00DA6E2C">
      <w:pPr>
        <w:pStyle w:val="Notedebasdepage"/>
        <w:rPr>
          <w:rFonts w:cs="Calibri"/>
          <w:sz w:val="20"/>
          <w:szCs w:val="20"/>
          <w:lang w:val="en-GB"/>
        </w:rPr>
      </w:pPr>
      <w:r w:rsidRPr="00894E9A">
        <w:rPr>
          <w:rStyle w:val="Appelnotedebasdep"/>
          <w:rFonts w:cs="Calibri"/>
          <w:sz w:val="20"/>
          <w:szCs w:val="20"/>
        </w:rPr>
        <w:footnoteRef/>
      </w:r>
      <w:r w:rsidRPr="00894E9A">
        <w:rPr>
          <w:rFonts w:cs="Calibri"/>
          <w:sz w:val="20"/>
          <w:szCs w:val="20"/>
          <w:lang w:val="en-GB"/>
        </w:rPr>
        <w:t xml:space="preserve"> </w:t>
      </w:r>
      <w:hyperlink r:id="rId11" w:history="1">
        <w:r w:rsidRPr="00894E9A">
          <w:rPr>
            <w:rStyle w:val="Lienhypertexte"/>
            <w:rFonts w:cs="Calibri"/>
            <w:sz w:val="20"/>
            <w:szCs w:val="20"/>
            <w:lang w:val="en-GB"/>
          </w:rPr>
          <w:t>https://www.peaceau.org/uploads/strategie-regionale-de-stabilisation-de-redressement-et-de-resilience.pdf</w:t>
        </w:r>
      </w:hyperlink>
      <w:r w:rsidRPr="00894E9A">
        <w:rPr>
          <w:rFonts w:cs="Calibri"/>
          <w:sz w:val="20"/>
          <w:szCs w:val="20"/>
          <w:lang w:val="en-GB"/>
        </w:rPr>
        <w:t xml:space="preserve"> </w:t>
      </w:r>
    </w:p>
  </w:footnote>
  <w:footnote w:id="36">
    <w:p w14:paraId="64D1AD01" w14:textId="77777777" w:rsidR="00146DBA" w:rsidRPr="00894E9A" w:rsidRDefault="00146DBA" w:rsidP="00DA6E2C">
      <w:pPr>
        <w:pStyle w:val="Notedebasdepage"/>
        <w:rPr>
          <w:rFonts w:cs="Calibri"/>
          <w:sz w:val="20"/>
          <w:szCs w:val="20"/>
          <w:lang w:val="en-GB"/>
        </w:rPr>
      </w:pPr>
      <w:r w:rsidRPr="00894E9A">
        <w:rPr>
          <w:rStyle w:val="Appelnotedebasdep"/>
          <w:rFonts w:cs="Calibri"/>
          <w:sz w:val="20"/>
          <w:szCs w:val="20"/>
        </w:rPr>
        <w:footnoteRef/>
      </w:r>
      <w:r w:rsidRPr="00894E9A">
        <w:rPr>
          <w:rFonts w:cs="Calibri"/>
          <w:sz w:val="20"/>
          <w:szCs w:val="20"/>
          <w:lang w:val="en-GB"/>
        </w:rPr>
        <w:t xml:space="preserve"> </w:t>
      </w:r>
      <w:hyperlink r:id="rId12" w:history="1">
        <w:r w:rsidRPr="00894E9A">
          <w:rPr>
            <w:rStyle w:val="Lienhypertexte"/>
            <w:rFonts w:cs="Calibri"/>
            <w:sz w:val="20"/>
            <w:szCs w:val="20"/>
            <w:lang w:val="en-GB"/>
          </w:rPr>
          <w:t>https://www.un.org/africarenewal/sites/www.un.org.africarenewal/files/French%20Summary%20Report_0.pdf</w:t>
        </w:r>
      </w:hyperlink>
      <w:r w:rsidRPr="00894E9A">
        <w:rPr>
          <w:rFonts w:cs="Calibri"/>
          <w:sz w:val="20"/>
          <w:szCs w:val="20"/>
          <w:lang w:val="en-GB"/>
        </w:rPr>
        <w:t xml:space="preserve"> </w:t>
      </w:r>
    </w:p>
  </w:footnote>
  <w:footnote w:id="37">
    <w:p w14:paraId="5AE6DEE5" w14:textId="77777777" w:rsidR="00146DBA" w:rsidRDefault="00146DBA" w:rsidP="00DA6E2C">
      <w:pPr>
        <w:pStyle w:val="Notedebasdepage"/>
        <w:rPr>
          <w:rFonts w:cs="Calibri"/>
          <w:sz w:val="20"/>
          <w:szCs w:val="20"/>
          <w:lang w:val="en-GB"/>
        </w:rPr>
      </w:pPr>
      <w:r>
        <w:rPr>
          <w:rStyle w:val="Appelnotedebasdep"/>
          <w:rFonts w:cs="Calibri"/>
          <w:sz w:val="20"/>
          <w:szCs w:val="20"/>
        </w:rPr>
        <w:footnoteRef/>
      </w:r>
      <w:r>
        <w:rPr>
          <w:rFonts w:cs="Calibri"/>
          <w:sz w:val="20"/>
          <w:szCs w:val="20"/>
          <w:lang w:val="en-GB"/>
        </w:rPr>
        <w:t xml:space="preserve"> </w:t>
      </w:r>
      <w:hyperlink r:id="rId13" w:history="1">
        <w:r>
          <w:rPr>
            <w:rStyle w:val="Lienhypertexte"/>
            <w:rFonts w:cs="Calibri"/>
            <w:sz w:val="20"/>
            <w:szCs w:val="20"/>
            <w:lang w:val="en-GB"/>
          </w:rPr>
          <w:t>https://www.un.org/fr/conf/migration/global-compact-for-safe-orderly-regular-migration.shtml</w:t>
        </w:r>
      </w:hyperlink>
      <w:r>
        <w:rPr>
          <w:rFonts w:cs="Calibri"/>
          <w:sz w:val="20"/>
          <w:szCs w:val="20"/>
          <w:lang w:val="en-GB"/>
        </w:rPr>
        <w:t xml:space="preserve"> </w:t>
      </w:r>
    </w:p>
  </w:footnote>
  <w:footnote w:id="38">
    <w:p w14:paraId="5DED9B46" w14:textId="0E2AA5B8" w:rsidR="00146DBA" w:rsidRPr="0007014E" w:rsidRDefault="00146DBA" w:rsidP="6BC40FD5">
      <w:pPr>
        <w:rPr>
          <w:rFonts w:ascii="Times New Roman" w:hAnsi="Times New Roman"/>
          <w:lang w:val="en-US"/>
        </w:rPr>
      </w:pPr>
      <w:r>
        <w:footnoteRef/>
      </w:r>
      <w:r w:rsidRPr="0007014E">
        <w:rPr>
          <w:lang w:val="en-US"/>
        </w:rPr>
        <w:t xml:space="preserve"> </w:t>
      </w:r>
      <w:r w:rsidRPr="0007014E">
        <w:rPr>
          <w:rFonts w:ascii="Times New Roman" w:hAnsi="Times New Roman"/>
          <w:lang w:val="en-US"/>
        </w:rPr>
        <w:t>IOM and American University 2021. “Climate Change, Food Security and Migration in Chad: A Complex Nexus”</w:t>
      </w:r>
    </w:p>
  </w:footnote>
  <w:footnote w:id="39">
    <w:p w14:paraId="3214871C" w14:textId="77777777" w:rsidR="00146DBA" w:rsidRDefault="00146DBA" w:rsidP="581E4654">
      <w:pPr>
        <w:pStyle w:val="Notedebasdepage"/>
        <w:rPr>
          <w:rFonts w:cs="Calibri"/>
          <w:sz w:val="20"/>
          <w:szCs w:val="20"/>
        </w:rPr>
      </w:pPr>
      <w:r w:rsidRPr="581E4654">
        <w:rPr>
          <w:rStyle w:val="Appelnotedebasdep"/>
          <w:rFonts w:ascii="Calibri" w:hAnsi="Calibri" w:cs="Calibri"/>
          <w:sz w:val="20"/>
          <w:szCs w:val="20"/>
        </w:rPr>
        <w:footnoteRef/>
      </w:r>
      <w:r w:rsidRPr="581E4654">
        <w:rPr>
          <w:rFonts w:cs="Calibri"/>
          <w:sz w:val="20"/>
          <w:szCs w:val="20"/>
        </w:rPr>
        <w:t xml:space="preserve"> Note de plaidoyer – Cluster Sécurité Alimentaire</w:t>
      </w:r>
    </w:p>
  </w:footnote>
  <w:footnote w:id="40">
    <w:p w14:paraId="59360D7D" w14:textId="74A50840" w:rsidR="00146DBA" w:rsidRPr="00A8375B" w:rsidRDefault="00146DBA">
      <w:pPr>
        <w:pStyle w:val="Notedebasdepage"/>
        <w:rPr>
          <w:lang w:val="en-US"/>
        </w:rPr>
      </w:pPr>
      <w:r>
        <w:rPr>
          <w:rStyle w:val="Appelnotedebasdep"/>
        </w:rPr>
        <w:footnoteRef/>
      </w:r>
      <w:r w:rsidRPr="00A8375B">
        <w:rPr>
          <w:lang w:val="en-US"/>
        </w:rPr>
        <w:t xml:space="preserve"> Ibid.</w:t>
      </w:r>
    </w:p>
  </w:footnote>
  <w:footnote w:id="41">
    <w:p w14:paraId="7012EEA9" w14:textId="6115EF86" w:rsidR="00146DBA" w:rsidRPr="005B765C" w:rsidRDefault="00146DBA" w:rsidP="6BC40FD5">
      <w:pPr>
        <w:rPr>
          <w:rFonts w:ascii="Segoe UI" w:hAnsi="Segoe UI"/>
          <w:color w:val="333333"/>
          <w:lang w:val="en-US"/>
        </w:rPr>
      </w:pPr>
      <w:r>
        <w:footnoteRef/>
      </w:r>
      <w:r w:rsidRPr="005B765C">
        <w:rPr>
          <w:lang w:val="en-US"/>
        </w:rPr>
        <w:t xml:space="preserve"> </w:t>
      </w:r>
      <w:hyperlink r:id="rId14" w:history="1">
        <w:r w:rsidRPr="005B765C">
          <w:rPr>
            <w:rStyle w:val="Lienhypertexte"/>
            <w:rFonts w:ascii="Segoe UI" w:hAnsi="Segoe UI"/>
            <w:sz w:val="18"/>
            <w:lang w:val="en-US"/>
          </w:rPr>
          <w:t>https://migration.iom.int/reports/tchad-%E2%80%94-suivi-des-urgences-109-08-juillet-2021</w:t>
        </w:r>
      </w:hyperlink>
    </w:p>
  </w:footnote>
  <w:footnote w:id="42">
    <w:p w14:paraId="41A48EAF" w14:textId="56492D60" w:rsidR="00146DBA" w:rsidRPr="00D34A39" w:rsidRDefault="00146DBA" w:rsidP="00D34A39">
      <w:pPr>
        <w:pStyle w:val="Notedebasdepage"/>
        <w:spacing w:before="0" w:after="0"/>
        <w:rPr>
          <w:sz w:val="22"/>
        </w:rPr>
      </w:pPr>
      <w:r w:rsidRPr="00D34A39">
        <w:rPr>
          <w:rStyle w:val="Appelnotedebasdep"/>
          <w:sz w:val="14"/>
        </w:rPr>
        <w:footnoteRef/>
      </w:r>
      <w:r w:rsidRPr="00D34A39">
        <w:rPr>
          <w:sz w:val="22"/>
        </w:rPr>
        <w:t xml:space="preserve"> </w:t>
      </w:r>
      <w:proofErr w:type="gramStart"/>
      <w:r w:rsidRPr="00D34A39">
        <w:rPr>
          <w:sz w:val="22"/>
        </w:rPr>
        <w:t xml:space="preserve">Statistiques </w:t>
      </w:r>
      <w:r w:rsidRPr="00845FAB">
        <w:t xml:space="preserve"> </w:t>
      </w:r>
      <w:r w:rsidRPr="00845FAB">
        <w:rPr>
          <w:sz w:val="22"/>
        </w:rPr>
        <w:t>CNARR</w:t>
      </w:r>
      <w:proofErr w:type="gramEnd"/>
      <w:r w:rsidRPr="00845FAB">
        <w:rPr>
          <w:sz w:val="22"/>
        </w:rPr>
        <w:t>/UNHCR</w:t>
      </w:r>
      <w:r w:rsidRPr="00D34A39">
        <w:rPr>
          <w:sz w:val="22"/>
        </w:rPr>
        <w:t xml:space="preserve"> au 31 Juillet 2020</w:t>
      </w:r>
      <w:r w:rsidRPr="00845FAB">
        <w:rPr>
          <w:sz w:val="22"/>
        </w:rPr>
        <w:t>, Sept. 2021</w:t>
      </w:r>
      <w:r>
        <w:rPr>
          <w:sz w:val="22"/>
        </w:rPr>
        <w:t> ;</w:t>
      </w:r>
    </w:p>
  </w:footnote>
  <w:footnote w:id="43">
    <w:p w14:paraId="6102A870" w14:textId="505E9916" w:rsidR="00146DBA" w:rsidRPr="00D34A39" w:rsidRDefault="00146DBA" w:rsidP="00D34A39">
      <w:pPr>
        <w:pStyle w:val="Notedebasdepage"/>
        <w:spacing w:before="0" w:after="0"/>
        <w:rPr>
          <w:sz w:val="22"/>
        </w:rPr>
      </w:pPr>
      <w:r w:rsidRPr="00D34A39">
        <w:rPr>
          <w:rStyle w:val="Appelnotedebasdep"/>
          <w:sz w:val="14"/>
        </w:rPr>
        <w:footnoteRef/>
      </w:r>
      <w:r w:rsidRPr="00D34A39">
        <w:rPr>
          <w:sz w:val="22"/>
        </w:rPr>
        <w:t xml:space="preserve"> Statistiques UNHCR au 31 Juillet 2020</w:t>
      </w:r>
      <w:r>
        <w:rPr>
          <w:sz w:val="22"/>
        </w:rPr>
        <w:t>Ibid.</w:t>
      </w:r>
    </w:p>
  </w:footnote>
  <w:footnote w:id="44">
    <w:p w14:paraId="47DA9C45" w14:textId="553735A3" w:rsidR="00146DBA" w:rsidRPr="001A3A2E" w:rsidRDefault="00146DBA">
      <w:pPr>
        <w:pStyle w:val="Notedebasdepage"/>
        <w:rPr>
          <w:lang w:val="fr-FR"/>
        </w:rPr>
      </w:pPr>
      <w:r w:rsidRPr="001A3A2E">
        <w:rPr>
          <w:rStyle w:val="Appelnotedebasdep"/>
          <w:rFonts w:ascii="Calibri" w:hAnsi="Calibri" w:cs="Calibri"/>
          <w:sz w:val="20"/>
          <w:szCs w:val="20"/>
        </w:rPr>
        <w:footnoteRef/>
      </w:r>
      <w:r w:rsidRPr="001A3A2E">
        <w:rPr>
          <w:rStyle w:val="Appelnotedebasdep"/>
          <w:rFonts w:ascii="Calibri" w:hAnsi="Calibri" w:cs="Calibri"/>
          <w:sz w:val="20"/>
          <w:szCs w:val="20"/>
        </w:rPr>
        <w:t xml:space="preserve"> https://www.humanitarianresponse.info/en/document/sitrep-covid-19-n-24624-novembre-2020</w:t>
      </w:r>
    </w:p>
  </w:footnote>
  <w:footnote w:id="45">
    <w:p w14:paraId="3E04BADD" w14:textId="0675EBC6" w:rsidR="00146DBA" w:rsidRPr="00D12F87" w:rsidRDefault="00146DBA" w:rsidP="00B24BB8">
      <w:pPr>
        <w:pStyle w:val="Notedebasdepage"/>
        <w:rPr>
          <w:rFonts w:cs="Calibri"/>
          <w:sz w:val="20"/>
          <w:szCs w:val="20"/>
        </w:rPr>
      </w:pPr>
      <w:r w:rsidRPr="00D12F87">
        <w:rPr>
          <w:rStyle w:val="Appelnotedebasdep"/>
          <w:rFonts w:ascii="Calibri" w:hAnsi="Calibri" w:cs="Calibri"/>
          <w:sz w:val="20"/>
          <w:szCs w:val="20"/>
        </w:rPr>
        <w:footnoteRef/>
      </w:r>
      <w:r w:rsidRPr="00D12F87">
        <w:rPr>
          <w:rFonts w:cs="Calibri"/>
          <w:sz w:val="20"/>
          <w:szCs w:val="20"/>
        </w:rPr>
        <w:t xml:space="preserve"> Etude sur l’impact socio-économique du Gouvernement du Tchad</w:t>
      </w:r>
    </w:p>
  </w:footnote>
  <w:footnote w:id="46">
    <w:p w14:paraId="7629183A" w14:textId="77777777" w:rsidR="00146DBA" w:rsidRPr="00B00052" w:rsidRDefault="00146DBA" w:rsidP="002121C4">
      <w:pPr>
        <w:pStyle w:val="Notedebasdepage"/>
        <w:rPr>
          <w:rFonts w:ascii="Times New Roman" w:hAnsi="Times New Roman"/>
          <w:sz w:val="16"/>
          <w:szCs w:val="16"/>
          <w:lang w:val="fr-FR"/>
        </w:rPr>
      </w:pPr>
      <w:r w:rsidRPr="00956BCA">
        <w:rPr>
          <w:rStyle w:val="Appelnotedebasdep"/>
        </w:rPr>
        <w:footnoteRef/>
      </w:r>
      <w:r w:rsidRPr="00B00052">
        <w:rPr>
          <w:rFonts w:ascii="Times New Roman" w:hAnsi="Times New Roman"/>
          <w:sz w:val="16"/>
          <w:szCs w:val="16"/>
          <w:lang w:val="fr-FR"/>
        </w:rPr>
        <w:t xml:space="preserve"> INSEED, Ecosit4 (2019)</w:t>
      </w:r>
    </w:p>
  </w:footnote>
  <w:footnote w:id="47">
    <w:p w14:paraId="219364C7" w14:textId="77777777" w:rsidR="00146DBA" w:rsidRPr="00B00052" w:rsidRDefault="00146DBA" w:rsidP="002121C4">
      <w:pPr>
        <w:pStyle w:val="Notedebasdepage"/>
        <w:rPr>
          <w:rFonts w:ascii="Times New Roman" w:hAnsi="Times New Roman"/>
          <w:sz w:val="16"/>
          <w:szCs w:val="16"/>
          <w:lang w:val="fr-FR"/>
        </w:rPr>
      </w:pPr>
      <w:r w:rsidRPr="009A21CD">
        <w:rPr>
          <w:rStyle w:val="Appelnotedebasdep"/>
        </w:rPr>
        <w:footnoteRef/>
      </w:r>
      <w:r w:rsidRPr="00B00052">
        <w:rPr>
          <w:rFonts w:ascii="Times New Roman" w:hAnsi="Times New Roman"/>
          <w:sz w:val="16"/>
          <w:szCs w:val="16"/>
          <w:lang w:val="fr-FR"/>
        </w:rPr>
        <w:t xml:space="preserve"> INSEED-UNICEF (2021), Étude sur La pauvreté monétaire des enfants au Tchad, document de travail, N’Djaména, Tchad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F17937" w14:textId="380DDA21" w:rsidR="00146DBA" w:rsidRDefault="00146DBA">
    <w:pPr>
      <w:pStyle w:val="En-tte"/>
    </w:pPr>
    <w:r w:rsidRPr="00A8375B">
      <w:rPr>
        <w:noProof/>
      </w:rPr>
      <w:drawing>
        <wp:inline distT="0" distB="0" distL="0" distR="0" wp14:anchorId="6B958B4D" wp14:editId="2875C620">
          <wp:extent cx="2876550" cy="1038225"/>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
                    <a:extLst>
                      <a:ext uri="{28A0092B-C50C-407E-A947-70E740481C1C}">
                        <a14:useLocalDpi xmlns:a14="http://schemas.microsoft.com/office/drawing/2010/main" val="0"/>
                      </a:ext>
                    </a:extLst>
                  </a:blip>
                  <a:srcRect t="13168" b="17796"/>
                  <a:stretch>
                    <a:fillRect/>
                  </a:stretch>
                </pic:blipFill>
                <pic:spPr>
                  <a:xfrm>
                    <a:off x="0" y="0"/>
                    <a:ext cx="2876550" cy="103822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A90DA" w14:textId="429F605D" w:rsidR="00146DBA" w:rsidRDefault="00146DBA">
    <w:pPr>
      <w:pStyle w:val="En-tte"/>
    </w:pPr>
    <w:r w:rsidRPr="00A8375B">
      <w:rPr>
        <w:noProof/>
      </w:rPr>
      <w:drawing>
        <wp:anchor distT="0" distB="0" distL="114300" distR="114300" simplePos="0" relativeHeight="251658240" behindDoc="0" locked="0" layoutInCell="1" allowOverlap="1" wp14:anchorId="255C6229" wp14:editId="23A65C73">
          <wp:simplePos x="0" y="0"/>
          <wp:positionH relativeFrom="margin">
            <wp:posOffset>-3810</wp:posOffset>
          </wp:positionH>
          <wp:positionV relativeFrom="paragraph">
            <wp:posOffset>-640080</wp:posOffset>
          </wp:positionV>
          <wp:extent cx="2286000" cy="7620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73C64"/>
    <w:multiLevelType w:val="hybridMultilevel"/>
    <w:tmpl w:val="1CA8B7F2"/>
    <w:lvl w:ilvl="0" w:tplc="620607B0">
      <w:start w:val="1"/>
      <w:numFmt w:val="bullet"/>
      <w:lvlText w:val="·"/>
      <w:lvlJc w:val="left"/>
      <w:pPr>
        <w:ind w:left="720" w:hanging="360"/>
      </w:pPr>
      <w:rPr>
        <w:rFonts w:ascii="Symbol" w:hAnsi="Symbol" w:hint="default"/>
      </w:rPr>
    </w:lvl>
    <w:lvl w:ilvl="1" w:tplc="283E4844">
      <w:start w:val="1"/>
      <w:numFmt w:val="bullet"/>
      <w:lvlText w:val="o"/>
      <w:lvlJc w:val="left"/>
      <w:pPr>
        <w:ind w:left="1440" w:hanging="360"/>
      </w:pPr>
      <w:rPr>
        <w:rFonts w:ascii="Courier New" w:hAnsi="Courier New" w:hint="default"/>
      </w:rPr>
    </w:lvl>
    <w:lvl w:ilvl="2" w:tplc="C39E2B08">
      <w:start w:val="1"/>
      <w:numFmt w:val="bullet"/>
      <w:lvlText w:val=""/>
      <w:lvlJc w:val="left"/>
      <w:pPr>
        <w:ind w:left="2160" w:hanging="360"/>
      </w:pPr>
      <w:rPr>
        <w:rFonts w:ascii="Wingdings" w:hAnsi="Wingdings" w:hint="default"/>
      </w:rPr>
    </w:lvl>
    <w:lvl w:ilvl="3" w:tplc="530AFE5C">
      <w:start w:val="1"/>
      <w:numFmt w:val="bullet"/>
      <w:lvlText w:val=""/>
      <w:lvlJc w:val="left"/>
      <w:pPr>
        <w:ind w:left="2880" w:hanging="360"/>
      </w:pPr>
      <w:rPr>
        <w:rFonts w:ascii="Symbol" w:hAnsi="Symbol" w:hint="default"/>
      </w:rPr>
    </w:lvl>
    <w:lvl w:ilvl="4" w:tplc="CD7CAD48">
      <w:start w:val="1"/>
      <w:numFmt w:val="bullet"/>
      <w:lvlText w:val="o"/>
      <w:lvlJc w:val="left"/>
      <w:pPr>
        <w:ind w:left="3600" w:hanging="360"/>
      </w:pPr>
      <w:rPr>
        <w:rFonts w:ascii="Courier New" w:hAnsi="Courier New" w:hint="default"/>
      </w:rPr>
    </w:lvl>
    <w:lvl w:ilvl="5" w:tplc="1C88E0B2">
      <w:start w:val="1"/>
      <w:numFmt w:val="bullet"/>
      <w:lvlText w:val=""/>
      <w:lvlJc w:val="left"/>
      <w:pPr>
        <w:ind w:left="4320" w:hanging="360"/>
      </w:pPr>
      <w:rPr>
        <w:rFonts w:ascii="Wingdings" w:hAnsi="Wingdings" w:hint="default"/>
      </w:rPr>
    </w:lvl>
    <w:lvl w:ilvl="6" w:tplc="92346B72">
      <w:start w:val="1"/>
      <w:numFmt w:val="bullet"/>
      <w:lvlText w:val=""/>
      <w:lvlJc w:val="left"/>
      <w:pPr>
        <w:ind w:left="5040" w:hanging="360"/>
      </w:pPr>
      <w:rPr>
        <w:rFonts w:ascii="Symbol" w:hAnsi="Symbol" w:hint="default"/>
      </w:rPr>
    </w:lvl>
    <w:lvl w:ilvl="7" w:tplc="6F605958">
      <w:start w:val="1"/>
      <w:numFmt w:val="bullet"/>
      <w:lvlText w:val="o"/>
      <w:lvlJc w:val="left"/>
      <w:pPr>
        <w:ind w:left="5760" w:hanging="360"/>
      </w:pPr>
      <w:rPr>
        <w:rFonts w:ascii="Courier New" w:hAnsi="Courier New" w:hint="default"/>
      </w:rPr>
    </w:lvl>
    <w:lvl w:ilvl="8" w:tplc="D64A5AEC">
      <w:start w:val="1"/>
      <w:numFmt w:val="bullet"/>
      <w:lvlText w:val=""/>
      <w:lvlJc w:val="left"/>
      <w:pPr>
        <w:ind w:left="6480" w:hanging="360"/>
      </w:pPr>
      <w:rPr>
        <w:rFonts w:ascii="Wingdings" w:hAnsi="Wingdings" w:hint="default"/>
      </w:rPr>
    </w:lvl>
  </w:abstractNum>
  <w:abstractNum w:abstractNumId="1" w15:restartNumberingAfterBreak="0">
    <w:nsid w:val="059E3593"/>
    <w:multiLevelType w:val="hybridMultilevel"/>
    <w:tmpl w:val="0994E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DD155D"/>
    <w:multiLevelType w:val="hybridMultilevel"/>
    <w:tmpl w:val="AB1CE73E"/>
    <w:lvl w:ilvl="0" w:tplc="D9425BCA">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6AC2A39"/>
    <w:multiLevelType w:val="hybridMultilevel"/>
    <w:tmpl w:val="E186686C"/>
    <w:lvl w:ilvl="0" w:tplc="040C0001">
      <w:start w:val="1"/>
      <w:numFmt w:val="bullet"/>
      <w:lvlText w:val=""/>
      <w:lvlJc w:val="left"/>
      <w:pPr>
        <w:ind w:left="360" w:hanging="360"/>
      </w:pPr>
      <w:rPr>
        <w:rFonts w:ascii="Symbol" w:hAnsi="Symbol" w:hint="default"/>
      </w:rPr>
    </w:lvl>
    <w:lvl w:ilvl="1" w:tplc="545E1710">
      <w:numFmt w:val="bullet"/>
      <w:lvlText w:val="•"/>
      <w:lvlJc w:val="left"/>
      <w:pPr>
        <w:ind w:left="1080" w:hanging="360"/>
      </w:pPr>
      <w:rPr>
        <w:rFonts w:ascii="Times New Roman" w:eastAsia="Calibri" w:hAnsi="Times New Roman" w:cs="Times New Roman"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B6971B1"/>
    <w:multiLevelType w:val="multilevel"/>
    <w:tmpl w:val="479C85B6"/>
    <w:lvl w:ilvl="0">
      <w:start w:val="1"/>
      <w:numFmt w:val="decimal"/>
      <w:lvlText w:val="%1."/>
      <w:lvlJc w:val="left"/>
      <w:pPr>
        <w:ind w:left="720" w:hanging="360"/>
      </w:pPr>
      <w:rPr>
        <w:rFonts w:ascii="Times New Roman" w:hAnsi="Times New Roman"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0E6A3967"/>
    <w:multiLevelType w:val="hybridMultilevel"/>
    <w:tmpl w:val="EA4E524C"/>
    <w:lvl w:ilvl="0" w:tplc="93E061B4">
      <w:start w:val="1"/>
      <w:numFmt w:val="bullet"/>
      <w:lvlText w:val="o"/>
      <w:lvlJc w:val="left"/>
      <w:pPr>
        <w:tabs>
          <w:tab w:val="num" w:pos="720"/>
        </w:tabs>
        <w:ind w:left="720" w:hanging="360"/>
      </w:pPr>
      <w:rPr>
        <w:rFonts w:ascii="Courier New" w:hAnsi="Courier New" w:hint="default"/>
      </w:rPr>
    </w:lvl>
    <w:lvl w:ilvl="1" w:tplc="C87E24E8" w:tentative="1">
      <w:start w:val="1"/>
      <w:numFmt w:val="bullet"/>
      <w:lvlText w:val="o"/>
      <w:lvlJc w:val="left"/>
      <w:pPr>
        <w:tabs>
          <w:tab w:val="num" w:pos="1440"/>
        </w:tabs>
        <w:ind w:left="1440" w:hanging="360"/>
      </w:pPr>
      <w:rPr>
        <w:rFonts w:ascii="Courier New" w:hAnsi="Courier New" w:hint="default"/>
      </w:rPr>
    </w:lvl>
    <w:lvl w:ilvl="2" w:tplc="230A8F62" w:tentative="1">
      <w:start w:val="1"/>
      <w:numFmt w:val="bullet"/>
      <w:lvlText w:val="o"/>
      <w:lvlJc w:val="left"/>
      <w:pPr>
        <w:tabs>
          <w:tab w:val="num" w:pos="2160"/>
        </w:tabs>
        <w:ind w:left="2160" w:hanging="360"/>
      </w:pPr>
      <w:rPr>
        <w:rFonts w:ascii="Courier New" w:hAnsi="Courier New" w:hint="default"/>
      </w:rPr>
    </w:lvl>
    <w:lvl w:ilvl="3" w:tplc="3C90F2A2" w:tentative="1">
      <w:start w:val="1"/>
      <w:numFmt w:val="bullet"/>
      <w:lvlText w:val="o"/>
      <w:lvlJc w:val="left"/>
      <w:pPr>
        <w:tabs>
          <w:tab w:val="num" w:pos="2880"/>
        </w:tabs>
        <w:ind w:left="2880" w:hanging="360"/>
      </w:pPr>
      <w:rPr>
        <w:rFonts w:ascii="Courier New" w:hAnsi="Courier New" w:hint="default"/>
      </w:rPr>
    </w:lvl>
    <w:lvl w:ilvl="4" w:tplc="E2EE717C" w:tentative="1">
      <w:start w:val="1"/>
      <w:numFmt w:val="bullet"/>
      <w:lvlText w:val="o"/>
      <w:lvlJc w:val="left"/>
      <w:pPr>
        <w:tabs>
          <w:tab w:val="num" w:pos="3600"/>
        </w:tabs>
        <w:ind w:left="3600" w:hanging="360"/>
      </w:pPr>
      <w:rPr>
        <w:rFonts w:ascii="Courier New" w:hAnsi="Courier New" w:hint="default"/>
      </w:rPr>
    </w:lvl>
    <w:lvl w:ilvl="5" w:tplc="0794110A" w:tentative="1">
      <w:start w:val="1"/>
      <w:numFmt w:val="bullet"/>
      <w:lvlText w:val="o"/>
      <w:lvlJc w:val="left"/>
      <w:pPr>
        <w:tabs>
          <w:tab w:val="num" w:pos="4320"/>
        </w:tabs>
        <w:ind w:left="4320" w:hanging="360"/>
      </w:pPr>
      <w:rPr>
        <w:rFonts w:ascii="Courier New" w:hAnsi="Courier New" w:hint="default"/>
      </w:rPr>
    </w:lvl>
    <w:lvl w:ilvl="6" w:tplc="2224332A" w:tentative="1">
      <w:start w:val="1"/>
      <w:numFmt w:val="bullet"/>
      <w:lvlText w:val="o"/>
      <w:lvlJc w:val="left"/>
      <w:pPr>
        <w:tabs>
          <w:tab w:val="num" w:pos="5040"/>
        </w:tabs>
        <w:ind w:left="5040" w:hanging="360"/>
      </w:pPr>
      <w:rPr>
        <w:rFonts w:ascii="Courier New" w:hAnsi="Courier New" w:hint="default"/>
      </w:rPr>
    </w:lvl>
    <w:lvl w:ilvl="7" w:tplc="1EA4F7C4" w:tentative="1">
      <w:start w:val="1"/>
      <w:numFmt w:val="bullet"/>
      <w:lvlText w:val="o"/>
      <w:lvlJc w:val="left"/>
      <w:pPr>
        <w:tabs>
          <w:tab w:val="num" w:pos="5760"/>
        </w:tabs>
        <w:ind w:left="5760" w:hanging="360"/>
      </w:pPr>
      <w:rPr>
        <w:rFonts w:ascii="Courier New" w:hAnsi="Courier New" w:hint="default"/>
      </w:rPr>
    </w:lvl>
    <w:lvl w:ilvl="8" w:tplc="BFBC0FFE" w:tentative="1">
      <w:start w:val="1"/>
      <w:numFmt w:val="bullet"/>
      <w:lvlText w:val="o"/>
      <w:lvlJc w:val="left"/>
      <w:pPr>
        <w:tabs>
          <w:tab w:val="num" w:pos="6480"/>
        </w:tabs>
        <w:ind w:left="6480" w:hanging="360"/>
      </w:pPr>
      <w:rPr>
        <w:rFonts w:ascii="Courier New" w:hAnsi="Courier New" w:hint="default"/>
      </w:rPr>
    </w:lvl>
  </w:abstractNum>
  <w:abstractNum w:abstractNumId="6" w15:restartNumberingAfterBreak="0">
    <w:nsid w:val="0FDE68F1"/>
    <w:multiLevelType w:val="hybridMultilevel"/>
    <w:tmpl w:val="63F89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BA6C83"/>
    <w:multiLevelType w:val="hybridMultilevel"/>
    <w:tmpl w:val="4F3C34A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5940306"/>
    <w:multiLevelType w:val="hybridMultilevel"/>
    <w:tmpl w:val="66FEA406"/>
    <w:lvl w:ilvl="0" w:tplc="234211D4">
      <w:start w:val="1"/>
      <w:numFmt w:val="bullet"/>
      <w:lvlText w:val=""/>
      <w:lvlJc w:val="left"/>
      <w:pPr>
        <w:tabs>
          <w:tab w:val="num" w:pos="720"/>
        </w:tabs>
        <w:ind w:left="720" w:hanging="360"/>
      </w:pPr>
      <w:rPr>
        <w:rFonts w:ascii="Wingdings" w:hAnsi="Wingdings" w:hint="default"/>
      </w:rPr>
    </w:lvl>
    <w:lvl w:ilvl="1" w:tplc="362C88A8" w:tentative="1">
      <w:start w:val="1"/>
      <w:numFmt w:val="bullet"/>
      <w:lvlText w:val=""/>
      <w:lvlJc w:val="left"/>
      <w:pPr>
        <w:tabs>
          <w:tab w:val="num" w:pos="1440"/>
        </w:tabs>
        <w:ind w:left="1440" w:hanging="360"/>
      </w:pPr>
      <w:rPr>
        <w:rFonts w:ascii="Wingdings" w:hAnsi="Wingdings" w:hint="default"/>
      </w:rPr>
    </w:lvl>
    <w:lvl w:ilvl="2" w:tplc="23B40F32" w:tentative="1">
      <w:start w:val="1"/>
      <w:numFmt w:val="bullet"/>
      <w:lvlText w:val=""/>
      <w:lvlJc w:val="left"/>
      <w:pPr>
        <w:tabs>
          <w:tab w:val="num" w:pos="2160"/>
        </w:tabs>
        <w:ind w:left="2160" w:hanging="360"/>
      </w:pPr>
      <w:rPr>
        <w:rFonts w:ascii="Wingdings" w:hAnsi="Wingdings" w:hint="default"/>
      </w:rPr>
    </w:lvl>
    <w:lvl w:ilvl="3" w:tplc="2E0A9D96" w:tentative="1">
      <w:start w:val="1"/>
      <w:numFmt w:val="bullet"/>
      <w:lvlText w:val=""/>
      <w:lvlJc w:val="left"/>
      <w:pPr>
        <w:tabs>
          <w:tab w:val="num" w:pos="2880"/>
        </w:tabs>
        <w:ind w:left="2880" w:hanging="360"/>
      </w:pPr>
      <w:rPr>
        <w:rFonts w:ascii="Wingdings" w:hAnsi="Wingdings" w:hint="default"/>
      </w:rPr>
    </w:lvl>
    <w:lvl w:ilvl="4" w:tplc="F73AF0D2" w:tentative="1">
      <w:start w:val="1"/>
      <w:numFmt w:val="bullet"/>
      <w:lvlText w:val=""/>
      <w:lvlJc w:val="left"/>
      <w:pPr>
        <w:tabs>
          <w:tab w:val="num" w:pos="3600"/>
        </w:tabs>
        <w:ind w:left="3600" w:hanging="360"/>
      </w:pPr>
      <w:rPr>
        <w:rFonts w:ascii="Wingdings" w:hAnsi="Wingdings" w:hint="default"/>
      </w:rPr>
    </w:lvl>
    <w:lvl w:ilvl="5" w:tplc="288A90B6" w:tentative="1">
      <w:start w:val="1"/>
      <w:numFmt w:val="bullet"/>
      <w:lvlText w:val=""/>
      <w:lvlJc w:val="left"/>
      <w:pPr>
        <w:tabs>
          <w:tab w:val="num" w:pos="4320"/>
        </w:tabs>
        <w:ind w:left="4320" w:hanging="360"/>
      </w:pPr>
      <w:rPr>
        <w:rFonts w:ascii="Wingdings" w:hAnsi="Wingdings" w:hint="default"/>
      </w:rPr>
    </w:lvl>
    <w:lvl w:ilvl="6" w:tplc="3564C5E0" w:tentative="1">
      <w:start w:val="1"/>
      <w:numFmt w:val="bullet"/>
      <w:lvlText w:val=""/>
      <w:lvlJc w:val="left"/>
      <w:pPr>
        <w:tabs>
          <w:tab w:val="num" w:pos="5040"/>
        </w:tabs>
        <w:ind w:left="5040" w:hanging="360"/>
      </w:pPr>
      <w:rPr>
        <w:rFonts w:ascii="Wingdings" w:hAnsi="Wingdings" w:hint="default"/>
      </w:rPr>
    </w:lvl>
    <w:lvl w:ilvl="7" w:tplc="CE2AE06E" w:tentative="1">
      <w:start w:val="1"/>
      <w:numFmt w:val="bullet"/>
      <w:lvlText w:val=""/>
      <w:lvlJc w:val="left"/>
      <w:pPr>
        <w:tabs>
          <w:tab w:val="num" w:pos="5760"/>
        </w:tabs>
        <w:ind w:left="5760" w:hanging="360"/>
      </w:pPr>
      <w:rPr>
        <w:rFonts w:ascii="Wingdings" w:hAnsi="Wingdings" w:hint="default"/>
      </w:rPr>
    </w:lvl>
    <w:lvl w:ilvl="8" w:tplc="5F9C7C02"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1D12A6"/>
    <w:multiLevelType w:val="hybridMultilevel"/>
    <w:tmpl w:val="568008E8"/>
    <w:lvl w:ilvl="0" w:tplc="2A58DD2A">
      <w:numFmt w:val="bullet"/>
      <w:lvlText w:val="-"/>
      <w:lvlJc w:val="left"/>
      <w:pPr>
        <w:ind w:left="360" w:hanging="360"/>
      </w:pPr>
      <w:rPr>
        <w:rFonts w:ascii="Times New Roman" w:eastAsia="Calibri"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18385499"/>
    <w:multiLevelType w:val="hybridMultilevel"/>
    <w:tmpl w:val="7CF42F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8651E39"/>
    <w:multiLevelType w:val="hybridMultilevel"/>
    <w:tmpl w:val="694E44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8883C53"/>
    <w:multiLevelType w:val="hybridMultilevel"/>
    <w:tmpl w:val="E3BE99D6"/>
    <w:lvl w:ilvl="0" w:tplc="510CD1D6">
      <w:start w:val="1"/>
      <w:numFmt w:val="bullet"/>
      <w:lvlText w:val="·"/>
      <w:lvlJc w:val="left"/>
      <w:pPr>
        <w:ind w:left="720" w:hanging="360"/>
      </w:pPr>
      <w:rPr>
        <w:rFonts w:ascii="Symbol" w:hAnsi="Symbol" w:hint="default"/>
      </w:rPr>
    </w:lvl>
    <w:lvl w:ilvl="1" w:tplc="A3BAC08A">
      <w:start w:val="1"/>
      <w:numFmt w:val="bullet"/>
      <w:lvlText w:val="o"/>
      <w:lvlJc w:val="left"/>
      <w:pPr>
        <w:ind w:left="1440" w:hanging="360"/>
      </w:pPr>
      <w:rPr>
        <w:rFonts w:ascii="Courier New" w:hAnsi="Courier New" w:hint="default"/>
      </w:rPr>
    </w:lvl>
    <w:lvl w:ilvl="2" w:tplc="00AABD0E">
      <w:start w:val="1"/>
      <w:numFmt w:val="bullet"/>
      <w:lvlText w:val=""/>
      <w:lvlJc w:val="left"/>
      <w:pPr>
        <w:ind w:left="2160" w:hanging="360"/>
      </w:pPr>
      <w:rPr>
        <w:rFonts w:ascii="Wingdings" w:hAnsi="Wingdings" w:hint="default"/>
      </w:rPr>
    </w:lvl>
    <w:lvl w:ilvl="3" w:tplc="49EA27A6">
      <w:start w:val="1"/>
      <w:numFmt w:val="bullet"/>
      <w:lvlText w:val=""/>
      <w:lvlJc w:val="left"/>
      <w:pPr>
        <w:ind w:left="2880" w:hanging="360"/>
      </w:pPr>
      <w:rPr>
        <w:rFonts w:ascii="Symbol" w:hAnsi="Symbol" w:hint="default"/>
      </w:rPr>
    </w:lvl>
    <w:lvl w:ilvl="4" w:tplc="78DAD972">
      <w:start w:val="1"/>
      <w:numFmt w:val="bullet"/>
      <w:lvlText w:val="o"/>
      <w:lvlJc w:val="left"/>
      <w:pPr>
        <w:ind w:left="3600" w:hanging="360"/>
      </w:pPr>
      <w:rPr>
        <w:rFonts w:ascii="Courier New" w:hAnsi="Courier New" w:hint="default"/>
      </w:rPr>
    </w:lvl>
    <w:lvl w:ilvl="5" w:tplc="98464914">
      <w:start w:val="1"/>
      <w:numFmt w:val="bullet"/>
      <w:lvlText w:val=""/>
      <w:lvlJc w:val="left"/>
      <w:pPr>
        <w:ind w:left="4320" w:hanging="360"/>
      </w:pPr>
      <w:rPr>
        <w:rFonts w:ascii="Wingdings" w:hAnsi="Wingdings" w:hint="default"/>
      </w:rPr>
    </w:lvl>
    <w:lvl w:ilvl="6" w:tplc="05480008">
      <w:start w:val="1"/>
      <w:numFmt w:val="bullet"/>
      <w:lvlText w:val=""/>
      <w:lvlJc w:val="left"/>
      <w:pPr>
        <w:ind w:left="5040" w:hanging="360"/>
      </w:pPr>
      <w:rPr>
        <w:rFonts w:ascii="Symbol" w:hAnsi="Symbol" w:hint="default"/>
      </w:rPr>
    </w:lvl>
    <w:lvl w:ilvl="7" w:tplc="85209B52">
      <w:start w:val="1"/>
      <w:numFmt w:val="bullet"/>
      <w:lvlText w:val="o"/>
      <w:lvlJc w:val="left"/>
      <w:pPr>
        <w:ind w:left="5760" w:hanging="360"/>
      </w:pPr>
      <w:rPr>
        <w:rFonts w:ascii="Courier New" w:hAnsi="Courier New" w:hint="default"/>
      </w:rPr>
    </w:lvl>
    <w:lvl w:ilvl="8" w:tplc="357EA6CC">
      <w:start w:val="1"/>
      <w:numFmt w:val="bullet"/>
      <w:lvlText w:val=""/>
      <w:lvlJc w:val="left"/>
      <w:pPr>
        <w:ind w:left="6480" w:hanging="360"/>
      </w:pPr>
      <w:rPr>
        <w:rFonts w:ascii="Wingdings" w:hAnsi="Wingdings" w:hint="default"/>
      </w:rPr>
    </w:lvl>
  </w:abstractNum>
  <w:abstractNum w:abstractNumId="13" w15:restartNumberingAfterBreak="0">
    <w:nsid w:val="1BC1746A"/>
    <w:multiLevelType w:val="hybridMultilevel"/>
    <w:tmpl w:val="B100F8B6"/>
    <w:lvl w:ilvl="0" w:tplc="2B3C25EA">
      <w:start w:val="1"/>
      <w:numFmt w:val="bullet"/>
      <w:lvlText w:val="·"/>
      <w:lvlJc w:val="left"/>
      <w:pPr>
        <w:ind w:left="720" w:hanging="360"/>
      </w:pPr>
      <w:rPr>
        <w:rFonts w:ascii="Symbol" w:hAnsi="Symbol" w:hint="default"/>
      </w:rPr>
    </w:lvl>
    <w:lvl w:ilvl="1" w:tplc="FBBA9E14">
      <w:start w:val="1"/>
      <w:numFmt w:val="bullet"/>
      <w:lvlText w:val="o"/>
      <w:lvlJc w:val="left"/>
      <w:pPr>
        <w:ind w:left="1440" w:hanging="360"/>
      </w:pPr>
      <w:rPr>
        <w:rFonts w:ascii="Courier New" w:hAnsi="Courier New" w:hint="default"/>
      </w:rPr>
    </w:lvl>
    <w:lvl w:ilvl="2" w:tplc="FA44A71C">
      <w:start w:val="1"/>
      <w:numFmt w:val="bullet"/>
      <w:lvlText w:val=""/>
      <w:lvlJc w:val="left"/>
      <w:pPr>
        <w:ind w:left="2160" w:hanging="360"/>
      </w:pPr>
      <w:rPr>
        <w:rFonts w:ascii="Wingdings" w:hAnsi="Wingdings" w:hint="default"/>
      </w:rPr>
    </w:lvl>
    <w:lvl w:ilvl="3" w:tplc="70968B9E">
      <w:start w:val="1"/>
      <w:numFmt w:val="bullet"/>
      <w:lvlText w:val=""/>
      <w:lvlJc w:val="left"/>
      <w:pPr>
        <w:ind w:left="2880" w:hanging="360"/>
      </w:pPr>
      <w:rPr>
        <w:rFonts w:ascii="Symbol" w:hAnsi="Symbol" w:hint="default"/>
      </w:rPr>
    </w:lvl>
    <w:lvl w:ilvl="4" w:tplc="A43C242E">
      <w:start w:val="1"/>
      <w:numFmt w:val="bullet"/>
      <w:lvlText w:val="o"/>
      <w:lvlJc w:val="left"/>
      <w:pPr>
        <w:ind w:left="3600" w:hanging="360"/>
      </w:pPr>
      <w:rPr>
        <w:rFonts w:ascii="Courier New" w:hAnsi="Courier New" w:hint="default"/>
      </w:rPr>
    </w:lvl>
    <w:lvl w:ilvl="5" w:tplc="42F053AA">
      <w:start w:val="1"/>
      <w:numFmt w:val="bullet"/>
      <w:lvlText w:val=""/>
      <w:lvlJc w:val="left"/>
      <w:pPr>
        <w:ind w:left="4320" w:hanging="360"/>
      </w:pPr>
      <w:rPr>
        <w:rFonts w:ascii="Wingdings" w:hAnsi="Wingdings" w:hint="default"/>
      </w:rPr>
    </w:lvl>
    <w:lvl w:ilvl="6" w:tplc="F96C64F4">
      <w:start w:val="1"/>
      <w:numFmt w:val="bullet"/>
      <w:lvlText w:val=""/>
      <w:lvlJc w:val="left"/>
      <w:pPr>
        <w:ind w:left="5040" w:hanging="360"/>
      </w:pPr>
      <w:rPr>
        <w:rFonts w:ascii="Symbol" w:hAnsi="Symbol" w:hint="default"/>
      </w:rPr>
    </w:lvl>
    <w:lvl w:ilvl="7" w:tplc="3C980DB4">
      <w:start w:val="1"/>
      <w:numFmt w:val="bullet"/>
      <w:lvlText w:val="o"/>
      <w:lvlJc w:val="left"/>
      <w:pPr>
        <w:ind w:left="5760" w:hanging="360"/>
      </w:pPr>
      <w:rPr>
        <w:rFonts w:ascii="Courier New" w:hAnsi="Courier New" w:hint="default"/>
      </w:rPr>
    </w:lvl>
    <w:lvl w:ilvl="8" w:tplc="28B0506A">
      <w:start w:val="1"/>
      <w:numFmt w:val="bullet"/>
      <w:lvlText w:val=""/>
      <w:lvlJc w:val="left"/>
      <w:pPr>
        <w:ind w:left="6480" w:hanging="360"/>
      </w:pPr>
      <w:rPr>
        <w:rFonts w:ascii="Wingdings" w:hAnsi="Wingdings" w:hint="default"/>
      </w:rPr>
    </w:lvl>
  </w:abstractNum>
  <w:abstractNum w:abstractNumId="14" w15:restartNumberingAfterBreak="0">
    <w:nsid w:val="218E0D20"/>
    <w:multiLevelType w:val="hybridMultilevel"/>
    <w:tmpl w:val="906E37A6"/>
    <w:lvl w:ilvl="0" w:tplc="26BC4F8E">
      <w:start w:val="1"/>
      <w:numFmt w:val="bullet"/>
      <w:lvlText w:val="-"/>
      <w:lvlJc w:val="left"/>
      <w:pPr>
        <w:ind w:left="720" w:hanging="360"/>
      </w:pPr>
      <w:rPr>
        <w:rFonts w:ascii="&quot;Times New Roman&quot;,serif" w:hAnsi="&quot;Times New Roman&quot;,serif" w:hint="default"/>
      </w:rPr>
    </w:lvl>
    <w:lvl w:ilvl="1" w:tplc="7928904C">
      <w:start w:val="1"/>
      <w:numFmt w:val="bullet"/>
      <w:lvlText w:val="o"/>
      <w:lvlJc w:val="left"/>
      <w:pPr>
        <w:ind w:left="1440" w:hanging="360"/>
      </w:pPr>
      <w:rPr>
        <w:rFonts w:ascii="Courier New" w:hAnsi="Courier New" w:hint="default"/>
      </w:rPr>
    </w:lvl>
    <w:lvl w:ilvl="2" w:tplc="2102A18A">
      <w:start w:val="1"/>
      <w:numFmt w:val="bullet"/>
      <w:lvlText w:val=""/>
      <w:lvlJc w:val="left"/>
      <w:pPr>
        <w:ind w:left="2160" w:hanging="360"/>
      </w:pPr>
      <w:rPr>
        <w:rFonts w:ascii="Wingdings" w:hAnsi="Wingdings" w:hint="default"/>
      </w:rPr>
    </w:lvl>
    <w:lvl w:ilvl="3" w:tplc="9B823A6A">
      <w:start w:val="1"/>
      <w:numFmt w:val="bullet"/>
      <w:lvlText w:val=""/>
      <w:lvlJc w:val="left"/>
      <w:pPr>
        <w:ind w:left="2880" w:hanging="360"/>
      </w:pPr>
      <w:rPr>
        <w:rFonts w:ascii="Symbol" w:hAnsi="Symbol" w:hint="default"/>
      </w:rPr>
    </w:lvl>
    <w:lvl w:ilvl="4" w:tplc="4600F836">
      <w:start w:val="1"/>
      <w:numFmt w:val="bullet"/>
      <w:lvlText w:val="o"/>
      <w:lvlJc w:val="left"/>
      <w:pPr>
        <w:ind w:left="3600" w:hanging="360"/>
      </w:pPr>
      <w:rPr>
        <w:rFonts w:ascii="Courier New" w:hAnsi="Courier New" w:hint="default"/>
      </w:rPr>
    </w:lvl>
    <w:lvl w:ilvl="5" w:tplc="CFAA6C18">
      <w:start w:val="1"/>
      <w:numFmt w:val="bullet"/>
      <w:lvlText w:val=""/>
      <w:lvlJc w:val="left"/>
      <w:pPr>
        <w:ind w:left="4320" w:hanging="360"/>
      </w:pPr>
      <w:rPr>
        <w:rFonts w:ascii="Wingdings" w:hAnsi="Wingdings" w:hint="default"/>
      </w:rPr>
    </w:lvl>
    <w:lvl w:ilvl="6" w:tplc="5BA2E8DC">
      <w:start w:val="1"/>
      <w:numFmt w:val="bullet"/>
      <w:lvlText w:val=""/>
      <w:lvlJc w:val="left"/>
      <w:pPr>
        <w:ind w:left="5040" w:hanging="360"/>
      </w:pPr>
      <w:rPr>
        <w:rFonts w:ascii="Symbol" w:hAnsi="Symbol" w:hint="default"/>
      </w:rPr>
    </w:lvl>
    <w:lvl w:ilvl="7" w:tplc="F89C0626">
      <w:start w:val="1"/>
      <w:numFmt w:val="bullet"/>
      <w:lvlText w:val="o"/>
      <w:lvlJc w:val="left"/>
      <w:pPr>
        <w:ind w:left="5760" w:hanging="360"/>
      </w:pPr>
      <w:rPr>
        <w:rFonts w:ascii="Courier New" w:hAnsi="Courier New" w:hint="default"/>
      </w:rPr>
    </w:lvl>
    <w:lvl w:ilvl="8" w:tplc="29F0690A">
      <w:start w:val="1"/>
      <w:numFmt w:val="bullet"/>
      <w:lvlText w:val=""/>
      <w:lvlJc w:val="left"/>
      <w:pPr>
        <w:ind w:left="6480" w:hanging="360"/>
      </w:pPr>
      <w:rPr>
        <w:rFonts w:ascii="Wingdings" w:hAnsi="Wingdings" w:hint="default"/>
      </w:rPr>
    </w:lvl>
  </w:abstractNum>
  <w:abstractNum w:abstractNumId="15" w15:restartNumberingAfterBreak="0">
    <w:nsid w:val="22B66B22"/>
    <w:multiLevelType w:val="hybridMultilevel"/>
    <w:tmpl w:val="A4329506"/>
    <w:lvl w:ilvl="0" w:tplc="040C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AE6A62"/>
    <w:multiLevelType w:val="hybridMultilevel"/>
    <w:tmpl w:val="11CC32C0"/>
    <w:lvl w:ilvl="0" w:tplc="C0E239C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223220"/>
    <w:multiLevelType w:val="hybridMultilevel"/>
    <w:tmpl w:val="1DA0DE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5D63FA2"/>
    <w:multiLevelType w:val="hybridMultilevel"/>
    <w:tmpl w:val="E40652EC"/>
    <w:lvl w:ilvl="0" w:tplc="19D8D9EC">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BFD4D88"/>
    <w:multiLevelType w:val="hybridMultilevel"/>
    <w:tmpl w:val="4298552A"/>
    <w:lvl w:ilvl="0" w:tplc="8188A4E6">
      <w:start w:val="1"/>
      <w:numFmt w:val="bullet"/>
      <w:lvlText w:val="·"/>
      <w:lvlJc w:val="left"/>
      <w:pPr>
        <w:ind w:left="720" w:hanging="360"/>
      </w:pPr>
      <w:rPr>
        <w:rFonts w:ascii="Symbol" w:hAnsi="Symbol" w:hint="default"/>
      </w:rPr>
    </w:lvl>
    <w:lvl w:ilvl="1" w:tplc="A59CBB80">
      <w:start w:val="1"/>
      <w:numFmt w:val="bullet"/>
      <w:lvlText w:val="o"/>
      <w:lvlJc w:val="left"/>
      <w:pPr>
        <w:ind w:left="1440" w:hanging="360"/>
      </w:pPr>
      <w:rPr>
        <w:rFonts w:ascii="Courier New" w:hAnsi="Courier New" w:hint="default"/>
      </w:rPr>
    </w:lvl>
    <w:lvl w:ilvl="2" w:tplc="B87C0ED0">
      <w:start w:val="1"/>
      <w:numFmt w:val="bullet"/>
      <w:lvlText w:val=""/>
      <w:lvlJc w:val="left"/>
      <w:pPr>
        <w:ind w:left="2160" w:hanging="360"/>
      </w:pPr>
      <w:rPr>
        <w:rFonts w:ascii="Wingdings" w:hAnsi="Wingdings" w:hint="default"/>
      </w:rPr>
    </w:lvl>
    <w:lvl w:ilvl="3" w:tplc="975EA0B2">
      <w:start w:val="1"/>
      <w:numFmt w:val="bullet"/>
      <w:lvlText w:val=""/>
      <w:lvlJc w:val="left"/>
      <w:pPr>
        <w:ind w:left="2880" w:hanging="360"/>
      </w:pPr>
      <w:rPr>
        <w:rFonts w:ascii="Symbol" w:hAnsi="Symbol" w:hint="default"/>
      </w:rPr>
    </w:lvl>
    <w:lvl w:ilvl="4" w:tplc="790C2F74">
      <w:start w:val="1"/>
      <w:numFmt w:val="bullet"/>
      <w:lvlText w:val="o"/>
      <w:lvlJc w:val="left"/>
      <w:pPr>
        <w:ind w:left="3600" w:hanging="360"/>
      </w:pPr>
      <w:rPr>
        <w:rFonts w:ascii="Courier New" w:hAnsi="Courier New" w:hint="default"/>
      </w:rPr>
    </w:lvl>
    <w:lvl w:ilvl="5" w:tplc="C10A2272">
      <w:start w:val="1"/>
      <w:numFmt w:val="bullet"/>
      <w:lvlText w:val=""/>
      <w:lvlJc w:val="left"/>
      <w:pPr>
        <w:ind w:left="4320" w:hanging="360"/>
      </w:pPr>
      <w:rPr>
        <w:rFonts w:ascii="Wingdings" w:hAnsi="Wingdings" w:hint="default"/>
      </w:rPr>
    </w:lvl>
    <w:lvl w:ilvl="6" w:tplc="CF267894">
      <w:start w:val="1"/>
      <w:numFmt w:val="bullet"/>
      <w:lvlText w:val=""/>
      <w:lvlJc w:val="left"/>
      <w:pPr>
        <w:ind w:left="5040" w:hanging="360"/>
      </w:pPr>
      <w:rPr>
        <w:rFonts w:ascii="Symbol" w:hAnsi="Symbol" w:hint="default"/>
      </w:rPr>
    </w:lvl>
    <w:lvl w:ilvl="7" w:tplc="2FC612AC">
      <w:start w:val="1"/>
      <w:numFmt w:val="bullet"/>
      <w:lvlText w:val="o"/>
      <w:lvlJc w:val="left"/>
      <w:pPr>
        <w:ind w:left="5760" w:hanging="360"/>
      </w:pPr>
      <w:rPr>
        <w:rFonts w:ascii="Courier New" w:hAnsi="Courier New" w:hint="default"/>
      </w:rPr>
    </w:lvl>
    <w:lvl w:ilvl="8" w:tplc="94A2A080">
      <w:start w:val="1"/>
      <w:numFmt w:val="bullet"/>
      <w:lvlText w:val=""/>
      <w:lvlJc w:val="left"/>
      <w:pPr>
        <w:ind w:left="6480" w:hanging="360"/>
      </w:pPr>
      <w:rPr>
        <w:rFonts w:ascii="Wingdings" w:hAnsi="Wingdings" w:hint="default"/>
      </w:rPr>
    </w:lvl>
  </w:abstractNum>
  <w:abstractNum w:abstractNumId="20" w15:restartNumberingAfterBreak="0">
    <w:nsid w:val="33DD52D1"/>
    <w:multiLevelType w:val="hybridMultilevel"/>
    <w:tmpl w:val="E048BEC6"/>
    <w:lvl w:ilvl="0" w:tplc="498CFF18">
      <w:start w:val="1"/>
      <w:numFmt w:val="bullet"/>
      <w:lvlText w:val=""/>
      <w:lvlJc w:val="left"/>
      <w:pPr>
        <w:tabs>
          <w:tab w:val="num" w:pos="720"/>
        </w:tabs>
        <w:ind w:left="720" w:hanging="360"/>
      </w:pPr>
      <w:rPr>
        <w:rFonts w:ascii="Wingdings" w:hAnsi="Wingdings" w:hint="default"/>
      </w:rPr>
    </w:lvl>
    <w:lvl w:ilvl="1" w:tplc="EC1C6CBE" w:tentative="1">
      <w:start w:val="1"/>
      <w:numFmt w:val="bullet"/>
      <w:lvlText w:val=""/>
      <w:lvlJc w:val="left"/>
      <w:pPr>
        <w:tabs>
          <w:tab w:val="num" w:pos="1440"/>
        </w:tabs>
        <w:ind w:left="1440" w:hanging="360"/>
      </w:pPr>
      <w:rPr>
        <w:rFonts w:ascii="Wingdings" w:hAnsi="Wingdings" w:hint="default"/>
      </w:rPr>
    </w:lvl>
    <w:lvl w:ilvl="2" w:tplc="495830F6" w:tentative="1">
      <w:start w:val="1"/>
      <w:numFmt w:val="bullet"/>
      <w:lvlText w:val=""/>
      <w:lvlJc w:val="left"/>
      <w:pPr>
        <w:tabs>
          <w:tab w:val="num" w:pos="2160"/>
        </w:tabs>
        <w:ind w:left="2160" w:hanging="360"/>
      </w:pPr>
      <w:rPr>
        <w:rFonts w:ascii="Wingdings" w:hAnsi="Wingdings" w:hint="default"/>
      </w:rPr>
    </w:lvl>
    <w:lvl w:ilvl="3" w:tplc="BFD86118" w:tentative="1">
      <w:start w:val="1"/>
      <w:numFmt w:val="bullet"/>
      <w:lvlText w:val=""/>
      <w:lvlJc w:val="left"/>
      <w:pPr>
        <w:tabs>
          <w:tab w:val="num" w:pos="2880"/>
        </w:tabs>
        <w:ind w:left="2880" w:hanging="360"/>
      </w:pPr>
      <w:rPr>
        <w:rFonts w:ascii="Wingdings" w:hAnsi="Wingdings" w:hint="default"/>
      </w:rPr>
    </w:lvl>
    <w:lvl w:ilvl="4" w:tplc="4524F37E" w:tentative="1">
      <w:start w:val="1"/>
      <w:numFmt w:val="bullet"/>
      <w:lvlText w:val=""/>
      <w:lvlJc w:val="left"/>
      <w:pPr>
        <w:tabs>
          <w:tab w:val="num" w:pos="3600"/>
        </w:tabs>
        <w:ind w:left="3600" w:hanging="360"/>
      </w:pPr>
      <w:rPr>
        <w:rFonts w:ascii="Wingdings" w:hAnsi="Wingdings" w:hint="default"/>
      </w:rPr>
    </w:lvl>
    <w:lvl w:ilvl="5" w:tplc="B5A2963E" w:tentative="1">
      <w:start w:val="1"/>
      <w:numFmt w:val="bullet"/>
      <w:lvlText w:val=""/>
      <w:lvlJc w:val="left"/>
      <w:pPr>
        <w:tabs>
          <w:tab w:val="num" w:pos="4320"/>
        </w:tabs>
        <w:ind w:left="4320" w:hanging="360"/>
      </w:pPr>
      <w:rPr>
        <w:rFonts w:ascii="Wingdings" w:hAnsi="Wingdings" w:hint="default"/>
      </w:rPr>
    </w:lvl>
    <w:lvl w:ilvl="6" w:tplc="476EA392" w:tentative="1">
      <w:start w:val="1"/>
      <w:numFmt w:val="bullet"/>
      <w:lvlText w:val=""/>
      <w:lvlJc w:val="left"/>
      <w:pPr>
        <w:tabs>
          <w:tab w:val="num" w:pos="5040"/>
        </w:tabs>
        <w:ind w:left="5040" w:hanging="360"/>
      </w:pPr>
      <w:rPr>
        <w:rFonts w:ascii="Wingdings" w:hAnsi="Wingdings" w:hint="default"/>
      </w:rPr>
    </w:lvl>
    <w:lvl w:ilvl="7" w:tplc="8D22FBA8" w:tentative="1">
      <w:start w:val="1"/>
      <w:numFmt w:val="bullet"/>
      <w:lvlText w:val=""/>
      <w:lvlJc w:val="left"/>
      <w:pPr>
        <w:tabs>
          <w:tab w:val="num" w:pos="5760"/>
        </w:tabs>
        <w:ind w:left="5760" w:hanging="360"/>
      </w:pPr>
      <w:rPr>
        <w:rFonts w:ascii="Wingdings" w:hAnsi="Wingdings" w:hint="default"/>
      </w:rPr>
    </w:lvl>
    <w:lvl w:ilvl="8" w:tplc="1284C32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B83B58"/>
    <w:multiLevelType w:val="multilevel"/>
    <w:tmpl w:val="FB3E3F64"/>
    <w:lvl w:ilvl="0">
      <w:start w:val="1"/>
      <w:numFmt w:val="decimal"/>
      <w:lvlText w:val="%1."/>
      <w:lvlJc w:val="left"/>
      <w:pPr>
        <w:ind w:left="720" w:hanging="360"/>
      </w:pPr>
      <w:rPr>
        <w:rFonts w:ascii="Times New Roman" w:hAnsi="Times New Roman"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386D5D8F"/>
    <w:multiLevelType w:val="hybridMultilevel"/>
    <w:tmpl w:val="1556E55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15:restartNumberingAfterBreak="0">
    <w:nsid w:val="3A476CD2"/>
    <w:multiLevelType w:val="hybridMultilevel"/>
    <w:tmpl w:val="E3E2DFC8"/>
    <w:lvl w:ilvl="0" w:tplc="AC085718">
      <w:start w:val="1"/>
      <w:numFmt w:val="bullet"/>
      <w:lvlText w:val="·"/>
      <w:lvlJc w:val="left"/>
      <w:pPr>
        <w:ind w:left="720" w:hanging="360"/>
      </w:pPr>
      <w:rPr>
        <w:rFonts w:ascii="Symbol" w:hAnsi="Symbol" w:hint="default"/>
      </w:rPr>
    </w:lvl>
    <w:lvl w:ilvl="1" w:tplc="C9401F90">
      <w:start w:val="1"/>
      <w:numFmt w:val="bullet"/>
      <w:lvlText w:val="o"/>
      <w:lvlJc w:val="left"/>
      <w:pPr>
        <w:ind w:left="1440" w:hanging="360"/>
      </w:pPr>
      <w:rPr>
        <w:rFonts w:ascii="Courier New" w:hAnsi="Courier New" w:hint="default"/>
      </w:rPr>
    </w:lvl>
    <w:lvl w:ilvl="2" w:tplc="44828114">
      <w:start w:val="1"/>
      <w:numFmt w:val="bullet"/>
      <w:lvlText w:val=""/>
      <w:lvlJc w:val="left"/>
      <w:pPr>
        <w:ind w:left="2160" w:hanging="360"/>
      </w:pPr>
      <w:rPr>
        <w:rFonts w:ascii="Wingdings" w:hAnsi="Wingdings" w:hint="default"/>
      </w:rPr>
    </w:lvl>
    <w:lvl w:ilvl="3" w:tplc="56FED782">
      <w:start w:val="1"/>
      <w:numFmt w:val="bullet"/>
      <w:lvlText w:val=""/>
      <w:lvlJc w:val="left"/>
      <w:pPr>
        <w:ind w:left="2880" w:hanging="360"/>
      </w:pPr>
      <w:rPr>
        <w:rFonts w:ascii="Symbol" w:hAnsi="Symbol" w:hint="default"/>
      </w:rPr>
    </w:lvl>
    <w:lvl w:ilvl="4" w:tplc="171E18C4">
      <w:start w:val="1"/>
      <w:numFmt w:val="bullet"/>
      <w:lvlText w:val="o"/>
      <w:lvlJc w:val="left"/>
      <w:pPr>
        <w:ind w:left="3600" w:hanging="360"/>
      </w:pPr>
      <w:rPr>
        <w:rFonts w:ascii="Courier New" w:hAnsi="Courier New" w:hint="default"/>
      </w:rPr>
    </w:lvl>
    <w:lvl w:ilvl="5" w:tplc="7A6AB9B8">
      <w:start w:val="1"/>
      <w:numFmt w:val="bullet"/>
      <w:lvlText w:val=""/>
      <w:lvlJc w:val="left"/>
      <w:pPr>
        <w:ind w:left="4320" w:hanging="360"/>
      </w:pPr>
      <w:rPr>
        <w:rFonts w:ascii="Wingdings" w:hAnsi="Wingdings" w:hint="default"/>
      </w:rPr>
    </w:lvl>
    <w:lvl w:ilvl="6" w:tplc="75B65C58">
      <w:start w:val="1"/>
      <w:numFmt w:val="bullet"/>
      <w:lvlText w:val=""/>
      <w:lvlJc w:val="left"/>
      <w:pPr>
        <w:ind w:left="5040" w:hanging="360"/>
      </w:pPr>
      <w:rPr>
        <w:rFonts w:ascii="Symbol" w:hAnsi="Symbol" w:hint="default"/>
      </w:rPr>
    </w:lvl>
    <w:lvl w:ilvl="7" w:tplc="38D83F92">
      <w:start w:val="1"/>
      <w:numFmt w:val="bullet"/>
      <w:lvlText w:val="o"/>
      <w:lvlJc w:val="left"/>
      <w:pPr>
        <w:ind w:left="5760" w:hanging="360"/>
      </w:pPr>
      <w:rPr>
        <w:rFonts w:ascii="Courier New" w:hAnsi="Courier New" w:hint="default"/>
      </w:rPr>
    </w:lvl>
    <w:lvl w:ilvl="8" w:tplc="1902A6BA">
      <w:start w:val="1"/>
      <w:numFmt w:val="bullet"/>
      <w:lvlText w:val=""/>
      <w:lvlJc w:val="left"/>
      <w:pPr>
        <w:ind w:left="6480" w:hanging="360"/>
      </w:pPr>
      <w:rPr>
        <w:rFonts w:ascii="Wingdings" w:hAnsi="Wingdings" w:hint="default"/>
      </w:rPr>
    </w:lvl>
  </w:abstractNum>
  <w:abstractNum w:abstractNumId="24" w15:restartNumberingAfterBreak="0">
    <w:nsid w:val="3B8645F0"/>
    <w:multiLevelType w:val="hybridMultilevel"/>
    <w:tmpl w:val="B3E03E9E"/>
    <w:lvl w:ilvl="0" w:tplc="040C000B">
      <w:start w:val="1"/>
      <w:numFmt w:val="bullet"/>
      <w:lvlText w:val=""/>
      <w:lvlJc w:val="left"/>
      <w:pPr>
        <w:ind w:left="360" w:hanging="360"/>
      </w:pPr>
      <w:rPr>
        <w:rFonts w:ascii="Wingdings" w:hAnsi="Wingding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15:restartNumberingAfterBreak="0">
    <w:nsid w:val="3C391C4D"/>
    <w:multiLevelType w:val="hybridMultilevel"/>
    <w:tmpl w:val="64C2C4A4"/>
    <w:lvl w:ilvl="0" w:tplc="705256A0">
      <w:start w:val="1"/>
      <w:numFmt w:val="bullet"/>
      <w:lvlText w:val="o"/>
      <w:lvlJc w:val="left"/>
      <w:pPr>
        <w:tabs>
          <w:tab w:val="num" w:pos="720"/>
        </w:tabs>
        <w:ind w:left="720" w:hanging="360"/>
      </w:pPr>
      <w:rPr>
        <w:rFonts w:ascii="Courier New" w:hAnsi="Courier New" w:hint="default"/>
      </w:rPr>
    </w:lvl>
    <w:lvl w:ilvl="1" w:tplc="B9E0737A">
      <w:numFmt w:val="none"/>
      <w:lvlText w:val=""/>
      <w:lvlJc w:val="left"/>
      <w:pPr>
        <w:tabs>
          <w:tab w:val="num" w:pos="360"/>
        </w:tabs>
      </w:pPr>
    </w:lvl>
    <w:lvl w:ilvl="2" w:tplc="AEC40568" w:tentative="1">
      <w:start w:val="1"/>
      <w:numFmt w:val="bullet"/>
      <w:lvlText w:val="o"/>
      <w:lvlJc w:val="left"/>
      <w:pPr>
        <w:tabs>
          <w:tab w:val="num" w:pos="2160"/>
        </w:tabs>
        <w:ind w:left="2160" w:hanging="360"/>
      </w:pPr>
      <w:rPr>
        <w:rFonts w:ascii="Courier New" w:hAnsi="Courier New" w:hint="default"/>
      </w:rPr>
    </w:lvl>
    <w:lvl w:ilvl="3" w:tplc="E870AB5C" w:tentative="1">
      <w:start w:val="1"/>
      <w:numFmt w:val="bullet"/>
      <w:lvlText w:val="o"/>
      <w:lvlJc w:val="left"/>
      <w:pPr>
        <w:tabs>
          <w:tab w:val="num" w:pos="2880"/>
        </w:tabs>
        <w:ind w:left="2880" w:hanging="360"/>
      </w:pPr>
      <w:rPr>
        <w:rFonts w:ascii="Courier New" w:hAnsi="Courier New" w:hint="default"/>
      </w:rPr>
    </w:lvl>
    <w:lvl w:ilvl="4" w:tplc="6B38A89E" w:tentative="1">
      <w:start w:val="1"/>
      <w:numFmt w:val="bullet"/>
      <w:lvlText w:val="o"/>
      <w:lvlJc w:val="left"/>
      <w:pPr>
        <w:tabs>
          <w:tab w:val="num" w:pos="3600"/>
        </w:tabs>
        <w:ind w:left="3600" w:hanging="360"/>
      </w:pPr>
      <w:rPr>
        <w:rFonts w:ascii="Courier New" w:hAnsi="Courier New" w:hint="default"/>
      </w:rPr>
    </w:lvl>
    <w:lvl w:ilvl="5" w:tplc="5B2AE9D0" w:tentative="1">
      <w:start w:val="1"/>
      <w:numFmt w:val="bullet"/>
      <w:lvlText w:val="o"/>
      <w:lvlJc w:val="left"/>
      <w:pPr>
        <w:tabs>
          <w:tab w:val="num" w:pos="4320"/>
        </w:tabs>
        <w:ind w:left="4320" w:hanging="360"/>
      </w:pPr>
      <w:rPr>
        <w:rFonts w:ascii="Courier New" w:hAnsi="Courier New" w:hint="default"/>
      </w:rPr>
    </w:lvl>
    <w:lvl w:ilvl="6" w:tplc="89089A14" w:tentative="1">
      <w:start w:val="1"/>
      <w:numFmt w:val="bullet"/>
      <w:lvlText w:val="o"/>
      <w:lvlJc w:val="left"/>
      <w:pPr>
        <w:tabs>
          <w:tab w:val="num" w:pos="5040"/>
        </w:tabs>
        <w:ind w:left="5040" w:hanging="360"/>
      </w:pPr>
      <w:rPr>
        <w:rFonts w:ascii="Courier New" w:hAnsi="Courier New" w:hint="default"/>
      </w:rPr>
    </w:lvl>
    <w:lvl w:ilvl="7" w:tplc="73F05020" w:tentative="1">
      <w:start w:val="1"/>
      <w:numFmt w:val="bullet"/>
      <w:lvlText w:val="o"/>
      <w:lvlJc w:val="left"/>
      <w:pPr>
        <w:tabs>
          <w:tab w:val="num" w:pos="5760"/>
        </w:tabs>
        <w:ind w:left="5760" w:hanging="360"/>
      </w:pPr>
      <w:rPr>
        <w:rFonts w:ascii="Courier New" w:hAnsi="Courier New" w:hint="default"/>
      </w:rPr>
    </w:lvl>
    <w:lvl w:ilvl="8" w:tplc="46CC8A22" w:tentative="1">
      <w:start w:val="1"/>
      <w:numFmt w:val="bullet"/>
      <w:lvlText w:val="o"/>
      <w:lvlJc w:val="left"/>
      <w:pPr>
        <w:tabs>
          <w:tab w:val="num" w:pos="6480"/>
        </w:tabs>
        <w:ind w:left="6480" w:hanging="360"/>
      </w:pPr>
      <w:rPr>
        <w:rFonts w:ascii="Courier New" w:hAnsi="Courier New" w:hint="default"/>
      </w:rPr>
    </w:lvl>
  </w:abstractNum>
  <w:abstractNum w:abstractNumId="26" w15:restartNumberingAfterBreak="0">
    <w:nsid w:val="3C8F6BE5"/>
    <w:multiLevelType w:val="hybridMultilevel"/>
    <w:tmpl w:val="F1C268EE"/>
    <w:lvl w:ilvl="0" w:tplc="EB48DB1C">
      <w:start w:val="1"/>
      <w:numFmt w:val="bullet"/>
      <w:lvlText w:val="-"/>
      <w:lvlJc w:val="left"/>
      <w:pPr>
        <w:ind w:left="720" w:hanging="360"/>
      </w:pPr>
      <w:rPr>
        <w:rFonts w:ascii="&quot;Times New Roman&quot;,serif" w:hAnsi="&quot;Times New Roman&quot;,serif" w:hint="default"/>
      </w:rPr>
    </w:lvl>
    <w:lvl w:ilvl="1" w:tplc="8368A690">
      <w:start w:val="1"/>
      <w:numFmt w:val="bullet"/>
      <w:lvlText w:val="o"/>
      <w:lvlJc w:val="left"/>
      <w:pPr>
        <w:ind w:left="1440" w:hanging="360"/>
      </w:pPr>
      <w:rPr>
        <w:rFonts w:ascii="Courier New" w:hAnsi="Courier New" w:hint="default"/>
      </w:rPr>
    </w:lvl>
    <w:lvl w:ilvl="2" w:tplc="84C86616">
      <w:start w:val="1"/>
      <w:numFmt w:val="bullet"/>
      <w:lvlText w:val=""/>
      <w:lvlJc w:val="left"/>
      <w:pPr>
        <w:ind w:left="2160" w:hanging="360"/>
      </w:pPr>
      <w:rPr>
        <w:rFonts w:ascii="Wingdings" w:hAnsi="Wingdings" w:hint="default"/>
      </w:rPr>
    </w:lvl>
    <w:lvl w:ilvl="3" w:tplc="B204C420">
      <w:start w:val="1"/>
      <w:numFmt w:val="bullet"/>
      <w:lvlText w:val=""/>
      <w:lvlJc w:val="left"/>
      <w:pPr>
        <w:ind w:left="2880" w:hanging="360"/>
      </w:pPr>
      <w:rPr>
        <w:rFonts w:ascii="Symbol" w:hAnsi="Symbol" w:hint="default"/>
      </w:rPr>
    </w:lvl>
    <w:lvl w:ilvl="4" w:tplc="85685234">
      <w:start w:val="1"/>
      <w:numFmt w:val="bullet"/>
      <w:lvlText w:val="o"/>
      <w:lvlJc w:val="left"/>
      <w:pPr>
        <w:ind w:left="3600" w:hanging="360"/>
      </w:pPr>
      <w:rPr>
        <w:rFonts w:ascii="Courier New" w:hAnsi="Courier New" w:hint="default"/>
      </w:rPr>
    </w:lvl>
    <w:lvl w:ilvl="5" w:tplc="204ED51E">
      <w:start w:val="1"/>
      <w:numFmt w:val="bullet"/>
      <w:lvlText w:val=""/>
      <w:lvlJc w:val="left"/>
      <w:pPr>
        <w:ind w:left="4320" w:hanging="360"/>
      </w:pPr>
      <w:rPr>
        <w:rFonts w:ascii="Wingdings" w:hAnsi="Wingdings" w:hint="default"/>
      </w:rPr>
    </w:lvl>
    <w:lvl w:ilvl="6" w:tplc="57221B3A">
      <w:start w:val="1"/>
      <w:numFmt w:val="bullet"/>
      <w:lvlText w:val=""/>
      <w:lvlJc w:val="left"/>
      <w:pPr>
        <w:ind w:left="5040" w:hanging="360"/>
      </w:pPr>
      <w:rPr>
        <w:rFonts w:ascii="Symbol" w:hAnsi="Symbol" w:hint="default"/>
      </w:rPr>
    </w:lvl>
    <w:lvl w:ilvl="7" w:tplc="DC287C16">
      <w:start w:val="1"/>
      <w:numFmt w:val="bullet"/>
      <w:lvlText w:val="o"/>
      <w:lvlJc w:val="left"/>
      <w:pPr>
        <w:ind w:left="5760" w:hanging="360"/>
      </w:pPr>
      <w:rPr>
        <w:rFonts w:ascii="Courier New" w:hAnsi="Courier New" w:hint="default"/>
      </w:rPr>
    </w:lvl>
    <w:lvl w:ilvl="8" w:tplc="E5A478AE">
      <w:start w:val="1"/>
      <w:numFmt w:val="bullet"/>
      <w:lvlText w:val=""/>
      <w:lvlJc w:val="left"/>
      <w:pPr>
        <w:ind w:left="6480" w:hanging="360"/>
      </w:pPr>
      <w:rPr>
        <w:rFonts w:ascii="Wingdings" w:hAnsi="Wingdings" w:hint="default"/>
      </w:rPr>
    </w:lvl>
  </w:abstractNum>
  <w:abstractNum w:abstractNumId="27" w15:restartNumberingAfterBreak="0">
    <w:nsid w:val="3D1F0412"/>
    <w:multiLevelType w:val="hybridMultilevel"/>
    <w:tmpl w:val="924003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E4E74B6"/>
    <w:multiLevelType w:val="multilevel"/>
    <w:tmpl w:val="3EE2C3A2"/>
    <w:lvl w:ilvl="0">
      <w:start w:val="1"/>
      <w:numFmt w:val="decimal"/>
      <w:lvlText w:val="%1."/>
      <w:lvlJc w:val="left"/>
      <w:pPr>
        <w:ind w:left="720" w:hanging="360"/>
      </w:pPr>
      <w:rPr>
        <w:rFonts w:ascii="Times New Roman" w:hAnsi="Times New Roman"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15:restartNumberingAfterBreak="0">
    <w:nsid w:val="3E7014EB"/>
    <w:multiLevelType w:val="hybridMultilevel"/>
    <w:tmpl w:val="5F7CA9EC"/>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15:restartNumberingAfterBreak="0">
    <w:nsid w:val="3F670C73"/>
    <w:multiLevelType w:val="hybridMultilevel"/>
    <w:tmpl w:val="8006C49E"/>
    <w:lvl w:ilvl="0" w:tplc="62025634">
      <w:start w:val="1"/>
      <w:numFmt w:val="bullet"/>
      <w:lvlText w:val="·"/>
      <w:lvlJc w:val="left"/>
      <w:pPr>
        <w:ind w:left="720" w:hanging="360"/>
      </w:pPr>
      <w:rPr>
        <w:rFonts w:ascii="Symbol" w:hAnsi="Symbol" w:hint="default"/>
      </w:rPr>
    </w:lvl>
    <w:lvl w:ilvl="1" w:tplc="78E66A24">
      <w:start w:val="1"/>
      <w:numFmt w:val="bullet"/>
      <w:lvlText w:val="o"/>
      <w:lvlJc w:val="left"/>
      <w:pPr>
        <w:ind w:left="1440" w:hanging="360"/>
      </w:pPr>
      <w:rPr>
        <w:rFonts w:ascii="Courier New" w:hAnsi="Courier New" w:hint="default"/>
      </w:rPr>
    </w:lvl>
    <w:lvl w:ilvl="2" w:tplc="5404820E">
      <w:start w:val="1"/>
      <w:numFmt w:val="bullet"/>
      <w:lvlText w:val=""/>
      <w:lvlJc w:val="left"/>
      <w:pPr>
        <w:ind w:left="2160" w:hanging="360"/>
      </w:pPr>
      <w:rPr>
        <w:rFonts w:ascii="Wingdings" w:hAnsi="Wingdings" w:hint="default"/>
      </w:rPr>
    </w:lvl>
    <w:lvl w:ilvl="3" w:tplc="B3D0AE12">
      <w:start w:val="1"/>
      <w:numFmt w:val="bullet"/>
      <w:lvlText w:val=""/>
      <w:lvlJc w:val="left"/>
      <w:pPr>
        <w:ind w:left="2880" w:hanging="360"/>
      </w:pPr>
      <w:rPr>
        <w:rFonts w:ascii="Symbol" w:hAnsi="Symbol" w:hint="default"/>
      </w:rPr>
    </w:lvl>
    <w:lvl w:ilvl="4" w:tplc="9352500A">
      <w:start w:val="1"/>
      <w:numFmt w:val="bullet"/>
      <w:lvlText w:val="o"/>
      <w:lvlJc w:val="left"/>
      <w:pPr>
        <w:ind w:left="3600" w:hanging="360"/>
      </w:pPr>
      <w:rPr>
        <w:rFonts w:ascii="Courier New" w:hAnsi="Courier New" w:hint="default"/>
      </w:rPr>
    </w:lvl>
    <w:lvl w:ilvl="5" w:tplc="FFD63850">
      <w:start w:val="1"/>
      <w:numFmt w:val="bullet"/>
      <w:lvlText w:val=""/>
      <w:lvlJc w:val="left"/>
      <w:pPr>
        <w:ind w:left="4320" w:hanging="360"/>
      </w:pPr>
      <w:rPr>
        <w:rFonts w:ascii="Wingdings" w:hAnsi="Wingdings" w:hint="default"/>
      </w:rPr>
    </w:lvl>
    <w:lvl w:ilvl="6" w:tplc="BC7C7016">
      <w:start w:val="1"/>
      <w:numFmt w:val="bullet"/>
      <w:lvlText w:val=""/>
      <w:lvlJc w:val="left"/>
      <w:pPr>
        <w:ind w:left="5040" w:hanging="360"/>
      </w:pPr>
      <w:rPr>
        <w:rFonts w:ascii="Symbol" w:hAnsi="Symbol" w:hint="default"/>
      </w:rPr>
    </w:lvl>
    <w:lvl w:ilvl="7" w:tplc="776AC2AA">
      <w:start w:val="1"/>
      <w:numFmt w:val="bullet"/>
      <w:lvlText w:val="o"/>
      <w:lvlJc w:val="left"/>
      <w:pPr>
        <w:ind w:left="5760" w:hanging="360"/>
      </w:pPr>
      <w:rPr>
        <w:rFonts w:ascii="Courier New" w:hAnsi="Courier New" w:hint="default"/>
      </w:rPr>
    </w:lvl>
    <w:lvl w:ilvl="8" w:tplc="A53A0D0C">
      <w:start w:val="1"/>
      <w:numFmt w:val="bullet"/>
      <w:lvlText w:val=""/>
      <w:lvlJc w:val="left"/>
      <w:pPr>
        <w:ind w:left="6480" w:hanging="360"/>
      </w:pPr>
      <w:rPr>
        <w:rFonts w:ascii="Wingdings" w:hAnsi="Wingdings" w:hint="default"/>
      </w:rPr>
    </w:lvl>
  </w:abstractNum>
  <w:abstractNum w:abstractNumId="31" w15:restartNumberingAfterBreak="0">
    <w:nsid w:val="3FBD74CA"/>
    <w:multiLevelType w:val="hybridMultilevel"/>
    <w:tmpl w:val="68DC45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43555B33"/>
    <w:multiLevelType w:val="hybridMultilevel"/>
    <w:tmpl w:val="05C22760"/>
    <w:lvl w:ilvl="0" w:tplc="F9C23DB6">
      <w:start w:val="1"/>
      <w:numFmt w:val="bullet"/>
      <w:lvlText w:val="·"/>
      <w:lvlJc w:val="left"/>
      <w:pPr>
        <w:ind w:left="720" w:hanging="360"/>
      </w:pPr>
      <w:rPr>
        <w:rFonts w:ascii="Symbol" w:hAnsi="Symbol" w:hint="default"/>
      </w:rPr>
    </w:lvl>
    <w:lvl w:ilvl="1" w:tplc="D0D4F15E">
      <w:start w:val="1"/>
      <w:numFmt w:val="bullet"/>
      <w:lvlText w:val="o"/>
      <w:lvlJc w:val="left"/>
      <w:pPr>
        <w:ind w:left="1440" w:hanging="360"/>
      </w:pPr>
      <w:rPr>
        <w:rFonts w:ascii="Courier New" w:hAnsi="Courier New" w:hint="default"/>
      </w:rPr>
    </w:lvl>
    <w:lvl w:ilvl="2" w:tplc="2A520222">
      <w:start w:val="1"/>
      <w:numFmt w:val="bullet"/>
      <w:lvlText w:val=""/>
      <w:lvlJc w:val="left"/>
      <w:pPr>
        <w:ind w:left="2160" w:hanging="360"/>
      </w:pPr>
      <w:rPr>
        <w:rFonts w:ascii="Wingdings" w:hAnsi="Wingdings" w:hint="default"/>
      </w:rPr>
    </w:lvl>
    <w:lvl w:ilvl="3" w:tplc="2FEE0F96">
      <w:start w:val="1"/>
      <w:numFmt w:val="bullet"/>
      <w:lvlText w:val=""/>
      <w:lvlJc w:val="left"/>
      <w:pPr>
        <w:ind w:left="2880" w:hanging="360"/>
      </w:pPr>
      <w:rPr>
        <w:rFonts w:ascii="Symbol" w:hAnsi="Symbol" w:hint="default"/>
      </w:rPr>
    </w:lvl>
    <w:lvl w:ilvl="4" w:tplc="55B2F482">
      <w:start w:val="1"/>
      <w:numFmt w:val="bullet"/>
      <w:lvlText w:val="o"/>
      <w:lvlJc w:val="left"/>
      <w:pPr>
        <w:ind w:left="3600" w:hanging="360"/>
      </w:pPr>
      <w:rPr>
        <w:rFonts w:ascii="Courier New" w:hAnsi="Courier New" w:hint="default"/>
      </w:rPr>
    </w:lvl>
    <w:lvl w:ilvl="5" w:tplc="E6C469CA">
      <w:start w:val="1"/>
      <w:numFmt w:val="bullet"/>
      <w:lvlText w:val=""/>
      <w:lvlJc w:val="left"/>
      <w:pPr>
        <w:ind w:left="4320" w:hanging="360"/>
      </w:pPr>
      <w:rPr>
        <w:rFonts w:ascii="Wingdings" w:hAnsi="Wingdings" w:hint="default"/>
      </w:rPr>
    </w:lvl>
    <w:lvl w:ilvl="6" w:tplc="06FC3170">
      <w:start w:val="1"/>
      <w:numFmt w:val="bullet"/>
      <w:lvlText w:val=""/>
      <w:lvlJc w:val="left"/>
      <w:pPr>
        <w:ind w:left="5040" w:hanging="360"/>
      </w:pPr>
      <w:rPr>
        <w:rFonts w:ascii="Symbol" w:hAnsi="Symbol" w:hint="default"/>
      </w:rPr>
    </w:lvl>
    <w:lvl w:ilvl="7" w:tplc="F896534A">
      <w:start w:val="1"/>
      <w:numFmt w:val="bullet"/>
      <w:lvlText w:val="o"/>
      <w:lvlJc w:val="left"/>
      <w:pPr>
        <w:ind w:left="5760" w:hanging="360"/>
      </w:pPr>
      <w:rPr>
        <w:rFonts w:ascii="Courier New" w:hAnsi="Courier New" w:hint="default"/>
      </w:rPr>
    </w:lvl>
    <w:lvl w:ilvl="8" w:tplc="A4BEB9C6">
      <w:start w:val="1"/>
      <w:numFmt w:val="bullet"/>
      <w:lvlText w:val=""/>
      <w:lvlJc w:val="left"/>
      <w:pPr>
        <w:ind w:left="6480" w:hanging="360"/>
      </w:pPr>
      <w:rPr>
        <w:rFonts w:ascii="Wingdings" w:hAnsi="Wingdings" w:hint="default"/>
      </w:rPr>
    </w:lvl>
  </w:abstractNum>
  <w:abstractNum w:abstractNumId="33" w15:restartNumberingAfterBreak="0">
    <w:nsid w:val="44D739D6"/>
    <w:multiLevelType w:val="hybridMultilevel"/>
    <w:tmpl w:val="F44CD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55106F5"/>
    <w:multiLevelType w:val="hybridMultilevel"/>
    <w:tmpl w:val="3E8E3EE2"/>
    <w:lvl w:ilvl="0" w:tplc="B8EE3972">
      <w:start w:val="1"/>
      <w:numFmt w:val="bullet"/>
      <w:lvlText w:val="·"/>
      <w:lvlJc w:val="left"/>
      <w:pPr>
        <w:ind w:left="720" w:hanging="360"/>
      </w:pPr>
      <w:rPr>
        <w:rFonts w:ascii="Symbol" w:hAnsi="Symbol" w:hint="default"/>
      </w:rPr>
    </w:lvl>
    <w:lvl w:ilvl="1" w:tplc="56BC0466">
      <w:start w:val="1"/>
      <w:numFmt w:val="bullet"/>
      <w:lvlText w:val="o"/>
      <w:lvlJc w:val="left"/>
      <w:pPr>
        <w:ind w:left="1440" w:hanging="360"/>
      </w:pPr>
      <w:rPr>
        <w:rFonts w:ascii="Courier New" w:hAnsi="Courier New" w:hint="default"/>
      </w:rPr>
    </w:lvl>
    <w:lvl w:ilvl="2" w:tplc="2EEA2F3E">
      <w:start w:val="1"/>
      <w:numFmt w:val="bullet"/>
      <w:lvlText w:val=""/>
      <w:lvlJc w:val="left"/>
      <w:pPr>
        <w:ind w:left="2160" w:hanging="360"/>
      </w:pPr>
      <w:rPr>
        <w:rFonts w:ascii="Wingdings" w:hAnsi="Wingdings" w:hint="default"/>
      </w:rPr>
    </w:lvl>
    <w:lvl w:ilvl="3" w:tplc="C16A75B8">
      <w:start w:val="1"/>
      <w:numFmt w:val="bullet"/>
      <w:lvlText w:val=""/>
      <w:lvlJc w:val="left"/>
      <w:pPr>
        <w:ind w:left="2880" w:hanging="360"/>
      </w:pPr>
      <w:rPr>
        <w:rFonts w:ascii="Symbol" w:hAnsi="Symbol" w:hint="default"/>
      </w:rPr>
    </w:lvl>
    <w:lvl w:ilvl="4" w:tplc="827E7DD8">
      <w:start w:val="1"/>
      <w:numFmt w:val="bullet"/>
      <w:lvlText w:val="o"/>
      <w:lvlJc w:val="left"/>
      <w:pPr>
        <w:ind w:left="3600" w:hanging="360"/>
      </w:pPr>
      <w:rPr>
        <w:rFonts w:ascii="Courier New" w:hAnsi="Courier New" w:hint="default"/>
      </w:rPr>
    </w:lvl>
    <w:lvl w:ilvl="5" w:tplc="5D0C1D0A">
      <w:start w:val="1"/>
      <w:numFmt w:val="bullet"/>
      <w:lvlText w:val=""/>
      <w:lvlJc w:val="left"/>
      <w:pPr>
        <w:ind w:left="4320" w:hanging="360"/>
      </w:pPr>
      <w:rPr>
        <w:rFonts w:ascii="Wingdings" w:hAnsi="Wingdings" w:hint="default"/>
      </w:rPr>
    </w:lvl>
    <w:lvl w:ilvl="6" w:tplc="6628998A">
      <w:start w:val="1"/>
      <w:numFmt w:val="bullet"/>
      <w:lvlText w:val=""/>
      <w:lvlJc w:val="left"/>
      <w:pPr>
        <w:ind w:left="5040" w:hanging="360"/>
      </w:pPr>
      <w:rPr>
        <w:rFonts w:ascii="Symbol" w:hAnsi="Symbol" w:hint="default"/>
      </w:rPr>
    </w:lvl>
    <w:lvl w:ilvl="7" w:tplc="D240950A">
      <w:start w:val="1"/>
      <w:numFmt w:val="bullet"/>
      <w:lvlText w:val="o"/>
      <w:lvlJc w:val="left"/>
      <w:pPr>
        <w:ind w:left="5760" w:hanging="360"/>
      </w:pPr>
      <w:rPr>
        <w:rFonts w:ascii="Courier New" w:hAnsi="Courier New" w:hint="default"/>
      </w:rPr>
    </w:lvl>
    <w:lvl w:ilvl="8" w:tplc="43A6C1CC">
      <w:start w:val="1"/>
      <w:numFmt w:val="bullet"/>
      <w:lvlText w:val=""/>
      <w:lvlJc w:val="left"/>
      <w:pPr>
        <w:ind w:left="6480" w:hanging="360"/>
      </w:pPr>
      <w:rPr>
        <w:rFonts w:ascii="Wingdings" w:hAnsi="Wingdings" w:hint="default"/>
      </w:rPr>
    </w:lvl>
  </w:abstractNum>
  <w:abstractNum w:abstractNumId="35" w15:restartNumberingAfterBreak="0">
    <w:nsid w:val="45AA5427"/>
    <w:multiLevelType w:val="hybridMultilevel"/>
    <w:tmpl w:val="3DD8ECF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464C11FD"/>
    <w:multiLevelType w:val="hybridMultilevel"/>
    <w:tmpl w:val="80466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706625F"/>
    <w:multiLevelType w:val="hybridMultilevel"/>
    <w:tmpl w:val="C726881E"/>
    <w:lvl w:ilvl="0" w:tplc="E9A4B860">
      <w:start w:val="16"/>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8" w15:restartNumberingAfterBreak="0">
    <w:nsid w:val="470D7F46"/>
    <w:multiLevelType w:val="hybridMultilevel"/>
    <w:tmpl w:val="D04CA206"/>
    <w:lvl w:ilvl="0" w:tplc="0409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9" w15:restartNumberingAfterBreak="0">
    <w:nsid w:val="4B210343"/>
    <w:multiLevelType w:val="hybridMultilevel"/>
    <w:tmpl w:val="83DC02FC"/>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15:restartNumberingAfterBreak="0">
    <w:nsid w:val="4E6B1AAC"/>
    <w:multiLevelType w:val="hybridMultilevel"/>
    <w:tmpl w:val="D97045B6"/>
    <w:lvl w:ilvl="0" w:tplc="D4D0B55C">
      <w:start w:val="1"/>
      <w:numFmt w:val="bullet"/>
      <w:lvlText w:val=""/>
      <w:lvlJc w:val="left"/>
      <w:pPr>
        <w:ind w:left="720" w:hanging="360"/>
      </w:pPr>
      <w:rPr>
        <w:rFonts w:ascii="Symbol" w:hAnsi="Symbol" w:hint="default"/>
      </w:rPr>
    </w:lvl>
    <w:lvl w:ilvl="1" w:tplc="FDCE95E8">
      <w:start w:val="1"/>
      <w:numFmt w:val="bullet"/>
      <w:lvlText w:val="o"/>
      <w:lvlJc w:val="left"/>
      <w:pPr>
        <w:ind w:left="1440" w:hanging="360"/>
      </w:pPr>
      <w:rPr>
        <w:rFonts w:ascii="Courier New" w:hAnsi="Courier New" w:hint="default"/>
      </w:rPr>
    </w:lvl>
    <w:lvl w:ilvl="2" w:tplc="7A464250">
      <w:start w:val="1"/>
      <w:numFmt w:val="bullet"/>
      <w:lvlText w:val=""/>
      <w:lvlJc w:val="left"/>
      <w:pPr>
        <w:ind w:left="2160" w:hanging="360"/>
      </w:pPr>
      <w:rPr>
        <w:rFonts w:ascii="Wingdings" w:hAnsi="Wingdings" w:hint="default"/>
      </w:rPr>
    </w:lvl>
    <w:lvl w:ilvl="3" w:tplc="6B064FE0">
      <w:start w:val="1"/>
      <w:numFmt w:val="bullet"/>
      <w:lvlText w:val=""/>
      <w:lvlJc w:val="left"/>
      <w:pPr>
        <w:ind w:left="2880" w:hanging="360"/>
      </w:pPr>
      <w:rPr>
        <w:rFonts w:ascii="Symbol" w:hAnsi="Symbol" w:hint="default"/>
      </w:rPr>
    </w:lvl>
    <w:lvl w:ilvl="4" w:tplc="A30CAC5E">
      <w:start w:val="1"/>
      <w:numFmt w:val="bullet"/>
      <w:lvlText w:val="o"/>
      <w:lvlJc w:val="left"/>
      <w:pPr>
        <w:ind w:left="3600" w:hanging="360"/>
      </w:pPr>
      <w:rPr>
        <w:rFonts w:ascii="Courier New" w:hAnsi="Courier New" w:hint="default"/>
      </w:rPr>
    </w:lvl>
    <w:lvl w:ilvl="5" w:tplc="0FEC3B7E">
      <w:start w:val="1"/>
      <w:numFmt w:val="bullet"/>
      <w:lvlText w:val=""/>
      <w:lvlJc w:val="left"/>
      <w:pPr>
        <w:ind w:left="4320" w:hanging="360"/>
      </w:pPr>
      <w:rPr>
        <w:rFonts w:ascii="Wingdings" w:hAnsi="Wingdings" w:hint="default"/>
      </w:rPr>
    </w:lvl>
    <w:lvl w:ilvl="6" w:tplc="CBB44CEE">
      <w:start w:val="1"/>
      <w:numFmt w:val="bullet"/>
      <w:lvlText w:val=""/>
      <w:lvlJc w:val="left"/>
      <w:pPr>
        <w:ind w:left="5040" w:hanging="360"/>
      </w:pPr>
      <w:rPr>
        <w:rFonts w:ascii="Symbol" w:hAnsi="Symbol" w:hint="default"/>
      </w:rPr>
    </w:lvl>
    <w:lvl w:ilvl="7" w:tplc="C6F2C69C">
      <w:start w:val="1"/>
      <w:numFmt w:val="bullet"/>
      <w:lvlText w:val="o"/>
      <w:lvlJc w:val="left"/>
      <w:pPr>
        <w:ind w:left="5760" w:hanging="360"/>
      </w:pPr>
      <w:rPr>
        <w:rFonts w:ascii="Courier New" w:hAnsi="Courier New" w:hint="default"/>
      </w:rPr>
    </w:lvl>
    <w:lvl w:ilvl="8" w:tplc="FA681036">
      <w:start w:val="1"/>
      <w:numFmt w:val="bullet"/>
      <w:lvlText w:val=""/>
      <w:lvlJc w:val="left"/>
      <w:pPr>
        <w:ind w:left="6480" w:hanging="360"/>
      </w:pPr>
      <w:rPr>
        <w:rFonts w:ascii="Wingdings" w:hAnsi="Wingdings" w:hint="default"/>
      </w:rPr>
    </w:lvl>
  </w:abstractNum>
  <w:abstractNum w:abstractNumId="41" w15:restartNumberingAfterBreak="0">
    <w:nsid w:val="515B4E28"/>
    <w:multiLevelType w:val="hybridMultilevel"/>
    <w:tmpl w:val="499C6F42"/>
    <w:lvl w:ilvl="0" w:tplc="2A58DD2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38A17AC"/>
    <w:multiLevelType w:val="hybridMultilevel"/>
    <w:tmpl w:val="C16A7A8E"/>
    <w:lvl w:ilvl="0" w:tplc="1A1E62D2">
      <w:start w:val="1"/>
      <w:numFmt w:val="bullet"/>
      <w:lvlText w:val=""/>
      <w:lvlJc w:val="left"/>
      <w:pPr>
        <w:tabs>
          <w:tab w:val="num" w:pos="720"/>
        </w:tabs>
        <w:ind w:left="720" w:hanging="360"/>
      </w:pPr>
      <w:rPr>
        <w:rFonts w:ascii="Wingdings" w:hAnsi="Wingdings" w:hint="default"/>
      </w:rPr>
    </w:lvl>
    <w:lvl w:ilvl="1" w:tplc="9B9AFC5E" w:tentative="1">
      <w:start w:val="1"/>
      <w:numFmt w:val="bullet"/>
      <w:lvlText w:val=""/>
      <w:lvlJc w:val="left"/>
      <w:pPr>
        <w:tabs>
          <w:tab w:val="num" w:pos="1440"/>
        </w:tabs>
        <w:ind w:left="1440" w:hanging="360"/>
      </w:pPr>
      <w:rPr>
        <w:rFonts w:ascii="Wingdings" w:hAnsi="Wingdings" w:hint="default"/>
      </w:rPr>
    </w:lvl>
    <w:lvl w:ilvl="2" w:tplc="6C1CEDC6" w:tentative="1">
      <w:start w:val="1"/>
      <w:numFmt w:val="bullet"/>
      <w:lvlText w:val=""/>
      <w:lvlJc w:val="left"/>
      <w:pPr>
        <w:tabs>
          <w:tab w:val="num" w:pos="2160"/>
        </w:tabs>
        <w:ind w:left="2160" w:hanging="360"/>
      </w:pPr>
      <w:rPr>
        <w:rFonts w:ascii="Wingdings" w:hAnsi="Wingdings" w:hint="default"/>
      </w:rPr>
    </w:lvl>
    <w:lvl w:ilvl="3" w:tplc="7962093C" w:tentative="1">
      <w:start w:val="1"/>
      <w:numFmt w:val="bullet"/>
      <w:lvlText w:val=""/>
      <w:lvlJc w:val="left"/>
      <w:pPr>
        <w:tabs>
          <w:tab w:val="num" w:pos="2880"/>
        </w:tabs>
        <w:ind w:left="2880" w:hanging="360"/>
      </w:pPr>
      <w:rPr>
        <w:rFonts w:ascii="Wingdings" w:hAnsi="Wingdings" w:hint="default"/>
      </w:rPr>
    </w:lvl>
    <w:lvl w:ilvl="4" w:tplc="AC4090A8" w:tentative="1">
      <w:start w:val="1"/>
      <w:numFmt w:val="bullet"/>
      <w:lvlText w:val=""/>
      <w:lvlJc w:val="left"/>
      <w:pPr>
        <w:tabs>
          <w:tab w:val="num" w:pos="3600"/>
        </w:tabs>
        <w:ind w:left="3600" w:hanging="360"/>
      </w:pPr>
      <w:rPr>
        <w:rFonts w:ascii="Wingdings" w:hAnsi="Wingdings" w:hint="default"/>
      </w:rPr>
    </w:lvl>
    <w:lvl w:ilvl="5" w:tplc="0CA0C130" w:tentative="1">
      <w:start w:val="1"/>
      <w:numFmt w:val="bullet"/>
      <w:lvlText w:val=""/>
      <w:lvlJc w:val="left"/>
      <w:pPr>
        <w:tabs>
          <w:tab w:val="num" w:pos="4320"/>
        </w:tabs>
        <w:ind w:left="4320" w:hanging="360"/>
      </w:pPr>
      <w:rPr>
        <w:rFonts w:ascii="Wingdings" w:hAnsi="Wingdings" w:hint="default"/>
      </w:rPr>
    </w:lvl>
    <w:lvl w:ilvl="6" w:tplc="D2CA2B8A" w:tentative="1">
      <w:start w:val="1"/>
      <w:numFmt w:val="bullet"/>
      <w:lvlText w:val=""/>
      <w:lvlJc w:val="left"/>
      <w:pPr>
        <w:tabs>
          <w:tab w:val="num" w:pos="5040"/>
        </w:tabs>
        <w:ind w:left="5040" w:hanging="360"/>
      </w:pPr>
      <w:rPr>
        <w:rFonts w:ascii="Wingdings" w:hAnsi="Wingdings" w:hint="default"/>
      </w:rPr>
    </w:lvl>
    <w:lvl w:ilvl="7" w:tplc="9FD8A788" w:tentative="1">
      <w:start w:val="1"/>
      <w:numFmt w:val="bullet"/>
      <w:lvlText w:val=""/>
      <w:lvlJc w:val="left"/>
      <w:pPr>
        <w:tabs>
          <w:tab w:val="num" w:pos="5760"/>
        </w:tabs>
        <w:ind w:left="5760" w:hanging="360"/>
      </w:pPr>
      <w:rPr>
        <w:rFonts w:ascii="Wingdings" w:hAnsi="Wingdings" w:hint="default"/>
      </w:rPr>
    </w:lvl>
    <w:lvl w:ilvl="8" w:tplc="BCCE9E4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59F742B"/>
    <w:multiLevelType w:val="hybridMultilevel"/>
    <w:tmpl w:val="B28060F8"/>
    <w:lvl w:ilvl="0" w:tplc="A95CA414">
      <w:start w:val="1"/>
      <w:numFmt w:val="bullet"/>
      <w:lvlText w:val="·"/>
      <w:lvlJc w:val="left"/>
      <w:pPr>
        <w:ind w:left="720" w:hanging="360"/>
      </w:pPr>
      <w:rPr>
        <w:rFonts w:ascii="Symbol" w:hAnsi="Symbol" w:hint="default"/>
      </w:rPr>
    </w:lvl>
    <w:lvl w:ilvl="1" w:tplc="111CBDB4">
      <w:start w:val="1"/>
      <w:numFmt w:val="bullet"/>
      <w:lvlText w:val="o"/>
      <w:lvlJc w:val="left"/>
      <w:pPr>
        <w:ind w:left="1440" w:hanging="360"/>
      </w:pPr>
      <w:rPr>
        <w:rFonts w:ascii="Courier New" w:hAnsi="Courier New" w:hint="default"/>
      </w:rPr>
    </w:lvl>
    <w:lvl w:ilvl="2" w:tplc="263A08AA">
      <w:start w:val="1"/>
      <w:numFmt w:val="bullet"/>
      <w:lvlText w:val=""/>
      <w:lvlJc w:val="left"/>
      <w:pPr>
        <w:ind w:left="2160" w:hanging="360"/>
      </w:pPr>
      <w:rPr>
        <w:rFonts w:ascii="Wingdings" w:hAnsi="Wingdings" w:hint="default"/>
      </w:rPr>
    </w:lvl>
    <w:lvl w:ilvl="3" w:tplc="E1366AAC">
      <w:start w:val="1"/>
      <w:numFmt w:val="bullet"/>
      <w:lvlText w:val=""/>
      <w:lvlJc w:val="left"/>
      <w:pPr>
        <w:ind w:left="2880" w:hanging="360"/>
      </w:pPr>
      <w:rPr>
        <w:rFonts w:ascii="Symbol" w:hAnsi="Symbol" w:hint="default"/>
      </w:rPr>
    </w:lvl>
    <w:lvl w:ilvl="4" w:tplc="B4FE1ABE">
      <w:start w:val="1"/>
      <w:numFmt w:val="bullet"/>
      <w:lvlText w:val="o"/>
      <w:lvlJc w:val="left"/>
      <w:pPr>
        <w:ind w:left="3600" w:hanging="360"/>
      </w:pPr>
      <w:rPr>
        <w:rFonts w:ascii="Courier New" w:hAnsi="Courier New" w:hint="default"/>
      </w:rPr>
    </w:lvl>
    <w:lvl w:ilvl="5" w:tplc="47C4907A">
      <w:start w:val="1"/>
      <w:numFmt w:val="bullet"/>
      <w:lvlText w:val=""/>
      <w:lvlJc w:val="left"/>
      <w:pPr>
        <w:ind w:left="4320" w:hanging="360"/>
      </w:pPr>
      <w:rPr>
        <w:rFonts w:ascii="Wingdings" w:hAnsi="Wingdings" w:hint="default"/>
      </w:rPr>
    </w:lvl>
    <w:lvl w:ilvl="6" w:tplc="087255B0">
      <w:start w:val="1"/>
      <w:numFmt w:val="bullet"/>
      <w:lvlText w:val=""/>
      <w:lvlJc w:val="left"/>
      <w:pPr>
        <w:ind w:left="5040" w:hanging="360"/>
      </w:pPr>
      <w:rPr>
        <w:rFonts w:ascii="Symbol" w:hAnsi="Symbol" w:hint="default"/>
      </w:rPr>
    </w:lvl>
    <w:lvl w:ilvl="7" w:tplc="A7201854">
      <w:start w:val="1"/>
      <w:numFmt w:val="bullet"/>
      <w:lvlText w:val="o"/>
      <w:lvlJc w:val="left"/>
      <w:pPr>
        <w:ind w:left="5760" w:hanging="360"/>
      </w:pPr>
      <w:rPr>
        <w:rFonts w:ascii="Courier New" w:hAnsi="Courier New" w:hint="default"/>
      </w:rPr>
    </w:lvl>
    <w:lvl w:ilvl="8" w:tplc="93467C50">
      <w:start w:val="1"/>
      <w:numFmt w:val="bullet"/>
      <w:lvlText w:val=""/>
      <w:lvlJc w:val="left"/>
      <w:pPr>
        <w:ind w:left="6480" w:hanging="360"/>
      </w:pPr>
      <w:rPr>
        <w:rFonts w:ascii="Wingdings" w:hAnsi="Wingdings" w:hint="default"/>
      </w:rPr>
    </w:lvl>
  </w:abstractNum>
  <w:abstractNum w:abstractNumId="44" w15:restartNumberingAfterBreak="0">
    <w:nsid w:val="5CC36FA2"/>
    <w:multiLevelType w:val="hybridMultilevel"/>
    <w:tmpl w:val="42728A02"/>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45" w15:restartNumberingAfterBreak="0">
    <w:nsid w:val="5CCD5D11"/>
    <w:multiLevelType w:val="hybridMultilevel"/>
    <w:tmpl w:val="3CE23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D35BE4"/>
    <w:multiLevelType w:val="hybridMultilevel"/>
    <w:tmpl w:val="1CD6A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DE4345E"/>
    <w:multiLevelType w:val="hybridMultilevel"/>
    <w:tmpl w:val="8F0659DC"/>
    <w:lvl w:ilvl="0" w:tplc="19D8D9EC">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628F5D0C"/>
    <w:multiLevelType w:val="hybridMultilevel"/>
    <w:tmpl w:val="BB2409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63586FFE"/>
    <w:multiLevelType w:val="hybridMultilevel"/>
    <w:tmpl w:val="833408EC"/>
    <w:lvl w:ilvl="0" w:tplc="A29A8248">
      <w:start w:val="1"/>
      <w:numFmt w:val="bullet"/>
      <w:lvlText w:val="o"/>
      <w:lvlJc w:val="left"/>
      <w:pPr>
        <w:tabs>
          <w:tab w:val="num" w:pos="720"/>
        </w:tabs>
        <w:ind w:left="720" w:hanging="360"/>
      </w:pPr>
      <w:rPr>
        <w:rFonts w:ascii="Courier New" w:hAnsi="Courier New" w:hint="default"/>
      </w:rPr>
    </w:lvl>
    <w:lvl w:ilvl="1" w:tplc="ABBAAFC6" w:tentative="1">
      <w:start w:val="1"/>
      <w:numFmt w:val="bullet"/>
      <w:lvlText w:val="o"/>
      <w:lvlJc w:val="left"/>
      <w:pPr>
        <w:tabs>
          <w:tab w:val="num" w:pos="1440"/>
        </w:tabs>
        <w:ind w:left="1440" w:hanging="360"/>
      </w:pPr>
      <w:rPr>
        <w:rFonts w:ascii="Courier New" w:hAnsi="Courier New" w:hint="default"/>
      </w:rPr>
    </w:lvl>
    <w:lvl w:ilvl="2" w:tplc="F0BC0AFC" w:tentative="1">
      <w:start w:val="1"/>
      <w:numFmt w:val="bullet"/>
      <w:lvlText w:val="o"/>
      <w:lvlJc w:val="left"/>
      <w:pPr>
        <w:tabs>
          <w:tab w:val="num" w:pos="2160"/>
        </w:tabs>
        <w:ind w:left="2160" w:hanging="360"/>
      </w:pPr>
      <w:rPr>
        <w:rFonts w:ascii="Courier New" w:hAnsi="Courier New" w:hint="default"/>
      </w:rPr>
    </w:lvl>
    <w:lvl w:ilvl="3" w:tplc="B7ACD716" w:tentative="1">
      <w:start w:val="1"/>
      <w:numFmt w:val="bullet"/>
      <w:lvlText w:val="o"/>
      <w:lvlJc w:val="left"/>
      <w:pPr>
        <w:tabs>
          <w:tab w:val="num" w:pos="2880"/>
        </w:tabs>
        <w:ind w:left="2880" w:hanging="360"/>
      </w:pPr>
      <w:rPr>
        <w:rFonts w:ascii="Courier New" w:hAnsi="Courier New" w:hint="default"/>
      </w:rPr>
    </w:lvl>
    <w:lvl w:ilvl="4" w:tplc="28A83A44" w:tentative="1">
      <w:start w:val="1"/>
      <w:numFmt w:val="bullet"/>
      <w:lvlText w:val="o"/>
      <w:lvlJc w:val="left"/>
      <w:pPr>
        <w:tabs>
          <w:tab w:val="num" w:pos="3600"/>
        </w:tabs>
        <w:ind w:left="3600" w:hanging="360"/>
      </w:pPr>
      <w:rPr>
        <w:rFonts w:ascii="Courier New" w:hAnsi="Courier New" w:hint="default"/>
      </w:rPr>
    </w:lvl>
    <w:lvl w:ilvl="5" w:tplc="BE0C646A" w:tentative="1">
      <w:start w:val="1"/>
      <w:numFmt w:val="bullet"/>
      <w:lvlText w:val="o"/>
      <w:lvlJc w:val="left"/>
      <w:pPr>
        <w:tabs>
          <w:tab w:val="num" w:pos="4320"/>
        </w:tabs>
        <w:ind w:left="4320" w:hanging="360"/>
      </w:pPr>
      <w:rPr>
        <w:rFonts w:ascii="Courier New" w:hAnsi="Courier New" w:hint="default"/>
      </w:rPr>
    </w:lvl>
    <w:lvl w:ilvl="6" w:tplc="8D0A5B8C" w:tentative="1">
      <w:start w:val="1"/>
      <w:numFmt w:val="bullet"/>
      <w:lvlText w:val="o"/>
      <w:lvlJc w:val="left"/>
      <w:pPr>
        <w:tabs>
          <w:tab w:val="num" w:pos="5040"/>
        </w:tabs>
        <w:ind w:left="5040" w:hanging="360"/>
      </w:pPr>
      <w:rPr>
        <w:rFonts w:ascii="Courier New" w:hAnsi="Courier New" w:hint="default"/>
      </w:rPr>
    </w:lvl>
    <w:lvl w:ilvl="7" w:tplc="7464A4B8" w:tentative="1">
      <w:start w:val="1"/>
      <w:numFmt w:val="bullet"/>
      <w:lvlText w:val="o"/>
      <w:lvlJc w:val="left"/>
      <w:pPr>
        <w:tabs>
          <w:tab w:val="num" w:pos="5760"/>
        </w:tabs>
        <w:ind w:left="5760" w:hanging="360"/>
      </w:pPr>
      <w:rPr>
        <w:rFonts w:ascii="Courier New" w:hAnsi="Courier New" w:hint="default"/>
      </w:rPr>
    </w:lvl>
    <w:lvl w:ilvl="8" w:tplc="D58AC7B8" w:tentative="1">
      <w:start w:val="1"/>
      <w:numFmt w:val="bullet"/>
      <w:lvlText w:val="o"/>
      <w:lvlJc w:val="left"/>
      <w:pPr>
        <w:tabs>
          <w:tab w:val="num" w:pos="6480"/>
        </w:tabs>
        <w:ind w:left="6480" w:hanging="360"/>
      </w:pPr>
      <w:rPr>
        <w:rFonts w:ascii="Courier New" w:hAnsi="Courier New" w:hint="default"/>
      </w:rPr>
    </w:lvl>
  </w:abstractNum>
  <w:abstractNum w:abstractNumId="50" w15:restartNumberingAfterBreak="0">
    <w:nsid w:val="643630C7"/>
    <w:multiLevelType w:val="hybridMultilevel"/>
    <w:tmpl w:val="F202E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69A6EF3"/>
    <w:multiLevelType w:val="hybridMultilevel"/>
    <w:tmpl w:val="60865722"/>
    <w:lvl w:ilvl="0" w:tplc="41E455FE">
      <w:start w:val="1"/>
      <w:numFmt w:val="bullet"/>
      <w:lvlText w:val="·"/>
      <w:lvlJc w:val="left"/>
      <w:pPr>
        <w:ind w:left="720" w:hanging="360"/>
      </w:pPr>
      <w:rPr>
        <w:rFonts w:ascii="Symbol" w:hAnsi="Symbol" w:hint="default"/>
      </w:rPr>
    </w:lvl>
    <w:lvl w:ilvl="1" w:tplc="734E0C38">
      <w:start w:val="1"/>
      <w:numFmt w:val="bullet"/>
      <w:lvlText w:val="o"/>
      <w:lvlJc w:val="left"/>
      <w:pPr>
        <w:ind w:left="1440" w:hanging="360"/>
      </w:pPr>
      <w:rPr>
        <w:rFonts w:ascii="Courier New" w:hAnsi="Courier New" w:hint="default"/>
      </w:rPr>
    </w:lvl>
    <w:lvl w:ilvl="2" w:tplc="3C0ABCF6">
      <w:start w:val="1"/>
      <w:numFmt w:val="bullet"/>
      <w:lvlText w:val=""/>
      <w:lvlJc w:val="left"/>
      <w:pPr>
        <w:ind w:left="2160" w:hanging="360"/>
      </w:pPr>
      <w:rPr>
        <w:rFonts w:ascii="Wingdings" w:hAnsi="Wingdings" w:hint="default"/>
      </w:rPr>
    </w:lvl>
    <w:lvl w:ilvl="3" w:tplc="BE88E6AE">
      <w:start w:val="1"/>
      <w:numFmt w:val="bullet"/>
      <w:lvlText w:val=""/>
      <w:lvlJc w:val="left"/>
      <w:pPr>
        <w:ind w:left="2880" w:hanging="360"/>
      </w:pPr>
      <w:rPr>
        <w:rFonts w:ascii="Symbol" w:hAnsi="Symbol" w:hint="default"/>
      </w:rPr>
    </w:lvl>
    <w:lvl w:ilvl="4" w:tplc="1EB8C898">
      <w:start w:val="1"/>
      <w:numFmt w:val="bullet"/>
      <w:lvlText w:val="o"/>
      <w:lvlJc w:val="left"/>
      <w:pPr>
        <w:ind w:left="3600" w:hanging="360"/>
      </w:pPr>
      <w:rPr>
        <w:rFonts w:ascii="Courier New" w:hAnsi="Courier New" w:hint="default"/>
      </w:rPr>
    </w:lvl>
    <w:lvl w:ilvl="5" w:tplc="F6F4B16A">
      <w:start w:val="1"/>
      <w:numFmt w:val="bullet"/>
      <w:lvlText w:val=""/>
      <w:lvlJc w:val="left"/>
      <w:pPr>
        <w:ind w:left="4320" w:hanging="360"/>
      </w:pPr>
      <w:rPr>
        <w:rFonts w:ascii="Wingdings" w:hAnsi="Wingdings" w:hint="default"/>
      </w:rPr>
    </w:lvl>
    <w:lvl w:ilvl="6" w:tplc="E40C5C7E">
      <w:start w:val="1"/>
      <w:numFmt w:val="bullet"/>
      <w:lvlText w:val=""/>
      <w:lvlJc w:val="left"/>
      <w:pPr>
        <w:ind w:left="5040" w:hanging="360"/>
      </w:pPr>
      <w:rPr>
        <w:rFonts w:ascii="Symbol" w:hAnsi="Symbol" w:hint="default"/>
      </w:rPr>
    </w:lvl>
    <w:lvl w:ilvl="7" w:tplc="C4465022">
      <w:start w:val="1"/>
      <w:numFmt w:val="bullet"/>
      <w:lvlText w:val="o"/>
      <w:lvlJc w:val="left"/>
      <w:pPr>
        <w:ind w:left="5760" w:hanging="360"/>
      </w:pPr>
      <w:rPr>
        <w:rFonts w:ascii="Courier New" w:hAnsi="Courier New" w:hint="default"/>
      </w:rPr>
    </w:lvl>
    <w:lvl w:ilvl="8" w:tplc="7BA263F6">
      <w:start w:val="1"/>
      <w:numFmt w:val="bullet"/>
      <w:lvlText w:val=""/>
      <w:lvlJc w:val="left"/>
      <w:pPr>
        <w:ind w:left="6480" w:hanging="360"/>
      </w:pPr>
      <w:rPr>
        <w:rFonts w:ascii="Wingdings" w:hAnsi="Wingdings" w:hint="default"/>
      </w:rPr>
    </w:lvl>
  </w:abstractNum>
  <w:abstractNum w:abstractNumId="52" w15:restartNumberingAfterBreak="0">
    <w:nsid w:val="6D82539A"/>
    <w:multiLevelType w:val="hybridMultilevel"/>
    <w:tmpl w:val="16923686"/>
    <w:lvl w:ilvl="0" w:tplc="FFFFFFFF">
      <w:start w:val="1"/>
      <w:numFmt w:val="bullet"/>
      <w:lvlText w:val="-"/>
      <w:lvlJc w:val="left"/>
      <w:pPr>
        <w:ind w:left="720" w:hanging="360"/>
      </w:pPr>
      <w:rPr>
        <w:rFonts w:ascii="Calibri" w:hAnsi="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6E550A52"/>
    <w:multiLevelType w:val="hybridMultilevel"/>
    <w:tmpl w:val="2F7E54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74D9790A"/>
    <w:multiLevelType w:val="hybridMultilevel"/>
    <w:tmpl w:val="F7203436"/>
    <w:lvl w:ilvl="0" w:tplc="19D8D9EC">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753C60B9"/>
    <w:multiLevelType w:val="hybridMultilevel"/>
    <w:tmpl w:val="AF5CDA42"/>
    <w:lvl w:ilvl="0" w:tplc="A61AE61A">
      <w:start w:val="1"/>
      <w:numFmt w:val="bullet"/>
      <w:lvlText w:val=""/>
      <w:lvlJc w:val="left"/>
      <w:pPr>
        <w:tabs>
          <w:tab w:val="num" w:pos="720"/>
        </w:tabs>
        <w:ind w:left="720" w:hanging="360"/>
      </w:pPr>
      <w:rPr>
        <w:rFonts w:ascii="Wingdings" w:hAnsi="Wingdings" w:hint="default"/>
      </w:rPr>
    </w:lvl>
    <w:lvl w:ilvl="1" w:tplc="1644817A" w:tentative="1">
      <w:start w:val="1"/>
      <w:numFmt w:val="bullet"/>
      <w:lvlText w:val=""/>
      <w:lvlJc w:val="left"/>
      <w:pPr>
        <w:tabs>
          <w:tab w:val="num" w:pos="1440"/>
        </w:tabs>
        <w:ind w:left="1440" w:hanging="360"/>
      </w:pPr>
      <w:rPr>
        <w:rFonts w:ascii="Wingdings" w:hAnsi="Wingdings" w:hint="default"/>
      </w:rPr>
    </w:lvl>
    <w:lvl w:ilvl="2" w:tplc="C6345354" w:tentative="1">
      <w:start w:val="1"/>
      <w:numFmt w:val="bullet"/>
      <w:lvlText w:val=""/>
      <w:lvlJc w:val="left"/>
      <w:pPr>
        <w:tabs>
          <w:tab w:val="num" w:pos="2160"/>
        </w:tabs>
        <w:ind w:left="2160" w:hanging="360"/>
      </w:pPr>
      <w:rPr>
        <w:rFonts w:ascii="Wingdings" w:hAnsi="Wingdings" w:hint="default"/>
      </w:rPr>
    </w:lvl>
    <w:lvl w:ilvl="3" w:tplc="1FDCB6CE" w:tentative="1">
      <w:start w:val="1"/>
      <w:numFmt w:val="bullet"/>
      <w:lvlText w:val=""/>
      <w:lvlJc w:val="left"/>
      <w:pPr>
        <w:tabs>
          <w:tab w:val="num" w:pos="2880"/>
        </w:tabs>
        <w:ind w:left="2880" w:hanging="360"/>
      </w:pPr>
      <w:rPr>
        <w:rFonts w:ascii="Wingdings" w:hAnsi="Wingdings" w:hint="default"/>
      </w:rPr>
    </w:lvl>
    <w:lvl w:ilvl="4" w:tplc="AE2EB0B8" w:tentative="1">
      <w:start w:val="1"/>
      <w:numFmt w:val="bullet"/>
      <w:lvlText w:val=""/>
      <w:lvlJc w:val="left"/>
      <w:pPr>
        <w:tabs>
          <w:tab w:val="num" w:pos="3600"/>
        </w:tabs>
        <w:ind w:left="3600" w:hanging="360"/>
      </w:pPr>
      <w:rPr>
        <w:rFonts w:ascii="Wingdings" w:hAnsi="Wingdings" w:hint="default"/>
      </w:rPr>
    </w:lvl>
    <w:lvl w:ilvl="5" w:tplc="2C588478" w:tentative="1">
      <w:start w:val="1"/>
      <w:numFmt w:val="bullet"/>
      <w:lvlText w:val=""/>
      <w:lvlJc w:val="left"/>
      <w:pPr>
        <w:tabs>
          <w:tab w:val="num" w:pos="4320"/>
        </w:tabs>
        <w:ind w:left="4320" w:hanging="360"/>
      </w:pPr>
      <w:rPr>
        <w:rFonts w:ascii="Wingdings" w:hAnsi="Wingdings" w:hint="default"/>
      </w:rPr>
    </w:lvl>
    <w:lvl w:ilvl="6" w:tplc="4EE88096" w:tentative="1">
      <w:start w:val="1"/>
      <w:numFmt w:val="bullet"/>
      <w:lvlText w:val=""/>
      <w:lvlJc w:val="left"/>
      <w:pPr>
        <w:tabs>
          <w:tab w:val="num" w:pos="5040"/>
        </w:tabs>
        <w:ind w:left="5040" w:hanging="360"/>
      </w:pPr>
      <w:rPr>
        <w:rFonts w:ascii="Wingdings" w:hAnsi="Wingdings" w:hint="default"/>
      </w:rPr>
    </w:lvl>
    <w:lvl w:ilvl="7" w:tplc="7F788A32" w:tentative="1">
      <w:start w:val="1"/>
      <w:numFmt w:val="bullet"/>
      <w:lvlText w:val=""/>
      <w:lvlJc w:val="left"/>
      <w:pPr>
        <w:tabs>
          <w:tab w:val="num" w:pos="5760"/>
        </w:tabs>
        <w:ind w:left="5760" w:hanging="360"/>
      </w:pPr>
      <w:rPr>
        <w:rFonts w:ascii="Wingdings" w:hAnsi="Wingdings" w:hint="default"/>
      </w:rPr>
    </w:lvl>
    <w:lvl w:ilvl="8" w:tplc="0706EC52"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7D333BB"/>
    <w:multiLevelType w:val="multilevel"/>
    <w:tmpl w:val="65CA7724"/>
    <w:lvl w:ilvl="0">
      <w:start w:val="1"/>
      <w:numFmt w:val="decimal"/>
      <w:lvlText w:val="%1."/>
      <w:lvlJc w:val="left"/>
      <w:pPr>
        <w:ind w:left="720" w:hanging="360"/>
      </w:pPr>
      <w:rPr>
        <w:rFonts w:ascii="Times New Roman" w:hAnsi="Times New Roman"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7" w15:restartNumberingAfterBreak="0">
    <w:nsid w:val="7AE14C2B"/>
    <w:multiLevelType w:val="hybridMultilevel"/>
    <w:tmpl w:val="A3F2FD6E"/>
    <w:lvl w:ilvl="0" w:tplc="09F2D4BE">
      <w:start w:val="1"/>
      <w:numFmt w:val="bullet"/>
      <w:lvlText w:val=""/>
      <w:lvlJc w:val="left"/>
      <w:pPr>
        <w:tabs>
          <w:tab w:val="num" w:pos="720"/>
        </w:tabs>
        <w:ind w:left="720" w:hanging="360"/>
      </w:pPr>
      <w:rPr>
        <w:rFonts w:ascii="Wingdings" w:hAnsi="Wingdings" w:hint="default"/>
      </w:rPr>
    </w:lvl>
    <w:lvl w:ilvl="1" w:tplc="189A5570" w:tentative="1">
      <w:start w:val="1"/>
      <w:numFmt w:val="bullet"/>
      <w:lvlText w:val=""/>
      <w:lvlJc w:val="left"/>
      <w:pPr>
        <w:tabs>
          <w:tab w:val="num" w:pos="1440"/>
        </w:tabs>
        <w:ind w:left="1440" w:hanging="360"/>
      </w:pPr>
      <w:rPr>
        <w:rFonts w:ascii="Wingdings" w:hAnsi="Wingdings" w:hint="default"/>
      </w:rPr>
    </w:lvl>
    <w:lvl w:ilvl="2" w:tplc="38AEE1B0" w:tentative="1">
      <w:start w:val="1"/>
      <w:numFmt w:val="bullet"/>
      <w:lvlText w:val=""/>
      <w:lvlJc w:val="left"/>
      <w:pPr>
        <w:tabs>
          <w:tab w:val="num" w:pos="2160"/>
        </w:tabs>
        <w:ind w:left="2160" w:hanging="360"/>
      </w:pPr>
      <w:rPr>
        <w:rFonts w:ascii="Wingdings" w:hAnsi="Wingdings" w:hint="default"/>
      </w:rPr>
    </w:lvl>
    <w:lvl w:ilvl="3" w:tplc="993ACF36" w:tentative="1">
      <w:start w:val="1"/>
      <w:numFmt w:val="bullet"/>
      <w:lvlText w:val=""/>
      <w:lvlJc w:val="left"/>
      <w:pPr>
        <w:tabs>
          <w:tab w:val="num" w:pos="2880"/>
        </w:tabs>
        <w:ind w:left="2880" w:hanging="360"/>
      </w:pPr>
      <w:rPr>
        <w:rFonts w:ascii="Wingdings" w:hAnsi="Wingdings" w:hint="default"/>
      </w:rPr>
    </w:lvl>
    <w:lvl w:ilvl="4" w:tplc="E2BE537A" w:tentative="1">
      <w:start w:val="1"/>
      <w:numFmt w:val="bullet"/>
      <w:lvlText w:val=""/>
      <w:lvlJc w:val="left"/>
      <w:pPr>
        <w:tabs>
          <w:tab w:val="num" w:pos="3600"/>
        </w:tabs>
        <w:ind w:left="3600" w:hanging="360"/>
      </w:pPr>
      <w:rPr>
        <w:rFonts w:ascii="Wingdings" w:hAnsi="Wingdings" w:hint="default"/>
      </w:rPr>
    </w:lvl>
    <w:lvl w:ilvl="5" w:tplc="F6E8E886" w:tentative="1">
      <w:start w:val="1"/>
      <w:numFmt w:val="bullet"/>
      <w:lvlText w:val=""/>
      <w:lvlJc w:val="left"/>
      <w:pPr>
        <w:tabs>
          <w:tab w:val="num" w:pos="4320"/>
        </w:tabs>
        <w:ind w:left="4320" w:hanging="360"/>
      </w:pPr>
      <w:rPr>
        <w:rFonts w:ascii="Wingdings" w:hAnsi="Wingdings" w:hint="default"/>
      </w:rPr>
    </w:lvl>
    <w:lvl w:ilvl="6" w:tplc="050604A0" w:tentative="1">
      <w:start w:val="1"/>
      <w:numFmt w:val="bullet"/>
      <w:lvlText w:val=""/>
      <w:lvlJc w:val="left"/>
      <w:pPr>
        <w:tabs>
          <w:tab w:val="num" w:pos="5040"/>
        </w:tabs>
        <w:ind w:left="5040" w:hanging="360"/>
      </w:pPr>
      <w:rPr>
        <w:rFonts w:ascii="Wingdings" w:hAnsi="Wingdings" w:hint="default"/>
      </w:rPr>
    </w:lvl>
    <w:lvl w:ilvl="7" w:tplc="E6142B80" w:tentative="1">
      <w:start w:val="1"/>
      <w:numFmt w:val="bullet"/>
      <w:lvlText w:val=""/>
      <w:lvlJc w:val="left"/>
      <w:pPr>
        <w:tabs>
          <w:tab w:val="num" w:pos="5760"/>
        </w:tabs>
        <w:ind w:left="5760" w:hanging="360"/>
      </w:pPr>
      <w:rPr>
        <w:rFonts w:ascii="Wingdings" w:hAnsi="Wingdings" w:hint="default"/>
      </w:rPr>
    </w:lvl>
    <w:lvl w:ilvl="8" w:tplc="55BC76C2"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AE62396"/>
    <w:multiLevelType w:val="hybridMultilevel"/>
    <w:tmpl w:val="D3A62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FD328A5"/>
    <w:multiLevelType w:val="hybridMultilevel"/>
    <w:tmpl w:val="191225E0"/>
    <w:lvl w:ilvl="0" w:tplc="67F0FB92">
      <w:start w:val="1"/>
      <w:numFmt w:val="bullet"/>
      <w:lvlText w:val="o"/>
      <w:lvlJc w:val="left"/>
      <w:pPr>
        <w:tabs>
          <w:tab w:val="num" w:pos="720"/>
        </w:tabs>
        <w:ind w:left="720" w:hanging="360"/>
      </w:pPr>
      <w:rPr>
        <w:rFonts w:ascii="Courier New" w:hAnsi="Courier New" w:hint="default"/>
      </w:rPr>
    </w:lvl>
    <w:lvl w:ilvl="1" w:tplc="C9288D68" w:tentative="1">
      <w:start w:val="1"/>
      <w:numFmt w:val="bullet"/>
      <w:lvlText w:val="o"/>
      <w:lvlJc w:val="left"/>
      <w:pPr>
        <w:tabs>
          <w:tab w:val="num" w:pos="1440"/>
        </w:tabs>
        <w:ind w:left="1440" w:hanging="360"/>
      </w:pPr>
      <w:rPr>
        <w:rFonts w:ascii="Courier New" w:hAnsi="Courier New" w:hint="default"/>
      </w:rPr>
    </w:lvl>
    <w:lvl w:ilvl="2" w:tplc="67A0C4F0" w:tentative="1">
      <w:start w:val="1"/>
      <w:numFmt w:val="bullet"/>
      <w:lvlText w:val="o"/>
      <w:lvlJc w:val="left"/>
      <w:pPr>
        <w:tabs>
          <w:tab w:val="num" w:pos="2160"/>
        </w:tabs>
        <w:ind w:left="2160" w:hanging="360"/>
      </w:pPr>
      <w:rPr>
        <w:rFonts w:ascii="Courier New" w:hAnsi="Courier New" w:hint="default"/>
      </w:rPr>
    </w:lvl>
    <w:lvl w:ilvl="3" w:tplc="D01C80E4" w:tentative="1">
      <w:start w:val="1"/>
      <w:numFmt w:val="bullet"/>
      <w:lvlText w:val="o"/>
      <w:lvlJc w:val="left"/>
      <w:pPr>
        <w:tabs>
          <w:tab w:val="num" w:pos="2880"/>
        </w:tabs>
        <w:ind w:left="2880" w:hanging="360"/>
      </w:pPr>
      <w:rPr>
        <w:rFonts w:ascii="Courier New" w:hAnsi="Courier New" w:hint="default"/>
      </w:rPr>
    </w:lvl>
    <w:lvl w:ilvl="4" w:tplc="1468344E" w:tentative="1">
      <w:start w:val="1"/>
      <w:numFmt w:val="bullet"/>
      <w:lvlText w:val="o"/>
      <w:lvlJc w:val="left"/>
      <w:pPr>
        <w:tabs>
          <w:tab w:val="num" w:pos="3600"/>
        </w:tabs>
        <w:ind w:left="3600" w:hanging="360"/>
      </w:pPr>
      <w:rPr>
        <w:rFonts w:ascii="Courier New" w:hAnsi="Courier New" w:hint="default"/>
      </w:rPr>
    </w:lvl>
    <w:lvl w:ilvl="5" w:tplc="E4288A98" w:tentative="1">
      <w:start w:val="1"/>
      <w:numFmt w:val="bullet"/>
      <w:lvlText w:val="o"/>
      <w:lvlJc w:val="left"/>
      <w:pPr>
        <w:tabs>
          <w:tab w:val="num" w:pos="4320"/>
        </w:tabs>
        <w:ind w:left="4320" w:hanging="360"/>
      </w:pPr>
      <w:rPr>
        <w:rFonts w:ascii="Courier New" w:hAnsi="Courier New" w:hint="default"/>
      </w:rPr>
    </w:lvl>
    <w:lvl w:ilvl="6" w:tplc="4C689B08" w:tentative="1">
      <w:start w:val="1"/>
      <w:numFmt w:val="bullet"/>
      <w:lvlText w:val="o"/>
      <w:lvlJc w:val="left"/>
      <w:pPr>
        <w:tabs>
          <w:tab w:val="num" w:pos="5040"/>
        </w:tabs>
        <w:ind w:left="5040" w:hanging="360"/>
      </w:pPr>
      <w:rPr>
        <w:rFonts w:ascii="Courier New" w:hAnsi="Courier New" w:hint="default"/>
      </w:rPr>
    </w:lvl>
    <w:lvl w:ilvl="7" w:tplc="17626722" w:tentative="1">
      <w:start w:val="1"/>
      <w:numFmt w:val="bullet"/>
      <w:lvlText w:val="o"/>
      <w:lvlJc w:val="left"/>
      <w:pPr>
        <w:tabs>
          <w:tab w:val="num" w:pos="5760"/>
        </w:tabs>
        <w:ind w:left="5760" w:hanging="360"/>
      </w:pPr>
      <w:rPr>
        <w:rFonts w:ascii="Courier New" w:hAnsi="Courier New" w:hint="default"/>
      </w:rPr>
    </w:lvl>
    <w:lvl w:ilvl="8" w:tplc="09D0CDB8" w:tentative="1">
      <w:start w:val="1"/>
      <w:numFmt w:val="bullet"/>
      <w:lvlText w:val="o"/>
      <w:lvlJc w:val="left"/>
      <w:pPr>
        <w:tabs>
          <w:tab w:val="num" w:pos="6480"/>
        </w:tabs>
        <w:ind w:left="6480" w:hanging="360"/>
      </w:pPr>
      <w:rPr>
        <w:rFonts w:ascii="Courier New" w:hAnsi="Courier New" w:hint="default"/>
      </w:rPr>
    </w:lvl>
  </w:abstractNum>
  <w:num w:numId="1">
    <w:abstractNumId w:val="26"/>
  </w:num>
  <w:num w:numId="2">
    <w:abstractNumId w:val="14"/>
  </w:num>
  <w:num w:numId="3">
    <w:abstractNumId w:val="13"/>
  </w:num>
  <w:num w:numId="4">
    <w:abstractNumId w:val="32"/>
  </w:num>
  <w:num w:numId="5">
    <w:abstractNumId w:val="34"/>
  </w:num>
  <w:num w:numId="6">
    <w:abstractNumId w:val="12"/>
  </w:num>
  <w:num w:numId="7">
    <w:abstractNumId w:val="30"/>
  </w:num>
  <w:num w:numId="8">
    <w:abstractNumId w:val="51"/>
  </w:num>
  <w:num w:numId="9">
    <w:abstractNumId w:val="19"/>
  </w:num>
  <w:num w:numId="10">
    <w:abstractNumId w:val="0"/>
  </w:num>
  <w:num w:numId="11">
    <w:abstractNumId w:val="43"/>
  </w:num>
  <w:num w:numId="12">
    <w:abstractNumId w:val="23"/>
  </w:num>
  <w:num w:numId="13">
    <w:abstractNumId w:val="40"/>
  </w:num>
  <w:num w:numId="14">
    <w:abstractNumId w:val="44"/>
  </w:num>
  <w:num w:numId="15">
    <w:abstractNumId w:val="52"/>
  </w:num>
  <w:num w:numId="16">
    <w:abstractNumId w:val="9"/>
  </w:num>
  <w:num w:numId="17">
    <w:abstractNumId w:val="29"/>
  </w:num>
  <w:num w:numId="18">
    <w:abstractNumId w:val="16"/>
  </w:num>
  <w:num w:numId="19">
    <w:abstractNumId w:val="10"/>
  </w:num>
  <w:num w:numId="20">
    <w:abstractNumId w:val="35"/>
  </w:num>
  <w:num w:numId="21">
    <w:abstractNumId w:val="3"/>
  </w:num>
  <w:num w:numId="22">
    <w:abstractNumId w:val="11"/>
  </w:num>
  <w:num w:numId="23">
    <w:abstractNumId w:val="17"/>
  </w:num>
  <w:num w:numId="24">
    <w:abstractNumId w:val="4"/>
  </w:num>
  <w:num w:numId="25">
    <w:abstractNumId w:val="28"/>
  </w:num>
  <w:num w:numId="26">
    <w:abstractNumId w:val="56"/>
  </w:num>
  <w:num w:numId="27">
    <w:abstractNumId w:val="21"/>
  </w:num>
  <w:num w:numId="28">
    <w:abstractNumId w:val="2"/>
  </w:num>
  <w:num w:numId="29">
    <w:abstractNumId w:val="48"/>
  </w:num>
  <w:num w:numId="30">
    <w:abstractNumId w:val="31"/>
  </w:num>
  <w:num w:numId="31">
    <w:abstractNumId w:val="18"/>
  </w:num>
  <w:num w:numId="32">
    <w:abstractNumId w:val="47"/>
  </w:num>
  <w:num w:numId="33">
    <w:abstractNumId w:val="54"/>
  </w:num>
  <w:num w:numId="34">
    <w:abstractNumId w:val="8"/>
  </w:num>
  <w:num w:numId="35">
    <w:abstractNumId w:val="59"/>
  </w:num>
  <w:num w:numId="36">
    <w:abstractNumId w:val="55"/>
  </w:num>
  <w:num w:numId="37">
    <w:abstractNumId w:val="5"/>
  </w:num>
  <w:num w:numId="38">
    <w:abstractNumId w:val="42"/>
  </w:num>
  <w:num w:numId="39">
    <w:abstractNumId w:val="49"/>
  </w:num>
  <w:num w:numId="40">
    <w:abstractNumId w:val="57"/>
  </w:num>
  <w:num w:numId="41">
    <w:abstractNumId w:val="25"/>
  </w:num>
  <w:num w:numId="42">
    <w:abstractNumId w:val="20"/>
  </w:num>
  <w:num w:numId="43">
    <w:abstractNumId w:val="41"/>
  </w:num>
  <w:num w:numId="44">
    <w:abstractNumId w:val="15"/>
  </w:num>
  <w:num w:numId="45">
    <w:abstractNumId w:val="37"/>
  </w:num>
  <w:num w:numId="46">
    <w:abstractNumId w:val="53"/>
  </w:num>
  <w:num w:numId="47">
    <w:abstractNumId w:val="1"/>
  </w:num>
  <w:num w:numId="48">
    <w:abstractNumId w:val="22"/>
  </w:num>
  <w:num w:numId="49">
    <w:abstractNumId w:val="27"/>
  </w:num>
  <w:num w:numId="50">
    <w:abstractNumId w:val="38"/>
  </w:num>
  <w:num w:numId="51">
    <w:abstractNumId w:val="39"/>
  </w:num>
  <w:num w:numId="52">
    <w:abstractNumId w:val="33"/>
  </w:num>
  <w:num w:numId="53">
    <w:abstractNumId w:val="45"/>
  </w:num>
  <w:num w:numId="54">
    <w:abstractNumId w:val="6"/>
  </w:num>
  <w:num w:numId="55">
    <w:abstractNumId w:val="58"/>
  </w:num>
  <w:num w:numId="56">
    <w:abstractNumId w:val="50"/>
  </w:num>
  <w:num w:numId="57">
    <w:abstractNumId w:val="36"/>
  </w:num>
  <w:num w:numId="58">
    <w:abstractNumId w:val="46"/>
  </w:num>
  <w:num w:numId="59">
    <w:abstractNumId w:val="7"/>
  </w:num>
  <w:num w:numId="60">
    <w:abstractNumId w:val="2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366"/>
    <w:rsid w:val="00000AB6"/>
    <w:rsid w:val="00001A58"/>
    <w:rsid w:val="00001EE5"/>
    <w:rsid w:val="00002522"/>
    <w:rsid w:val="00002C0A"/>
    <w:rsid w:val="00003010"/>
    <w:rsid w:val="00003159"/>
    <w:rsid w:val="000042CF"/>
    <w:rsid w:val="000043A7"/>
    <w:rsid w:val="000048DF"/>
    <w:rsid w:val="00005656"/>
    <w:rsid w:val="00005D4D"/>
    <w:rsid w:val="000061FD"/>
    <w:rsid w:val="000063B5"/>
    <w:rsid w:val="000063E1"/>
    <w:rsid w:val="00006674"/>
    <w:rsid w:val="000071CA"/>
    <w:rsid w:val="00010D13"/>
    <w:rsid w:val="00010E7E"/>
    <w:rsid w:val="00010FC0"/>
    <w:rsid w:val="00011F3A"/>
    <w:rsid w:val="0001235A"/>
    <w:rsid w:val="00012AD8"/>
    <w:rsid w:val="00012E14"/>
    <w:rsid w:val="000136CC"/>
    <w:rsid w:val="0001394A"/>
    <w:rsid w:val="00013981"/>
    <w:rsid w:val="000149AB"/>
    <w:rsid w:val="00014B1B"/>
    <w:rsid w:val="00014BBF"/>
    <w:rsid w:val="00014F46"/>
    <w:rsid w:val="000152A1"/>
    <w:rsid w:val="00016537"/>
    <w:rsid w:val="00016704"/>
    <w:rsid w:val="0001766B"/>
    <w:rsid w:val="0001783A"/>
    <w:rsid w:val="00017C1F"/>
    <w:rsid w:val="00020043"/>
    <w:rsid w:val="00020BDC"/>
    <w:rsid w:val="0002105C"/>
    <w:rsid w:val="00021F99"/>
    <w:rsid w:val="00022A13"/>
    <w:rsid w:val="00024721"/>
    <w:rsid w:val="000249E1"/>
    <w:rsid w:val="0002597D"/>
    <w:rsid w:val="00025D01"/>
    <w:rsid w:val="00026A0F"/>
    <w:rsid w:val="00026C1A"/>
    <w:rsid w:val="00030123"/>
    <w:rsid w:val="00030152"/>
    <w:rsid w:val="00030549"/>
    <w:rsid w:val="00030660"/>
    <w:rsid w:val="00030819"/>
    <w:rsid w:val="00031990"/>
    <w:rsid w:val="000324A0"/>
    <w:rsid w:val="00032843"/>
    <w:rsid w:val="00033ADE"/>
    <w:rsid w:val="00033CA7"/>
    <w:rsid w:val="00033DEB"/>
    <w:rsid w:val="00034226"/>
    <w:rsid w:val="00034977"/>
    <w:rsid w:val="00034C7F"/>
    <w:rsid w:val="0003589A"/>
    <w:rsid w:val="00035948"/>
    <w:rsid w:val="00035B6E"/>
    <w:rsid w:val="00035F62"/>
    <w:rsid w:val="000361FF"/>
    <w:rsid w:val="000369E6"/>
    <w:rsid w:val="00036C2B"/>
    <w:rsid w:val="00036EB7"/>
    <w:rsid w:val="000370B8"/>
    <w:rsid w:val="00040932"/>
    <w:rsid w:val="00041D0E"/>
    <w:rsid w:val="00043025"/>
    <w:rsid w:val="000437AD"/>
    <w:rsid w:val="00043A85"/>
    <w:rsid w:val="000441D6"/>
    <w:rsid w:val="00044DDE"/>
    <w:rsid w:val="000454CF"/>
    <w:rsid w:val="0004608C"/>
    <w:rsid w:val="00046853"/>
    <w:rsid w:val="00046920"/>
    <w:rsid w:val="00046A1B"/>
    <w:rsid w:val="00046C73"/>
    <w:rsid w:val="0005009C"/>
    <w:rsid w:val="000501DF"/>
    <w:rsid w:val="00050E4F"/>
    <w:rsid w:val="0005138A"/>
    <w:rsid w:val="000513C4"/>
    <w:rsid w:val="00052F28"/>
    <w:rsid w:val="000533A0"/>
    <w:rsid w:val="00053515"/>
    <w:rsid w:val="0005395A"/>
    <w:rsid w:val="00053E68"/>
    <w:rsid w:val="00053F9D"/>
    <w:rsid w:val="00054257"/>
    <w:rsid w:val="00054FBF"/>
    <w:rsid w:val="000557F3"/>
    <w:rsid w:val="00055CC3"/>
    <w:rsid w:val="00056304"/>
    <w:rsid w:val="00056438"/>
    <w:rsid w:val="00056665"/>
    <w:rsid w:val="00056830"/>
    <w:rsid w:val="00056DFC"/>
    <w:rsid w:val="00057530"/>
    <w:rsid w:val="00057C0D"/>
    <w:rsid w:val="000603E0"/>
    <w:rsid w:val="000608BF"/>
    <w:rsid w:val="00061057"/>
    <w:rsid w:val="000612FE"/>
    <w:rsid w:val="00061369"/>
    <w:rsid w:val="00061B16"/>
    <w:rsid w:val="00063A21"/>
    <w:rsid w:val="00063F33"/>
    <w:rsid w:val="00064D77"/>
    <w:rsid w:val="0006512E"/>
    <w:rsid w:val="000656FF"/>
    <w:rsid w:val="00065CDB"/>
    <w:rsid w:val="000663F6"/>
    <w:rsid w:val="00066ACB"/>
    <w:rsid w:val="00066C78"/>
    <w:rsid w:val="00066F1C"/>
    <w:rsid w:val="0007014E"/>
    <w:rsid w:val="000718F9"/>
    <w:rsid w:val="00072F8E"/>
    <w:rsid w:val="0007358E"/>
    <w:rsid w:val="000736A2"/>
    <w:rsid w:val="00073CE5"/>
    <w:rsid w:val="00073E4B"/>
    <w:rsid w:val="00073F10"/>
    <w:rsid w:val="000748B7"/>
    <w:rsid w:val="00074D29"/>
    <w:rsid w:val="00075361"/>
    <w:rsid w:val="00075B81"/>
    <w:rsid w:val="00076C4E"/>
    <w:rsid w:val="00077400"/>
    <w:rsid w:val="0008025B"/>
    <w:rsid w:val="0008039B"/>
    <w:rsid w:val="00081053"/>
    <w:rsid w:val="00081D9D"/>
    <w:rsid w:val="0008246C"/>
    <w:rsid w:val="000824A6"/>
    <w:rsid w:val="0008439B"/>
    <w:rsid w:val="0008446B"/>
    <w:rsid w:val="00084A45"/>
    <w:rsid w:val="00084B9A"/>
    <w:rsid w:val="0008556E"/>
    <w:rsid w:val="00085763"/>
    <w:rsid w:val="00086333"/>
    <w:rsid w:val="000866B2"/>
    <w:rsid w:val="00086D3D"/>
    <w:rsid w:val="00086DF4"/>
    <w:rsid w:val="00087BD6"/>
    <w:rsid w:val="00090BD0"/>
    <w:rsid w:val="00090D5F"/>
    <w:rsid w:val="00091552"/>
    <w:rsid w:val="00091845"/>
    <w:rsid w:val="0009206C"/>
    <w:rsid w:val="0009372F"/>
    <w:rsid w:val="00093CDB"/>
    <w:rsid w:val="00093D24"/>
    <w:rsid w:val="00093DA0"/>
    <w:rsid w:val="00094884"/>
    <w:rsid w:val="00094974"/>
    <w:rsid w:val="00094E8E"/>
    <w:rsid w:val="000954AE"/>
    <w:rsid w:val="00095E2B"/>
    <w:rsid w:val="00096420"/>
    <w:rsid w:val="0009677C"/>
    <w:rsid w:val="00096F3F"/>
    <w:rsid w:val="000A015C"/>
    <w:rsid w:val="000A0288"/>
    <w:rsid w:val="000A091D"/>
    <w:rsid w:val="000A0E4C"/>
    <w:rsid w:val="000A146C"/>
    <w:rsid w:val="000A2399"/>
    <w:rsid w:val="000A27F3"/>
    <w:rsid w:val="000A3493"/>
    <w:rsid w:val="000A3B73"/>
    <w:rsid w:val="000A3E60"/>
    <w:rsid w:val="000A4039"/>
    <w:rsid w:val="000A4513"/>
    <w:rsid w:val="000A4672"/>
    <w:rsid w:val="000A762B"/>
    <w:rsid w:val="000A78EF"/>
    <w:rsid w:val="000A79CA"/>
    <w:rsid w:val="000A79D8"/>
    <w:rsid w:val="000A7BA2"/>
    <w:rsid w:val="000B0547"/>
    <w:rsid w:val="000B0B18"/>
    <w:rsid w:val="000B0FD4"/>
    <w:rsid w:val="000B15B4"/>
    <w:rsid w:val="000B20AC"/>
    <w:rsid w:val="000B214F"/>
    <w:rsid w:val="000B26BE"/>
    <w:rsid w:val="000B2986"/>
    <w:rsid w:val="000B39C4"/>
    <w:rsid w:val="000B50C2"/>
    <w:rsid w:val="000B5264"/>
    <w:rsid w:val="000B581D"/>
    <w:rsid w:val="000B6A1C"/>
    <w:rsid w:val="000C155A"/>
    <w:rsid w:val="000C16B9"/>
    <w:rsid w:val="000C1DEB"/>
    <w:rsid w:val="000C29DE"/>
    <w:rsid w:val="000C2E17"/>
    <w:rsid w:val="000C40DA"/>
    <w:rsid w:val="000C4362"/>
    <w:rsid w:val="000C47EB"/>
    <w:rsid w:val="000C4ADF"/>
    <w:rsid w:val="000C4FD9"/>
    <w:rsid w:val="000C5E2A"/>
    <w:rsid w:val="000C6812"/>
    <w:rsid w:val="000C6D66"/>
    <w:rsid w:val="000C7089"/>
    <w:rsid w:val="000C70E3"/>
    <w:rsid w:val="000C7C9A"/>
    <w:rsid w:val="000C7E14"/>
    <w:rsid w:val="000D01AC"/>
    <w:rsid w:val="000D01B0"/>
    <w:rsid w:val="000D148E"/>
    <w:rsid w:val="000D1934"/>
    <w:rsid w:val="000D27A0"/>
    <w:rsid w:val="000D29D6"/>
    <w:rsid w:val="000D382A"/>
    <w:rsid w:val="000D3AB1"/>
    <w:rsid w:val="000D3E83"/>
    <w:rsid w:val="000D401D"/>
    <w:rsid w:val="000D4EB9"/>
    <w:rsid w:val="000D5429"/>
    <w:rsid w:val="000D573C"/>
    <w:rsid w:val="000D597C"/>
    <w:rsid w:val="000D6689"/>
    <w:rsid w:val="000D68E8"/>
    <w:rsid w:val="000D72EF"/>
    <w:rsid w:val="000D7A8C"/>
    <w:rsid w:val="000E0545"/>
    <w:rsid w:val="000E0845"/>
    <w:rsid w:val="000E0EBB"/>
    <w:rsid w:val="000E0F06"/>
    <w:rsid w:val="000E15C7"/>
    <w:rsid w:val="000E1984"/>
    <w:rsid w:val="000E1CCB"/>
    <w:rsid w:val="000E2C90"/>
    <w:rsid w:val="000E2DCE"/>
    <w:rsid w:val="000E3AF1"/>
    <w:rsid w:val="000E3EF3"/>
    <w:rsid w:val="000E3F14"/>
    <w:rsid w:val="000E411F"/>
    <w:rsid w:val="000E4B50"/>
    <w:rsid w:val="000E6B25"/>
    <w:rsid w:val="000E6D55"/>
    <w:rsid w:val="000E7789"/>
    <w:rsid w:val="000E7E2C"/>
    <w:rsid w:val="000E7EAC"/>
    <w:rsid w:val="000E7F10"/>
    <w:rsid w:val="000F067A"/>
    <w:rsid w:val="000F078B"/>
    <w:rsid w:val="000F1D47"/>
    <w:rsid w:val="000F2159"/>
    <w:rsid w:val="000F2584"/>
    <w:rsid w:val="000F2AC9"/>
    <w:rsid w:val="000F2B7E"/>
    <w:rsid w:val="000F416A"/>
    <w:rsid w:val="000F4B15"/>
    <w:rsid w:val="000F5514"/>
    <w:rsid w:val="000F5613"/>
    <w:rsid w:val="000F574B"/>
    <w:rsid w:val="000F60BF"/>
    <w:rsid w:val="000F61FA"/>
    <w:rsid w:val="000F6A5D"/>
    <w:rsid w:val="000F74C0"/>
    <w:rsid w:val="00101132"/>
    <w:rsid w:val="001011A6"/>
    <w:rsid w:val="00101336"/>
    <w:rsid w:val="00101FA9"/>
    <w:rsid w:val="00102B91"/>
    <w:rsid w:val="00103CC8"/>
    <w:rsid w:val="00104888"/>
    <w:rsid w:val="0010575E"/>
    <w:rsid w:val="001057C3"/>
    <w:rsid w:val="00105E52"/>
    <w:rsid w:val="00106625"/>
    <w:rsid w:val="00106A7E"/>
    <w:rsid w:val="0010718F"/>
    <w:rsid w:val="001074D8"/>
    <w:rsid w:val="001107CC"/>
    <w:rsid w:val="00110BA2"/>
    <w:rsid w:val="00111102"/>
    <w:rsid w:val="00111240"/>
    <w:rsid w:val="0011131B"/>
    <w:rsid w:val="00111AEF"/>
    <w:rsid w:val="001126F7"/>
    <w:rsid w:val="00112E05"/>
    <w:rsid w:val="00113645"/>
    <w:rsid w:val="001139D7"/>
    <w:rsid w:val="00113C23"/>
    <w:rsid w:val="00114974"/>
    <w:rsid w:val="001154EA"/>
    <w:rsid w:val="00115A7A"/>
    <w:rsid w:val="00115F5B"/>
    <w:rsid w:val="00116345"/>
    <w:rsid w:val="00116E67"/>
    <w:rsid w:val="00117308"/>
    <w:rsid w:val="00117DDD"/>
    <w:rsid w:val="00117F4D"/>
    <w:rsid w:val="001200D7"/>
    <w:rsid w:val="00122615"/>
    <w:rsid w:val="001226BB"/>
    <w:rsid w:val="00123462"/>
    <w:rsid w:val="001236A3"/>
    <w:rsid w:val="001237CC"/>
    <w:rsid w:val="0012380F"/>
    <w:rsid w:val="0012489D"/>
    <w:rsid w:val="001258D8"/>
    <w:rsid w:val="00125BC5"/>
    <w:rsid w:val="00125D09"/>
    <w:rsid w:val="00125DF2"/>
    <w:rsid w:val="00126ACB"/>
    <w:rsid w:val="001274E9"/>
    <w:rsid w:val="0012773F"/>
    <w:rsid w:val="00127C06"/>
    <w:rsid w:val="00127EF9"/>
    <w:rsid w:val="00127F6A"/>
    <w:rsid w:val="00130025"/>
    <w:rsid w:val="0013076A"/>
    <w:rsid w:val="00130C3E"/>
    <w:rsid w:val="00130EB7"/>
    <w:rsid w:val="001311DB"/>
    <w:rsid w:val="00131925"/>
    <w:rsid w:val="00131AA1"/>
    <w:rsid w:val="00131C6C"/>
    <w:rsid w:val="00132BF7"/>
    <w:rsid w:val="00132F3D"/>
    <w:rsid w:val="00133342"/>
    <w:rsid w:val="001341F4"/>
    <w:rsid w:val="00134352"/>
    <w:rsid w:val="001346DB"/>
    <w:rsid w:val="00134920"/>
    <w:rsid w:val="00134B67"/>
    <w:rsid w:val="00134BFB"/>
    <w:rsid w:val="00134C54"/>
    <w:rsid w:val="00135958"/>
    <w:rsid w:val="00135CD5"/>
    <w:rsid w:val="00135F7B"/>
    <w:rsid w:val="0013662F"/>
    <w:rsid w:val="0013670E"/>
    <w:rsid w:val="00136C96"/>
    <w:rsid w:val="001406A5"/>
    <w:rsid w:val="00140A0E"/>
    <w:rsid w:val="00141588"/>
    <w:rsid w:val="00141838"/>
    <w:rsid w:val="00141A86"/>
    <w:rsid w:val="00142E39"/>
    <w:rsid w:val="00144A50"/>
    <w:rsid w:val="00145149"/>
    <w:rsid w:val="00146357"/>
    <w:rsid w:val="001465C4"/>
    <w:rsid w:val="001469AC"/>
    <w:rsid w:val="00146ACB"/>
    <w:rsid w:val="00146DBA"/>
    <w:rsid w:val="00146E00"/>
    <w:rsid w:val="00146E05"/>
    <w:rsid w:val="001500E8"/>
    <w:rsid w:val="001503E9"/>
    <w:rsid w:val="00150AC1"/>
    <w:rsid w:val="00151221"/>
    <w:rsid w:val="001523DA"/>
    <w:rsid w:val="00153676"/>
    <w:rsid w:val="001536F0"/>
    <w:rsid w:val="0015374F"/>
    <w:rsid w:val="00153C71"/>
    <w:rsid w:val="001540AD"/>
    <w:rsid w:val="00154366"/>
    <w:rsid w:val="00155504"/>
    <w:rsid w:val="0015598C"/>
    <w:rsid w:val="00156520"/>
    <w:rsid w:val="00156BC9"/>
    <w:rsid w:val="001600A5"/>
    <w:rsid w:val="001603BD"/>
    <w:rsid w:val="00160870"/>
    <w:rsid w:val="001615BF"/>
    <w:rsid w:val="00161AE5"/>
    <w:rsid w:val="0016327D"/>
    <w:rsid w:val="001637C6"/>
    <w:rsid w:val="00163B45"/>
    <w:rsid w:val="001646BE"/>
    <w:rsid w:val="00164FD1"/>
    <w:rsid w:val="00165868"/>
    <w:rsid w:val="0016665A"/>
    <w:rsid w:val="0016668B"/>
    <w:rsid w:val="001669DF"/>
    <w:rsid w:val="001669F1"/>
    <w:rsid w:val="00166F29"/>
    <w:rsid w:val="001678EB"/>
    <w:rsid w:val="00167D09"/>
    <w:rsid w:val="001700B3"/>
    <w:rsid w:val="00170206"/>
    <w:rsid w:val="0017050E"/>
    <w:rsid w:val="00170560"/>
    <w:rsid w:val="0017223E"/>
    <w:rsid w:val="001737BE"/>
    <w:rsid w:val="001742E4"/>
    <w:rsid w:val="00174508"/>
    <w:rsid w:val="0017456B"/>
    <w:rsid w:val="00174579"/>
    <w:rsid w:val="001752DF"/>
    <w:rsid w:val="00175B3A"/>
    <w:rsid w:val="00176B17"/>
    <w:rsid w:val="00176C04"/>
    <w:rsid w:val="00177692"/>
    <w:rsid w:val="00181EF7"/>
    <w:rsid w:val="00182584"/>
    <w:rsid w:val="001826BF"/>
    <w:rsid w:val="00182791"/>
    <w:rsid w:val="00182E1B"/>
    <w:rsid w:val="001833E4"/>
    <w:rsid w:val="00184647"/>
    <w:rsid w:val="001851C5"/>
    <w:rsid w:val="0018547B"/>
    <w:rsid w:val="001863C7"/>
    <w:rsid w:val="0018642D"/>
    <w:rsid w:val="001876AA"/>
    <w:rsid w:val="0019033E"/>
    <w:rsid w:val="0019044A"/>
    <w:rsid w:val="0019163C"/>
    <w:rsid w:val="001918B9"/>
    <w:rsid w:val="00192A27"/>
    <w:rsid w:val="0019323C"/>
    <w:rsid w:val="001935C2"/>
    <w:rsid w:val="00193F91"/>
    <w:rsid w:val="00195276"/>
    <w:rsid w:val="00196788"/>
    <w:rsid w:val="00196AF7"/>
    <w:rsid w:val="00196BC2"/>
    <w:rsid w:val="0019753D"/>
    <w:rsid w:val="001A07A5"/>
    <w:rsid w:val="001A09A8"/>
    <w:rsid w:val="001A20F5"/>
    <w:rsid w:val="001A26E5"/>
    <w:rsid w:val="001A2B6D"/>
    <w:rsid w:val="001A2C55"/>
    <w:rsid w:val="001A2C70"/>
    <w:rsid w:val="001A3638"/>
    <w:rsid w:val="001A38FA"/>
    <w:rsid w:val="001A3A2E"/>
    <w:rsid w:val="001A53CD"/>
    <w:rsid w:val="001A5BCE"/>
    <w:rsid w:val="001A674D"/>
    <w:rsid w:val="001A6EC2"/>
    <w:rsid w:val="001A77D2"/>
    <w:rsid w:val="001A7C1F"/>
    <w:rsid w:val="001B0769"/>
    <w:rsid w:val="001B0CDC"/>
    <w:rsid w:val="001B145F"/>
    <w:rsid w:val="001B1CD8"/>
    <w:rsid w:val="001B23A8"/>
    <w:rsid w:val="001B3889"/>
    <w:rsid w:val="001B3FDB"/>
    <w:rsid w:val="001B43E2"/>
    <w:rsid w:val="001B4A33"/>
    <w:rsid w:val="001B5753"/>
    <w:rsid w:val="001B59C9"/>
    <w:rsid w:val="001B5C9B"/>
    <w:rsid w:val="001B5D8B"/>
    <w:rsid w:val="001B66B3"/>
    <w:rsid w:val="001B67C5"/>
    <w:rsid w:val="001B6CE3"/>
    <w:rsid w:val="001B6D23"/>
    <w:rsid w:val="001B730C"/>
    <w:rsid w:val="001B75CB"/>
    <w:rsid w:val="001B7A80"/>
    <w:rsid w:val="001C055D"/>
    <w:rsid w:val="001C064A"/>
    <w:rsid w:val="001C21D5"/>
    <w:rsid w:val="001C3AC3"/>
    <w:rsid w:val="001C3FE3"/>
    <w:rsid w:val="001C4978"/>
    <w:rsid w:val="001C63B4"/>
    <w:rsid w:val="001C6D59"/>
    <w:rsid w:val="001C6E3B"/>
    <w:rsid w:val="001C7EC7"/>
    <w:rsid w:val="001D0347"/>
    <w:rsid w:val="001D04BA"/>
    <w:rsid w:val="001D0E64"/>
    <w:rsid w:val="001D10FE"/>
    <w:rsid w:val="001D1D1C"/>
    <w:rsid w:val="001D2BEC"/>
    <w:rsid w:val="001D2C7E"/>
    <w:rsid w:val="001D3771"/>
    <w:rsid w:val="001D424B"/>
    <w:rsid w:val="001D48F2"/>
    <w:rsid w:val="001D4B49"/>
    <w:rsid w:val="001D5437"/>
    <w:rsid w:val="001D553C"/>
    <w:rsid w:val="001D626D"/>
    <w:rsid w:val="001D698E"/>
    <w:rsid w:val="001D6E1F"/>
    <w:rsid w:val="001D7192"/>
    <w:rsid w:val="001D74C1"/>
    <w:rsid w:val="001D7A46"/>
    <w:rsid w:val="001E05AE"/>
    <w:rsid w:val="001E0673"/>
    <w:rsid w:val="001E11E1"/>
    <w:rsid w:val="001E129C"/>
    <w:rsid w:val="001E228E"/>
    <w:rsid w:val="001E22E1"/>
    <w:rsid w:val="001E2EBB"/>
    <w:rsid w:val="001E3FD3"/>
    <w:rsid w:val="001E4007"/>
    <w:rsid w:val="001E44C3"/>
    <w:rsid w:val="001E4879"/>
    <w:rsid w:val="001E49B3"/>
    <w:rsid w:val="001E5C78"/>
    <w:rsid w:val="001E6361"/>
    <w:rsid w:val="001E6598"/>
    <w:rsid w:val="001E6976"/>
    <w:rsid w:val="001E752B"/>
    <w:rsid w:val="001F07FF"/>
    <w:rsid w:val="001F0C0B"/>
    <w:rsid w:val="001F1763"/>
    <w:rsid w:val="001F180B"/>
    <w:rsid w:val="001F2722"/>
    <w:rsid w:val="001F34B1"/>
    <w:rsid w:val="001F3509"/>
    <w:rsid w:val="001F3B64"/>
    <w:rsid w:val="001F3C68"/>
    <w:rsid w:val="001F3F38"/>
    <w:rsid w:val="001F4B4E"/>
    <w:rsid w:val="001F56C7"/>
    <w:rsid w:val="001F5F12"/>
    <w:rsid w:val="001F5F36"/>
    <w:rsid w:val="001F6B1F"/>
    <w:rsid w:val="001F756F"/>
    <w:rsid w:val="001F7F20"/>
    <w:rsid w:val="00200403"/>
    <w:rsid w:val="002007F7"/>
    <w:rsid w:val="002009D2"/>
    <w:rsid w:val="00200B24"/>
    <w:rsid w:val="00200BEA"/>
    <w:rsid w:val="00200F18"/>
    <w:rsid w:val="0020150F"/>
    <w:rsid w:val="00201A40"/>
    <w:rsid w:val="00202CEF"/>
    <w:rsid w:val="00202E4F"/>
    <w:rsid w:val="00202F06"/>
    <w:rsid w:val="002030B3"/>
    <w:rsid w:val="002038E7"/>
    <w:rsid w:val="00203EFD"/>
    <w:rsid w:val="00204B58"/>
    <w:rsid w:val="0020559F"/>
    <w:rsid w:val="00205645"/>
    <w:rsid w:val="00205745"/>
    <w:rsid w:val="00205945"/>
    <w:rsid w:val="00206139"/>
    <w:rsid w:val="00206601"/>
    <w:rsid w:val="00206CF9"/>
    <w:rsid w:val="00206DF7"/>
    <w:rsid w:val="00206F63"/>
    <w:rsid w:val="00206FED"/>
    <w:rsid w:val="00210348"/>
    <w:rsid w:val="00211478"/>
    <w:rsid w:val="00211D4D"/>
    <w:rsid w:val="002121C4"/>
    <w:rsid w:val="0021236B"/>
    <w:rsid w:val="0021353F"/>
    <w:rsid w:val="00214555"/>
    <w:rsid w:val="00214AD1"/>
    <w:rsid w:val="002153E7"/>
    <w:rsid w:val="002157F7"/>
    <w:rsid w:val="002169A9"/>
    <w:rsid w:val="00216A73"/>
    <w:rsid w:val="002170F1"/>
    <w:rsid w:val="00217787"/>
    <w:rsid w:val="00220457"/>
    <w:rsid w:val="00220994"/>
    <w:rsid w:val="002213CB"/>
    <w:rsid w:val="002214A3"/>
    <w:rsid w:val="00221F28"/>
    <w:rsid w:val="00222791"/>
    <w:rsid w:val="00222970"/>
    <w:rsid w:val="0022338F"/>
    <w:rsid w:val="002240AF"/>
    <w:rsid w:val="00224B8F"/>
    <w:rsid w:val="002253B2"/>
    <w:rsid w:val="00225C1C"/>
    <w:rsid w:val="00226D84"/>
    <w:rsid w:val="002278A9"/>
    <w:rsid w:val="00230EC6"/>
    <w:rsid w:val="00231235"/>
    <w:rsid w:val="002326F5"/>
    <w:rsid w:val="00232B26"/>
    <w:rsid w:val="002335FB"/>
    <w:rsid w:val="002346D1"/>
    <w:rsid w:val="002348A3"/>
    <w:rsid w:val="00234A24"/>
    <w:rsid w:val="00234C7D"/>
    <w:rsid w:val="00235712"/>
    <w:rsid w:val="00235B30"/>
    <w:rsid w:val="002360B4"/>
    <w:rsid w:val="002366BD"/>
    <w:rsid w:val="0023689C"/>
    <w:rsid w:val="0023697A"/>
    <w:rsid w:val="00236C3E"/>
    <w:rsid w:val="00236D91"/>
    <w:rsid w:val="00237028"/>
    <w:rsid w:val="0023702B"/>
    <w:rsid w:val="0023740F"/>
    <w:rsid w:val="00237916"/>
    <w:rsid w:val="00237E3D"/>
    <w:rsid w:val="00241874"/>
    <w:rsid w:val="00242335"/>
    <w:rsid w:val="00242725"/>
    <w:rsid w:val="002427B2"/>
    <w:rsid w:val="00242B10"/>
    <w:rsid w:val="00242B47"/>
    <w:rsid w:val="00243E96"/>
    <w:rsid w:val="002447CB"/>
    <w:rsid w:val="00244934"/>
    <w:rsid w:val="00245960"/>
    <w:rsid w:val="00245D05"/>
    <w:rsid w:val="00245EB4"/>
    <w:rsid w:val="00250B24"/>
    <w:rsid w:val="00251002"/>
    <w:rsid w:val="00251274"/>
    <w:rsid w:val="002513F8"/>
    <w:rsid w:val="002515E3"/>
    <w:rsid w:val="00251739"/>
    <w:rsid w:val="00251DDE"/>
    <w:rsid w:val="0025213C"/>
    <w:rsid w:val="00252DA1"/>
    <w:rsid w:val="0025356E"/>
    <w:rsid w:val="00253A1B"/>
    <w:rsid w:val="00254340"/>
    <w:rsid w:val="002551BD"/>
    <w:rsid w:val="002557CD"/>
    <w:rsid w:val="002565D1"/>
    <w:rsid w:val="00256C7B"/>
    <w:rsid w:val="0025727F"/>
    <w:rsid w:val="00260E96"/>
    <w:rsid w:val="00261B9A"/>
    <w:rsid w:val="00261C1A"/>
    <w:rsid w:val="00263BBF"/>
    <w:rsid w:val="00264877"/>
    <w:rsid w:val="00264E6F"/>
    <w:rsid w:val="0026512F"/>
    <w:rsid w:val="00265F39"/>
    <w:rsid w:val="002661D0"/>
    <w:rsid w:val="00266691"/>
    <w:rsid w:val="0026696B"/>
    <w:rsid w:val="00266AFB"/>
    <w:rsid w:val="002672BC"/>
    <w:rsid w:val="00267499"/>
    <w:rsid w:val="0026760D"/>
    <w:rsid w:val="002678AC"/>
    <w:rsid w:val="0027153E"/>
    <w:rsid w:val="00271EC7"/>
    <w:rsid w:val="002720D1"/>
    <w:rsid w:val="0027240A"/>
    <w:rsid w:val="00274070"/>
    <w:rsid w:val="002741E3"/>
    <w:rsid w:val="002747C2"/>
    <w:rsid w:val="00274857"/>
    <w:rsid w:val="00274877"/>
    <w:rsid w:val="00274B7A"/>
    <w:rsid w:val="00274F70"/>
    <w:rsid w:val="002753F1"/>
    <w:rsid w:val="0027701A"/>
    <w:rsid w:val="00277BA7"/>
    <w:rsid w:val="00281216"/>
    <w:rsid w:val="002814E5"/>
    <w:rsid w:val="00281C93"/>
    <w:rsid w:val="002833F9"/>
    <w:rsid w:val="0028434C"/>
    <w:rsid w:val="00284461"/>
    <w:rsid w:val="00284487"/>
    <w:rsid w:val="002849D0"/>
    <w:rsid w:val="00284F3E"/>
    <w:rsid w:val="0028578A"/>
    <w:rsid w:val="00285B45"/>
    <w:rsid w:val="002861B4"/>
    <w:rsid w:val="00287565"/>
    <w:rsid w:val="002876EA"/>
    <w:rsid w:val="00290848"/>
    <w:rsid w:val="00291731"/>
    <w:rsid w:val="00292143"/>
    <w:rsid w:val="00292E89"/>
    <w:rsid w:val="00293019"/>
    <w:rsid w:val="00293F34"/>
    <w:rsid w:val="00294BF3"/>
    <w:rsid w:val="00294C29"/>
    <w:rsid w:val="00295392"/>
    <w:rsid w:val="0029570F"/>
    <w:rsid w:val="00295951"/>
    <w:rsid w:val="002A018D"/>
    <w:rsid w:val="002A18FB"/>
    <w:rsid w:val="002A1B16"/>
    <w:rsid w:val="002A2042"/>
    <w:rsid w:val="002A2AE7"/>
    <w:rsid w:val="002A3028"/>
    <w:rsid w:val="002A311E"/>
    <w:rsid w:val="002A33F7"/>
    <w:rsid w:val="002A3451"/>
    <w:rsid w:val="002A3755"/>
    <w:rsid w:val="002A39EF"/>
    <w:rsid w:val="002A3E27"/>
    <w:rsid w:val="002A427A"/>
    <w:rsid w:val="002A4B01"/>
    <w:rsid w:val="002A4ED5"/>
    <w:rsid w:val="002A554A"/>
    <w:rsid w:val="002A58F8"/>
    <w:rsid w:val="002A73F5"/>
    <w:rsid w:val="002A7B8C"/>
    <w:rsid w:val="002B019B"/>
    <w:rsid w:val="002B0B71"/>
    <w:rsid w:val="002B1265"/>
    <w:rsid w:val="002B2A6F"/>
    <w:rsid w:val="002B2C13"/>
    <w:rsid w:val="002B302B"/>
    <w:rsid w:val="002B3594"/>
    <w:rsid w:val="002B3C02"/>
    <w:rsid w:val="002B45EB"/>
    <w:rsid w:val="002B45EF"/>
    <w:rsid w:val="002B48CA"/>
    <w:rsid w:val="002B4EE3"/>
    <w:rsid w:val="002B53B9"/>
    <w:rsid w:val="002B5766"/>
    <w:rsid w:val="002B60EC"/>
    <w:rsid w:val="002B63A1"/>
    <w:rsid w:val="002B6412"/>
    <w:rsid w:val="002B6B44"/>
    <w:rsid w:val="002B6BC6"/>
    <w:rsid w:val="002B76E1"/>
    <w:rsid w:val="002B7E06"/>
    <w:rsid w:val="002C0A8A"/>
    <w:rsid w:val="002C0C99"/>
    <w:rsid w:val="002C1A07"/>
    <w:rsid w:val="002C2610"/>
    <w:rsid w:val="002C375C"/>
    <w:rsid w:val="002C3DA9"/>
    <w:rsid w:val="002C4149"/>
    <w:rsid w:val="002C4278"/>
    <w:rsid w:val="002C4AD9"/>
    <w:rsid w:val="002C4B23"/>
    <w:rsid w:val="002C517B"/>
    <w:rsid w:val="002C5543"/>
    <w:rsid w:val="002C5700"/>
    <w:rsid w:val="002C5B26"/>
    <w:rsid w:val="002C5C92"/>
    <w:rsid w:val="002C6875"/>
    <w:rsid w:val="002C6A84"/>
    <w:rsid w:val="002C6C28"/>
    <w:rsid w:val="002C7782"/>
    <w:rsid w:val="002C7DC5"/>
    <w:rsid w:val="002D02BB"/>
    <w:rsid w:val="002D04EF"/>
    <w:rsid w:val="002D0BB3"/>
    <w:rsid w:val="002D18D6"/>
    <w:rsid w:val="002D23BF"/>
    <w:rsid w:val="002D2C1B"/>
    <w:rsid w:val="002D4251"/>
    <w:rsid w:val="002D49C8"/>
    <w:rsid w:val="002D4AC9"/>
    <w:rsid w:val="002D4D7C"/>
    <w:rsid w:val="002D5107"/>
    <w:rsid w:val="002D5ADB"/>
    <w:rsid w:val="002D6C4A"/>
    <w:rsid w:val="002D71EA"/>
    <w:rsid w:val="002D753E"/>
    <w:rsid w:val="002D795A"/>
    <w:rsid w:val="002D7D49"/>
    <w:rsid w:val="002E0196"/>
    <w:rsid w:val="002E053D"/>
    <w:rsid w:val="002E15CF"/>
    <w:rsid w:val="002E15FF"/>
    <w:rsid w:val="002E3804"/>
    <w:rsid w:val="002E4092"/>
    <w:rsid w:val="002E6390"/>
    <w:rsid w:val="002E7587"/>
    <w:rsid w:val="002F024E"/>
    <w:rsid w:val="002F04C9"/>
    <w:rsid w:val="002F060A"/>
    <w:rsid w:val="002F08FF"/>
    <w:rsid w:val="002F0C37"/>
    <w:rsid w:val="002F14F3"/>
    <w:rsid w:val="002F274C"/>
    <w:rsid w:val="002F33A1"/>
    <w:rsid w:val="002F3984"/>
    <w:rsid w:val="002F4F2C"/>
    <w:rsid w:val="002F5477"/>
    <w:rsid w:val="002F5994"/>
    <w:rsid w:val="002F5F17"/>
    <w:rsid w:val="002F718D"/>
    <w:rsid w:val="002F788B"/>
    <w:rsid w:val="002F7BB5"/>
    <w:rsid w:val="00300309"/>
    <w:rsid w:val="00300E7E"/>
    <w:rsid w:val="003014E2"/>
    <w:rsid w:val="00302100"/>
    <w:rsid w:val="0030210E"/>
    <w:rsid w:val="0030228A"/>
    <w:rsid w:val="003022BF"/>
    <w:rsid w:val="00302FDF"/>
    <w:rsid w:val="00303D87"/>
    <w:rsid w:val="00303EB1"/>
    <w:rsid w:val="00304551"/>
    <w:rsid w:val="00305437"/>
    <w:rsid w:val="00305C2C"/>
    <w:rsid w:val="00305D3C"/>
    <w:rsid w:val="00305ECD"/>
    <w:rsid w:val="00305EE9"/>
    <w:rsid w:val="00306026"/>
    <w:rsid w:val="00306F84"/>
    <w:rsid w:val="00307443"/>
    <w:rsid w:val="003076FE"/>
    <w:rsid w:val="0030790C"/>
    <w:rsid w:val="00307FCF"/>
    <w:rsid w:val="003103FC"/>
    <w:rsid w:val="00310BE4"/>
    <w:rsid w:val="003111C5"/>
    <w:rsid w:val="00311227"/>
    <w:rsid w:val="00311F98"/>
    <w:rsid w:val="0031244F"/>
    <w:rsid w:val="00313070"/>
    <w:rsid w:val="00313082"/>
    <w:rsid w:val="003131CE"/>
    <w:rsid w:val="00313526"/>
    <w:rsid w:val="0031360B"/>
    <w:rsid w:val="00313FA6"/>
    <w:rsid w:val="003141AB"/>
    <w:rsid w:val="0031429F"/>
    <w:rsid w:val="00314F52"/>
    <w:rsid w:val="00315699"/>
    <w:rsid w:val="00315805"/>
    <w:rsid w:val="00315D4F"/>
    <w:rsid w:val="00315FC2"/>
    <w:rsid w:val="0031614F"/>
    <w:rsid w:val="003162FA"/>
    <w:rsid w:val="00317291"/>
    <w:rsid w:val="003202A4"/>
    <w:rsid w:val="003204B6"/>
    <w:rsid w:val="0032055E"/>
    <w:rsid w:val="003206BA"/>
    <w:rsid w:val="00320E28"/>
    <w:rsid w:val="003227E7"/>
    <w:rsid w:val="00322A11"/>
    <w:rsid w:val="00322CD3"/>
    <w:rsid w:val="003236DB"/>
    <w:rsid w:val="003237C5"/>
    <w:rsid w:val="00324323"/>
    <w:rsid w:val="003249C8"/>
    <w:rsid w:val="00324A88"/>
    <w:rsid w:val="003257E3"/>
    <w:rsid w:val="0032590E"/>
    <w:rsid w:val="00326C54"/>
    <w:rsid w:val="00326DC1"/>
    <w:rsid w:val="003278A6"/>
    <w:rsid w:val="00327D5A"/>
    <w:rsid w:val="00330536"/>
    <w:rsid w:val="003305DF"/>
    <w:rsid w:val="0033104C"/>
    <w:rsid w:val="00331F99"/>
    <w:rsid w:val="00333A75"/>
    <w:rsid w:val="00333D4A"/>
    <w:rsid w:val="00334B0F"/>
    <w:rsid w:val="00335CEF"/>
    <w:rsid w:val="00337D64"/>
    <w:rsid w:val="00340124"/>
    <w:rsid w:val="00340225"/>
    <w:rsid w:val="003403CC"/>
    <w:rsid w:val="0034096B"/>
    <w:rsid w:val="00340CFC"/>
    <w:rsid w:val="0034163D"/>
    <w:rsid w:val="003423E4"/>
    <w:rsid w:val="00342D6A"/>
    <w:rsid w:val="00342E85"/>
    <w:rsid w:val="00343600"/>
    <w:rsid w:val="003436D0"/>
    <w:rsid w:val="00343C5A"/>
    <w:rsid w:val="00345C7B"/>
    <w:rsid w:val="00346E32"/>
    <w:rsid w:val="003503F9"/>
    <w:rsid w:val="00350F6C"/>
    <w:rsid w:val="003511B4"/>
    <w:rsid w:val="00352B70"/>
    <w:rsid w:val="00352CA0"/>
    <w:rsid w:val="00352FA3"/>
    <w:rsid w:val="00352FDA"/>
    <w:rsid w:val="003531A6"/>
    <w:rsid w:val="00353964"/>
    <w:rsid w:val="003539EF"/>
    <w:rsid w:val="003543C8"/>
    <w:rsid w:val="0035462A"/>
    <w:rsid w:val="003555A5"/>
    <w:rsid w:val="00357A35"/>
    <w:rsid w:val="00357A92"/>
    <w:rsid w:val="0036005A"/>
    <w:rsid w:val="0036036F"/>
    <w:rsid w:val="00361BC0"/>
    <w:rsid w:val="00361D32"/>
    <w:rsid w:val="00362F0A"/>
    <w:rsid w:val="00363470"/>
    <w:rsid w:val="00363556"/>
    <w:rsid w:val="0036363B"/>
    <w:rsid w:val="00363C5F"/>
    <w:rsid w:val="00363F31"/>
    <w:rsid w:val="0036412F"/>
    <w:rsid w:val="00364CA2"/>
    <w:rsid w:val="00364CE7"/>
    <w:rsid w:val="003655D8"/>
    <w:rsid w:val="00365650"/>
    <w:rsid w:val="00366082"/>
    <w:rsid w:val="00370617"/>
    <w:rsid w:val="0037083C"/>
    <w:rsid w:val="00371239"/>
    <w:rsid w:val="003727A0"/>
    <w:rsid w:val="00372DAC"/>
    <w:rsid w:val="003734DE"/>
    <w:rsid w:val="00373B79"/>
    <w:rsid w:val="00373FC7"/>
    <w:rsid w:val="00374013"/>
    <w:rsid w:val="00374286"/>
    <w:rsid w:val="00374A5F"/>
    <w:rsid w:val="00375433"/>
    <w:rsid w:val="00375987"/>
    <w:rsid w:val="0037654E"/>
    <w:rsid w:val="003768EE"/>
    <w:rsid w:val="00376DE2"/>
    <w:rsid w:val="00377092"/>
    <w:rsid w:val="003779A4"/>
    <w:rsid w:val="00380D77"/>
    <w:rsid w:val="00380FC3"/>
    <w:rsid w:val="00383F83"/>
    <w:rsid w:val="003841F5"/>
    <w:rsid w:val="003842C9"/>
    <w:rsid w:val="003844F7"/>
    <w:rsid w:val="00385AB8"/>
    <w:rsid w:val="00386926"/>
    <w:rsid w:val="00386FE7"/>
    <w:rsid w:val="003872F8"/>
    <w:rsid w:val="003874D6"/>
    <w:rsid w:val="003900A3"/>
    <w:rsid w:val="00390B98"/>
    <w:rsid w:val="00390FB8"/>
    <w:rsid w:val="00390FE9"/>
    <w:rsid w:val="0039112A"/>
    <w:rsid w:val="00391536"/>
    <w:rsid w:val="003917A9"/>
    <w:rsid w:val="0039238A"/>
    <w:rsid w:val="003926AA"/>
    <w:rsid w:val="00392928"/>
    <w:rsid w:val="00392CFF"/>
    <w:rsid w:val="00392EA3"/>
    <w:rsid w:val="00392F19"/>
    <w:rsid w:val="003940E3"/>
    <w:rsid w:val="003949DF"/>
    <w:rsid w:val="00394D38"/>
    <w:rsid w:val="0039610C"/>
    <w:rsid w:val="00396146"/>
    <w:rsid w:val="0039668A"/>
    <w:rsid w:val="00396AEC"/>
    <w:rsid w:val="00396EA4"/>
    <w:rsid w:val="003974AD"/>
    <w:rsid w:val="003976A1"/>
    <w:rsid w:val="003A0E89"/>
    <w:rsid w:val="003A141F"/>
    <w:rsid w:val="003A1686"/>
    <w:rsid w:val="003A222B"/>
    <w:rsid w:val="003A2519"/>
    <w:rsid w:val="003A2C69"/>
    <w:rsid w:val="003A3190"/>
    <w:rsid w:val="003A36A1"/>
    <w:rsid w:val="003A372D"/>
    <w:rsid w:val="003A4A1E"/>
    <w:rsid w:val="003A6126"/>
    <w:rsid w:val="003A700A"/>
    <w:rsid w:val="003A7344"/>
    <w:rsid w:val="003A7616"/>
    <w:rsid w:val="003A7DFA"/>
    <w:rsid w:val="003B0768"/>
    <w:rsid w:val="003B1786"/>
    <w:rsid w:val="003B1ECD"/>
    <w:rsid w:val="003B1F00"/>
    <w:rsid w:val="003B229F"/>
    <w:rsid w:val="003B2C80"/>
    <w:rsid w:val="003B3293"/>
    <w:rsid w:val="003B3A61"/>
    <w:rsid w:val="003B3A6F"/>
    <w:rsid w:val="003B3AA7"/>
    <w:rsid w:val="003B4626"/>
    <w:rsid w:val="003B4BCD"/>
    <w:rsid w:val="003B510A"/>
    <w:rsid w:val="003B5304"/>
    <w:rsid w:val="003B5706"/>
    <w:rsid w:val="003B58A4"/>
    <w:rsid w:val="003B61C2"/>
    <w:rsid w:val="003B66CE"/>
    <w:rsid w:val="003B6F6B"/>
    <w:rsid w:val="003B7A63"/>
    <w:rsid w:val="003C0CA3"/>
    <w:rsid w:val="003C10FC"/>
    <w:rsid w:val="003C48A3"/>
    <w:rsid w:val="003C4ABE"/>
    <w:rsid w:val="003C5706"/>
    <w:rsid w:val="003C5D14"/>
    <w:rsid w:val="003C5EE8"/>
    <w:rsid w:val="003C6B41"/>
    <w:rsid w:val="003D0542"/>
    <w:rsid w:val="003D0D3A"/>
    <w:rsid w:val="003D15F8"/>
    <w:rsid w:val="003D310F"/>
    <w:rsid w:val="003D3B80"/>
    <w:rsid w:val="003D4890"/>
    <w:rsid w:val="003D4B79"/>
    <w:rsid w:val="003D4EAF"/>
    <w:rsid w:val="003D53DC"/>
    <w:rsid w:val="003D55BA"/>
    <w:rsid w:val="003D5C90"/>
    <w:rsid w:val="003D6492"/>
    <w:rsid w:val="003D65AD"/>
    <w:rsid w:val="003D6763"/>
    <w:rsid w:val="003D717D"/>
    <w:rsid w:val="003D7281"/>
    <w:rsid w:val="003E0C1C"/>
    <w:rsid w:val="003E13B9"/>
    <w:rsid w:val="003E1BFD"/>
    <w:rsid w:val="003E2897"/>
    <w:rsid w:val="003E36FD"/>
    <w:rsid w:val="003E3E04"/>
    <w:rsid w:val="003E40F8"/>
    <w:rsid w:val="003E446D"/>
    <w:rsid w:val="003E47ED"/>
    <w:rsid w:val="003E56A9"/>
    <w:rsid w:val="003E5D0F"/>
    <w:rsid w:val="003E69EC"/>
    <w:rsid w:val="003E6BA9"/>
    <w:rsid w:val="003E71B5"/>
    <w:rsid w:val="003E7319"/>
    <w:rsid w:val="003E7B2F"/>
    <w:rsid w:val="003E7F0C"/>
    <w:rsid w:val="003E7F27"/>
    <w:rsid w:val="003F025F"/>
    <w:rsid w:val="003F028D"/>
    <w:rsid w:val="003F02BC"/>
    <w:rsid w:val="003F03F6"/>
    <w:rsid w:val="003F0819"/>
    <w:rsid w:val="003F0B93"/>
    <w:rsid w:val="003F1880"/>
    <w:rsid w:val="003F1AC6"/>
    <w:rsid w:val="003F1CAA"/>
    <w:rsid w:val="003F1FA8"/>
    <w:rsid w:val="003F21AF"/>
    <w:rsid w:val="003F38E6"/>
    <w:rsid w:val="003F40D1"/>
    <w:rsid w:val="003F41CD"/>
    <w:rsid w:val="003F51C1"/>
    <w:rsid w:val="003F5383"/>
    <w:rsid w:val="003F5914"/>
    <w:rsid w:val="003F5F3D"/>
    <w:rsid w:val="003F678B"/>
    <w:rsid w:val="003F72BF"/>
    <w:rsid w:val="003F7428"/>
    <w:rsid w:val="0040072A"/>
    <w:rsid w:val="00400E46"/>
    <w:rsid w:val="004010BE"/>
    <w:rsid w:val="00401741"/>
    <w:rsid w:val="00401922"/>
    <w:rsid w:val="00401CCD"/>
    <w:rsid w:val="0040206C"/>
    <w:rsid w:val="004025AD"/>
    <w:rsid w:val="00402B5A"/>
    <w:rsid w:val="00402EBC"/>
    <w:rsid w:val="00403362"/>
    <w:rsid w:val="00403B64"/>
    <w:rsid w:val="00404015"/>
    <w:rsid w:val="004042C2"/>
    <w:rsid w:val="00404441"/>
    <w:rsid w:val="00404EA8"/>
    <w:rsid w:val="00405332"/>
    <w:rsid w:val="004055CA"/>
    <w:rsid w:val="00405D8D"/>
    <w:rsid w:val="00405E10"/>
    <w:rsid w:val="00406191"/>
    <w:rsid w:val="00406A94"/>
    <w:rsid w:val="00406B41"/>
    <w:rsid w:val="00406B6E"/>
    <w:rsid w:val="004071B2"/>
    <w:rsid w:val="00407665"/>
    <w:rsid w:val="00407D9F"/>
    <w:rsid w:val="004102B1"/>
    <w:rsid w:val="00411711"/>
    <w:rsid w:val="004118DE"/>
    <w:rsid w:val="00411D32"/>
    <w:rsid w:val="0041288B"/>
    <w:rsid w:val="00412BD7"/>
    <w:rsid w:val="00413689"/>
    <w:rsid w:val="004137BE"/>
    <w:rsid w:val="00414191"/>
    <w:rsid w:val="00414A31"/>
    <w:rsid w:val="0041579D"/>
    <w:rsid w:val="00415D9E"/>
    <w:rsid w:val="00415F6A"/>
    <w:rsid w:val="00416962"/>
    <w:rsid w:val="00417286"/>
    <w:rsid w:val="004201B8"/>
    <w:rsid w:val="00420734"/>
    <w:rsid w:val="00420DA8"/>
    <w:rsid w:val="00420F19"/>
    <w:rsid w:val="00420F4C"/>
    <w:rsid w:val="0042176B"/>
    <w:rsid w:val="00421D18"/>
    <w:rsid w:val="00422DEB"/>
    <w:rsid w:val="00422EC3"/>
    <w:rsid w:val="00424046"/>
    <w:rsid w:val="004240DC"/>
    <w:rsid w:val="00424619"/>
    <w:rsid w:val="004246BA"/>
    <w:rsid w:val="00424F8F"/>
    <w:rsid w:val="00425A9C"/>
    <w:rsid w:val="00426DD3"/>
    <w:rsid w:val="00427002"/>
    <w:rsid w:val="00427080"/>
    <w:rsid w:val="00427EFB"/>
    <w:rsid w:val="0043009B"/>
    <w:rsid w:val="00430576"/>
    <w:rsid w:val="0043163A"/>
    <w:rsid w:val="00431AD7"/>
    <w:rsid w:val="00432880"/>
    <w:rsid w:val="00432F1B"/>
    <w:rsid w:val="00432F39"/>
    <w:rsid w:val="00433861"/>
    <w:rsid w:val="00434C04"/>
    <w:rsid w:val="004358BF"/>
    <w:rsid w:val="00435B29"/>
    <w:rsid w:val="00435F16"/>
    <w:rsid w:val="0043601A"/>
    <w:rsid w:val="00436D22"/>
    <w:rsid w:val="00436D41"/>
    <w:rsid w:val="004374BB"/>
    <w:rsid w:val="004407D5"/>
    <w:rsid w:val="00440A08"/>
    <w:rsid w:val="00441EEA"/>
    <w:rsid w:val="004424AF"/>
    <w:rsid w:val="004425A8"/>
    <w:rsid w:val="00443426"/>
    <w:rsid w:val="00443965"/>
    <w:rsid w:val="00443C75"/>
    <w:rsid w:val="004441D3"/>
    <w:rsid w:val="00444DED"/>
    <w:rsid w:val="00444F81"/>
    <w:rsid w:val="00445840"/>
    <w:rsid w:val="00445B0A"/>
    <w:rsid w:val="004460C1"/>
    <w:rsid w:val="00446187"/>
    <w:rsid w:val="00447017"/>
    <w:rsid w:val="0044719C"/>
    <w:rsid w:val="0044733A"/>
    <w:rsid w:val="00450E14"/>
    <w:rsid w:val="00451111"/>
    <w:rsid w:val="004513AF"/>
    <w:rsid w:val="00451930"/>
    <w:rsid w:val="0045196E"/>
    <w:rsid w:val="0045225B"/>
    <w:rsid w:val="004535FD"/>
    <w:rsid w:val="0045380F"/>
    <w:rsid w:val="00453A98"/>
    <w:rsid w:val="00453E59"/>
    <w:rsid w:val="0045444D"/>
    <w:rsid w:val="00455467"/>
    <w:rsid w:val="0045563C"/>
    <w:rsid w:val="00455E2E"/>
    <w:rsid w:val="00456452"/>
    <w:rsid w:val="00457194"/>
    <w:rsid w:val="004575B7"/>
    <w:rsid w:val="00457A2A"/>
    <w:rsid w:val="00457A86"/>
    <w:rsid w:val="00460AD2"/>
    <w:rsid w:val="00461EFB"/>
    <w:rsid w:val="004629C1"/>
    <w:rsid w:val="00463797"/>
    <w:rsid w:val="0046495C"/>
    <w:rsid w:val="0046505D"/>
    <w:rsid w:val="0046644F"/>
    <w:rsid w:val="00466751"/>
    <w:rsid w:val="00470138"/>
    <w:rsid w:val="00470AFD"/>
    <w:rsid w:val="00470E95"/>
    <w:rsid w:val="00470F4E"/>
    <w:rsid w:val="0047113D"/>
    <w:rsid w:val="00471825"/>
    <w:rsid w:val="00471993"/>
    <w:rsid w:val="00472077"/>
    <w:rsid w:val="00473526"/>
    <w:rsid w:val="00473D73"/>
    <w:rsid w:val="004740DE"/>
    <w:rsid w:val="004751FF"/>
    <w:rsid w:val="00475FF9"/>
    <w:rsid w:val="00476240"/>
    <w:rsid w:val="00476D89"/>
    <w:rsid w:val="00477A65"/>
    <w:rsid w:val="00480373"/>
    <w:rsid w:val="004808F9"/>
    <w:rsid w:val="00480C19"/>
    <w:rsid w:val="004815F2"/>
    <w:rsid w:val="00483AB7"/>
    <w:rsid w:val="00483B3F"/>
    <w:rsid w:val="004846A2"/>
    <w:rsid w:val="00484EBD"/>
    <w:rsid w:val="0048565D"/>
    <w:rsid w:val="004857F7"/>
    <w:rsid w:val="00486CE4"/>
    <w:rsid w:val="00487045"/>
    <w:rsid w:val="004874A9"/>
    <w:rsid w:val="00487711"/>
    <w:rsid w:val="00490132"/>
    <w:rsid w:val="00490591"/>
    <w:rsid w:val="00490C89"/>
    <w:rsid w:val="00491803"/>
    <w:rsid w:val="00492631"/>
    <w:rsid w:val="00492F49"/>
    <w:rsid w:val="004930AE"/>
    <w:rsid w:val="0049316D"/>
    <w:rsid w:val="004946B1"/>
    <w:rsid w:val="00495E5D"/>
    <w:rsid w:val="004962A2"/>
    <w:rsid w:val="004962BA"/>
    <w:rsid w:val="00496FB4"/>
    <w:rsid w:val="004970E0"/>
    <w:rsid w:val="0049756B"/>
    <w:rsid w:val="00497A3F"/>
    <w:rsid w:val="00497CE9"/>
    <w:rsid w:val="004A06B6"/>
    <w:rsid w:val="004A09B3"/>
    <w:rsid w:val="004A0C9A"/>
    <w:rsid w:val="004A15C0"/>
    <w:rsid w:val="004A1C72"/>
    <w:rsid w:val="004A2D54"/>
    <w:rsid w:val="004A30D2"/>
    <w:rsid w:val="004A434C"/>
    <w:rsid w:val="004A6DED"/>
    <w:rsid w:val="004A6FF7"/>
    <w:rsid w:val="004A738C"/>
    <w:rsid w:val="004A7501"/>
    <w:rsid w:val="004A77E6"/>
    <w:rsid w:val="004B0245"/>
    <w:rsid w:val="004B0560"/>
    <w:rsid w:val="004B13C4"/>
    <w:rsid w:val="004B1BDB"/>
    <w:rsid w:val="004B1E4F"/>
    <w:rsid w:val="004B2BB8"/>
    <w:rsid w:val="004B2E1C"/>
    <w:rsid w:val="004B2FAD"/>
    <w:rsid w:val="004B2FE1"/>
    <w:rsid w:val="004B3028"/>
    <w:rsid w:val="004B349C"/>
    <w:rsid w:val="004B378F"/>
    <w:rsid w:val="004B4241"/>
    <w:rsid w:val="004B568D"/>
    <w:rsid w:val="004B5A14"/>
    <w:rsid w:val="004B5B47"/>
    <w:rsid w:val="004B6913"/>
    <w:rsid w:val="004B69E8"/>
    <w:rsid w:val="004B7E80"/>
    <w:rsid w:val="004C02AA"/>
    <w:rsid w:val="004C0621"/>
    <w:rsid w:val="004C1894"/>
    <w:rsid w:val="004C1FE6"/>
    <w:rsid w:val="004C22F6"/>
    <w:rsid w:val="004C433F"/>
    <w:rsid w:val="004C4D05"/>
    <w:rsid w:val="004C4E84"/>
    <w:rsid w:val="004C6176"/>
    <w:rsid w:val="004C6338"/>
    <w:rsid w:val="004C6523"/>
    <w:rsid w:val="004C6AD2"/>
    <w:rsid w:val="004C6F4C"/>
    <w:rsid w:val="004C7D0B"/>
    <w:rsid w:val="004D02B7"/>
    <w:rsid w:val="004D1C28"/>
    <w:rsid w:val="004D249A"/>
    <w:rsid w:val="004D28E1"/>
    <w:rsid w:val="004D3740"/>
    <w:rsid w:val="004D4B0C"/>
    <w:rsid w:val="004D5541"/>
    <w:rsid w:val="004D6660"/>
    <w:rsid w:val="004D6694"/>
    <w:rsid w:val="004D6D35"/>
    <w:rsid w:val="004D78F7"/>
    <w:rsid w:val="004D7AC1"/>
    <w:rsid w:val="004D7AE0"/>
    <w:rsid w:val="004E005B"/>
    <w:rsid w:val="004E017F"/>
    <w:rsid w:val="004E0339"/>
    <w:rsid w:val="004E100E"/>
    <w:rsid w:val="004E1884"/>
    <w:rsid w:val="004E1905"/>
    <w:rsid w:val="004E2416"/>
    <w:rsid w:val="004E25B7"/>
    <w:rsid w:val="004E2D5C"/>
    <w:rsid w:val="004E30B7"/>
    <w:rsid w:val="004E3782"/>
    <w:rsid w:val="004E3FF1"/>
    <w:rsid w:val="004E45DF"/>
    <w:rsid w:val="004E498C"/>
    <w:rsid w:val="004E4CDF"/>
    <w:rsid w:val="004E5131"/>
    <w:rsid w:val="004E52A3"/>
    <w:rsid w:val="004E53B9"/>
    <w:rsid w:val="004E54F2"/>
    <w:rsid w:val="004E5685"/>
    <w:rsid w:val="004E595B"/>
    <w:rsid w:val="004E668C"/>
    <w:rsid w:val="004E6E07"/>
    <w:rsid w:val="004E79C1"/>
    <w:rsid w:val="004F0207"/>
    <w:rsid w:val="004F15E3"/>
    <w:rsid w:val="004F20CE"/>
    <w:rsid w:val="004F282D"/>
    <w:rsid w:val="004F2AFF"/>
    <w:rsid w:val="004F2EFB"/>
    <w:rsid w:val="004F320C"/>
    <w:rsid w:val="004F420C"/>
    <w:rsid w:val="004F4231"/>
    <w:rsid w:val="004F43F5"/>
    <w:rsid w:val="004F4D44"/>
    <w:rsid w:val="004F613F"/>
    <w:rsid w:val="004F61E0"/>
    <w:rsid w:val="004F6B9F"/>
    <w:rsid w:val="004F7011"/>
    <w:rsid w:val="004F7221"/>
    <w:rsid w:val="004F7892"/>
    <w:rsid w:val="004F7C5D"/>
    <w:rsid w:val="00500573"/>
    <w:rsid w:val="005005B3"/>
    <w:rsid w:val="005006AE"/>
    <w:rsid w:val="00500EBD"/>
    <w:rsid w:val="00500F7F"/>
    <w:rsid w:val="00502372"/>
    <w:rsid w:val="005028C4"/>
    <w:rsid w:val="0050309D"/>
    <w:rsid w:val="005036DA"/>
    <w:rsid w:val="00504F5B"/>
    <w:rsid w:val="005050B3"/>
    <w:rsid w:val="00505AE8"/>
    <w:rsid w:val="00506904"/>
    <w:rsid w:val="00507D9B"/>
    <w:rsid w:val="005102C9"/>
    <w:rsid w:val="0051065C"/>
    <w:rsid w:val="0051146E"/>
    <w:rsid w:val="005116DD"/>
    <w:rsid w:val="00512454"/>
    <w:rsid w:val="00514603"/>
    <w:rsid w:val="00514A6B"/>
    <w:rsid w:val="00515F8A"/>
    <w:rsid w:val="005160A6"/>
    <w:rsid w:val="00516384"/>
    <w:rsid w:val="00516C15"/>
    <w:rsid w:val="00516CC5"/>
    <w:rsid w:val="00516EAC"/>
    <w:rsid w:val="00516F87"/>
    <w:rsid w:val="005176F3"/>
    <w:rsid w:val="00517D7C"/>
    <w:rsid w:val="0052006B"/>
    <w:rsid w:val="00521773"/>
    <w:rsid w:val="00521A7F"/>
    <w:rsid w:val="00521ACD"/>
    <w:rsid w:val="00521BA3"/>
    <w:rsid w:val="00521FE1"/>
    <w:rsid w:val="00522009"/>
    <w:rsid w:val="00523137"/>
    <w:rsid w:val="00523382"/>
    <w:rsid w:val="00523F8A"/>
    <w:rsid w:val="005246CA"/>
    <w:rsid w:val="0052472D"/>
    <w:rsid w:val="005252B3"/>
    <w:rsid w:val="00525C8F"/>
    <w:rsid w:val="005264B2"/>
    <w:rsid w:val="00526777"/>
    <w:rsid w:val="005277C5"/>
    <w:rsid w:val="00530E99"/>
    <w:rsid w:val="00531B95"/>
    <w:rsid w:val="00532B2A"/>
    <w:rsid w:val="00533947"/>
    <w:rsid w:val="00533FE3"/>
    <w:rsid w:val="00535383"/>
    <w:rsid w:val="0053617D"/>
    <w:rsid w:val="005363E9"/>
    <w:rsid w:val="0053666E"/>
    <w:rsid w:val="00536960"/>
    <w:rsid w:val="0054015E"/>
    <w:rsid w:val="005401F9"/>
    <w:rsid w:val="00541199"/>
    <w:rsid w:val="005415AB"/>
    <w:rsid w:val="00541B20"/>
    <w:rsid w:val="00541FD2"/>
    <w:rsid w:val="00542073"/>
    <w:rsid w:val="00542373"/>
    <w:rsid w:val="00542689"/>
    <w:rsid w:val="00542AB1"/>
    <w:rsid w:val="00542B16"/>
    <w:rsid w:val="00542F4D"/>
    <w:rsid w:val="005430EF"/>
    <w:rsid w:val="0054415D"/>
    <w:rsid w:val="00544280"/>
    <w:rsid w:val="00544DD5"/>
    <w:rsid w:val="00545253"/>
    <w:rsid w:val="0054525C"/>
    <w:rsid w:val="00545720"/>
    <w:rsid w:val="00545CD7"/>
    <w:rsid w:val="00545E3C"/>
    <w:rsid w:val="00545F29"/>
    <w:rsid w:val="00546C37"/>
    <w:rsid w:val="00546C9A"/>
    <w:rsid w:val="00546E8D"/>
    <w:rsid w:val="0054704A"/>
    <w:rsid w:val="0054769D"/>
    <w:rsid w:val="00547B63"/>
    <w:rsid w:val="00547CFB"/>
    <w:rsid w:val="00550534"/>
    <w:rsid w:val="00551947"/>
    <w:rsid w:val="0055241E"/>
    <w:rsid w:val="0055257B"/>
    <w:rsid w:val="0055265E"/>
    <w:rsid w:val="00553884"/>
    <w:rsid w:val="00553C89"/>
    <w:rsid w:val="00554A69"/>
    <w:rsid w:val="00554D53"/>
    <w:rsid w:val="00554DB3"/>
    <w:rsid w:val="005550F5"/>
    <w:rsid w:val="0055594D"/>
    <w:rsid w:val="0055711B"/>
    <w:rsid w:val="0055740A"/>
    <w:rsid w:val="00557432"/>
    <w:rsid w:val="00560227"/>
    <w:rsid w:val="00560F92"/>
    <w:rsid w:val="00560FF8"/>
    <w:rsid w:val="00561478"/>
    <w:rsid w:val="0056232A"/>
    <w:rsid w:val="00564950"/>
    <w:rsid w:val="00564C38"/>
    <w:rsid w:val="00564ED6"/>
    <w:rsid w:val="00565EFA"/>
    <w:rsid w:val="00566440"/>
    <w:rsid w:val="00567192"/>
    <w:rsid w:val="005703FB"/>
    <w:rsid w:val="00570B81"/>
    <w:rsid w:val="00571670"/>
    <w:rsid w:val="005728F3"/>
    <w:rsid w:val="00573334"/>
    <w:rsid w:val="00573707"/>
    <w:rsid w:val="00574330"/>
    <w:rsid w:val="0057448B"/>
    <w:rsid w:val="00575A53"/>
    <w:rsid w:val="00576364"/>
    <w:rsid w:val="00576DB6"/>
    <w:rsid w:val="005777F9"/>
    <w:rsid w:val="00580324"/>
    <w:rsid w:val="00581A96"/>
    <w:rsid w:val="00581F11"/>
    <w:rsid w:val="00582525"/>
    <w:rsid w:val="005827F2"/>
    <w:rsid w:val="005833A6"/>
    <w:rsid w:val="005834D2"/>
    <w:rsid w:val="005836D2"/>
    <w:rsid w:val="005837FD"/>
    <w:rsid w:val="00583886"/>
    <w:rsid w:val="00584347"/>
    <w:rsid w:val="005844C2"/>
    <w:rsid w:val="00584783"/>
    <w:rsid w:val="005847A4"/>
    <w:rsid w:val="00584A58"/>
    <w:rsid w:val="00586141"/>
    <w:rsid w:val="00586C3F"/>
    <w:rsid w:val="005879AD"/>
    <w:rsid w:val="0059065F"/>
    <w:rsid w:val="005910A1"/>
    <w:rsid w:val="00592131"/>
    <w:rsid w:val="005926B0"/>
    <w:rsid w:val="00592DFD"/>
    <w:rsid w:val="005934F9"/>
    <w:rsid w:val="00594214"/>
    <w:rsid w:val="00594382"/>
    <w:rsid w:val="00595229"/>
    <w:rsid w:val="00595238"/>
    <w:rsid w:val="005953D5"/>
    <w:rsid w:val="005957AC"/>
    <w:rsid w:val="005963C9"/>
    <w:rsid w:val="00596433"/>
    <w:rsid w:val="00596622"/>
    <w:rsid w:val="00596AA6"/>
    <w:rsid w:val="00597388"/>
    <w:rsid w:val="00597746"/>
    <w:rsid w:val="00597B79"/>
    <w:rsid w:val="00597E57"/>
    <w:rsid w:val="005A028C"/>
    <w:rsid w:val="005A0694"/>
    <w:rsid w:val="005A0E97"/>
    <w:rsid w:val="005A1048"/>
    <w:rsid w:val="005A138B"/>
    <w:rsid w:val="005A1CEB"/>
    <w:rsid w:val="005A2523"/>
    <w:rsid w:val="005A26DD"/>
    <w:rsid w:val="005A2906"/>
    <w:rsid w:val="005A3E2E"/>
    <w:rsid w:val="005A4B7C"/>
    <w:rsid w:val="005A5802"/>
    <w:rsid w:val="005A6516"/>
    <w:rsid w:val="005A7449"/>
    <w:rsid w:val="005A7AD6"/>
    <w:rsid w:val="005B005C"/>
    <w:rsid w:val="005B0275"/>
    <w:rsid w:val="005B06B4"/>
    <w:rsid w:val="005B099E"/>
    <w:rsid w:val="005B0DE2"/>
    <w:rsid w:val="005B143A"/>
    <w:rsid w:val="005B1B67"/>
    <w:rsid w:val="005B25D1"/>
    <w:rsid w:val="005B3285"/>
    <w:rsid w:val="005B37C9"/>
    <w:rsid w:val="005B43B4"/>
    <w:rsid w:val="005B477F"/>
    <w:rsid w:val="005B55B4"/>
    <w:rsid w:val="005B5BB2"/>
    <w:rsid w:val="005B6185"/>
    <w:rsid w:val="005B6960"/>
    <w:rsid w:val="005B6B0D"/>
    <w:rsid w:val="005B765C"/>
    <w:rsid w:val="005C094C"/>
    <w:rsid w:val="005C0DE0"/>
    <w:rsid w:val="005C0FDC"/>
    <w:rsid w:val="005C1E27"/>
    <w:rsid w:val="005C1E98"/>
    <w:rsid w:val="005C2459"/>
    <w:rsid w:val="005C2AA0"/>
    <w:rsid w:val="005C30F1"/>
    <w:rsid w:val="005C4EFD"/>
    <w:rsid w:val="005C53E9"/>
    <w:rsid w:val="005C5E24"/>
    <w:rsid w:val="005C6261"/>
    <w:rsid w:val="005C6506"/>
    <w:rsid w:val="005C676A"/>
    <w:rsid w:val="005C6855"/>
    <w:rsid w:val="005C698D"/>
    <w:rsid w:val="005C6B2E"/>
    <w:rsid w:val="005C6EC3"/>
    <w:rsid w:val="005D05C3"/>
    <w:rsid w:val="005D0A13"/>
    <w:rsid w:val="005D0E64"/>
    <w:rsid w:val="005D0EE6"/>
    <w:rsid w:val="005D147C"/>
    <w:rsid w:val="005D1A61"/>
    <w:rsid w:val="005D1AEF"/>
    <w:rsid w:val="005D2816"/>
    <w:rsid w:val="005D28AE"/>
    <w:rsid w:val="005D2A4A"/>
    <w:rsid w:val="005D30DF"/>
    <w:rsid w:val="005D3E6C"/>
    <w:rsid w:val="005D4595"/>
    <w:rsid w:val="005D4664"/>
    <w:rsid w:val="005D4CF8"/>
    <w:rsid w:val="005D520B"/>
    <w:rsid w:val="005D5C48"/>
    <w:rsid w:val="005D5D6F"/>
    <w:rsid w:val="005D69EC"/>
    <w:rsid w:val="005D6A38"/>
    <w:rsid w:val="005D6C69"/>
    <w:rsid w:val="005D6EF5"/>
    <w:rsid w:val="005D71BE"/>
    <w:rsid w:val="005D77D7"/>
    <w:rsid w:val="005E0C05"/>
    <w:rsid w:val="005E1B55"/>
    <w:rsid w:val="005E1ED3"/>
    <w:rsid w:val="005E2C5F"/>
    <w:rsid w:val="005E305F"/>
    <w:rsid w:val="005E3ACA"/>
    <w:rsid w:val="005E3B11"/>
    <w:rsid w:val="005E4B6B"/>
    <w:rsid w:val="005E4C06"/>
    <w:rsid w:val="005E52AB"/>
    <w:rsid w:val="005E69E5"/>
    <w:rsid w:val="005E6DF5"/>
    <w:rsid w:val="005E6F85"/>
    <w:rsid w:val="005E703E"/>
    <w:rsid w:val="005E74A5"/>
    <w:rsid w:val="005E74C9"/>
    <w:rsid w:val="005F0189"/>
    <w:rsid w:val="005F0393"/>
    <w:rsid w:val="005F1828"/>
    <w:rsid w:val="005F1829"/>
    <w:rsid w:val="005F2280"/>
    <w:rsid w:val="005F3C4A"/>
    <w:rsid w:val="005F41BA"/>
    <w:rsid w:val="005F446E"/>
    <w:rsid w:val="005F44F9"/>
    <w:rsid w:val="005F4808"/>
    <w:rsid w:val="005F5428"/>
    <w:rsid w:val="005F7A54"/>
    <w:rsid w:val="005F7D2D"/>
    <w:rsid w:val="006022A9"/>
    <w:rsid w:val="00603097"/>
    <w:rsid w:val="006041D3"/>
    <w:rsid w:val="00604D38"/>
    <w:rsid w:val="006050E5"/>
    <w:rsid w:val="00605BD6"/>
    <w:rsid w:val="00605FC6"/>
    <w:rsid w:val="0060647E"/>
    <w:rsid w:val="006073B8"/>
    <w:rsid w:val="006105D5"/>
    <w:rsid w:val="00610CC6"/>
    <w:rsid w:val="00610D11"/>
    <w:rsid w:val="006117D9"/>
    <w:rsid w:val="00611BD3"/>
    <w:rsid w:val="006123E1"/>
    <w:rsid w:val="006128AF"/>
    <w:rsid w:val="00612BBF"/>
    <w:rsid w:val="00612E39"/>
    <w:rsid w:val="0061323F"/>
    <w:rsid w:val="00613664"/>
    <w:rsid w:val="006137C9"/>
    <w:rsid w:val="00613B37"/>
    <w:rsid w:val="00614F9A"/>
    <w:rsid w:val="00614FB3"/>
    <w:rsid w:val="00615957"/>
    <w:rsid w:val="00615A42"/>
    <w:rsid w:val="00616766"/>
    <w:rsid w:val="006167AD"/>
    <w:rsid w:val="006168DA"/>
    <w:rsid w:val="00616921"/>
    <w:rsid w:val="00617A21"/>
    <w:rsid w:val="00617A3D"/>
    <w:rsid w:val="00621B10"/>
    <w:rsid w:val="00621D45"/>
    <w:rsid w:val="00621DD8"/>
    <w:rsid w:val="00622045"/>
    <w:rsid w:val="00622271"/>
    <w:rsid w:val="0062252D"/>
    <w:rsid w:val="00622F6B"/>
    <w:rsid w:val="006237DC"/>
    <w:rsid w:val="00623DA8"/>
    <w:rsid w:val="00624A7F"/>
    <w:rsid w:val="00625015"/>
    <w:rsid w:val="006252B9"/>
    <w:rsid w:val="00625385"/>
    <w:rsid w:val="006258B7"/>
    <w:rsid w:val="00625A38"/>
    <w:rsid w:val="00626AB2"/>
    <w:rsid w:val="00626D3B"/>
    <w:rsid w:val="006270C7"/>
    <w:rsid w:val="0062760D"/>
    <w:rsid w:val="006300E9"/>
    <w:rsid w:val="006301F6"/>
    <w:rsid w:val="00630D58"/>
    <w:rsid w:val="00630F0E"/>
    <w:rsid w:val="00631039"/>
    <w:rsid w:val="006313C1"/>
    <w:rsid w:val="00631574"/>
    <w:rsid w:val="00631A70"/>
    <w:rsid w:val="00632A62"/>
    <w:rsid w:val="00632CC6"/>
    <w:rsid w:val="006331C6"/>
    <w:rsid w:val="006333D3"/>
    <w:rsid w:val="00633C88"/>
    <w:rsid w:val="00634F6F"/>
    <w:rsid w:val="006363A4"/>
    <w:rsid w:val="006366F1"/>
    <w:rsid w:val="00636772"/>
    <w:rsid w:val="00636965"/>
    <w:rsid w:val="00640100"/>
    <w:rsid w:val="00641AC4"/>
    <w:rsid w:val="00641ADD"/>
    <w:rsid w:val="006427B6"/>
    <w:rsid w:val="006427B7"/>
    <w:rsid w:val="00642E7E"/>
    <w:rsid w:val="006430E2"/>
    <w:rsid w:val="006435E7"/>
    <w:rsid w:val="00643912"/>
    <w:rsid w:val="00643A8D"/>
    <w:rsid w:val="00643E3A"/>
    <w:rsid w:val="00644317"/>
    <w:rsid w:val="006454CC"/>
    <w:rsid w:val="00645A7F"/>
    <w:rsid w:val="00645E59"/>
    <w:rsid w:val="00645EA5"/>
    <w:rsid w:val="00646145"/>
    <w:rsid w:val="0064647B"/>
    <w:rsid w:val="00646D99"/>
    <w:rsid w:val="006470AB"/>
    <w:rsid w:val="006473D1"/>
    <w:rsid w:val="006476DE"/>
    <w:rsid w:val="0065044A"/>
    <w:rsid w:val="00650A18"/>
    <w:rsid w:val="0065197D"/>
    <w:rsid w:val="00652541"/>
    <w:rsid w:val="0065298F"/>
    <w:rsid w:val="0065340C"/>
    <w:rsid w:val="00653495"/>
    <w:rsid w:val="0065483F"/>
    <w:rsid w:val="006555FF"/>
    <w:rsid w:val="00655EB7"/>
    <w:rsid w:val="00656855"/>
    <w:rsid w:val="0065751C"/>
    <w:rsid w:val="00660EA4"/>
    <w:rsid w:val="006610BF"/>
    <w:rsid w:val="00663773"/>
    <w:rsid w:val="006640A5"/>
    <w:rsid w:val="00664681"/>
    <w:rsid w:val="00664D9A"/>
    <w:rsid w:val="0066504D"/>
    <w:rsid w:val="006657B7"/>
    <w:rsid w:val="00665EEB"/>
    <w:rsid w:val="0066685D"/>
    <w:rsid w:val="006668AF"/>
    <w:rsid w:val="0066776B"/>
    <w:rsid w:val="00667A1F"/>
    <w:rsid w:val="00667E92"/>
    <w:rsid w:val="00670735"/>
    <w:rsid w:val="0067096B"/>
    <w:rsid w:val="006711E8"/>
    <w:rsid w:val="00671C5F"/>
    <w:rsid w:val="00671E51"/>
    <w:rsid w:val="0067317B"/>
    <w:rsid w:val="0067373C"/>
    <w:rsid w:val="00673D5A"/>
    <w:rsid w:val="006743F6"/>
    <w:rsid w:val="00674B9C"/>
    <w:rsid w:val="00674E77"/>
    <w:rsid w:val="00675426"/>
    <w:rsid w:val="00675A21"/>
    <w:rsid w:val="00675DE5"/>
    <w:rsid w:val="00676A75"/>
    <w:rsid w:val="00676AAA"/>
    <w:rsid w:val="00676CDE"/>
    <w:rsid w:val="00676D67"/>
    <w:rsid w:val="00677E69"/>
    <w:rsid w:val="0068052D"/>
    <w:rsid w:val="006805A9"/>
    <w:rsid w:val="006805FA"/>
    <w:rsid w:val="006818CD"/>
    <w:rsid w:val="00682039"/>
    <w:rsid w:val="00682464"/>
    <w:rsid w:val="0068372B"/>
    <w:rsid w:val="00683790"/>
    <w:rsid w:val="0068394C"/>
    <w:rsid w:val="0068398F"/>
    <w:rsid w:val="00683C7D"/>
    <w:rsid w:val="00683D7B"/>
    <w:rsid w:val="006840CD"/>
    <w:rsid w:val="00684498"/>
    <w:rsid w:val="00685A16"/>
    <w:rsid w:val="00685C40"/>
    <w:rsid w:val="00685FCC"/>
    <w:rsid w:val="006860DC"/>
    <w:rsid w:val="00687A64"/>
    <w:rsid w:val="0069090F"/>
    <w:rsid w:val="00690F48"/>
    <w:rsid w:val="00691316"/>
    <w:rsid w:val="0069168E"/>
    <w:rsid w:val="006919B9"/>
    <w:rsid w:val="00691EA6"/>
    <w:rsid w:val="0069236D"/>
    <w:rsid w:val="00692669"/>
    <w:rsid w:val="00692DEF"/>
    <w:rsid w:val="00692EDA"/>
    <w:rsid w:val="00692EF8"/>
    <w:rsid w:val="006945A1"/>
    <w:rsid w:val="00694C2C"/>
    <w:rsid w:val="006955D3"/>
    <w:rsid w:val="006957C2"/>
    <w:rsid w:val="0069640C"/>
    <w:rsid w:val="006A1087"/>
    <w:rsid w:val="006A1AB9"/>
    <w:rsid w:val="006A203D"/>
    <w:rsid w:val="006A31C6"/>
    <w:rsid w:val="006A396E"/>
    <w:rsid w:val="006A4433"/>
    <w:rsid w:val="006A4532"/>
    <w:rsid w:val="006A4620"/>
    <w:rsid w:val="006A5302"/>
    <w:rsid w:val="006A5AB1"/>
    <w:rsid w:val="006A6038"/>
    <w:rsid w:val="006A63FF"/>
    <w:rsid w:val="006A6A78"/>
    <w:rsid w:val="006A6C28"/>
    <w:rsid w:val="006A74B4"/>
    <w:rsid w:val="006A7FE9"/>
    <w:rsid w:val="006B1796"/>
    <w:rsid w:val="006B179B"/>
    <w:rsid w:val="006B2C1E"/>
    <w:rsid w:val="006B2D85"/>
    <w:rsid w:val="006B390D"/>
    <w:rsid w:val="006B3DA8"/>
    <w:rsid w:val="006B51E9"/>
    <w:rsid w:val="006B7159"/>
    <w:rsid w:val="006C0361"/>
    <w:rsid w:val="006C040E"/>
    <w:rsid w:val="006C1077"/>
    <w:rsid w:val="006C1B77"/>
    <w:rsid w:val="006C2024"/>
    <w:rsid w:val="006C23B0"/>
    <w:rsid w:val="006C32D6"/>
    <w:rsid w:val="006C3313"/>
    <w:rsid w:val="006C442C"/>
    <w:rsid w:val="006C4EAA"/>
    <w:rsid w:val="006C52F6"/>
    <w:rsid w:val="006C5E7A"/>
    <w:rsid w:val="006C6AF1"/>
    <w:rsid w:val="006C7428"/>
    <w:rsid w:val="006C74B1"/>
    <w:rsid w:val="006C74EA"/>
    <w:rsid w:val="006C756C"/>
    <w:rsid w:val="006D1731"/>
    <w:rsid w:val="006D1845"/>
    <w:rsid w:val="006D206D"/>
    <w:rsid w:val="006D207A"/>
    <w:rsid w:val="006D25D7"/>
    <w:rsid w:val="006D3221"/>
    <w:rsid w:val="006D4769"/>
    <w:rsid w:val="006D49D0"/>
    <w:rsid w:val="006D51CF"/>
    <w:rsid w:val="006D570C"/>
    <w:rsid w:val="006D5D57"/>
    <w:rsid w:val="006D5E04"/>
    <w:rsid w:val="006D612C"/>
    <w:rsid w:val="006D627D"/>
    <w:rsid w:val="006D679D"/>
    <w:rsid w:val="006D6C6A"/>
    <w:rsid w:val="006D71E3"/>
    <w:rsid w:val="006D7D1B"/>
    <w:rsid w:val="006D7EE1"/>
    <w:rsid w:val="006E028B"/>
    <w:rsid w:val="006E0662"/>
    <w:rsid w:val="006E090E"/>
    <w:rsid w:val="006E0C19"/>
    <w:rsid w:val="006E0EEF"/>
    <w:rsid w:val="006E1217"/>
    <w:rsid w:val="006E2151"/>
    <w:rsid w:val="006E3045"/>
    <w:rsid w:val="006E30FD"/>
    <w:rsid w:val="006E353B"/>
    <w:rsid w:val="006E4869"/>
    <w:rsid w:val="006E4B41"/>
    <w:rsid w:val="006E56B3"/>
    <w:rsid w:val="006E5D2F"/>
    <w:rsid w:val="006E6F23"/>
    <w:rsid w:val="006E70EE"/>
    <w:rsid w:val="006F042A"/>
    <w:rsid w:val="006F0818"/>
    <w:rsid w:val="006F1647"/>
    <w:rsid w:val="006F2A65"/>
    <w:rsid w:val="006F2EB7"/>
    <w:rsid w:val="006F3994"/>
    <w:rsid w:val="006F490C"/>
    <w:rsid w:val="006F571E"/>
    <w:rsid w:val="006F5BD7"/>
    <w:rsid w:val="006F639F"/>
    <w:rsid w:val="006F6490"/>
    <w:rsid w:val="006F651B"/>
    <w:rsid w:val="006F6BF8"/>
    <w:rsid w:val="006F701A"/>
    <w:rsid w:val="0070033D"/>
    <w:rsid w:val="007004AD"/>
    <w:rsid w:val="0070072E"/>
    <w:rsid w:val="00700937"/>
    <w:rsid w:val="00700D49"/>
    <w:rsid w:val="00700EA9"/>
    <w:rsid w:val="0070130B"/>
    <w:rsid w:val="00701DCA"/>
    <w:rsid w:val="007020C5"/>
    <w:rsid w:val="007025A5"/>
    <w:rsid w:val="0070271C"/>
    <w:rsid w:val="00703339"/>
    <w:rsid w:val="00703BB4"/>
    <w:rsid w:val="00704709"/>
    <w:rsid w:val="00704B9D"/>
    <w:rsid w:val="00706131"/>
    <w:rsid w:val="007062C1"/>
    <w:rsid w:val="00706744"/>
    <w:rsid w:val="00706855"/>
    <w:rsid w:val="00706906"/>
    <w:rsid w:val="00707A42"/>
    <w:rsid w:val="00710098"/>
    <w:rsid w:val="0071052C"/>
    <w:rsid w:val="00710EB3"/>
    <w:rsid w:val="00711CEF"/>
    <w:rsid w:val="00713094"/>
    <w:rsid w:val="00713422"/>
    <w:rsid w:val="00714BB6"/>
    <w:rsid w:val="00714F78"/>
    <w:rsid w:val="0071514D"/>
    <w:rsid w:val="007158F5"/>
    <w:rsid w:val="0071592F"/>
    <w:rsid w:val="007159E2"/>
    <w:rsid w:val="00715C98"/>
    <w:rsid w:val="0071643C"/>
    <w:rsid w:val="00716866"/>
    <w:rsid w:val="007177E2"/>
    <w:rsid w:val="00717A4C"/>
    <w:rsid w:val="007207F5"/>
    <w:rsid w:val="00720B1A"/>
    <w:rsid w:val="0072115B"/>
    <w:rsid w:val="007217C1"/>
    <w:rsid w:val="00721ABD"/>
    <w:rsid w:val="00721B28"/>
    <w:rsid w:val="007221B0"/>
    <w:rsid w:val="00723461"/>
    <w:rsid w:val="007236C1"/>
    <w:rsid w:val="007243C9"/>
    <w:rsid w:val="00724F22"/>
    <w:rsid w:val="00725366"/>
    <w:rsid w:val="007258D6"/>
    <w:rsid w:val="00725969"/>
    <w:rsid w:val="00725EA8"/>
    <w:rsid w:val="00726241"/>
    <w:rsid w:val="00726CA1"/>
    <w:rsid w:val="00727936"/>
    <w:rsid w:val="007308CD"/>
    <w:rsid w:val="00730BD7"/>
    <w:rsid w:val="00730EAB"/>
    <w:rsid w:val="0073174A"/>
    <w:rsid w:val="00732114"/>
    <w:rsid w:val="00732CC8"/>
    <w:rsid w:val="00732EDE"/>
    <w:rsid w:val="0073373E"/>
    <w:rsid w:val="00733D29"/>
    <w:rsid w:val="007342F3"/>
    <w:rsid w:val="00734668"/>
    <w:rsid w:val="00734ADE"/>
    <w:rsid w:val="00734DD0"/>
    <w:rsid w:val="00735854"/>
    <w:rsid w:val="007359D1"/>
    <w:rsid w:val="00735CFC"/>
    <w:rsid w:val="0073778F"/>
    <w:rsid w:val="00737B8F"/>
    <w:rsid w:val="00740CAD"/>
    <w:rsid w:val="00741AC0"/>
    <w:rsid w:val="00742040"/>
    <w:rsid w:val="007443DD"/>
    <w:rsid w:val="0074484C"/>
    <w:rsid w:val="00744C58"/>
    <w:rsid w:val="00744CD1"/>
    <w:rsid w:val="00745158"/>
    <w:rsid w:val="00745319"/>
    <w:rsid w:val="007464FD"/>
    <w:rsid w:val="00747E7C"/>
    <w:rsid w:val="0075028F"/>
    <w:rsid w:val="00750BF0"/>
    <w:rsid w:val="00751682"/>
    <w:rsid w:val="00752165"/>
    <w:rsid w:val="00752B16"/>
    <w:rsid w:val="00754093"/>
    <w:rsid w:val="00754404"/>
    <w:rsid w:val="00754646"/>
    <w:rsid w:val="007546A4"/>
    <w:rsid w:val="00754724"/>
    <w:rsid w:val="00754CD7"/>
    <w:rsid w:val="0075560B"/>
    <w:rsid w:val="007558F8"/>
    <w:rsid w:val="00755BE1"/>
    <w:rsid w:val="00756419"/>
    <w:rsid w:val="0075652E"/>
    <w:rsid w:val="007572D6"/>
    <w:rsid w:val="00757C2E"/>
    <w:rsid w:val="00757CF9"/>
    <w:rsid w:val="0076044D"/>
    <w:rsid w:val="00760BE4"/>
    <w:rsid w:val="00760C7F"/>
    <w:rsid w:val="00760D04"/>
    <w:rsid w:val="007614C2"/>
    <w:rsid w:val="00763DEB"/>
    <w:rsid w:val="007647F0"/>
    <w:rsid w:val="007653C1"/>
    <w:rsid w:val="0076567A"/>
    <w:rsid w:val="00765B67"/>
    <w:rsid w:val="007662A1"/>
    <w:rsid w:val="007665AB"/>
    <w:rsid w:val="00766693"/>
    <w:rsid w:val="00766A49"/>
    <w:rsid w:val="00767289"/>
    <w:rsid w:val="00767D54"/>
    <w:rsid w:val="00767D81"/>
    <w:rsid w:val="00770AB3"/>
    <w:rsid w:val="007729FB"/>
    <w:rsid w:val="00773255"/>
    <w:rsid w:val="00773334"/>
    <w:rsid w:val="00773421"/>
    <w:rsid w:val="00773C38"/>
    <w:rsid w:val="0077400D"/>
    <w:rsid w:val="007747F4"/>
    <w:rsid w:val="00774C6F"/>
    <w:rsid w:val="00775CF5"/>
    <w:rsid w:val="00775F8E"/>
    <w:rsid w:val="0077631F"/>
    <w:rsid w:val="00776390"/>
    <w:rsid w:val="007779BC"/>
    <w:rsid w:val="00777FFD"/>
    <w:rsid w:val="00780CB3"/>
    <w:rsid w:val="007839DA"/>
    <w:rsid w:val="00784D33"/>
    <w:rsid w:val="00785C58"/>
    <w:rsid w:val="00786366"/>
    <w:rsid w:val="00786416"/>
    <w:rsid w:val="00786911"/>
    <w:rsid w:val="00787FD4"/>
    <w:rsid w:val="0079003C"/>
    <w:rsid w:val="007910AD"/>
    <w:rsid w:val="00792435"/>
    <w:rsid w:val="00792670"/>
    <w:rsid w:val="007932F1"/>
    <w:rsid w:val="00793865"/>
    <w:rsid w:val="00793D10"/>
    <w:rsid w:val="00793D20"/>
    <w:rsid w:val="007947EE"/>
    <w:rsid w:val="00794B2C"/>
    <w:rsid w:val="0079508A"/>
    <w:rsid w:val="0079530A"/>
    <w:rsid w:val="00796176"/>
    <w:rsid w:val="00796D8B"/>
    <w:rsid w:val="00797885"/>
    <w:rsid w:val="007A039B"/>
    <w:rsid w:val="007A0478"/>
    <w:rsid w:val="007A180A"/>
    <w:rsid w:val="007A1EBF"/>
    <w:rsid w:val="007A2A0E"/>
    <w:rsid w:val="007A2DEF"/>
    <w:rsid w:val="007A33DA"/>
    <w:rsid w:val="007A365F"/>
    <w:rsid w:val="007A48EF"/>
    <w:rsid w:val="007A5375"/>
    <w:rsid w:val="007A54CD"/>
    <w:rsid w:val="007A5AF9"/>
    <w:rsid w:val="007A5E28"/>
    <w:rsid w:val="007A6781"/>
    <w:rsid w:val="007A7107"/>
    <w:rsid w:val="007A711F"/>
    <w:rsid w:val="007A7236"/>
    <w:rsid w:val="007A7EE3"/>
    <w:rsid w:val="007B01A2"/>
    <w:rsid w:val="007B0965"/>
    <w:rsid w:val="007B10C0"/>
    <w:rsid w:val="007B17C0"/>
    <w:rsid w:val="007B2EC7"/>
    <w:rsid w:val="007B34F2"/>
    <w:rsid w:val="007B39A5"/>
    <w:rsid w:val="007B3D88"/>
    <w:rsid w:val="007B4234"/>
    <w:rsid w:val="007B44B6"/>
    <w:rsid w:val="007B4B9D"/>
    <w:rsid w:val="007B4D46"/>
    <w:rsid w:val="007B595E"/>
    <w:rsid w:val="007B5A61"/>
    <w:rsid w:val="007B5EA1"/>
    <w:rsid w:val="007B60CA"/>
    <w:rsid w:val="007B6763"/>
    <w:rsid w:val="007B691D"/>
    <w:rsid w:val="007B6EA8"/>
    <w:rsid w:val="007B7032"/>
    <w:rsid w:val="007B7528"/>
    <w:rsid w:val="007B7CF8"/>
    <w:rsid w:val="007B7ED2"/>
    <w:rsid w:val="007B7EED"/>
    <w:rsid w:val="007C072A"/>
    <w:rsid w:val="007C0C99"/>
    <w:rsid w:val="007C1835"/>
    <w:rsid w:val="007C26EC"/>
    <w:rsid w:val="007C278B"/>
    <w:rsid w:val="007C30E0"/>
    <w:rsid w:val="007C3454"/>
    <w:rsid w:val="007C3D3A"/>
    <w:rsid w:val="007C5227"/>
    <w:rsid w:val="007C530B"/>
    <w:rsid w:val="007C6019"/>
    <w:rsid w:val="007C679F"/>
    <w:rsid w:val="007C6FBE"/>
    <w:rsid w:val="007C7761"/>
    <w:rsid w:val="007C7A38"/>
    <w:rsid w:val="007C7D27"/>
    <w:rsid w:val="007D0922"/>
    <w:rsid w:val="007D2AEB"/>
    <w:rsid w:val="007D36FC"/>
    <w:rsid w:val="007D3BD6"/>
    <w:rsid w:val="007D4105"/>
    <w:rsid w:val="007D487F"/>
    <w:rsid w:val="007D4AD9"/>
    <w:rsid w:val="007D4B38"/>
    <w:rsid w:val="007D4E4E"/>
    <w:rsid w:val="007D4EDD"/>
    <w:rsid w:val="007D6460"/>
    <w:rsid w:val="007D6B5B"/>
    <w:rsid w:val="007D6BCD"/>
    <w:rsid w:val="007D6EB0"/>
    <w:rsid w:val="007D7BF5"/>
    <w:rsid w:val="007D7F74"/>
    <w:rsid w:val="007E00BD"/>
    <w:rsid w:val="007E01B2"/>
    <w:rsid w:val="007E0B06"/>
    <w:rsid w:val="007E0EAD"/>
    <w:rsid w:val="007E179B"/>
    <w:rsid w:val="007E2E17"/>
    <w:rsid w:val="007E384E"/>
    <w:rsid w:val="007E3BEF"/>
    <w:rsid w:val="007E3D30"/>
    <w:rsid w:val="007E3DAD"/>
    <w:rsid w:val="007E3E83"/>
    <w:rsid w:val="007E570E"/>
    <w:rsid w:val="007E58F6"/>
    <w:rsid w:val="007E5B5F"/>
    <w:rsid w:val="007E60D2"/>
    <w:rsid w:val="007E6D10"/>
    <w:rsid w:val="007E74C1"/>
    <w:rsid w:val="007F038C"/>
    <w:rsid w:val="007F0ECA"/>
    <w:rsid w:val="007F1F6D"/>
    <w:rsid w:val="007F2104"/>
    <w:rsid w:val="007F2979"/>
    <w:rsid w:val="007F3C0D"/>
    <w:rsid w:val="007F425C"/>
    <w:rsid w:val="007F45B6"/>
    <w:rsid w:val="007F4888"/>
    <w:rsid w:val="007F4FE3"/>
    <w:rsid w:val="007F5E4F"/>
    <w:rsid w:val="007F61F7"/>
    <w:rsid w:val="007F6FA5"/>
    <w:rsid w:val="007F7193"/>
    <w:rsid w:val="008014A2"/>
    <w:rsid w:val="0080206A"/>
    <w:rsid w:val="0080272B"/>
    <w:rsid w:val="0080279A"/>
    <w:rsid w:val="0080316C"/>
    <w:rsid w:val="0080361C"/>
    <w:rsid w:val="00803C63"/>
    <w:rsid w:val="00803C74"/>
    <w:rsid w:val="00804007"/>
    <w:rsid w:val="00804256"/>
    <w:rsid w:val="0080436E"/>
    <w:rsid w:val="00804DBA"/>
    <w:rsid w:val="008050C6"/>
    <w:rsid w:val="008057E4"/>
    <w:rsid w:val="00806133"/>
    <w:rsid w:val="00806216"/>
    <w:rsid w:val="00806530"/>
    <w:rsid w:val="0080686A"/>
    <w:rsid w:val="0080692B"/>
    <w:rsid w:val="0080692D"/>
    <w:rsid w:val="00806C46"/>
    <w:rsid w:val="00806D79"/>
    <w:rsid w:val="00807971"/>
    <w:rsid w:val="00807D2A"/>
    <w:rsid w:val="008101B8"/>
    <w:rsid w:val="00810C2E"/>
    <w:rsid w:val="00811A76"/>
    <w:rsid w:val="00812985"/>
    <w:rsid w:val="00814723"/>
    <w:rsid w:val="00815130"/>
    <w:rsid w:val="00816501"/>
    <w:rsid w:val="008168FE"/>
    <w:rsid w:val="008176A1"/>
    <w:rsid w:val="00817FA4"/>
    <w:rsid w:val="00820052"/>
    <w:rsid w:val="00820289"/>
    <w:rsid w:val="00820FF0"/>
    <w:rsid w:val="0082163B"/>
    <w:rsid w:val="008228F4"/>
    <w:rsid w:val="00822FC4"/>
    <w:rsid w:val="00823319"/>
    <w:rsid w:val="00823C5E"/>
    <w:rsid w:val="00823CF8"/>
    <w:rsid w:val="0082423A"/>
    <w:rsid w:val="0082430A"/>
    <w:rsid w:val="008247FA"/>
    <w:rsid w:val="00824E66"/>
    <w:rsid w:val="00825D67"/>
    <w:rsid w:val="00825E34"/>
    <w:rsid w:val="0082662F"/>
    <w:rsid w:val="00827243"/>
    <w:rsid w:val="008273FD"/>
    <w:rsid w:val="008277A9"/>
    <w:rsid w:val="00830985"/>
    <w:rsid w:val="0083131A"/>
    <w:rsid w:val="0083132C"/>
    <w:rsid w:val="00831636"/>
    <w:rsid w:val="008316FA"/>
    <w:rsid w:val="00831B75"/>
    <w:rsid w:val="008338D3"/>
    <w:rsid w:val="008342C9"/>
    <w:rsid w:val="00834A7A"/>
    <w:rsid w:val="0083519D"/>
    <w:rsid w:val="00835D4E"/>
    <w:rsid w:val="00835DA3"/>
    <w:rsid w:val="008363BE"/>
    <w:rsid w:val="00836FC5"/>
    <w:rsid w:val="00837BEB"/>
    <w:rsid w:val="00837C8A"/>
    <w:rsid w:val="008410BF"/>
    <w:rsid w:val="0084193E"/>
    <w:rsid w:val="00841B56"/>
    <w:rsid w:val="00841EA7"/>
    <w:rsid w:val="00842B9B"/>
    <w:rsid w:val="00843622"/>
    <w:rsid w:val="00843874"/>
    <w:rsid w:val="008440A9"/>
    <w:rsid w:val="00844B7E"/>
    <w:rsid w:val="008452E0"/>
    <w:rsid w:val="00845A69"/>
    <w:rsid w:val="00845FAB"/>
    <w:rsid w:val="0084605C"/>
    <w:rsid w:val="00846503"/>
    <w:rsid w:val="0084687F"/>
    <w:rsid w:val="00846CB4"/>
    <w:rsid w:val="00846E84"/>
    <w:rsid w:val="0084751D"/>
    <w:rsid w:val="00847F4D"/>
    <w:rsid w:val="00850375"/>
    <w:rsid w:val="00850F20"/>
    <w:rsid w:val="008511B9"/>
    <w:rsid w:val="008515CE"/>
    <w:rsid w:val="00851982"/>
    <w:rsid w:val="008520F7"/>
    <w:rsid w:val="00852F63"/>
    <w:rsid w:val="0085313B"/>
    <w:rsid w:val="0085360A"/>
    <w:rsid w:val="0085431B"/>
    <w:rsid w:val="00854E96"/>
    <w:rsid w:val="00855A1F"/>
    <w:rsid w:val="00855A6C"/>
    <w:rsid w:val="00855B61"/>
    <w:rsid w:val="00855D1F"/>
    <w:rsid w:val="00855DC2"/>
    <w:rsid w:val="0085668C"/>
    <w:rsid w:val="008576A9"/>
    <w:rsid w:val="00857C19"/>
    <w:rsid w:val="00860031"/>
    <w:rsid w:val="0086030D"/>
    <w:rsid w:val="00860A98"/>
    <w:rsid w:val="00860DA7"/>
    <w:rsid w:val="00861272"/>
    <w:rsid w:val="00861445"/>
    <w:rsid w:val="00861EFA"/>
    <w:rsid w:val="00861F99"/>
    <w:rsid w:val="0086216F"/>
    <w:rsid w:val="00862F6B"/>
    <w:rsid w:val="008630D6"/>
    <w:rsid w:val="0086348B"/>
    <w:rsid w:val="008644C4"/>
    <w:rsid w:val="0086490C"/>
    <w:rsid w:val="00864B86"/>
    <w:rsid w:val="00864F67"/>
    <w:rsid w:val="00866258"/>
    <w:rsid w:val="008665A4"/>
    <w:rsid w:val="008669AB"/>
    <w:rsid w:val="00866A87"/>
    <w:rsid w:val="00867186"/>
    <w:rsid w:val="008676C5"/>
    <w:rsid w:val="00870948"/>
    <w:rsid w:val="00870FE0"/>
    <w:rsid w:val="0087100B"/>
    <w:rsid w:val="00871B1F"/>
    <w:rsid w:val="00871B67"/>
    <w:rsid w:val="00873EBF"/>
    <w:rsid w:val="00874518"/>
    <w:rsid w:val="00874624"/>
    <w:rsid w:val="00874914"/>
    <w:rsid w:val="00874AC0"/>
    <w:rsid w:val="00874EC4"/>
    <w:rsid w:val="008755D1"/>
    <w:rsid w:val="00875A40"/>
    <w:rsid w:val="00876197"/>
    <w:rsid w:val="00876EFC"/>
    <w:rsid w:val="0088024D"/>
    <w:rsid w:val="0088033B"/>
    <w:rsid w:val="0088191E"/>
    <w:rsid w:val="00881B57"/>
    <w:rsid w:val="0088227F"/>
    <w:rsid w:val="00883648"/>
    <w:rsid w:val="00883C7F"/>
    <w:rsid w:val="00884389"/>
    <w:rsid w:val="00884BCC"/>
    <w:rsid w:val="00885DF7"/>
    <w:rsid w:val="00886774"/>
    <w:rsid w:val="008867F1"/>
    <w:rsid w:val="00886BFD"/>
    <w:rsid w:val="008908F1"/>
    <w:rsid w:val="00890C9E"/>
    <w:rsid w:val="00891FE4"/>
    <w:rsid w:val="00892329"/>
    <w:rsid w:val="00892823"/>
    <w:rsid w:val="00892A13"/>
    <w:rsid w:val="00892D53"/>
    <w:rsid w:val="00892E01"/>
    <w:rsid w:val="0089338B"/>
    <w:rsid w:val="00893B85"/>
    <w:rsid w:val="00894323"/>
    <w:rsid w:val="00894701"/>
    <w:rsid w:val="00894E9A"/>
    <w:rsid w:val="0089682F"/>
    <w:rsid w:val="00897038"/>
    <w:rsid w:val="00897500"/>
    <w:rsid w:val="00897731"/>
    <w:rsid w:val="00897DCC"/>
    <w:rsid w:val="008A0417"/>
    <w:rsid w:val="008A058B"/>
    <w:rsid w:val="008A191A"/>
    <w:rsid w:val="008A1EC5"/>
    <w:rsid w:val="008A1F90"/>
    <w:rsid w:val="008A3350"/>
    <w:rsid w:val="008A3BF1"/>
    <w:rsid w:val="008A3FD3"/>
    <w:rsid w:val="008A4838"/>
    <w:rsid w:val="008A4917"/>
    <w:rsid w:val="008A4B9B"/>
    <w:rsid w:val="008A504D"/>
    <w:rsid w:val="008A539B"/>
    <w:rsid w:val="008A63D7"/>
    <w:rsid w:val="008A650E"/>
    <w:rsid w:val="008A6C4B"/>
    <w:rsid w:val="008A7936"/>
    <w:rsid w:val="008A7DEA"/>
    <w:rsid w:val="008A7F5C"/>
    <w:rsid w:val="008B04DA"/>
    <w:rsid w:val="008B127B"/>
    <w:rsid w:val="008B1655"/>
    <w:rsid w:val="008B1993"/>
    <w:rsid w:val="008B2CE4"/>
    <w:rsid w:val="008B31C7"/>
    <w:rsid w:val="008B37E1"/>
    <w:rsid w:val="008B55B0"/>
    <w:rsid w:val="008B5A68"/>
    <w:rsid w:val="008B667C"/>
    <w:rsid w:val="008B6EE8"/>
    <w:rsid w:val="008B7212"/>
    <w:rsid w:val="008B7652"/>
    <w:rsid w:val="008C050F"/>
    <w:rsid w:val="008C0CF1"/>
    <w:rsid w:val="008C139D"/>
    <w:rsid w:val="008C1E1C"/>
    <w:rsid w:val="008C2150"/>
    <w:rsid w:val="008C338C"/>
    <w:rsid w:val="008C35FB"/>
    <w:rsid w:val="008C39F0"/>
    <w:rsid w:val="008C3C1C"/>
    <w:rsid w:val="008C4B06"/>
    <w:rsid w:val="008C5592"/>
    <w:rsid w:val="008C6146"/>
    <w:rsid w:val="008C650D"/>
    <w:rsid w:val="008C7A3F"/>
    <w:rsid w:val="008D0954"/>
    <w:rsid w:val="008D1622"/>
    <w:rsid w:val="008D1B5B"/>
    <w:rsid w:val="008D2479"/>
    <w:rsid w:val="008D249C"/>
    <w:rsid w:val="008D3B1F"/>
    <w:rsid w:val="008D47A6"/>
    <w:rsid w:val="008D4A67"/>
    <w:rsid w:val="008D6645"/>
    <w:rsid w:val="008D6CB4"/>
    <w:rsid w:val="008E1AC5"/>
    <w:rsid w:val="008E24C1"/>
    <w:rsid w:val="008E2790"/>
    <w:rsid w:val="008E2815"/>
    <w:rsid w:val="008E3405"/>
    <w:rsid w:val="008E3564"/>
    <w:rsid w:val="008E42D9"/>
    <w:rsid w:val="008E4AFF"/>
    <w:rsid w:val="008E5E94"/>
    <w:rsid w:val="008E647C"/>
    <w:rsid w:val="008E696B"/>
    <w:rsid w:val="008E6C3F"/>
    <w:rsid w:val="008E6D06"/>
    <w:rsid w:val="008E721D"/>
    <w:rsid w:val="008E7C28"/>
    <w:rsid w:val="008F03F0"/>
    <w:rsid w:val="008F07B9"/>
    <w:rsid w:val="008F0B20"/>
    <w:rsid w:val="008F1153"/>
    <w:rsid w:val="008F13E6"/>
    <w:rsid w:val="008F1710"/>
    <w:rsid w:val="008F1AEE"/>
    <w:rsid w:val="008F2A27"/>
    <w:rsid w:val="008F2B6F"/>
    <w:rsid w:val="008F2D05"/>
    <w:rsid w:val="008F322F"/>
    <w:rsid w:val="008F340D"/>
    <w:rsid w:val="008F36E4"/>
    <w:rsid w:val="008F3716"/>
    <w:rsid w:val="008F3EEE"/>
    <w:rsid w:val="008F437C"/>
    <w:rsid w:val="008F44E5"/>
    <w:rsid w:val="008F45D0"/>
    <w:rsid w:val="008F59C8"/>
    <w:rsid w:val="008F5A92"/>
    <w:rsid w:val="008F6031"/>
    <w:rsid w:val="008F7B65"/>
    <w:rsid w:val="008F7CFE"/>
    <w:rsid w:val="00900D27"/>
    <w:rsid w:val="00901064"/>
    <w:rsid w:val="00901CA2"/>
    <w:rsid w:val="00901FCF"/>
    <w:rsid w:val="00902250"/>
    <w:rsid w:val="00903230"/>
    <w:rsid w:val="00903340"/>
    <w:rsid w:val="00903F57"/>
    <w:rsid w:val="00905194"/>
    <w:rsid w:val="00905ACA"/>
    <w:rsid w:val="0090615C"/>
    <w:rsid w:val="009063F7"/>
    <w:rsid w:val="0090647C"/>
    <w:rsid w:val="00906793"/>
    <w:rsid w:val="00906798"/>
    <w:rsid w:val="009068DA"/>
    <w:rsid w:val="009070B5"/>
    <w:rsid w:val="00910908"/>
    <w:rsid w:val="00910B47"/>
    <w:rsid w:val="009119CD"/>
    <w:rsid w:val="0091218D"/>
    <w:rsid w:val="00912363"/>
    <w:rsid w:val="009124AB"/>
    <w:rsid w:val="009132A0"/>
    <w:rsid w:val="00913696"/>
    <w:rsid w:val="00913A63"/>
    <w:rsid w:val="009142C5"/>
    <w:rsid w:val="0091476E"/>
    <w:rsid w:val="00914AD4"/>
    <w:rsid w:val="00915316"/>
    <w:rsid w:val="00915C2F"/>
    <w:rsid w:val="00916A3F"/>
    <w:rsid w:val="00916A6E"/>
    <w:rsid w:val="00916B12"/>
    <w:rsid w:val="00916D6F"/>
    <w:rsid w:val="0091710D"/>
    <w:rsid w:val="00917C6B"/>
    <w:rsid w:val="00920AF8"/>
    <w:rsid w:val="009210E1"/>
    <w:rsid w:val="009212C1"/>
    <w:rsid w:val="00921D03"/>
    <w:rsid w:val="00921D77"/>
    <w:rsid w:val="00923165"/>
    <w:rsid w:val="00923462"/>
    <w:rsid w:val="00923ADC"/>
    <w:rsid w:val="00924716"/>
    <w:rsid w:val="0092485A"/>
    <w:rsid w:val="0092500C"/>
    <w:rsid w:val="009269C5"/>
    <w:rsid w:val="00927D7F"/>
    <w:rsid w:val="00931274"/>
    <w:rsid w:val="009322F3"/>
    <w:rsid w:val="00932798"/>
    <w:rsid w:val="0093373D"/>
    <w:rsid w:val="009345F3"/>
    <w:rsid w:val="009349EF"/>
    <w:rsid w:val="00934C51"/>
    <w:rsid w:val="00935157"/>
    <w:rsid w:val="009354AF"/>
    <w:rsid w:val="00935CAB"/>
    <w:rsid w:val="00936616"/>
    <w:rsid w:val="00936C80"/>
    <w:rsid w:val="00937661"/>
    <w:rsid w:val="00937B51"/>
    <w:rsid w:val="00937F3B"/>
    <w:rsid w:val="009402BE"/>
    <w:rsid w:val="009406FF"/>
    <w:rsid w:val="00940B62"/>
    <w:rsid w:val="00940FC2"/>
    <w:rsid w:val="00941414"/>
    <w:rsid w:val="00941C29"/>
    <w:rsid w:val="0094236A"/>
    <w:rsid w:val="0094246E"/>
    <w:rsid w:val="00942625"/>
    <w:rsid w:val="00942819"/>
    <w:rsid w:val="00942C2F"/>
    <w:rsid w:val="009436A1"/>
    <w:rsid w:val="00943AE1"/>
    <w:rsid w:val="009445D9"/>
    <w:rsid w:val="0094499F"/>
    <w:rsid w:val="00944B75"/>
    <w:rsid w:val="00944BF7"/>
    <w:rsid w:val="0094516F"/>
    <w:rsid w:val="009456A8"/>
    <w:rsid w:val="00945A17"/>
    <w:rsid w:val="0094625E"/>
    <w:rsid w:val="00946A59"/>
    <w:rsid w:val="00947EED"/>
    <w:rsid w:val="00947FD4"/>
    <w:rsid w:val="009508B5"/>
    <w:rsid w:val="009510FC"/>
    <w:rsid w:val="00951DC4"/>
    <w:rsid w:val="009523CC"/>
    <w:rsid w:val="0095243A"/>
    <w:rsid w:val="00952494"/>
    <w:rsid w:val="0095279A"/>
    <w:rsid w:val="0095330C"/>
    <w:rsid w:val="00954F5E"/>
    <w:rsid w:val="009556D4"/>
    <w:rsid w:val="009557D3"/>
    <w:rsid w:val="0095632A"/>
    <w:rsid w:val="00956446"/>
    <w:rsid w:val="009567DF"/>
    <w:rsid w:val="00956CBC"/>
    <w:rsid w:val="0095717F"/>
    <w:rsid w:val="009571F5"/>
    <w:rsid w:val="00957204"/>
    <w:rsid w:val="009578FD"/>
    <w:rsid w:val="00957B14"/>
    <w:rsid w:val="00957B6F"/>
    <w:rsid w:val="009604E2"/>
    <w:rsid w:val="00960777"/>
    <w:rsid w:val="00960ACD"/>
    <w:rsid w:val="00961274"/>
    <w:rsid w:val="00961447"/>
    <w:rsid w:val="00961B50"/>
    <w:rsid w:val="00961C92"/>
    <w:rsid w:val="009620BE"/>
    <w:rsid w:val="0096260D"/>
    <w:rsid w:val="00962D7D"/>
    <w:rsid w:val="0096303B"/>
    <w:rsid w:val="009642C3"/>
    <w:rsid w:val="00964500"/>
    <w:rsid w:val="0096542E"/>
    <w:rsid w:val="00965630"/>
    <w:rsid w:val="0096672E"/>
    <w:rsid w:val="0096692F"/>
    <w:rsid w:val="009672F9"/>
    <w:rsid w:val="00967D16"/>
    <w:rsid w:val="009700E6"/>
    <w:rsid w:val="009702D8"/>
    <w:rsid w:val="00970784"/>
    <w:rsid w:val="00971147"/>
    <w:rsid w:val="00972222"/>
    <w:rsid w:val="009724F8"/>
    <w:rsid w:val="00972A17"/>
    <w:rsid w:val="0097458D"/>
    <w:rsid w:val="00974A1F"/>
    <w:rsid w:val="0097590A"/>
    <w:rsid w:val="0097608A"/>
    <w:rsid w:val="00976200"/>
    <w:rsid w:val="00977000"/>
    <w:rsid w:val="009773D6"/>
    <w:rsid w:val="009777B4"/>
    <w:rsid w:val="00977919"/>
    <w:rsid w:val="00977BBB"/>
    <w:rsid w:val="00980142"/>
    <w:rsid w:val="009811EA"/>
    <w:rsid w:val="00981FC9"/>
    <w:rsid w:val="00982534"/>
    <w:rsid w:val="00983026"/>
    <w:rsid w:val="0098337E"/>
    <w:rsid w:val="00983B32"/>
    <w:rsid w:val="009854F1"/>
    <w:rsid w:val="009855C7"/>
    <w:rsid w:val="00985BC4"/>
    <w:rsid w:val="00985C22"/>
    <w:rsid w:val="009860D2"/>
    <w:rsid w:val="009863D0"/>
    <w:rsid w:val="009868E7"/>
    <w:rsid w:val="00986C4C"/>
    <w:rsid w:val="00986E6E"/>
    <w:rsid w:val="0098701C"/>
    <w:rsid w:val="0098706A"/>
    <w:rsid w:val="00987079"/>
    <w:rsid w:val="009872A1"/>
    <w:rsid w:val="0098777F"/>
    <w:rsid w:val="00990903"/>
    <w:rsid w:val="00990907"/>
    <w:rsid w:val="0099130D"/>
    <w:rsid w:val="00991B8F"/>
    <w:rsid w:val="00993B27"/>
    <w:rsid w:val="00993EEC"/>
    <w:rsid w:val="00994650"/>
    <w:rsid w:val="0099505E"/>
    <w:rsid w:val="0099545B"/>
    <w:rsid w:val="00995A25"/>
    <w:rsid w:val="009961D1"/>
    <w:rsid w:val="00996574"/>
    <w:rsid w:val="00997199"/>
    <w:rsid w:val="00997B37"/>
    <w:rsid w:val="009A06EF"/>
    <w:rsid w:val="009A0813"/>
    <w:rsid w:val="009A18D6"/>
    <w:rsid w:val="009A1FC2"/>
    <w:rsid w:val="009A26A9"/>
    <w:rsid w:val="009A3091"/>
    <w:rsid w:val="009A39BD"/>
    <w:rsid w:val="009A4BA2"/>
    <w:rsid w:val="009A4E9E"/>
    <w:rsid w:val="009A6DFE"/>
    <w:rsid w:val="009A7BC5"/>
    <w:rsid w:val="009B1F24"/>
    <w:rsid w:val="009B201A"/>
    <w:rsid w:val="009B342F"/>
    <w:rsid w:val="009B40C4"/>
    <w:rsid w:val="009B42B4"/>
    <w:rsid w:val="009B474F"/>
    <w:rsid w:val="009B551C"/>
    <w:rsid w:val="009B5E22"/>
    <w:rsid w:val="009B63AE"/>
    <w:rsid w:val="009B6545"/>
    <w:rsid w:val="009B66E0"/>
    <w:rsid w:val="009B6911"/>
    <w:rsid w:val="009B788D"/>
    <w:rsid w:val="009C2DFC"/>
    <w:rsid w:val="009C2E44"/>
    <w:rsid w:val="009C3106"/>
    <w:rsid w:val="009C3748"/>
    <w:rsid w:val="009C3F6F"/>
    <w:rsid w:val="009C4302"/>
    <w:rsid w:val="009C4BD8"/>
    <w:rsid w:val="009C4ECA"/>
    <w:rsid w:val="009C5211"/>
    <w:rsid w:val="009C6EB1"/>
    <w:rsid w:val="009C6FA2"/>
    <w:rsid w:val="009C7A6F"/>
    <w:rsid w:val="009C7A9F"/>
    <w:rsid w:val="009D05C0"/>
    <w:rsid w:val="009D0676"/>
    <w:rsid w:val="009D071D"/>
    <w:rsid w:val="009D2D4C"/>
    <w:rsid w:val="009D2E5F"/>
    <w:rsid w:val="009D2E9C"/>
    <w:rsid w:val="009D2EBB"/>
    <w:rsid w:val="009D366E"/>
    <w:rsid w:val="009D373B"/>
    <w:rsid w:val="009D3A47"/>
    <w:rsid w:val="009D42AD"/>
    <w:rsid w:val="009D51D6"/>
    <w:rsid w:val="009D5A22"/>
    <w:rsid w:val="009D69D4"/>
    <w:rsid w:val="009D7043"/>
    <w:rsid w:val="009D7C17"/>
    <w:rsid w:val="009E03CB"/>
    <w:rsid w:val="009E10E7"/>
    <w:rsid w:val="009E1999"/>
    <w:rsid w:val="009E1B49"/>
    <w:rsid w:val="009E1CD2"/>
    <w:rsid w:val="009E1D97"/>
    <w:rsid w:val="009E2BF9"/>
    <w:rsid w:val="009E2C09"/>
    <w:rsid w:val="009E322E"/>
    <w:rsid w:val="009E3AF8"/>
    <w:rsid w:val="009E4BD3"/>
    <w:rsid w:val="009E663E"/>
    <w:rsid w:val="009E67B4"/>
    <w:rsid w:val="009E7273"/>
    <w:rsid w:val="009E75BA"/>
    <w:rsid w:val="009E781F"/>
    <w:rsid w:val="009E7ACD"/>
    <w:rsid w:val="009E7C35"/>
    <w:rsid w:val="009F0A87"/>
    <w:rsid w:val="009F1EA1"/>
    <w:rsid w:val="009F2681"/>
    <w:rsid w:val="009F3248"/>
    <w:rsid w:val="009F3902"/>
    <w:rsid w:val="009F3B64"/>
    <w:rsid w:val="009F3BC0"/>
    <w:rsid w:val="009F4571"/>
    <w:rsid w:val="009F4A97"/>
    <w:rsid w:val="009F4AAC"/>
    <w:rsid w:val="009F5394"/>
    <w:rsid w:val="009F5843"/>
    <w:rsid w:val="009F6385"/>
    <w:rsid w:val="009F66A4"/>
    <w:rsid w:val="009F79D7"/>
    <w:rsid w:val="009F7C61"/>
    <w:rsid w:val="00A000EB"/>
    <w:rsid w:val="00A00112"/>
    <w:rsid w:val="00A00D2C"/>
    <w:rsid w:val="00A016D3"/>
    <w:rsid w:val="00A017B7"/>
    <w:rsid w:val="00A02490"/>
    <w:rsid w:val="00A0303E"/>
    <w:rsid w:val="00A0309A"/>
    <w:rsid w:val="00A032EE"/>
    <w:rsid w:val="00A039CE"/>
    <w:rsid w:val="00A04414"/>
    <w:rsid w:val="00A04956"/>
    <w:rsid w:val="00A049EF"/>
    <w:rsid w:val="00A04A50"/>
    <w:rsid w:val="00A04FC5"/>
    <w:rsid w:val="00A05D05"/>
    <w:rsid w:val="00A05E94"/>
    <w:rsid w:val="00A0660D"/>
    <w:rsid w:val="00A066A2"/>
    <w:rsid w:val="00A100D0"/>
    <w:rsid w:val="00A10157"/>
    <w:rsid w:val="00A1027B"/>
    <w:rsid w:val="00A1085F"/>
    <w:rsid w:val="00A10F8D"/>
    <w:rsid w:val="00A1117C"/>
    <w:rsid w:val="00A1248E"/>
    <w:rsid w:val="00A12605"/>
    <w:rsid w:val="00A13511"/>
    <w:rsid w:val="00A13F00"/>
    <w:rsid w:val="00A141B3"/>
    <w:rsid w:val="00A14DDC"/>
    <w:rsid w:val="00A14EDA"/>
    <w:rsid w:val="00A15015"/>
    <w:rsid w:val="00A150FD"/>
    <w:rsid w:val="00A15141"/>
    <w:rsid w:val="00A15843"/>
    <w:rsid w:val="00A15E7C"/>
    <w:rsid w:val="00A16348"/>
    <w:rsid w:val="00A16466"/>
    <w:rsid w:val="00A177B4"/>
    <w:rsid w:val="00A179B8"/>
    <w:rsid w:val="00A2035A"/>
    <w:rsid w:val="00A20C9E"/>
    <w:rsid w:val="00A23078"/>
    <w:rsid w:val="00A24418"/>
    <w:rsid w:val="00A25477"/>
    <w:rsid w:val="00A26537"/>
    <w:rsid w:val="00A266D0"/>
    <w:rsid w:val="00A26AB6"/>
    <w:rsid w:val="00A26BFF"/>
    <w:rsid w:val="00A279CB"/>
    <w:rsid w:val="00A3017E"/>
    <w:rsid w:val="00A3052A"/>
    <w:rsid w:val="00A31399"/>
    <w:rsid w:val="00A319E5"/>
    <w:rsid w:val="00A31C2E"/>
    <w:rsid w:val="00A31ECA"/>
    <w:rsid w:val="00A324FE"/>
    <w:rsid w:val="00A32548"/>
    <w:rsid w:val="00A329CE"/>
    <w:rsid w:val="00A32FB1"/>
    <w:rsid w:val="00A33C17"/>
    <w:rsid w:val="00A3437A"/>
    <w:rsid w:val="00A3449A"/>
    <w:rsid w:val="00A34793"/>
    <w:rsid w:val="00A35587"/>
    <w:rsid w:val="00A35BB4"/>
    <w:rsid w:val="00A35D62"/>
    <w:rsid w:val="00A360BC"/>
    <w:rsid w:val="00A36508"/>
    <w:rsid w:val="00A370A6"/>
    <w:rsid w:val="00A3730D"/>
    <w:rsid w:val="00A373FD"/>
    <w:rsid w:val="00A37CAF"/>
    <w:rsid w:val="00A40463"/>
    <w:rsid w:val="00A4084D"/>
    <w:rsid w:val="00A40BF8"/>
    <w:rsid w:val="00A40C2A"/>
    <w:rsid w:val="00A40C4F"/>
    <w:rsid w:val="00A40EAD"/>
    <w:rsid w:val="00A415F4"/>
    <w:rsid w:val="00A437B2"/>
    <w:rsid w:val="00A43C25"/>
    <w:rsid w:val="00A43EC3"/>
    <w:rsid w:val="00A4413B"/>
    <w:rsid w:val="00A44BDB"/>
    <w:rsid w:val="00A455F2"/>
    <w:rsid w:val="00A4624F"/>
    <w:rsid w:val="00A46490"/>
    <w:rsid w:val="00A47858"/>
    <w:rsid w:val="00A5051E"/>
    <w:rsid w:val="00A509C6"/>
    <w:rsid w:val="00A50E17"/>
    <w:rsid w:val="00A50E19"/>
    <w:rsid w:val="00A510C4"/>
    <w:rsid w:val="00A5230B"/>
    <w:rsid w:val="00A52E6A"/>
    <w:rsid w:val="00A535A5"/>
    <w:rsid w:val="00A54F34"/>
    <w:rsid w:val="00A55000"/>
    <w:rsid w:val="00A55104"/>
    <w:rsid w:val="00A55184"/>
    <w:rsid w:val="00A56F8D"/>
    <w:rsid w:val="00A578DE"/>
    <w:rsid w:val="00A6084D"/>
    <w:rsid w:val="00A6090A"/>
    <w:rsid w:val="00A60965"/>
    <w:rsid w:val="00A60CBA"/>
    <w:rsid w:val="00A60E62"/>
    <w:rsid w:val="00A611C3"/>
    <w:rsid w:val="00A6155D"/>
    <w:rsid w:val="00A61648"/>
    <w:rsid w:val="00A6299E"/>
    <w:rsid w:val="00A63A3B"/>
    <w:rsid w:val="00A63F50"/>
    <w:rsid w:val="00A64C36"/>
    <w:rsid w:val="00A659F3"/>
    <w:rsid w:val="00A65DB4"/>
    <w:rsid w:val="00A65EDA"/>
    <w:rsid w:val="00A668B5"/>
    <w:rsid w:val="00A66ACF"/>
    <w:rsid w:val="00A70757"/>
    <w:rsid w:val="00A70A24"/>
    <w:rsid w:val="00A70BFF"/>
    <w:rsid w:val="00A71499"/>
    <w:rsid w:val="00A71B3E"/>
    <w:rsid w:val="00A71C7B"/>
    <w:rsid w:val="00A71F7C"/>
    <w:rsid w:val="00A72146"/>
    <w:rsid w:val="00A72DCF"/>
    <w:rsid w:val="00A736F4"/>
    <w:rsid w:val="00A738CA"/>
    <w:rsid w:val="00A73DFA"/>
    <w:rsid w:val="00A741BB"/>
    <w:rsid w:val="00A75DFB"/>
    <w:rsid w:val="00A75E81"/>
    <w:rsid w:val="00A76B90"/>
    <w:rsid w:val="00A76D9B"/>
    <w:rsid w:val="00A77195"/>
    <w:rsid w:val="00A77B00"/>
    <w:rsid w:val="00A80C3F"/>
    <w:rsid w:val="00A80DC7"/>
    <w:rsid w:val="00A81323"/>
    <w:rsid w:val="00A81ECA"/>
    <w:rsid w:val="00A828FB"/>
    <w:rsid w:val="00A8375B"/>
    <w:rsid w:val="00A8395C"/>
    <w:rsid w:val="00A83EA4"/>
    <w:rsid w:val="00A8547F"/>
    <w:rsid w:val="00A871E5"/>
    <w:rsid w:val="00A90172"/>
    <w:rsid w:val="00A9039B"/>
    <w:rsid w:val="00A91323"/>
    <w:rsid w:val="00A91CAA"/>
    <w:rsid w:val="00A91E0C"/>
    <w:rsid w:val="00A92C56"/>
    <w:rsid w:val="00A93950"/>
    <w:rsid w:val="00A93E90"/>
    <w:rsid w:val="00A94055"/>
    <w:rsid w:val="00A95DD1"/>
    <w:rsid w:val="00A96012"/>
    <w:rsid w:val="00A96652"/>
    <w:rsid w:val="00A97382"/>
    <w:rsid w:val="00A97ABD"/>
    <w:rsid w:val="00AA05A3"/>
    <w:rsid w:val="00AA1A43"/>
    <w:rsid w:val="00AA274C"/>
    <w:rsid w:val="00AA2C18"/>
    <w:rsid w:val="00AA523D"/>
    <w:rsid w:val="00AA5489"/>
    <w:rsid w:val="00AA5BB4"/>
    <w:rsid w:val="00AA5F0F"/>
    <w:rsid w:val="00AA710C"/>
    <w:rsid w:val="00AA7EFF"/>
    <w:rsid w:val="00AB099D"/>
    <w:rsid w:val="00AB0C54"/>
    <w:rsid w:val="00AB11A5"/>
    <w:rsid w:val="00AB1419"/>
    <w:rsid w:val="00AB380A"/>
    <w:rsid w:val="00AB3CED"/>
    <w:rsid w:val="00AB3E3D"/>
    <w:rsid w:val="00AB3EFF"/>
    <w:rsid w:val="00AB3F3D"/>
    <w:rsid w:val="00AB4083"/>
    <w:rsid w:val="00AB4256"/>
    <w:rsid w:val="00AB42B8"/>
    <w:rsid w:val="00AB455A"/>
    <w:rsid w:val="00AB511A"/>
    <w:rsid w:val="00AB5346"/>
    <w:rsid w:val="00AB5764"/>
    <w:rsid w:val="00AB5863"/>
    <w:rsid w:val="00AB6020"/>
    <w:rsid w:val="00AB638C"/>
    <w:rsid w:val="00AB64A9"/>
    <w:rsid w:val="00AB6893"/>
    <w:rsid w:val="00AB72EA"/>
    <w:rsid w:val="00AB7330"/>
    <w:rsid w:val="00AC0077"/>
    <w:rsid w:val="00AC02AD"/>
    <w:rsid w:val="00AC03D7"/>
    <w:rsid w:val="00AC063F"/>
    <w:rsid w:val="00AC077E"/>
    <w:rsid w:val="00AC0903"/>
    <w:rsid w:val="00AC145F"/>
    <w:rsid w:val="00AC3575"/>
    <w:rsid w:val="00AC43D6"/>
    <w:rsid w:val="00AC5261"/>
    <w:rsid w:val="00AC589A"/>
    <w:rsid w:val="00AC5AE3"/>
    <w:rsid w:val="00AC5BFE"/>
    <w:rsid w:val="00AC5EF3"/>
    <w:rsid w:val="00AC6AF5"/>
    <w:rsid w:val="00AC6D0D"/>
    <w:rsid w:val="00AD2266"/>
    <w:rsid w:val="00AD26DC"/>
    <w:rsid w:val="00AD276F"/>
    <w:rsid w:val="00AD2C8B"/>
    <w:rsid w:val="00AD2D03"/>
    <w:rsid w:val="00AD35CD"/>
    <w:rsid w:val="00AD38B2"/>
    <w:rsid w:val="00AD3C09"/>
    <w:rsid w:val="00AD5F4D"/>
    <w:rsid w:val="00AD7158"/>
    <w:rsid w:val="00AD7B9E"/>
    <w:rsid w:val="00AD7C64"/>
    <w:rsid w:val="00AE0691"/>
    <w:rsid w:val="00AE06FA"/>
    <w:rsid w:val="00AE0EC1"/>
    <w:rsid w:val="00AE1E26"/>
    <w:rsid w:val="00AE2197"/>
    <w:rsid w:val="00AE39A7"/>
    <w:rsid w:val="00AE3AF9"/>
    <w:rsid w:val="00AE46A1"/>
    <w:rsid w:val="00AE4D75"/>
    <w:rsid w:val="00AE5879"/>
    <w:rsid w:val="00AE612A"/>
    <w:rsid w:val="00AE7358"/>
    <w:rsid w:val="00AE73F1"/>
    <w:rsid w:val="00AE744C"/>
    <w:rsid w:val="00AE7C2D"/>
    <w:rsid w:val="00AF130B"/>
    <w:rsid w:val="00AF14B8"/>
    <w:rsid w:val="00AF2AE4"/>
    <w:rsid w:val="00AF3425"/>
    <w:rsid w:val="00AF49DF"/>
    <w:rsid w:val="00AF4E4C"/>
    <w:rsid w:val="00AF5468"/>
    <w:rsid w:val="00AF607A"/>
    <w:rsid w:val="00AF7129"/>
    <w:rsid w:val="00AF7249"/>
    <w:rsid w:val="00AFD312"/>
    <w:rsid w:val="00B00D7A"/>
    <w:rsid w:val="00B00E85"/>
    <w:rsid w:val="00B01F87"/>
    <w:rsid w:val="00B0215D"/>
    <w:rsid w:val="00B024E1"/>
    <w:rsid w:val="00B03C03"/>
    <w:rsid w:val="00B03EE9"/>
    <w:rsid w:val="00B04246"/>
    <w:rsid w:val="00B0465C"/>
    <w:rsid w:val="00B05463"/>
    <w:rsid w:val="00B058B3"/>
    <w:rsid w:val="00B05D82"/>
    <w:rsid w:val="00B063A4"/>
    <w:rsid w:val="00B10BBA"/>
    <w:rsid w:val="00B1341D"/>
    <w:rsid w:val="00B13AB2"/>
    <w:rsid w:val="00B16C9D"/>
    <w:rsid w:val="00B16E73"/>
    <w:rsid w:val="00B1758B"/>
    <w:rsid w:val="00B175CC"/>
    <w:rsid w:val="00B17A2C"/>
    <w:rsid w:val="00B17E10"/>
    <w:rsid w:val="00B20491"/>
    <w:rsid w:val="00B2138E"/>
    <w:rsid w:val="00B213A7"/>
    <w:rsid w:val="00B21775"/>
    <w:rsid w:val="00B22047"/>
    <w:rsid w:val="00B22416"/>
    <w:rsid w:val="00B226E8"/>
    <w:rsid w:val="00B23863"/>
    <w:rsid w:val="00B23ED5"/>
    <w:rsid w:val="00B24098"/>
    <w:rsid w:val="00B246B8"/>
    <w:rsid w:val="00B24BB8"/>
    <w:rsid w:val="00B24C6E"/>
    <w:rsid w:val="00B2506C"/>
    <w:rsid w:val="00B25143"/>
    <w:rsid w:val="00B254DB"/>
    <w:rsid w:val="00B25612"/>
    <w:rsid w:val="00B2743E"/>
    <w:rsid w:val="00B308B1"/>
    <w:rsid w:val="00B31027"/>
    <w:rsid w:val="00B31A31"/>
    <w:rsid w:val="00B31B01"/>
    <w:rsid w:val="00B31E36"/>
    <w:rsid w:val="00B33A95"/>
    <w:rsid w:val="00B33E74"/>
    <w:rsid w:val="00B34839"/>
    <w:rsid w:val="00B3497E"/>
    <w:rsid w:val="00B349C1"/>
    <w:rsid w:val="00B34B08"/>
    <w:rsid w:val="00B34E15"/>
    <w:rsid w:val="00B35FF7"/>
    <w:rsid w:val="00B37624"/>
    <w:rsid w:val="00B3C80F"/>
    <w:rsid w:val="00B40094"/>
    <w:rsid w:val="00B405F1"/>
    <w:rsid w:val="00B406B7"/>
    <w:rsid w:val="00B40C6D"/>
    <w:rsid w:val="00B41F85"/>
    <w:rsid w:val="00B42352"/>
    <w:rsid w:val="00B427D1"/>
    <w:rsid w:val="00B42F4F"/>
    <w:rsid w:val="00B4314E"/>
    <w:rsid w:val="00B432D3"/>
    <w:rsid w:val="00B44CDA"/>
    <w:rsid w:val="00B457CD"/>
    <w:rsid w:val="00B45F59"/>
    <w:rsid w:val="00B46E56"/>
    <w:rsid w:val="00B46F1F"/>
    <w:rsid w:val="00B47122"/>
    <w:rsid w:val="00B47A96"/>
    <w:rsid w:val="00B47B79"/>
    <w:rsid w:val="00B516A1"/>
    <w:rsid w:val="00B52639"/>
    <w:rsid w:val="00B5265F"/>
    <w:rsid w:val="00B52AB0"/>
    <w:rsid w:val="00B52D5A"/>
    <w:rsid w:val="00B52F8F"/>
    <w:rsid w:val="00B539C9"/>
    <w:rsid w:val="00B53DA7"/>
    <w:rsid w:val="00B540EB"/>
    <w:rsid w:val="00B545A8"/>
    <w:rsid w:val="00B548DE"/>
    <w:rsid w:val="00B5543E"/>
    <w:rsid w:val="00B5589A"/>
    <w:rsid w:val="00B55FF6"/>
    <w:rsid w:val="00B563DC"/>
    <w:rsid w:val="00B56589"/>
    <w:rsid w:val="00B57590"/>
    <w:rsid w:val="00B575AC"/>
    <w:rsid w:val="00B57AA3"/>
    <w:rsid w:val="00B57C7A"/>
    <w:rsid w:val="00B60273"/>
    <w:rsid w:val="00B609D4"/>
    <w:rsid w:val="00B60F92"/>
    <w:rsid w:val="00B611DF"/>
    <w:rsid w:val="00B61A24"/>
    <w:rsid w:val="00B61D11"/>
    <w:rsid w:val="00B62CB9"/>
    <w:rsid w:val="00B630B8"/>
    <w:rsid w:val="00B63393"/>
    <w:rsid w:val="00B6359A"/>
    <w:rsid w:val="00B655A8"/>
    <w:rsid w:val="00B655DE"/>
    <w:rsid w:val="00B65625"/>
    <w:rsid w:val="00B6649D"/>
    <w:rsid w:val="00B66CFE"/>
    <w:rsid w:val="00B67816"/>
    <w:rsid w:val="00B7031D"/>
    <w:rsid w:val="00B7097D"/>
    <w:rsid w:val="00B71172"/>
    <w:rsid w:val="00B71A7A"/>
    <w:rsid w:val="00B726B3"/>
    <w:rsid w:val="00B729AB"/>
    <w:rsid w:val="00B732B4"/>
    <w:rsid w:val="00B7387E"/>
    <w:rsid w:val="00B73FE3"/>
    <w:rsid w:val="00B74C3B"/>
    <w:rsid w:val="00B74DF1"/>
    <w:rsid w:val="00B75F0A"/>
    <w:rsid w:val="00B761D8"/>
    <w:rsid w:val="00B77A37"/>
    <w:rsid w:val="00B77AEE"/>
    <w:rsid w:val="00B77DB9"/>
    <w:rsid w:val="00B800FC"/>
    <w:rsid w:val="00B80478"/>
    <w:rsid w:val="00B8096A"/>
    <w:rsid w:val="00B80D79"/>
    <w:rsid w:val="00B81BBB"/>
    <w:rsid w:val="00B8279A"/>
    <w:rsid w:val="00B82AB9"/>
    <w:rsid w:val="00B83130"/>
    <w:rsid w:val="00B8386F"/>
    <w:rsid w:val="00B83A36"/>
    <w:rsid w:val="00B83E2A"/>
    <w:rsid w:val="00B83ECA"/>
    <w:rsid w:val="00B8404B"/>
    <w:rsid w:val="00B8433A"/>
    <w:rsid w:val="00B862DB"/>
    <w:rsid w:val="00B86390"/>
    <w:rsid w:val="00B86CFF"/>
    <w:rsid w:val="00B87227"/>
    <w:rsid w:val="00B8767B"/>
    <w:rsid w:val="00B90728"/>
    <w:rsid w:val="00B91E2F"/>
    <w:rsid w:val="00B91FB7"/>
    <w:rsid w:val="00B92BCA"/>
    <w:rsid w:val="00B9332C"/>
    <w:rsid w:val="00B93DEC"/>
    <w:rsid w:val="00B9431C"/>
    <w:rsid w:val="00B9490C"/>
    <w:rsid w:val="00B94BD3"/>
    <w:rsid w:val="00B94D00"/>
    <w:rsid w:val="00B94E4B"/>
    <w:rsid w:val="00B94F12"/>
    <w:rsid w:val="00B95554"/>
    <w:rsid w:val="00B955AB"/>
    <w:rsid w:val="00B95908"/>
    <w:rsid w:val="00B96528"/>
    <w:rsid w:val="00B96636"/>
    <w:rsid w:val="00B971DF"/>
    <w:rsid w:val="00B97F9C"/>
    <w:rsid w:val="00BA04E9"/>
    <w:rsid w:val="00BA1C3E"/>
    <w:rsid w:val="00BA27A4"/>
    <w:rsid w:val="00BA2D31"/>
    <w:rsid w:val="00BA30BB"/>
    <w:rsid w:val="00BA355C"/>
    <w:rsid w:val="00BA3BBB"/>
    <w:rsid w:val="00BA3E7E"/>
    <w:rsid w:val="00BA403C"/>
    <w:rsid w:val="00BA4686"/>
    <w:rsid w:val="00BA50AC"/>
    <w:rsid w:val="00BA561F"/>
    <w:rsid w:val="00BA6EA0"/>
    <w:rsid w:val="00BA7138"/>
    <w:rsid w:val="00BA76EA"/>
    <w:rsid w:val="00BA77EC"/>
    <w:rsid w:val="00BB0723"/>
    <w:rsid w:val="00BB0B19"/>
    <w:rsid w:val="00BB0F30"/>
    <w:rsid w:val="00BB1AC8"/>
    <w:rsid w:val="00BB1EF6"/>
    <w:rsid w:val="00BB2528"/>
    <w:rsid w:val="00BB2666"/>
    <w:rsid w:val="00BB2816"/>
    <w:rsid w:val="00BB30F6"/>
    <w:rsid w:val="00BB3911"/>
    <w:rsid w:val="00BB3C46"/>
    <w:rsid w:val="00BB3CFC"/>
    <w:rsid w:val="00BB3DB1"/>
    <w:rsid w:val="00BB3FBF"/>
    <w:rsid w:val="00BB435F"/>
    <w:rsid w:val="00BB480F"/>
    <w:rsid w:val="00BB5CBE"/>
    <w:rsid w:val="00BB6D36"/>
    <w:rsid w:val="00BB76BD"/>
    <w:rsid w:val="00BC1ABF"/>
    <w:rsid w:val="00BC1AE3"/>
    <w:rsid w:val="00BC1B5A"/>
    <w:rsid w:val="00BC1C2C"/>
    <w:rsid w:val="00BC2032"/>
    <w:rsid w:val="00BC20A7"/>
    <w:rsid w:val="00BC21F0"/>
    <w:rsid w:val="00BC24A8"/>
    <w:rsid w:val="00BC3200"/>
    <w:rsid w:val="00BC404F"/>
    <w:rsid w:val="00BC41B9"/>
    <w:rsid w:val="00BC489B"/>
    <w:rsid w:val="00BC57AB"/>
    <w:rsid w:val="00BC5E94"/>
    <w:rsid w:val="00BC68C2"/>
    <w:rsid w:val="00BC6BDE"/>
    <w:rsid w:val="00BC6FD6"/>
    <w:rsid w:val="00BC79F1"/>
    <w:rsid w:val="00BC7CE4"/>
    <w:rsid w:val="00BD00B4"/>
    <w:rsid w:val="00BD09B9"/>
    <w:rsid w:val="00BD1DDB"/>
    <w:rsid w:val="00BD22D0"/>
    <w:rsid w:val="00BD3CD8"/>
    <w:rsid w:val="00BD4A3A"/>
    <w:rsid w:val="00BD5342"/>
    <w:rsid w:val="00BD5DE8"/>
    <w:rsid w:val="00BD608C"/>
    <w:rsid w:val="00BD7957"/>
    <w:rsid w:val="00BD79E0"/>
    <w:rsid w:val="00BD7EEA"/>
    <w:rsid w:val="00BE04A1"/>
    <w:rsid w:val="00BE0BC6"/>
    <w:rsid w:val="00BE11B2"/>
    <w:rsid w:val="00BE146A"/>
    <w:rsid w:val="00BE2623"/>
    <w:rsid w:val="00BE26EE"/>
    <w:rsid w:val="00BE29B4"/>
    <w:rsid w:val="00BE331C"/>
    <w:rsid w:val="00BE334D"/>
    <w:rsid w:val="00BE3619"/>
    <w:rsid w:val="00BE38D7"/>
    <w:rsid w:val="00BE3CEA"/>
    <w:rsid w:val="00BE4769"/>
    <w:rsid w:val="00BE511F"/>
    <w:rsid w:val="00BE54A1"/>
    <w:rsid w:val="00BE57E9"/>
    <w:rsid w:val="00BE59D8"/>
    <w:rsid w:val="00BE5A37"/>
    <w:rsid w:val="00BE5D8E"/>
    <w:rsid w:val="00BE62AC"/>
    <w:rsid w:val="00BE6EC0"/>
    <w:rsid w:val="00BF0241"/>
    <w:rsid w:val="00BF0AB7"/>
    <w:rsid w:val="00BF0B0A"/>
    <w:rsid w:val="00BF16CB"/>
    <w:rsid w:val="00BF1931"/>
    <w:rsid w:val="00BF2DC7"/>
    <w:rsid w:val="00BF2E23"/>
    <w:rsid w:val="00BF2EC1"/>
    <w:rsid w:val="00BF3B05"/>
    <w:rsid w:val="00BF3BAE"/>
    <w:rsid w:val="00BF4BD5"/>
    <w:rsid w:val="00BF4EF2"/>
    <w:rsid w:val="00BF4F85"/>
    <w:rsid w:val="00BF5695"/>
    <w:rsid w:val="00BF5A41"/>
    <w:rsid w:val="00BF5AA4"/>
    <w:rsid w:val="00BF6515"/>
    <w:rsid w:val="00BF6DAC"/>
    <w:rsid w:val="00BF777D"/>
    <w:rsid w:val="00BF7C1C"/>
    <w:rsid w:val="00C00BA6"/>
    <w:rsid w:val="00C0127E"/>
    <w:rsid w:val="00C01729"/>
    <w:rsid w:val="00C01E76"/>
    <w:rsid w:val="00C02144"/>
    <w:rsid w:val="00C027FE"/>
    <w:rsid w:val="00C0432C"/>
    <w:rsid w:val="00C04372"/>
    <w:rsid w:val="00C05473"/>
    <w:rsid w:val="00C059BA"/>
    <w:rsid w:val="00C06929"/>
    <w:rsid w:val="00C07C3B"/>
    <w:rsid w:val="00C105AF"/>
    <w:rsid w:val="00C112EF"/>
    <w:rsid w:val="00C11E4B"/>
    <w:rsid w:val="00C122C0"/>
    <w:rsid w:val="00C12C24"/>
    <w:rsid w:val="00C131C0"/>
    <w:rsid w:val="00C1325E"/>
    <w:rsid w:val="00C143AF"/>
    <w:rsid w:val="00C1448A"/>
    <w:rsid w:val="00C15211"/>
    <w:rsid w:val="00C1544B"/>
    <w:rsid w:val="00C174F5"/>
    <w:rsid w:val="00C204BD"/>
    <w:rsid w:val="00C20840"/>
    <w:rsid w:val="00C20FFA"/>
    <w:rsid w:val="00C214CE"/>
    <w:rsid w:val="00C22521"/>
    <w:rsid w:val="00C22961"/>
    <w:rsid w:val="00C22EC8"/>
    <w:rsid w:val="00C232F2"/>
    <w:rsid w:val="00C23314"/>
    <w:rsid w:val="00C24049"/>
    <w:rsid w:val="00C242CD"/>
    <w:rsid w:val="00C24696"/>
    <w:rsid w:val="00C24CF3"/>
    <w:rsid w:val="00C24D56"/>
    <w:rsid w:val="00C24DAA"/>
    <w:rsid w:val="00C261AF"/>
    <w:rsid w:val="00C26560"/>
    <w:rsid w:val="00C265D1"/>
    <w:rsid w:val="00C27377"/>
    <w:rsid w:val="00C30841"/>
    <w:rsid w:val="00C31E93"/>
    <w:rsid w:val="00C32128"/>
    <w:rsid w:val="00C330DD"/>
    <w:rsid w:val="00C3343A"/>
    <w:rsid w:val="00C35317"/>
    <w:rsid w:val="00C35B46"/>
    <w:rsid w:val="00C35F2E"/>
    <w:rsid w:val="00C360EB"/>
    <w:rsid w:val="00C37526"/>
    <w:rsid w:val="00C375D0"/>
    <w:rsid w:val="00C40CE7"/>
    <w:rsid w:val="00C419FF"/>
    <w:rsid w:val="00C41E09"/>
    <w:rsid w:val="00C41F5A"/>
    <w:rsid w:val="00C42412"/>
    <w:rsid w:val="00C42C9F"/>
    <w:rsid w:val="00C4323A"/>
    <w:rsid w:val="00C4346E"/>
    <w:rsid w:val="00C440AF"/>
    <w:rsid w:val="00C440E2"/>
    <w:rsid w:val="00C44709"/>
    <w:rsid w:val="00C44ACB"/>
    <w:rsid w:val="00C44D4B"/>
    <w:rsid w:val="00C45FEB"/>
    <w:rsid w:val="00C46059"/>
    <w:rsid w:val="00C4622A"/>
    <w:rsid w:val="00C472E8"/>
    <w:rsid w:val="00C47E4C"/>
    <w:rsid w:val="00C5018C"/>
    <w:rsid w:val="00C51836"/>
    <w:rsid w:val="00C51C1A"/>
    <w:rsid w:val="00C5217F"/>
    <w:rsid w:val="00C52249"/>
    <w:rsid w:val="00C5280B"/>
    <w:rsid w:val="00C52A52"/>
    <w:rsid w:val="00C53686"/>
    <w:rsid w:val="00C550B2"/>
    <w:rsid w:val="00C552FF"/>
    <w:rsid w:val="00C55FB8"/>
    <w:rsid w:val="00C566B3"/>
    <w:rsid w:val="00C56E1F"/>
    <w:rsid w:val="00C57510"/>
    <w:rsid w:val="00C57811"/>
    <w:rsid w:val="00C60C45"/>
    <w:rsid w:val="00C60FE8"/>
    <w:rsid w:val="00C612A0"/>
    <w:rsid w:val="00C61A3E"/>
    <w:rsid w:val="00C62622"/>
    <w:rsid w:val="00C63278"/>
    <w:rsid w:val="00C63D1A"/>
    <w:rsid w:val="00C64CBD"/>
    <w:rsid w:val="00C65279"/>
    <w:rsid w:val="00C65AE9"/>
    <w:rsid w:val="00C70123"/>
    <w:rsid w:val="00C70FE6"/>
    <w:rsid w:val="00C7153F"/>
    <w:rsid w:val="00C726FF"/>
    <w:rsid w:val="00C72BCD"/>
    <w:rsid w:val="00C72D4C"/>
    <w:rsid w:val="00C72D94"/>
    <w:rsid w:val="00C7362E"/>
    <w:rsid w:val="00C73A23"/>
    <w:rsid w:val="00C73ECB"/>
    <w:rsid w:val="00C73F97"/>
    <w:rsid w:val="00C7483A"/>
    <w:rsid w:val="00C762BB"/>
    <w:rsid w:val="00C7690E"/>
    <w:rsid w:val="00C80E87"/>
    <w:rsid w:val="00C81DAF"/>
    <w:rsid w:val="00C82B3E"/>
    <w:rsid w:val="00C82EDC"/>
    <w:rsid w:val="00C82FBD"/>
    <w:rsid w:val="00C833AB"/>
    <w:rsid w:val="00C83534"/>
    <w:rsid w:val="00C836F1"/>
    <w:rsid w:val="00C84117"/>
    <w:rsid w:val="00C84D4F"/>
    <w:rsid w:val="00C84F0C"/>
    <w:rsid w:val="00C853D7"/>
    <w:rsid w:val="00C85D39"/>
    <w:rsid w:val="00C8761F"/>
    <w:rsid w:val="00C8777B"/>
    <w:rsid w:val="00C87C7F"/>
    <w:rsid w:val="00C9063C"/>
    <w:rsid w:val="00C90F63"/>
    <w:rsid w:val="00C912B5"/>
    <w:rsid w:val="00C918A4"/>
    <w:rsid w:val="00C9210C"/>
    <w:rsid w:val="00C921A0"/>
    <w:rsid w:val="00C9250C"/>
    <w:rsid w:val="00C92B58"/>
    <w:rsid w:val="00C94EEE"/>
    <w:rsid w:val="00C95A65"/>
    <w:rsid w:val="00C95DC3"/>
    <w:rsid w:val="00C95F0E"/>
    <w:rsid w:val="00C96254"/>
    <w:rsid w:val="00C96B9D"/>
    <w:rsid w:val="00C97A61"/>
    <w:rsid w:val="00CA1893"/>
    <w:rsid w:val="00CA18E6"/>
    <w:rsid w:val="00CA1C0B"/>
    <w:rsid w:val="00CA2C3D"/>
    <w:rsid w:val="00CA37ED"/>
    <w:rsid w:val="00CA3A63"/>
    <w:rsid w:val="00CA4BFC"/>
    <w:rsid w:val="00CA59D9"/>
    <w:rsid w:val="00CA6428"/>
    <w:rsid w:val="00CA70A1"/>
    <w:rsid w:val="00CA7E1B"/>
    <w:rsid w:val="00CB065B"/>
    <w:rsid w:val="00CB1C81"/>
    <w:rsid w:val="00CB28FF"/>
    <w:rsid w:val="00CB33C2"/>
    <w:rsid w:val="00CB3736"/>
    <w:rsid w:val="00CB435D"/>
    <w:rsid w:val="00CB448A"/>
    <w:rsid w:val="00CB5429"/>
    <w:rsid w:val="00CB55D0"/>
    <w:rsid w:val="00CB5CD1"/>
    <w:rsid w:val="00CB5EA4"/>
    <w:rsid w:val="00CB6570"/>
    <w:rsid w:val="00CB692A"/>
    <w:rsid w:val="00CB6B9E"/>
    <w:rsid w:val="00CB740A"/>
    <w:rsid w:val="00CC1C7F"/>
    <w:rsid w:val="00CC22F2"/>
    <w:rsid w:val="00CC3F0B"/>
    <w:rsid w:val="00CC3FBD"/>
    <w:rsid w:val="00CC42A5"/>
    <w:rsid w:val="00CC4629"/>
    <w:rsid w:val="00CC5641"/>
    <w:rsid w:val="00CC72A2"/>
    <w:rsid w:val="00CC7DA0"/>
    <w:rsid w:val="00CD01B4"/>
    <w:rsid w:val="00CD0AE3"/>
    <w:rsid w:val="00CD146A"/>
    <w:rsid w:val="00CD165A"/>
    <w:rsid w:val="00CD1FC3"/>
    <w:rsid w:val="00CD212E"/>
    <w:rsid w:val="00CD2CDF"/>
    <w:rsid w:val="00CD365D"/>
    <w:rsid w:val="00CD37DE"/>
    <w:rsid w:val="00CD3A8E"/>
    <w:rsid w:val="00CD4E89"/>
    <w:rsid w:val="00CD57BC"/>
    <w:rsid w:val="00CD58CE"/>
    <w:rsid w:val="00CD66EC"/>
    <w:rsid w:val="00CD7C22"/>
    <w:rsid w:val="00CE0801"/>
    <w:rsid w:val="00CE0C8B"/>
    <w:rsid w:val="00CE1144"/>
    <w:rsid w:val="00CE116A"/>
    <w:rsid w:val="00CE122E"/>
    <w:rsid w:val="00CE1CBB"/>
    <w:rsid w:val="00CE1D73"/>
    <w:rsid w:val="00CE2DBA"/>
    <w:rsid w:val="00CE30C6"/>
    <w:rsid w:val="00CE39D0"/>
    <w:rsid w:val="00CE4DF3"/>
    <w:rsid w:val="00CE55B2"/>
    <w:rsid w:val="00CE59B6"/>
    <w:rsid w:val="00CE5BDC"/>
    <w:rsid w:val="00CE5ED2"/>
    <w:rsid w:val="00CE692A"/>
    <w:rsid w:val="00CE6C04"/>
    <w:rsid w:val="00CE6D25"/>
    <w:rsid w:val="00CE6FD0"/>
    <w:rsid w:val="00CE7548"/>
    <w:rsid w:val="00CE7AEA"/>
    <w:rsid w:val="00CF0058"/>
    <w:rsid w:val="00CF0310"/>
    <w:rsid w:val="00CF06E1"/>
    <w:rsid w:val="00CF2069"/>
    <w:rsid w:val="00CF36BB"/>
    <w:rsid w:val="00CF40AD"/>
    <w:rsid w:val="00CF4285"/>
    <w:rsid w:val="00CF45D4"/>
    <w:rsid w:val="00CF52C5"/>
    <w:rsid w:val="00CF5972"/>
    <w:rsid w:val="00CF59BD"/>
    <w:rsid w:val="00CF6BA2"/>
    <w:rsid w:val="00D00148"/>
    <w:rsid w:val="00D00FDB"/>
    <w:rsid w:val="00D03098"/>
    <w:rsid w:val="00D034EB"/>
    <w:rsid w:val="00D03DD0"/>
    <w:rsid w:val="00D03F24"/>
    <w:rsid w:val="00D057FC"/>
    <w:rsid w:val="00D05954"/>
    <w:rsid w:val="00D05BF8"/>
    <w:rsid w:val="00D05FFE"/>
    <w:rsid w:val="00D07C0E"/>
    <w:rsid w:val="00D101E8"/>
    <w:rsid w:val="00D104C3"/>
    <w:rsid w:val="00D11042"/>
    <w:rsid w:val="00D113ED"/>
    <w:rsid w:val="00D115DD"/>
    <w:rsid w:val="00D119AB"/>
    <w:rsid w:val="00D12F87"/>
    <w:rsid w:val="00D1388F"/>
    <w:rsid w:val="00D140C5"/>
    <w:rsid w:val="00D146B5"/>
    <w:rsid w:val="00D14FDF"/>
    <w:rsid w:val="00D15B51"/>
    <w:rsid w:val="00D160D5"/>
    <w:rsid w:val="00D17C74"/>
    <w:rsid w:val="00D17FC8"/>
    <w:rsid w:val="00D2055B"/>
    <w:rsid w:val="00D209F7"/>
    <w:rsid w:val="00D20E5E"/>
    <w:rsid w:val="00D2119A"/>
    <w:rsid w:val="00D21514"/>
    <w:rsid w:val="00D2186A"/>
    <w:rsid w:val="00D21A44"/>
    <w:rsid w:val="00D21D44"/>
    <w:rsid w:val="00D21D54"/>
    <w:rsid w:val="00D22090"/>
    <w:rsid w:val="00D22B22"/>
    <w:rsid w:val="00D24136"/>
    <w:rsid w:val="00D2433D"/>
    <w:rsid w:val="00D243AB"/>
    <w:rsid w:val="00D2504A"/>
    <w:rsid w:val="00D259E5"/>
    <w:rsid w:val="00D27430"/>
    <w:rsid w:val="00D278F1"/>
    <w:rsid w:val="00D279DB"/>
    <w:rsid w:val="00D27A1E"/>
    <w:rsid w:val="00D316F5"/>
    <w:rsid w:val="00D33944"/>
    <w:rsid w:val="00D33DDB"/>
    <w:rsid w:val="00D33F7A"/>
    <w:rsid w:val="00D3453C"/>
    <w:rsid w:val="00D34659"/>
    <w:rsid w:val="00D34806"/>
    <w:rsid w:val="00D34A39"/>
    <w:rsid w:val="00D355F5"/>
    <w:rsid w:val="00D36288"/>
    <w:rsid w:val="00D37086"/>
    <w:rsid w:val="00D37584"/>
    <w:rsid w:val="00D37CF5"/>
    <w:rsid w:val="00D40703"/>
    <w:rsid w:val="00D41842"/>
    <w:rsid w:val="00D41AA0"/>
    <w:rsid w:val="00D42963"/>
    <w:rsid w:val="00D42D02"/>
    <w:rsid w:val="00D447A4"/>
    <w:rsid w:val="00D44851"/>
    <w:rsid w:val="00D4548C"/>
    <w:rsid w:val="00D45927"/>
    <w:rsid w:val="00D45CCB"/>
    <w:rsid w:val="00D45D6A"/>
    <w:rsid w:val="00D45ED8"/>
    <w:rsid w:val="00D462A1"/>
    <w:rsid w:val="00D4666B"/>
    <w:rsid w:val="00D47C57"/>
    <w:rsid w:val="00D47C76"/>
    <w:rsid w:val="00D47F40"/>
    <w:rsid w:val="00D5041D"/>
    <w:rsid w:val="00D50AE9"/>
    <w:rsid w:val="00D50B7D"/>
    <w:rsid w:val="00D50E0E"/>
    <w:rsid w:val="00D50E17"/>
    <w:rsid w:val="00D51B9C"/>
    <w:rsid w:val="00D523C3"/>
    <w:rsid w:val="00D5245C"/>
    <w:rsid w:val="00D52A41"/>
    <w:rsid w:val="00D52A89"/>
    <w:rsid w:val="00D52C2B"/>
    <w:rsid w:val="00D52FEA"/>
    <w:rsid w:val="00D533A4"/>
    <w:rsid w:val="00D538C6"/>
    <w:rsid w:val="00D53DDA"/>
    <w:rsid w:val="00D55769"/>
    <w:rsid w:val="00D564F8"/>
    <w:rsid w:val="00D565A6"/>
    <w:rsid w:val="00D565F4"/>
    <w:rsid w:val="00D565F8"/>
    <w:rsid w:val="00D56717"/>
    <w:rsid w:val="00D56794"/>
    <w:rsid w:val="00D56F97"/>
    <w:rsid w:val="00D5795A"/>
    <w:rsid w:val="00D60D33"/>
    <w:rsid w:val="00D61718"/>
    <w:rsid w:val="00D61A41"/>
    <w:rsid w:val="00D61B76"/>
    <w:rsid w:val="00D61EC4"/>
    <w:rsid w:val="00D6269A"/>
    <w:rsid w:val="00D6295A"/>
    <w:rsid w:val="00D62F99"/>
    <w:rsid w:val="00D630E8"/>
    <w:rsid w:val="00D636DD"/>
    <w:rsid w:val="00D63D84"/>
    <w:rsid w:val="00D65152"/>
    <w:rsid w:val="00D65FC1"/>
    <w:rsid w:val="00D66615"/>
    <w:rsid w:val="00D66667"/>
    <w:rsid w:val="00D6684D"/>
    <w:rsid w:val="00D66BF5"/>
    <w:rsid w:val="00D707FF"/>
    <w:rsid w:val="00D70B6A"/>
    <w:rsid w:val="00D7104F"/>
    <w:rsid w:val="00D71471"/>
    <w:rsid w:val="00D71B90"/>
    <w:rsid w:val="00D71BFA"/>
    <w:rsid w:val="00D71CC6"/>
    <w:rsid w:val="00D71CEB"/>
    <w:rsid w:val="00D72D48"/>
    <w:rsid w:val="00D72F0E"/>
    <w:rsid w:val="00D73AA6"/>
    <w:rsid w:val="00D75157"/>
    <w:rsid w:val="00D75231"/>
    <w:rsid w:val="00D753F8"/>
    <w:rsid w:val="00D7561B"/>
    <w:rsid w:val="00D7693E"/>
    <w:rsid w:val="00D76B98"/>
    <w:rsid w:val="00D76EDA"/>
    <w:rsid w:val="00D7709A"/>
    <w:rsid w:val="00D77338"/>
    <w:rsid w:val="00D775C6"/>
    <w:rsid w:val="00D77657"/>
    <w:rsid w:val="00D777F0"/>
    <w:rsid w:val="00D77EA5"/>
    <w:rsid w:val="00D8006B"/>
    <w:rsid w:val="00D805EF"/>
    <w:rsid w:val="00D817F4"/>
    <w:rsid w:val="00D831F9"/>
    <w:rsid w:val="00D83640"/>
    <w:rsid w:val="00D83A39"/>
    <w:rsid w:val="00D860AF"/>
    <w:rsid w:val="00D861F4"/>
    <w:rsid w:val="00D871DC"/>
    <w:rsid w:val="00D87C21"/>
    <w:rsid w:val="00D90F52"/>
    <w:rsid w:val="00D91A71"/>
    <w:rsid w:val="00D92C73"/>
    <w:rsid w:val="00D92D2C"/>
    <w:rsid w:val="00D93204"/>
    <w:rsid w:val="00D932A6"/>
    <w:rsid w:val="00D93BC5"/>
    <w:rsid w:val="00D94873"/>
    <w:rsid w:val="00D95758"/>
    <w:rsid w:val="00D95D17"/>
    <w:rsid w:val="00D960AA"/>
    <w:rsid w:val="00D96416"/>
    <w:rsid w:val="00D96968"/>
    <w:rsid w:val="00D96EB9"/>
    <w:rsid w:val="00D97EC7"/>
    <w:rsid w:val="00DA0810"/>
    <w:rsid w:val="00DA0E9F"/>
    <w:rsid w:val="00DA10AF"/>
    <w:rsid w:val="00DA1D4B"/>
    <w:rsid w:val="00DA1E92"/>
    <w:rsid w:val="00DA3D3E"/>
    <w:rsid w:val="00DA4658"/>
    <w:rsid w:val="00DA4C5B"/>
    <w:rsid w:val="00DA544B"/>
    <w:rsid w:val="00DA651F"/>
    <w:rsid w:val="00DA6B10"/>
    <w:rsid w:val="00DA6D7D"/>
    <w:rsid w:val="00DA6E2C"/>
    <w:rsid w:val="00DA7411"/>
    <w:rsid w:val="00DA78FF"/>
    <w:rsid w:val="00DA7AB5"/>
    <w:rsid w:val="00DA7B0D"/>
    <w:rsid w:val="00DA7C14"/>
    <w:rsid w:val="00DA7EC9"/>
    <w:rsid w:val="00DB0C74"/>
    <w:rsid w:val="00DB19A9"/>
    <w:rsid w:val="00DB21DE"/>
    <w:rsid w:val="00DB2582"/>
    <w:rsid w:val="00DB2D74"/>
    <w:rsid w:val="00DB3A3E"/>
    <w:rsid w:val="00DB46B8"/>
    <w:rsid w:val="00DB4F7D"/>
    <w:rsid w:val="00DB53EE"/>
    <w:rsid w:val="00DB6B52"/>
    <w:rsid w:val="00DB7425"/>
    <w:rsid w:val="00DB7A75"/>
    <w:rsid w:val="00DB7D28"/>
    <w:rsid w:val="00DC0316"/>
    <w:rsid w:val="00DC041B"/>
    <w:rsid w:val="00DC07E9"/>
    <w:rsid w:val="00DC1202"/>
    <w:rsid w:val="00DC149F"/>
    <w:rsid w:val="00DC14F3"/>
    <w:rsid w:val="00DC1BDA"/>
    <w:rsid w:val="00DC237D"/>
    <w:rsid w:val="00DC25C3"/>
    <w:rsid w:val="00DC25F2"/>
    <w:rsid w:val="00DC2852"/>
    <w:rsid w:val="00DC2AFC"/>
    <w:rsid w:val="00DC400C"/>
    <w:rsid w:val="00DC485A"/>
    <w:rsid w:val="00DC4946"/>
    <w:rsid w:val="00DC5D63"/>
    <w:rsid w:val="00DC6024"/>
    <w:rsid w:val="00DC7AD5"/>
    <w:rsid w:val="00DD01E9"/>
    <w:rsid w:val="00DD19F7"/>
    <w:rsid w:val="00DD349D"/>
    <w:rsid w:val="00DD37DA"/>
    <w:rsid w:val="00DD3B55"/>
    <w:rsid w:val="00DD4A9E"/>
    <w:rsid w:val="00DD4B2E"/>
    <w:rsid w:val="00DD4D61"/>
    <w:rsid w:val="00DD503E"/>
    <w:rsid w:val="00DD6897"/>
    <w:rsid w:val="00DD7582"/>
    <w:rsid w:val="00DD78C7"/>
    <w:rsid w:val="00DE03FF"/>
    <w:rsid w:val="00DE0FF9"/>
    <w:rsid w:val="00DE144E"/>
    <w:rsid w:val="00DE2835"/>
    <w:rsid w:val="00DE2A28"/>
    <w:rsid w:val="00DE2E79"/>
    <w:rsid w:val="00DE2F00"/>
    <w:rsid w:val="00DE3C4F"/>
    <w:rsid w:val="00DE4B59"/>
    <w:rsid w:val="00DE563D"/>
    <w:rsid w:val="00DE5A0C"/>
    <w:rsid w:val="00DE5D8F"/>
    <w:rsid w:val="00DE5F51"/>
    <w:rsid w:val="00DE622F"/>
    <w:rsid w:val="00DE6A7A"/>
    <w:rsid w:val="00DE6CBD"/>
    <w:rsid w:val="00DE756C"/>
    <w:rsid w:val="00DE7D0D"/>
    <w:rsid w:val="00DF0478"/>
    <w:rsid w:val="00DF10EF"/>
    <w:rsid w:val="00DF13B8"/>
    <w:rsid w:val="00DF44DF"/>
    <w:rsid w:val="00DF5246"/>
    <w:rsid w:val="00DF5687"/>
    <w:rsid w:val="00DF57E7"/>
    <w:rsid w:val="00DF5C3C"/>
    <w:rsid w:val="00DF64F3"/>
    <w:rsid w:val="00DF6783"/>
    <w:rsid w:val="00DF6843"/>
    <w:rsid w:val="00DF6AC2"/>
    <w:rsid w:val="00DF7278"/>
    <w:rsid w:val="00DF73D9"/>
    <w:rsid w:val="00DF7592"/>
    <w:rsid w:val="00DF7C50"/>
    <w:rsid w:val="00E00499"/>
    <w:rsid w:val="00E005DA"/>
    <w:rsid w:val="00E00B54"/>
    <w:rsid w:val="00E01078"/>
    <w:rsid w:val="00E01432"/>
    <w:rsid w:val="00E015D6"/>
    <w:rsid w:val="00E03FD9"/>
    <w:rsid w:val="00E046C9"/>
    <w:rsid w:val="00E05481"/>
    <w:rsid w:val="00E05AF8"/>
    <w:rsid w:val="00E06A1E"/>
    <w:rsid w:val="00E070F6"/>
    <w:rsid w:val="00E079BC"/>
    <w:rsid w:val="00E07A00"/>
    <w:rsid w:val="00E07D82"/>
    <w:rsid w:val="00E1021A"/>
    <w:rsid w:val="00E10573"/>
    <w:rsid w:val="00E1096C"/>
    <w:rsid w:val="00E10A1D"/>
    <w:rsid w:val="00E10B16"/>
    <w:rsid w:val="00E10D9F"/>
    <w:rsid w:val="00E10E74"/>
    <w:rsid w:val="00E11357"/>
    <w:rsid w:val="00E11748"/>
    <w:rsid w:val="00E12240"/>
    <w:rsid w:val="00E1296E"/>
    <w:rsid w:val="00E12CEC"/>
    <w:rsid w:val="00E13843"/>
    <w:rsid w:val="00E13961"/>
    <w:rsid w:val="00E13A58"/>
    <w:rsid w:val="00E13A5C"/>
    <w:rsid w:val="00E1471B"/>
    <w:rsid w:val="00E157CA"/>
    <w:rsid w:val="00E15AB3"/>
    <w:rsid w:val="00E15B24"/>
    <w:rsid w:val="00E171F5"/>
    <w:rsid w:val="00E17324"/>
    <w:rsid w:val="00E1744E"/>
    <w:rsid w:val="00E17DDB"/>
    <w:rsid w:val="00E2004C"/>
    <w:rsid w:val="00E2072A"/>
    <w:rsid w:val="00E209B8"/>
    <w:rsid w:val="00E20A4B"/>
    <w:rsid w:val="00E20F9A"/>
    <w:rsid w:val="00E226A7"/>
    <w:rsid w:val="00E23A90"/>
    <w:rsid w:val="00E24019"/>
    <w:rsid w:val="00E24EB2"/>
    <w:rsid w:val="00E25FAD"/>
    <w:rsid w:val="00E263A7"/>
    <w:rsid w:val="00E27E2A"/>
    <w:rsid w:val="00E309C8"/>
    <w:rsid w:val="00E3126F"/>
    <w:rsid w:val="00E31316"/>
    <w:rsid w:val="00E316C9"/>
    <w:rsid w:val="00E31AFF"/>
    <w:rsid w:val="00E32054"/>
    <w:rsid w:val="00E32E7A"/>
    <w:rsid w:val="00E3305E"/>
    <w:rsid w:val="00E348F6"/>
    <w:rsid w:val="00E34B07"/>
    <w:rsid w:val="00E35CF5"/>
    <w:rsid w:val="00E3769D"/>
    <w:rsid w:val="00E376A1"/>
    <w:rsid w:val="00E37780"/>
    <w:rsid w:val="00E401A4"/>
    <w:rsid w:val="00E41A40"/>
    <w:rsid w:val="00E41B10"/>
    <w:rsid w:val="00E425DB"/>
    <w:rsid w:val="00E43811"/>
    <w:rsid w:val="00E44851"/>
    <w:rsid w:val="00E45893"/>
    <w:rsid w:val="00E45F28"/>
    <w:rsid w:val="00E461AC"/>
    <w:rsid w:val="00E46622"/>
    <w:rsid w:val="00E47261"/>
    <w:rsid w:val="00E501F7"/>
    <w:rsid w:val="00E50551"/>
    <w:rsid w:val="00E505D5"/>
    <w:rsid w:val="00E5083F"/>
    <w:rsid w:val="00E5112D"/>
    <w:rsid w:val="00E51F72"/>
    <w:rsid w:val="00E520BD"/>
    <w:rsid w:val="00E52FED"/>
    <w:rsid w:val="00E536E6"/>
    <w:rsid w:val="00E54BFC"/>
    <w:rsid w:val="00E54D87"/>
    <w:rsid w:val="00E54DCA"/>
    <w:rsid w:val="00E557B6"/>
    <w:rsid w:val="00E572C8"/>
    <w:rsid w:val="00E57555"/>
    <w:rsid w:val="00E602C2"/>
    <w:rsid w:val="00E608E9"/>
    <w:rsid w:val="00E61A1D"/>
    <w:rsid w:val="00E621FA"/>
    <w:rsid w:val="00E62D06"/>
    <w:rsid w:val="00E64499"/>
    <w:rsid w:val="00E65413"/>
    <w:rsid w:val="00E6547E"/>
    <w:rsid w:val="00E65DFC"/>
    <w:rsid w:val="00E66000"/>
    <w:rsid w:val="00E66F2B"/>
    <w:rsid w:val="00E67E77"/>
    <w:rsid w:val="00E67EF6"/>
    <w:rsid w:val="00E702B1"/>
    <w:rsid w:val="00E70B6A"/>
    <w:rsid w:val="00E70FCE"/>
    <w:rsid w:val="00E71211"/>
    <w:rsid w:val="00E71BD4"/>
    <w:rsid w:val="00E72772"/>
    <w:rsid w:val="00E73409"/>
    <w:rsid w:val="00E73A14"/>
    <w:rsid w:val="00E746E6"/>
    <w:rsid w:val="00E74C3A"/>
    <w:rsid w:val="00E74E08"/>
    <w:rsid w:val="00E75097"/>
    <w:rsid w:val="00E759A5"/>
    <w:rsid w:val="00E75A58"/>
    <w:rsid w:val="00E75E92"/>
    <w:rsid w:val="00E7601F"/>
    <w:rsid w:val="00E762F8"/>
    <w:rsid w:val="00E76914"/>
    <w:rsid w:val="00E77FF4"/>
    <w:rsid w:val="00E80018"/>
    <w:rsid w:val="00E80540"/>
    <w:rsid w:val="00E805B3"/>
    <w:rsid w:val="00E8076D"/>
    <w:rsid w:val="00E817E0"/>
    <w:rsid w:val="00E81FF1"/>
    <w:rsid w:val="00E82BB8"/>
    <w:rsid w:val="00E840A7"/>
    <w:rsid w:val="00E843F6"/>
    <w:rsid w:val="00E849CC"/>
    <w:rsid w:val="00E84A57"/>
    <w:rsid w:val="00E8675C"/>
    <w:rsid w:val="00E86A3C"/>
    <w:rsid w:val="00E87123"/>
    <w:rsid w:val="00E87292"/>
    <w:rsid w:val="00E87CF6"/>
    <w:rsid w:val="00E87EFD"/>
    <w:rsid w:val="00E905CC"/>
    <w:rsid w:val="00E912AC"/>
    <w:rsid w:val="00E91364"/>
    <w:rsid w:val="00E91A24"/>
    <w:rsid w:val="00E91A5B"/>
    <w:rsid w:val="00E91F0E"/>
    <w:rsid w:val="00E926D3"/>
    <w:rsid w:val="00E9407E"/>
    <w:rsid w:val="00E94D36"/>
    <w:rsid w:val="00E94E83"/>
    <w:rsid w:val="00E954BE"/>
    <w:rsid w:val="00E9602A"/>
    <w:rsid w:val="00E96557"/>
    <w:rsid w:val="00E96C39"/>
    <w:rsid w:val="00E9775F"/>
    <w:rsid w:val="00E978E7"/>
    <w:rsid w:val="00EA114D"/>
    <w:rsid w:val="00EA1595"/>
    <w:rsid w:val="00EA2EAB"/>
    <w:rsid w:val="00EA2F54"/>
    <w:rsid w:val="00EA3F92"/>
    <w:rsid w:val="00EA4478"/>
    <w:rsid w:val="00EA4540"/>
    <w:rsid w:val="00EA4A3C"/>
    <w:rsid w:val="00EA534A"/>
    <w:rsid w:val="00EA5C8E"/>
    <w:rsid w:val="00EA60B2"/>
    <w:rsid w:val="00EA6688"/>
    <w:rsid w:val="00EA67CB"/>
    <w:rsid w:val="00EA6B21"/>
    <w:rsid w:val="00EA6FA4"/>
    <w:rsid w:val="00EA71D5"/>
    <w:rsid w:val="00EB0073"/>
    <w:rsid w:val="00EB0890"/>
    <w:rsid w:val="00EB1E27"/>
    <w:rsid w:val="00EB2332"/>
    <w:rsid w:val="00EB2ADB"/>
    <w:rsid w:val="00EB2D64"/>
    <w:rsid w:val="00EB40B4"/>
    <w:rsid w:val="00EB4568"/>
    <w:rsid w:val="00EB4D2C"/>
    <w:rsid w:val="00EB5348"/>
    <w:rsid w:val="00EB72E1"/>
    <w:rsid w:val="00EC0519"/>
    <w:rsid w:val="00EC0C37"/>
    <w:rsid w:val="00EC0E1C"/>
    <w:rsid w:val="00EC0FA8"/>
    <w:rsid w:val="00EC19E0"/>
    <w:rsid w:val="00EC22A7"/>
    <w:rsid w:val="00EC2A17"/>
    <w:rsid w:val="00EC2BD5"/>
    <w:rsid w:val="00EC2E47"/>
    <w:rsid w:val="00EC2ED2"/>
    <w:rsid w:val="00EC3624"/>
    <w:rsid w:val="00EC38E8"/>
    <w:rsid w:val="00EC3B40"/>
    <w:rsid w:val="00EC480A"/>
    <w:rsid w:val="00EC4C9F"/>
    <w:rsid w:val="00EC5914"/>
    <w:rsid w:val="00EC69A4"/>
    <w:rsid w:val="00EC72A3"/>
    <w:rsid w:val="00EC74C2"/>
    <w:rsid w:val="00EC7C69"/>
    <w:rsid w:val="00ED15D0"/>
    <w:rsid w:val="00ED1CE2"/>
    <w:rsid w:val="00ED1FCB"/>
    <w:rsid w:val="00ED2587"/>
    <w:rsid w:val="00ED2C59"/>
    <w:rsid w:val="00ED3D4A"/>
    <w:rsid w:val="00ED3E6B"/>
    <w:rsid w:val="00ED40EA"/>
    <w:rsid w:val="00ED474C"/>
    <w:rsid w:val="00ED4AEA"/>
    <w:rsid w:val="00ED4AEB"/>
    <w:rsid w:val="00ED54A6"/>
    <w:rsid w:val="00ED71A5"/>
    <w:rsid w:val="00ED78A2"/>
    <w:rsid w:val="00ED7F19"/>
    <w:rsid w:val="00EE0B64"/>
    <w:rsid w:val="00EE1130"/>
    <w:rsid w:val="00EE236D"/>
    <w:rsid w:val="00EE28BD"/>
    <w:rsid w:val="00EE3468"/>
    <w:rsid w:val="00EE389B"/>
    <w:rsid w:val="00EE3FB0"/>
    <w:rsid w:val="00EE44DB"/>
    <w:rsid w:val="00EE458F"/>
    <w:rsid w:val="00EE459C"/>
    <w:rsid w:val="00EE4AD2"/>
    <w:rsid w:val="00EE4FDC"/>
    <w:rsid w:val="00EE6269"/>
    <w:rsid w:val="00EE6723"/>
    <w:rsid w:val="00EE6746"/>
    <w:rsid w:val="00EE67AB"/>
    <w:rsid w:val="00EE6D05"/>
    <w:rsid w:val="00EE7FA3"/>
    <w:rsid w:val="00EF0254"/>
    <w:rsid w:val="00EF0AC4"/>
    <w:rsid w:val="00EF1355"/>
    <w:rsid w:val="00EF254E"/>
    <w:rsid w:val="00EF2842"/>
    <w:rsid w:val="00EF2E08"/>
    <w:rsid w:val="00EF3B46"/>
    <w:rsid w:val="00EF4CB2"/>
    <w:rsid w:val="00EF6244"/>
    <w:rsid w:val="00EF7935"/>
    <w:rsid w:val="00F00327"/>
    <w:rsid w:val="00F006D8"/>
    <w:rsid w:val="00F01647"/>
    <w:rsid w:val="00F01CB1"/>
    <w:rsid w:val="00F02B34"/>
    <w:rsid w:val="00F02CCF"/>
    <w:rsid w:val="00F0360B"/>
    <w:rsid w:val="00F03F48"/>
    <w:rsid w:val="00F0435C"/>
    <w:rsid w:val="00F04A3D"/>
    <w:rsid w:val="00F04F0E"/>
    <w:rsid w:val="00F060D7"/>
    <w:rsid w:val="00F061A3"/>
    <w:rsid w:val="00F0621B"/>
    <w:rsid w:val="00F0651C"/>
    <w:rsid w:val="00F066C2"/>
    <w:rsid w:val="00F072AA"/>
    <w:rsid w:val="00F074CB"/>
    <w:rsid w:val="00F07666"/>
    <w:rsid w:val="00F07E20"/>
    <w:rsid w:val="00F11A3F"/>
    <w:rsid w:val="00F12295"/>
    <w:rsid w:val="00F12584"/>
    <w:rsid w:val="00F125E0"/>
    <w:rsid w:val="00F12704"/>
    <w:rsid w:val="00F13BF4"/>
    <w:rsid w:val="00F145C6"/>
    <w:rsid w:val="00F15816"/>
    <w:rsid w:val="00F15C9D"/>
    <w:rsid w:val="00F15FC4"/>
    <w:rsid w:val="00F16016"/>
    <w:rsid w:val="00F16265"/>
    <w:rsid w:val="00F17605"/>
    <w:rsid w:val="00F20041"/>
    <w:rsid w:val="00F204F7"/>
    <w:rsid w:val="00F2060B"/>
    <w:rsid w:val="00F20B73"/>
    <w:rsid w:val="00F20FF2"/>
    <w:rsid w:val="00F22761"/>
    <w:rsid w:val="00F231BD"/>
    <w:rsid w:val="00F24B05"/>
    <w:rsid w:val="00F2799B"/>
    <w:rsid w:val="00F300BF"/>
    <w:rsid w:val="00F30C58"/>
    <w:rsid w:val="00F312C8"/>
    <w:rsid w:val="00F31DD6"/>
    <w:rsid w:val="00F31DDC"/>
    <w:rsid w:val="00F32298"/>
    <w:rsid w:val="00F32F4C"/>
    <w:rsid w:val="00F33741"/>
    <w:rsid w:val="00F34442"/>
    <w:rsid w:val="00F3498D"/>
    <w:rsid w:val="00F3536D"/>
    <w:rsid w:val="00F35712"/>
    <w:rsid w:val="00F357E1"/>
    <w:rsid w:val="00F3581C"/>
    <w:rsid w:val="00F367C6"/>
    <w:rsid w:val="00F36F9B"/>
    <w:rsid w:val="00F37263"/>
    <w:rsid w:val="00F4014D"/>
    <w:rsid w:val="00F404E9"/>
    <w:rsid w:val="00F40A91"/>
    <w:rsid w:val="00F40B8B"/>
    <w:rsid w:val="00F41083"/>
    <w:rsid w:val="00F411E3"/>
    <w:rsid w:val="00F41450"/>
    <w:rsid w:val="00F41943"/>
    <w:rsid w:val="00F426C4"/>
    <w:rsid w:val="00F42782"/>
    <w:rsid w:val="00F42918"/>
    <w:rsid w:val="00F42985"/>
    <w:rsid w:val="00F42B71"/>
    <w:rsid w:val="00F43295"/>
    <w:rsid w:val="00F43478"/>
    <w:rsid w:val="00F440F0"/>
    <w:rsid w:val="00F44514"/>
    <w:rsid w:val="00F446A4"/>
    <w:rsid w:val="00F44F1B"/>
    <w:rsid w:val="00F46438"/>
    <w:rsid w:val="00F46AB0"/>
    <w:rsid w:val="00F475B2"/>
    <w:rsid w:val="00F47B6F"/>
    <w:rsid w:val="00F47D0A"/>
    <w:rsid w:val="00F50A33"/>
    <w:rsid w:val="00F51376"/>
    <w:rsid w:val="00F513FE"/>
    <w:rsid w:val="00F5152B"/>
    <w:rsid w:val="00F52473"/>
    <w:rsid w:val="00F52624"/>
    <w:rsid w:val="00F52D5C"/>
    <w:rsid w:val="00F53240"/>
    <w:rsid w:val="00F53579"/>
    <w:rsid w:val="00F53C72"/>
    <w:rsid w:val="00F5402E"/>
    <w:rsid w:val="00F557E9"/>
    <w:rsid w:val="00F55A4D"/>
    <w:rsid w:val="00F56004"/>
    <w:rsid w:val="00F560B6"/>
    <w:rsid w:val="00F56948"/>
    <w:rsid w:val="00F57A48"/>
    <w:rsid w:val="00F57BF5"/>
    <w:rsid w:val="00F60D1C"/>
    <w:rsid w:val="00F60FE1"/>
    <w:rsid w:val="00F61262"/>
    <w:rsid w:val="00F61731"/>
    <w:rsid w:val="00F62464"/>
    <w:rsid w:val="00F63254"/>
    <w:rsid w:val="00F6378B"/>
    <w:rsid w:val="00F6412E"/>
    <w:rsid w:val="00F65A44"/>
    <w:rsid w:val="00F65E35"/>
    <w:rsid w:val="00F6630B"/>
    <w:rsid w:val="00F66A3E"/>
    <w:rsid w:val="00F67714"/>
    <w:rsid w:val="00F709F1"/>
    <w:rsid w:val="00F729F7"/>
    <w:rsid w:val="00F72ECF"/>
    <w:rsid w:val="00F737CC"/>
    <w:rsid w:val="00F73BF1"/>
    <w:rsid w:val="00F74EA0"/>
    <w:rsid w:val="00F7554C"/>
    <w:rsid w:val="00F75AF3"/>
    <w:rsid w:val="00F7625E"/>
    <w:rsid w:val="00F7640E"/>
    <w:rsid w:val="00F76B02"/>
    <w:rsid w:val="00F76ED9"/>
    <w:rsid w:val="00F772A1"/>
    <w:rsid w:val="00F77650"/>
    <w:rsid w:val="00F776E9"/>
    <w:rsid w:val="00F8018D"/>
    <w:rsid w:val="00F80929"/>
    <w:rsid w:val="00F8182F"/>
    <w:rsid w:val="00F81CE6"/>
    <w:rsid w:val="00F81D48"/>
    <w:rsid w:val="00F81ECD"/>
    <w:rsid w:val="00F830A4"/>
    <w:rsid w:val="00F83226"/>
    <w:rsid w:val="00F83394"/>
    <w:rsid w:val="00F8341F"/>
    <w:rsid w:val="00F83666"/>
    <w:rsid w:val="00F83881"/>
    <w:rsid w:val="00F83E10"/>
    <w:rsid w:val="00F83F93"/>
    <w:rsid w:val="00F83FF6"/>
    <w:rsid w:val="00F84708"/>
    <w:rsid w:val="00F8546A"/>
    <w:rsid w:val="00F85687"/>
    <w:rsid w:val="00F85D69"/>
    <w:rsid w:val="00F8647B"/>
    <w:rsid w:val="00F90025"/>
    <w:rsid w:val="00F90E52"/>
    <w:rsid w:val="00F91259"/>
    <w:rsid w:val="00F91CF7"/>
    <w:rsid w:val="00F91E2E"/>
    <w:rsid w:val="00F92246"/>
    <w:rsid w:val="00F92551"/>
    <w:rsid w:val="00F94B07"/>
    <w:rsid w:val="00F97566"/>
    <w:rsid w:val="00F97B9D"/>
    <w:rsid w:val="00FA1DE1"/>
    <w:rsid w:val="00FA1EF3"/>
    <w:rsid w:val="00FA2774"/>
    <w:rsid w:val="00FA33A5"/>
    <w:rsid w:val="00FA5A9F"/>
    <w:rsid w:val="00FA5CCF"/>
    <w:rsid w:val="00FA6A31"/>
    <w:rsid w:val="00FA7D00"/>
    <w:rsid w:val="00FB174B"/>
    <w:rsid w:val="00FB1A28"/>
    <w:rsid w:val="00FB211A"/>
    <w:rsid w:val="00FB21B0"/>
    <w:rsid w:val="00FB24F0"/>
    <w:rsid w:val="00FB3068"/>
    <w:rsid w:val="00FB313D"/>
    <w:rsid w:val="00FB3D54"/>
    <w:rsid w:val="00FB412A"/>
    <w:rsid w:val="00FB462D"/>
    <w:rsid w:val="00FB5CFD"/>
    <w:rsid w:val="00FB5DB8"/>
    <w:rsid w:val="00FB5EEC"/>
    <w:rsid w:val="00FB62A5"/>
    <w:rsid w:val="00FB6331"/>
    <w:rsid w:val="00FB6B79"/>
    <w:rsid w:val="00FB7392"/>
    <w:rsid w:val="00FC0406"/>
    <w:rsid w:val="00FC062D"/>
    <w:rsid w:val="00FC12B6"/>
    <w:rsid w:val="00FC13E5"/>
    <w:rsid w:val="00FC223B"/>
    <w:rsid w:val="00FC226B"/>
    <w:rsid w:val="00FC3AB1"/>
    <w:rsid w:val="00FC3EDA"/>
    <w:rsid w:val="00FC4684"/>
    <w:rsid w:val="00FC48CB"/>
    <w:rsid w:val="00FC53F6"/>
    <w:rsid w:val="00FC5FDA"/>
    <w:rsid w:val="00FC6116"/>
    <w:rsid w:val="00FC681B"/>
    <w:rsid w:val="00FC6B3B"/>
    <w:rsid w:val="00FC6C76"/>
    <w:rsid w:val="00FC702E"/>
    <w:rsid w:val="00FC7E1A"/>
    <w:rsid w:val="00FD0794"/>
    <w:rsid w:val="00FD0A82"/>
    <w:rsid w:val="00FD1370"/>
    <w:rsid w:val="00FD24CF"/>
    <w:rsid w:val="00FD24EC"/>
    <w:rsid w:val="00FD2747"/>
    <w:rsid w:val="00FD2ADF"/>
    <w:rsid w:val="00FD2DDD"/>
    <w:rsid w:val="00FD36B6"/>
    <w:rsid w:val="00FD3A93"/>
    <w:rsid w:val="00FD471B"/>
    <w:rsid w:val="00FD4C7D"/>
    <w:rsid w:val="00FD5943"/>
    <w:rsid w:val="00FD6549"/>
    <w:rsid w:val="00FD696B"/>
    <w:rsid w:val="00FD7468"/>
    <w:rsid w:val="00FD7683"/>
    <w:rsid w:val="00FE0271"/>
    <w:rsid w:val="00FE150A"/>
    <w:rsid w:val="00FE1CCE"/>
    <w:rsid w:val="00FE1DD7"/>
    <w:rsid w:val="00FE1DF6"/>
    <w:rsid w:val="00FE2531"/>
    <w:rsid w:val="00FE3A60"/>
    <w:rsid w:val="00FE3AC2"/>
    <w:rsid w:val="00FE4013"/>
    <w:rsid w:val="00FE4610"/>
    <w:rsid w:val="00FE4BB4"/>
    <w:rsid w:val="00FE765D"/>
    <w:rsid w:val="00FE7C59"/>
    <w:rsid w:val="00FF003A"/>
    <w:rsid w:val="00FF056A"/>
    <w:rsid w:val="00FF05C3"/>
    <w:rsid w:val="00FF06F0"/>
    <w:rsid w:val="00FF0951"/>
    <w:rsid w:val="00FF0971"/>
    <w:rsid w:val="00FF09A6"/>
    <w:rsid w:val="00FF1056"/>
    <w:rsid w:val="00FF1A93"/>
    <w:rsid w:val="00FF1FD9"/>
    <w:rsid w:val="00FF29DF"/>
    <w:rsid w:val="00FF3580"/>
    <w:rsid w:val="00FF3C03"/>
    <w:rsid w:val="00FF4399"/>
    <w:rsid w:val="00FF45C7"/>
    <w:rsid w:val="00FF4A55"/>
    <w:rsid w:val="00FF553C"/>
    <w:rsid w:val="00FF560E"/>
    <w:rsid w:val="00FF664F"/>
    <w:rsid w:val="00FF6B4A"/>
    <w:rsid w:val="00FF6C12"/>
    <w:rsid w:val="0102E82E"/>
    <w:rsid w:val="011343CA"/>
    <w:rsid w:val="012EB41D"/>
    <w:rsid w:val="0150122C"/>
    <w:rsid w:val="01509741"/>
    <w:rsid w:val="01855D38"/>
    <w:rsid w:val="01A1EA3B"/>
    <w:rsid w:val="01CFF1EB"/>
    <w:rsid w:val="01D4DE3C"/>
    <w:rsid w:val="01D9C3EC"/>
    <w:rsid w:val="01E34C19"/>
    <w:rsid w:val="0205A704"/>
    <w:rsid w:val="021C7D6A"/>
    <w:rsid w:val="022C29D6"/>
    <w:rsid w:val="0233BBA5"/>
    <w:rsid w:val="0246CDC2"/>
    <w:rsid w:val="0253C1A9"/>
    <w:rsid w:val="0276F55B"/>
    <w:rsid w:val="028AB1E9"/>
    <w:rsid w:val="028BFA12"/>
    <w:rsid w:val="02A8F733"/>
    <w:rsid w:val="02ABC2A8"/>
    <w:rsid w:val="02CA6010"/>
    <w:rsid w:val="02D03237"/>
    <w:rsid w:val="02D9600B"/>
    <w:rsid w:val="0323E201"/>
    <w:rsid w:val="03302FA1"/>
    <w:rsid w:val="0389F4AF"/>
    <w:rsid w:val="03979C3E"/>
    <w:rsid w:val="039D0D20"/>
    <w:rsid w:val="03BD0D12"/>
    <w:rsid w:val="03BE99A5"/>
    <w:rsid w:val="03BFCDB8"/>
    <w:rsid w:val="03CD86C3"/>
    <w:rsid w:val="041D9FAF"/>
    <w:rsid w:val="0425EAD2"/>
    <w:rsid w:val="04308E4F"/>
    <w:rsid w:val="043C420F"/>
    <w:rsid w:val="0440DD58"/>
    <w:rsid w:val="045AE2C2"/>
    <w:rsid w:val="045F92FB"/>
    <w:rsid w:val="049BEF5F"/>
    <w:rsid w:val="04F2DFF0"/>
    <w:rsid w:val="04FD4B7A"/>
    <w:rsid w:val="050BB756"/>
    <w:rsid w:val="05249A74"/>
    <w:rsid w:val="053411F1"/>
    <w:rsid w:val="05960260"/>
    <w:rsid w:val="05C2A763"/>
    <w:rsid w:val="05C92CD5"/>
    <w:rsid w:val="05D3B4BD"/>
    <w:rsid w:val="05EA832A"/>
    <w:rsid w:val="0609CB4B"/>
    <w:rsid w:val="0613D806"/>
    <w:rsid w:val="06472BBB"/>
    <w:rsid w:val="066A80AC"/>
    <w:rsid w:val="067E5C3B"/>
    <w:rsid w:val="06B7B3CD"/>
    <w:rsid w:val="06C6BF75"/>
    <w:rsid w:val="06CC04FF"/>
    <w:rsid w:val="06D5A77A"/>
    <w:rsid w:val="07107467"/>
    <w:rsid w:val="071302E4"/>
    <w:rsid w:val="0725430F"/>
    <w:rsid w:val="0749A24F"/>
    <w:rsid w:val="075E230C"/>
    <w:rsid w:val="077266AC"/>
    <w:rsid w:val="078551BC"/>
    <w:rsid w:val="078B1D94"/>
    <w:rsid w:val="07A43CA5"/>
    <w:rsid w:val="07BFD8C5"/>
    <w:rsid w:val="081012AB"/>
    <w:rsid w:val="082F4C21"/>
    <w:rsid w:val="08494027"/>
    <w:rsid w:val="086028A1"/>
    <w:rsid w:val="08655F56"/>
    <w:rsid w:val="086799AF"/>
    <w:rsid w:val="086A88A6"/>
    <w:rsid w:val="08707E43"/>
    <w:rsid w:val="08855082"/>
    <w:rsid w:val="088E4D81"/>
    <w:rsid w:val="089814F8"/>
    <w:rsid w:val="089EA3E6"/>
    <w:rsid w:val="08C3D9EF"/>
    <w:rsid w:val="08E9E44A"/>
    <w:rsid w:val="09064022"/>
    <w:rsid w:val="09101C11"/>
    <w:rsid w:val="094A6778"/>
    <w:rsid w:val="09A275A0"/>
    <w:rsid w:val="09C6BAD9"/>
    <w:rsid w:val="09CF587F"/>
    <w:rsid w:val="09E1C121"/>
    <w:rsid w:val="0A0E00FF"/>
    <w:rsid w:val="0A10DF1A"/>
    <w:rsid w:val="0A2DDD16"/>
    <w:rsid w:val="0A3112E1"/>
    <w:rsid w:val="0A9F4F83"/>
    <w:rsid w:val="0AD98BCD"/>
    <w:rsid w:val="0ADA924B"/>
    <w:rsid w:val="0AE4999E"/>
    <w:rsid w:val="0AF71479"/>
    <w:rsid w:val="0B2F7D00"/>
    <w:rsid w:val="0B6C88F5"/>
    <w:rsid w:val="0B71FB70"/>
    <w:rsid w:val="0B7B3FC8"/>
    <w:rsid w:val="0B9185E0"/>
    <w:rsid w:val="0BA5D427"/>
    <w:rsid w:val="0BB0B728"/>
    <w:rsid w:val="0BFB4897"/>
    <w:rsid w:val="0C04C732"/>
    <w:rsid w:val="0C5CAF40"/>
    <w:rsid w:val="0C627680"/>
    <w:rsid w:val="0CAF9FEB"/>
    <w:rsid w:val="0CCA0ECC"/>
    <w:rsid w:val="0CFAACFF"/>
    <w:rsid w:val="0CFB8724"/>
    <w:rsid w:val="0CFBEBED"/>
    <w:rsid w:val="0D1F5673"/>
    <w:rsid w:val="0D6713A7"/>
    <w:rsid w:val="0D752568"/>
    <w:rsid w:val="0D82E98E"/>
    <w:rsid w:val="0D8BBE52"/>
    <w:rsid w:val="0D9E69A9"/>
    <w:rsid w:val="0DDF3216"/>
    <w:rsid w:val="0E21F588"/>
    <w:rsid w:val="0E9C30C9"/>
    <w:rsid w:val="0EBEC1F5"/>
    <w:rsid w:val="0ED43BD4"/>
    <w:rsid w:val="0EEC7F48"/>
    <w:rsid w:val="0EFD0B71"/>
    <w:rsid w:val="0F136203"/>
    <w:rsid w:val="0F72C0A6"/>
    <w:rsid w:val="0F88C549"/>
    <w:rsid w:val="0F88DDE5"/>
    <w:rsid w:val="0F8E040D"/>
    <w:rsid w:val="0F973CB5"/>
    <w:rsid w:val="0FC4CA04"/>
    <w:rsid w:val="0FE4EA16"/>
    <w:rsid w:val="0FE854F9"/>
    <w:rsid w:val="0FEF1A87"/>
    <w:rsid w:val="10143E79"/>
    <w:rsid w:val="1038DE69"/>
    <w:rsid w:val="103D44E4"/>
    <w:rsid w:val="1048E038"/>
    <w:rsid w:val="10658685"/>
    <w:rsid w:val="106C3604"/>
    <w:rsid w:val="10742F4A"/>
    <w:rsid w:val="10800B29"/>
    <w:rsid w:val="10852863"/>
    <w:rsid w:val="10A3860F"/>
    <w:rsid w:val="10CC8899"/>
    <w:rsid w:val="10D3A42F"/>
    <w:rsid w:val="10EF3A18"/>
    <w:rsid w:val="10F27E54"/>
    <w:rsid w:val="10FE58DC"/>
    <w:rsid w:val="1102A196"/>
    <w:rsid w:val="110F88A0"/>
    <w:rsid w:val="113FBB8A"/>
    <w:rsid w:val="114B637F"/>
    <w:rsid w:val="115DAADD"/>
    <w:rsid w:val="1184255A"/>
    <w:rsid w:val="11D31575"/>
    <w:rsid w:val="11D96288"/>
    <w:rsid w:val="1227144F"/>
    <w:rsid w:val="122925E5"/>
    <w:rsid w:val="122D175C"/>
    <w:rsid w:val="123A1C65"/>
    <w:rsid w:val="12577011"/>
    <w:rsid w:val="125DDC64"/>
    <w:rsid w:val="1281B58B"/>
    <w:rsid w:val="128A59C7"/>
    <w:rsid w:val="12B2275E"/>
    <w:rsid w:val="12B4D1D5"/>
    <w:rsid w:val="12BA451D"/>
    <w:rsid w:val="1323C78E"/>
    <w:rsid w:val="1343C568"/>
    <w:rsid w:val="135D897C"/>
    <w:rsid w:val="1379E979"/>
    <w:rsid w:val="1388A367"/>
    <w:rsid w:val="1392CE1E"/>
    <w:rsid w:val="13AEF3B4"/>
    <w:rsid w:val="13E426C4"/>
    <w:rsid w:val="13F29539"/>
    <w:rsid w:val="14309F43"/>
    <w:rsid w:val="143ABE3C"/>
    <w:rsid w:val="1457D7D7"/>
    <w:rsid w:val="1461308F"/>
    <w:rsid w:val="146434A6"/>
    <w:rsid w:val="146D91B6"/>
    <w:rsid w:val="147E8F5B"/>
    <w:rsid w:val="14B5DD2C"/>
    <w:rsid w:val="14C17D00"/>
    <w:rsid w:val="14C4CDE2"/>
    <w:rsid w:val="14DCE53E"/>
    <w:rsid w:val="15171F3F"/>
    <w:rsid w:val="1523ECB6"/>
    <w:rsid w:val="154AC415"/>
    <w:rsid w:val="15710967"/>
    <w:rsid w:val="158E5BFA"/>
    <w:rsid w:val="15995EA0"/>
    <w:rsid w:val="159A7448"/>
    <w:rsid w:val="15A63F69"/>
    <w:rsid w:val="15A9E678"/>
    <w:rsid w:val="15D0D6DA"/>
    <w:rsid w:val="15FD092D"/>
    <w:rsid w:val="1627ED4A"/>
    <w:rsid w:val="16602DBC"/>
    <w:rsid w:val="166B07CA"/>
    <w:rsid w:val="16887169"/>
    <w:rsid w:val="16A65987"/>
    <w:rsid w:val="16A89779"/>
    <w:rsid w:val="16A92C42"/>
    <w:rsid w:val="16B7C43D"/>
    <w:rsid w:val="1703C053"/>
    <w:rsid w:val="1710BB61"/>
    <w:rsid w:val="171696D3"/>
    <w:rsid w:val="17267781"/>
    <w:rsid w:val="172B3AC9"/>
    <w:rsid w:val="1732E572"/>
    <w:rsid w:val="1744B57E"/>
    <w:rsid w:val="175C66A2"/>
    <w:rsid w:val="17703F1D"/>
    <w:rsid w:val="1773337A"/>
    <w:rsid w:val="1775FFEF"/>
    <w:rsid w:val="1798D151"/>
    <w:rsid w:val="179CB844"/>
    <w:rsid w:val="17A469D3"/>
    <w:rsid w:val="17BDFBCA"/>
    <w:rsid w:val="17D2E96E"/>
    <w:rsid w:val="17DFE253"/>
    <w:rsid w:val="18185618"/>
    <w:rsid w:val="182441CA"/>
    <w:rsid w:val="182DB180"/>
    <w:rsid w:val="1831F9A7"/>
    <w:rsid w:val="1835D0B1"/>
    <w:rsid w:val="1839700E"/>
    <w:rsid w:val="185AC557"/>
    <w:rsid w:val="1872E4FD"/>
    <w:rsid w:val="1889527E"/>
    <w:rsid w:val="188EE8C5"/>
    <w:rsid w:val="189607AE"/>
    <w:rsid w:val="18B0F7AC"/>
    <w:rsid w:val="18C78006"/>
    <w:rsid w:val="1912CF91"/>
    <w:rsid w:val="191FF7C0"/>
    <w:rsid w:val="1920DB81"/>
    <w:rsid w:val="193C66FF"/>
    <w:rsid w:val="1943BC12"/>
    <w:rsid w:val="19619620"/>
    <w:rsid w:val="196A8552"/>
    <w:rsid w:val="198F373F"/>
    <w:rsid w:val="19DDB515"/>
    <w:rsid w:val="19E09851"/>
    <w:rsid w:val="19E229FB"/>
    <w:rsid w:val="19EE04F1"/>
    <w:rsid w:val="19EFBAF7"/>
    <w:rsid w:val="1A049995"/>
    <w:rsid w:val="1A568EB5"/>
    <w:rsid w:val="1A839000"/>
    <w:rsid w:val="1A946F61"/>
    <w:rsid w:val="1AC6E96F"/>
    <w:rsid w:val="1AD31897"/>
    <w:rsid w:val="1AF4064C"/>
    <w:rsid w:val="1AFCF5D2"/>
    <w:rsid w:val="1B069BF9"/>
    <w:rsid w:val="1B2AB157"/>
    <w:rsid w:val="1B468A04"/>
    <w:rsid w:val="1B474996"/>
    <w:rsid w:val="1B603EC9"/>
    <w:rsid w:val="1B66CA8E"/>
    <w:rsid w:val="1B716EB1"/>
    <w:rsid w:val="1B7564A3"/>
    <w:rsid w:val="1B7C0899"/>
    <w:rsid w:val="1B7C9D65"/>
    <w:rsid w:val="1B8A8752"/>
    <w:rsid w:val="1B921C1C"/>
    <w:rsid w:val="1BBAD145"/>
    <w:rsid w:val="1BBE2D69"/>
    <w:rsid w:val="1BEDC36D"/>
    <w:rsid w:val="1BF3A845"/>
    <w:rsid w:val="1C15893D"/>
    <w:rsid w:val="1C435E86"/>
    <w:rsid w:val="1C490703"/>
    <w:rsid w:val="1C719F49"/>
    <w:rsid w:val="1C7407C1"/>
    <w:rsid w:val="1C7F4CD7"/>
    <w:rsid w:val="1CEA54C9"/>
    <w:rsid w:val="1D22A647"/>
    <w:rsid w:val="1D47F36B"/>
    <w:rsid w:val="1D4841B6"/>
    <w:rsid w:val="1D667BB7"/>
    <w:rsid w:val="1D6A0AA8"/>
    <w:rsid w:val="1D74E4CF"/>
    <w:rsid w:val="1D79950A"/>
    <w:rsid w:val="1D874384"/>
    <w:rsid w:val="1D9323FF"/>
    <w:rsid w:val="1D9E0B12"/>
    <w:rsid w:val="1DADC9FE"/>
    <w:rsid w:val="1DAFA08B"/>
    <w:rsid w:val="1DDF80A1"/>
    <w:rsid w:val="1DE21B39"/>
    <w:rsid w:val="1DE752E0"/>
    <w:rsid w:val="1DF6BE7F"/>
    <w:rsid w:val="1E2F3CE4"/>
    <w:rsid w:val="1E310316"/>
    <w:rsid w:val="1EA79463"/>
    <w:rsid w:val="1EB70737"/>
    <w:rsid w:val="1ECC0AB5"/>
    <w:rsid w:val="1F15834E"/>
    <w:rsid w:val="1F1BEA21"/>
    <w:rsid w:val="1F3664AE"/>
    <w:rsid w:val="1F47AC27"/>
    <w:rsid w:val="1F5AE9C1"/>
    <w:rsid w:val="1F8B2668"/>
    <w:rsid w:val="1F9426DA"/>
    <w:rsid w:val="1F9A5A92"/>
    <w:rsid w:val="1FA8EF48"/>
    <w:rsid w:val="1FA9E71A"/>
    <w:rsid w:val="1FD11BB6"/>
    <w:rsid w:val="1FDBD145"/>
    <w:rsid w:val="1FDDFB53"/>
    <w:rsid w:val="200DEB44"/>
    <w:rsid w:val="20331F48"/>
    <w:rsid w:val="2037EBBF"/>
    <w:rsid w:val="20761501"/>
    <w:rsid w:val="20847DC0"/>
    <w:rsid w:val="20C21ED0"/>
    <w:rsid w:val="20D56643"/>
    <w:rsid w:val="20FE5EC6"/>
    <w:rsid w:val="210354E3"/>
    <w:rsid w:val="2133F1A2"/>
    <w:rsid w:val="21417020"/>
    <w:rsid w:val="2169739D"/>
    <w:rsid w:val="2186E916"/>
    <w:rsid w:val="21909952"/>
    <w:rsid w:val="21957256"/>
    <w:rsid w:val="21AF6BFD"/>
    <w:rsid w:val="21BF9B0E"/>
    <w:rsid w:val="21CF2125"/>
    <w:rsid w:val="21F68811"/>
    <w:rsid w:val="2227C96E"/>
    <w:rsid w:val="2247FC97"/>
    <w:rsid w:val="22743415"/>
    <w:rsid w:val="2281BC99"/>
    <w:rsid w:val="228E2106"/>
    <w:rsid w:val="231481FF"/>
    <w:rsid w:val="2316E550"/>
    <w:rsid w:val="231CF128"/>
    <w:rsid w:val="23330CA2"/>
    <w:rsid w:val="234E2F9D"/>
    <w:rsid w:val="2350A273"/>
    <w:rsid w:val="23556364"/>
    <w:rsid w:val="236987E8"/>
    <w:rsid w:val="236EC9FB"/>
    <w:rsid w:val="23CDE83B"/>
    <w:rsid w:val="23D90CB3"/>
    <w:rsid w:val="23DD73C2"/>
    <w:rsid w:val="23F3A2BA"/>
    <w:rsid w:val="23FAEFA5"/>
    <w:rsid w:val="24141D91"/>
    <w:rsid w:val="244D16F9"/>
    <w:rsid w:val="245DB3B0"/>
    <w:rsid w:val="2476B67D"/>
    <w:rsid w:val="24996B79"/>
    <w:rsid w:val="24A20309"/>
    <w:rsid w:val="24C4E220"/>
    <w:rsid w:val="24CCCFA6"/>
    <w:rsid w:val="24F2EC07"/>
    <w:rsid w:val="252242A4"/>
    <w:rsid w:val="2528599B"/>
    <w:rsid w:val="252A5DD9"/>
    <w:rsid w:val="252A8807"/>
    <w:rsid w:val="25592458"/>
    <w:rsid w:val="256CA49C"/>
    <w:rsid w:val="257CC661"/>
    <w:rsid w:val="259101E2"/>
    <w:rsid w:val="259E7CBA"/>
    <w:rsid w:val="261AEE0B"/>
    <w:rsid w:val="2633A53B"/>
    <w:rsid w:val="26525E59"/>
    <w:rsid w:val="266649F1"/>
    <w:rsid w:val="2672CC1E"/>
    <w:rsid w:val="26B33770"/>
    <w:rsid w:val="26BB31B9"/>
    <w:rsid w:val="26E13C14"/>
    <w:rsid w:val="2704253D"/>
    <w:rsid w:val="276EDBA5"/>
    <w:rsid w:val="278C87AA"/>
    <w:rsid w:val="27C654B5"/>
    <w:rsid w:val="28497B7B"/>
    <w:rsid w:val="2851EEF9"/>
    <w:rsid w:val="28830B67"/>
    <w:rsid w:val="28902DAF"/>
    <w:rsid w:val="28C5BB49"/>
    <w:rsid w:val="28DAF239"/>
    <w:rsid w:val="292834B5"/>
    <w:rsid w:val="292D152B"/>
    <w:rsid w:val="292DB1E2"/>
    <w:rsid w:val="2963E0BF"/>
    <w:rsid w:val="29700B5A"/>
    <w:rsid w:val="297719CB"/>
    <w:rsid w:val="297DCDA1"/>
    <w:rsid w:val="2981761C"/>
    <w:rsid w:val="2992DDF1"/>
    <w:rsid w:val="29E5189B"/>
    <w:rsid w:val="29E86ABB"/>
    <w:rsid w:val="29F3B610"/>
    <w:rsid w:val="2A0A614C"/>
    <w:rsid w:val="2A285721"/>
    <w:rsid w:val="2A5F848C"/>
    <w:rsid w:val="2A77F08E"/>
    <w:rsid w:val="2A7CE5E6"/>
    <w:rsid w:val="2AA2E96E"/>
    <w:rsid w:val="2AB334E3"/>
    <w:rsid w:val="2AB7E6B3"/>
    <w:rsid w:val="2B0C0105"/>
    <w:rsid w:val="2B11A5B9"/>
    <w:rsid w:val="2B35A777"/>
    <w:rsid w:val="2B4C18A8"/>
    <w:rsid w:val="2B53CCAD"/>
    <w:rsid w:val="2B74E82A"/>
    <w:rsid w:val="2BE6306E"/>
    <w:rsid w:val="2BEFF76E"/>
    <w:rsid w:val="2C12AD11"/>
    <w:rsid w:val="2C210AA8"/>
    <w:rsid w:val="2C27FC3E"/>
    <w:rsid w:val="2C3071F4"/>
    <w:rsid w:val="2C6D5BC5"/>
    <w:rsid w:val="2C719D07"/>
    <w:rsid w:val="2C75A979"/>
    <w:rsid w:val="2C93765F"/>
    <w:rsid w:val="2C94198C"/>
    <w:rsid w:val="2CC3A056"/>
    <w:rsid w:val="2CD177D8"/>
    <w:rsid w:val="2CD49213"/>
    <w:rsid w:val="2D2005DD"/>
    <w:rsid w:val="2D73A111"/>
    <w:rsid w:val="2DC825C8"/>
    <w:rsid w:val="2DE32E5A"/>
    <w:rsid w:val="2DE5DD77"/>
    <w:rsid w:val="2DF07711"/>
    <w:rsid w:val="2E1D18FB"/>
    <w:rsid w:val="2E2FB218"/>
    <w:rsid w:val="2E2FE9ED"/>
    <w:rsid w:val="2E37063E"/>
    <w:rsid w:val="2E3FBFED"/>
    <w:rsid w:val="2E4104A2"/>
    <w:rsid w:val="2E706274"/>
    <w:rsid w:val="2E7235CB"/>
    <w:rsid w:val="2EA112D3"/>
    <w:rsid w:val="2EA6CD6D"/>
    <w:rsid w:val="2ECA0713"/>
    <w:rsid w:val="2ECFBF9D"/>
    <w:rsid w:val="2F41AC60"/>
    <w:rsid w:val="2F591DA6"/>
    <w:rsid w:val="2F644FC6"/>
    <w:rsid w:val="2F671D58"/>
    <w:rsid w:val="2F7B21F8"/>
    <w:rsid w:val="2F8039F5"/>
    <w:rsid w:val="2F9287D2"/>
    <w:rsid w:val="2F9C3A35"/>
    <w:rsid w:val="2FB904D5"/>
    <w:rsid w:val="2FBA7B3E"/>
    <w:rsid w:val="2FCBBA4E"/>
    <w:rsid w:val="300C32D5"/>
    <w:rsid w:val="300FA54B"/>
    <w:rsid w:val="30114C4A"/>
    <w:rsid w:val="3045218C"/>
    <w:rsid w:val="305E7003"/>
    <w:rsid w:val="3096C221"/>
    <w:rsid w:val="30BA92F6"/>
    <w:rsid w:val="30DCC7F0"/>
    <w:rsid w:val="30E90125"/>
    <w:rsid w:val="3106E9B2"/>
    <w:rsid w:val="3115F220"/>
    <w:rsid w:val="31167CE1"/>
    <w:rsid w:val="312248E5"/>
    <w:rsid w:val="315E0155"/>
    <w:rsid w:val="316C4F5D"/>
    <w:rsid w:val="317F78DA"/>
    <w:rsid w:val="31875053"/>
    <w:rsid w:val="3188BE06"/>
    <w:rsid w:val="31A67B07"/>
    <w:rsid w:val="31CC75CC"/>
    <w:rsid w:val="31E662D8"/>
    <w:rsid w:val="32013185"/>
    <w:rsid w:val="3216A208"/>
    <w:rsid w:val="3226884E"/>
    <w:rsid w:val="323D4085"/>
    <w:rsid w:val="32598721"/>
    <w:rsid w:val="32699008"/>
    <w:rsid w:val="326FF02E"/>
    <w:rsid w:val="3283B271"/>
    <w:rsid w:val="329C774A"/>
    <w:rsid w:val="32CE36AF"/>
    <w:rsid w:val="32DBE4A6"/>
    <w:rsid w:val="332C434A"/>
    <w:rsid w:val="3334763C"/>
    <w:rsid w:val="337A4DD6"/>
    <w:rsid w:val="33A5424C"/>
    <w:rsid w:val="33BA0E08"/>
    <w:rsid w:val="33BB07A8"/>
    <w:rsid w:val="33C6DAA6"/>
    <w:rsid w:val="33D407A5"/>
    <w:rsid w:val="34093D1C"/>
    <w:rsid w:val="3409C2FA"/>
    <w:rsid w:val="34860DD1"/>
    <w:rsid w:val="34977317"/>
    <w:rsid w:val="34A68672"/>
    <w:rsid w:val="34C71365"/>
    <w:rsid w:val="351663B0"/>
    <w:rsid w:val="351A7C22"/>
    <w:rsid w:val="357928B1"/>
    <w:rsid w:val="35C85F2A"/>
    <w:rsid w:val="35D04CB0"/>
    <w:rsid w:val="35F2EBBA"/>
    <w:rsid w:val="360F58AB"/>
    <w:rsid w:val="3617E574"/>
    <w:rsid w:val="3619AABA"/>
    <w:rsid w:val="36204594"/>
    <w:rsid w:val="364B4753"/>
    <w:rsid w:val="3670E1FE"/>
    <w:rsid w:val="3678503F"/>
    <w:rsid w:val="36D41592"/>
    <w:rsid w:val="36DACE81"/>
    <w:rsid w:val="37093FEF"/>
    <w:rsid w:val="370A59C3"/>
    <w:rsid w:val="370B88B3"/>
    <w:rsid w:val="37570B67"/>
    <w:rsid w:val="3770487B"/>
    <w:rsid w:val="37B1F585"/>
    <w:rsid w:val="37D50CDF"/>
    <w:rsid w:val="380E55B3"/>
    <w:rsid w:val="38475256"/>
    <w:rsid w:val="3854F6C1"/>
    <w:rsid w:val="38619F64"/>
    <w:rsid w:val="38A66704"/>
    <w:rsid w:val="38C26ECF"/>
    <w:rsid w:val="38C3D772"/>
    <w:rsid w:val="38CF240D"/>
    <w:rsid w:val="38DD3E45"/>
    <w:rsid w:val="38E430A7"/>
    <w:rsid w:val="38F3DCE0"/>
    <w:rsid w:val="38F8B335"/>
    <w:rsid w:val="390D1F0C"/>
    <w:rsid w:val="3931AF5D"/>
    <w:rsid w:val="3952409A"/>
    <w:rsid w:val="395C9DC0"/>
    <w:rsid w:val="396CCBD6"/>
    <w:rsid w:val="399899C5"/>
    <w:rsid w:val="39999A3C"/>
    <w:rsid w:val="39DC040B"/>
    <w:rsid w:val="3A31FB38"/>
    <w:rsid w:val="3A37B01A"/>
    <w:rsid w:val="3A4F907C"/>
    <w:rsid w:val="3A6A793F"/>
    <w:rsid w:val="3A800D60"/>
    <w:rsid w:val="3A8CE30A"/>
    <w:rsid w:val="3A906FDA"/>
    <w:rsid w:val="3AA7424B"/>
    <w:rsid w:val="3AEDEDAB"/>
    <w:rsid w:val="3AF2DC20"/>
    <w:rsid w:val="3B4BCB41"/>
    <w:rsid w:val="3B6C4E5C"/>
    <w:rsid w:val="3B6E4397"/>
    <w:rsid w:val="3B997A7A"/>
    <w:rsid w:val="3BBBA60F"/>
    <w:rsid w:val="3BC75F3B"/>
    <w:rsid w:val="3BF89172"/>
    <w:rsid w:val="3C2C403B"/>
    <w:rsid w:val="3C8EAC81"/>
    <w:rsid w:val="3C9DAC1A"/>
    <w:rsid w:val="3CB8984D"/>
    <w:rsid w:val="3CCA48B2"/>
    <w:rsid w:val="3CEAD820"/>
    <w:rsid w:val="3CEDA780"/>
    <w:rsid w:val="3CF690B2"/>
    <w:rsid w:val="3CF6B007"/>
    <w:rsid w:val="3D152F5D"/>
    <w:rsid w:val="3D187917"/>
    <w:rsid w:val="3D881CFE"/>
    <w:rsid w:val="3D9754FA"/>
    <w:rsid w:val="3D9D1944"/>
    <w:rsid w:val="3DACF001"/>
    <w:rsid w:val="3DCE8E5C"/>
    <w:rsid w:val="3DD12649"/>
    <w:rsid w:val="3DE608DD"/>
    <w:rsid w:val="3DF8429B"/>
    <w:rsid w:val="3E585A24"/>
    <w:rsid w:val="3E5BF3CF"/>
    <w:rsid w:val="3E5ECF67"/>
    <w:rsid w:val="3E836C03"/>
    <w:rsid w:val="3EA1457E"/>
    <w:rsid w:val="3EB7281B"/>
    <w:rsid w:val="3ED31F95"/>
    <w:rsid w:val="3EE178A7"/>
    <w:rsid w:val="3EFEDDE1"/>
    <w:rsid w:val="3F039890"/>
    <w:rsid w:val="3F056C5B"/>
    <w:rsid w:val="3F2A8ED0"/>
    <w:rsid w:val="3F2BEED7"/>
    <w:rsid w:val="3F2CCD9D"/>
    <w:rsid w:val="3F3B62CF"/>
    <w:rsid w:val="3F5E0699"/>
    <w:rsid w:val="3F81342A"/>
    <w:rsid w:val="3F8C24AD"/>
    <w:rsid w:val="3FC2A415"/>
    <w:rsid w:val="3FCE1879"/>
    <w:rsid w:val="3FDEC4EF"/>
    <w:rsid w:val="3FE22986"/>
    <w:rsid w:val="3FF06CD6"/>
    <w:rsid w:val="3FFCFEDB"/>
    <w:rsid w:val="40104F21"/>
    <w:rsid w:val="40585ED6"/>
    <w:rsid w:val="407F5C0C"/>
    <w:rsid w:val="408E004A"/>
    <w:rsid w:val="40AEE344"/>
    <w:rsid w:val="40C3A5D0"/>
    <w:rsid w:val="40CA9DC8"/>
    <w:rsid w:val="412A20E6"/>
    <w:rsid w:val="419D29A3"/>
    <w:rsid w:val="41B15FE2"/>
    <w:rsid w:val="41C4DA61"/>
    <w:rsid w:val="41D096DC"/>
    <w:rsid w:val="41D7F072"/>
    <w:rsid w:val="4204DC7B"/>
    <w:rsid w:val="42301B71"/>
    <w:rsid w:val="423532B1"/>
    <w:rsid w:val="424B9FAA"/>
    <w:rsid w:val="424D9326"/>
    <w:rsid w:val="42717BFD"/>
    <w:rsid w:val="4285A92F"/>
    <w:rsid w:val="42AB134F"/>
    <w:rsid w:val="42ADD248"/>
    <w:rsid w:val="42B49807"/>
    <w:rsid w:val="42B6663D"/>
    <w:rsid w:val="42B9C472"/>
    <w:rsid w:val="42CBB3BE"/>
    <w:rsid w:val="42D044CC"/>
    <w:rsid w:val="42FE5602"/>
    <w:rsid w:val="43138A8D"/>
    <w:rsid w:val="43544CA8"/>
    <w:rsid w:val="4355A0A1"/>
    <w:rsid w:val="437B8738"/>
    <w:rsid w:val="43BF018E"/>
    <w:rsid w:val="43C228FE"/>
    <w:rsid w:val="43F4120C"/>
    <w:rsid w:val="44591332"/>
    <w:rsid w:val="44C9DFD5"/>
    <w:rsid w:val="44E4551D"/>
    <w:rsid w:val="45104132"/>
    <w:rsid w:val="4537E6D1"/>
    <w:rsid w:val="4538FBCC"/>
    <w:rsid w:val="453EE779"/>
    <w:rsid w:val="45446978"/>
    <w:rsid w:val="454A4E6E"/>
    <w:rsid w:val="45652361"/>
    <w:rsid w:val="4565F5CB"/>
    <w:rsid w:val="457185BC"/>
    <w:rsid w:val="4592271A"/>
    <w:rsid w:val="45B97DB6"/>
    <w:rsid w:val="45BE0813"/>
    <w:rsid w:val="45BEF509"/>
    <w:rsid w:val="45DB1C69"/>
    <w:rsid w:val="45E40B9B"/>
    <w:rsid w:val="45EDEEE9"/>
    <w:rsid w:val="460567D4"/>
    <w:rsid w:val="46103A86"/>
    <w:rsid w:val="461D769C"/>
    <w:rsid w:val="4628E257"/>
    <w:rsid w:val="463C005E"/>
    <w:rsid w:val="463DCE33"/>
    <w:rsid w:val="46408EB2"/>
    <w:rsid w:val="4645BF8C"/>
    <w:rsid w:val="46581E2D"/>
    <w:rsid w:val="465F00A4"/>
    <w:rsid w:val="466464A3"/>
    <w:rsid w:val="466D8DE3"/>
    <w:rsid w:val="467D8D00"/>
    <w:rsid w:val="46884779"/>
    <w:rsid w:val="46A5AE44"/>
    <w:rsid w:val="46B05F94"/>
    <w:rsid w:val="46BBEA58"/>
    <w:rsid w:val="46EA7ACA"/>
    <w:rsid w:val="46FE797F"/>
    <w:rsid w:val="471723FD"/>
    <w:rsid w:val="4734C7AC"/>
    <w:rsid w:val="4735E7EA"/>
    <w:rsid w:val="473DA83B"/>
    <w:rsid w:val="4763619A"/>
    <w:rsid w:val="4769187E"/>
    <w:rsid w:val="4777009F"/>
    <w:rsid w:val="478EA53A"/>
    <w:rsid w:val="4794BCC1"/>
    <w:rsid w:val="47B84CE5"/>
    <w:rsid w:val="47CE356E"/>
    <w:rsid w:val="47F0D1D8"/>
    <w:rsid w:val="481F7D25"/>
    <w:rsid w:val="4827BB59"/>
    <w:rsid w:val="48716256"/>
    <w:rsid w:val="489AAE29"/>
    <w:rsid w:val="489D6640"/>
    <w:rsid w:val="48B81A42"/>
    <w:rsid w:val="48CE5B03"/>
    <w:rsid w:val="48CFFE36"/>
    <w:rsid w:val="4904E8DF"/>
    <w:rsid w:val="491AB625"/>
    <w:rsid w:val="4932DFB3"/>
    <w:rsid w:val="493812AB"/>
    <w:rsid w:val="4949F0BB"/>
    <w:rsid w:val="494A050A"/>
    <w:rsid w:val="495089C8"/>
    <w:rsid w:val="495D1E76"/>
    <w:rsid w:val="498CF5DF"/>
    <w:rsid w:val="498F1B34"/>
    <w:rsid w:val="49B4E3D3"/>
    <w:rsid w:val="49D2CBBD"/>
    <w:rsid w:val="49D367B2"/>
    <w:rsid w:val="4A0C4FD1"/>
    <w:rsid w:val="4A118883"/>
    <w:rsid w:val="4A119C3C"/>
    <w:rsid w:val="4A5AD57F"/>
    <w:rsid w:val="4A68C483"/>
    <w:rsid w:val="4A70225E"/>
    <w:rsid w:val="4A77BF54"/>
    <w:rsid w:val="4A91E369"/>
    <w:rsid w:val="4A93AD49"/>
    <w:rsid w:val="4AA3D37B"/>
    <w:rsid w:val="4AB9A9C8"/>
    <w:rsid w:val="4AD3E30C"/>
    <w:rsid w:val="4B44F07D"/>
    <w:rsid w:val="4B9EAB3D"/>
    <w:rsid w:val="4BBC91F6"/>
    <w:rsid w:val="4BD36E89"/>
    <w:rsid w:val="4BDC14F7"/>
    <w:rsid w:val="4BEBDCE9"/>
    <w:rsid w:val="4BF5482F"/>
    <w:rsid w:val="4C050669"/>
    <w:rsid w:val="4C12135B"/>
    <w:rsid w:val="4C2140AA"/>
    <w:rsid w:val="4C2E6844"/>
    <w:rsid w:val="4C36D2BD"/>
    <w:rsid w:val="4C3B2774"/>
    <w:rsid w:val="4C5A6E3B"/>
    <w:rsid w:val="4C8AAA01"/>
    <w:rsid w:val="4C9050ED"/>
    <w:rsid w:val="4C9F7755"/>
    <w:rsid w:val="4CAE6EC4"/>
    <w:rsid w:val="4CE8134B"/>
    <w:rsid w:val="4D058534"/>
    <w:rsid w:val="4D17D7AA"/>
    <w:rsid w:val="4D1F9B47"/>
    <w:rsid w:val="4D23A977"/>
    <w:rsid w:val="4D2DAA66"/>
    <w:rsid w:val="4D2DCD6E"/>
    <w:rsid w:val="4D3CA438"/>
    <w:rsid w:val="4D57BACF"/>
    <w:rsid w:val="4D712DBD"/>
    <w:rsid w:val="4D9B4304"/>
    <w:rsid w:val="4DE0A8EA"/>
    <w:rsid w:val="4E0B9D27"/>
    <w:rsid w:val="4E2305D3"/>
    <w:rsid w:val="4E28B7A8"/>
    <w:rsid w:val="4E6D3260"/>
    <w:rsid w:val="4E7B2EC1"/>
    <w:rsid w:val="4E8B96AF"/>
    <w:rsid w:val="4EB4FFF7"/>
    <w:rsid w:val="4EC7863D"/>
    <w:rsid w:val="4ED0334F"/>
    <w:rsid w:val="4F12221C"/>
    <w:rsid w:val="4F172E63"/>
    <w:rsid w:val="4F222AAD"/>
    <w:rsid w:val="4F25CAF9"/>
    <w:rsid w:val="4F3BFFD8"/>
    <w:rsid w:val="4F5A96E9"/>
    <w:rsid w:val="4F5D9476"/>
    <w:rsid w:val="4F671E6C"/>
    <w:rsid w:val="4F883880"/>
    <w:rsid w:val="4F9831A6"/>
    <w:rsid w:val="4FCDECF7"/>
    <w:rsid w:val="4FED7FC9"/>
    <w:rsid w:val="506BCFD0"/>
    <w:rsid w:val="50838ED9"/>
    <w:rsid w:val="50BB7D71"/>
    <w:rsid w:val="50D96B4E"/>
    <w:rsid w:val="50D9DF3B"/>
    <w:rsid w:val="50E58A94"/>
    <w:rsid w:val="511ABC65"/>
    <w:rsid w:val="5133774B"/>
    <w:rsid w:val="5166C1B7"/>
    <w:rsid w:val="517E360E"/>
    <w:rsid w:val="51A47A5E"/>
    <w:rsid w:val="51FED3E7"/>
    <w:rsid w:val="521104F2"/>
    <w:rsid w:val="526E1CAF"/>
    <w:rsid w:val="52ABCB25"/>
    <w:rsid w:val="52B40CE1"/>
    <w:rsid w:val="52C21001"/>
    <w:rsid w:val="52E526A7"/>
    <w:rsid w:val="52FFF7BA"/>
    <w:rsid w:val="5322F3CC"/>
    <w:rsid w:val="53494EBD"/>
    <w:rsid w:val="535B3BE9"/>
    <w:rsid w:val="5360A748"/>
    <w:rsid w:val="536F259C"/>
    <w:rsid w:val="5374F929"/>
    <w:rsid w:val="537A2F98"/>
    <w:rsid w:val="5388391A"/>
    <w:rsid w:val="538C6ED5"/>
    <w:rsid w:val="53B057C6"/>
    <w:rsid w:val="53C35C12"/>
    <w:rsid w:val="53CA1CD8"/>
    <w:rsid w:val="53E74F15"/>
    <w:rsid w:val="53E7A21C"/>
    <w:rsid w:val="53EC0EFA"/>
    <w:rsid w:val="53F43E66"/>
    <w:rsid w:val="540008B7"/>
    <w:rsid w:val="54155FEB"/>
    <w:rsid w:val="541D8ADA"/>
    <w:rsid w:val="5460A5B1"/>
    <w:rsid w:val="5472338B"/>
    <w:rsid w:val="54911C87"/>
    <w:rsid w:val="54975246"/>
    <w:rsid w:val="54B0FE5F"/>
    <w:rsid w:val="54B582CE"/>
    <w:rsid w:val="54CE9C8E"/>
    <w:rsid w:val="54E38593"/>
    <w:rsid w:val="550D3C9F"/>
    <w:rsid w:val="552A9A72"/>
    <w:rsid w:val="555F2C73"/>
    <w:rsid w:val="5574A0CC"/>
    <w:rsid w:val="5585035D"/>
    <w:rsid w:val="55AB21F8"/>
    <w:rsid w:val="55BC4356"/>
    <w:rsid w:val="55E948C7"/>
    <w:rsid w:val="55F46D06"/>
    <w:rsid w:val="5618A333"/>
    <w:rsid w:val="56326DD6"/>
    <w:rsid w:val="5645DB9D"/>
    <w:rsid w:val="5659A3FB"/>
    <w:rsid w:val="56B734D5"/>
    <w:rsid w:val="56B7459E"/>
    <w:rsid w:val="56C3E0E1"/>
    <w:rsid w:val="56CE59D4"/>
    <w:rsid w:val="56CF2816"/>
    <w:rsid w:val="56DED943"/>
    <w:rsid w:val="570808C7"/>
    <w:rsid w:val="5719878D"/>
    <w:rsid w:val="5737473C"/>
    <w:rsid w:val="57427FEC"/>
    <w:rsid w:val="576C6537"/>
    <w:rsid w:val="5794CBF2"/>
    <w:rsid w:val="57F36934"/>
    <w:rsid w:val="57FB3029"/>
    <w:rsid w:val="580BEB86"/>
    <w:rsid w:val="581E4654"/>
    <w:rsid w:val="582BE897"/>
    <w:rsid w:val="58435260"/>
    <w:rsid w:val="5854E167"/>
    <w:rsid w:val="58624DEE"/>
    <w:rsid w:val="58721C16"/>
    <w:rsid w:val="58778331"/>
    <w:rsid w:val="588DC096"/>
    <w:rsid w:val="589EB8AE"/>
    <w:rsid w:val="58C01D0D"/>
    <w:rsid w:val="58D7318C"/>
    <w:rsid w:val="58ECCBA1"/>
    <w:rsid w:val="5914C5C3"/>
    <w:rsid w:val="592A01B9"/>
    <w:rsid w:val="592D0854"/>
    <w:rsid w:val="594DC32D"/>
    <w:rsid w:val="5979C863"/>
    <w:rsid w:val="59834092"/>
    <w:rsid w:val="5A2C64A1"/>
    <w:rsid w:val="5A2E013A"/>
    <w:rsid w:val="5A2F7248"/>
    <w:rsid w:val="5A4048A7"/>
    <w:rsid w:val="5A419FC2"/>
    <w:rsid w:val="5A4727A3"/>
    <w:rsid w:val="5A512689"/>
    <w:rsid w:val="5A6FDFC4"/>
    <w:rsid w:val="5B0D244E"/>
    <w:rsid w:val="5B18DEBF"/>
    <w:rsid w:val="5B21C158"/>
    <w:rsid w:val="5B2DD912"/>
    <w:rsid w:val="5B4252A1"/>
    <w:rsid w:val="5B4822B5"/>
    <w:rsid w:val="5B491FBF"/>
    <w:rsid w:val="5B4CA5ED"/>
    <w:rsid w:val="5B6ADF04"/>
    <w:rsid w:val="5B940A10"/>
    <w:rsid w:val="5B99D242"/>
    <w:rsid w:val="5BAD9FCB"/>
    <w:rsid w:val="5BB37C0D"/>
    <w:rsid w:val="5C041448"/>
    <w:rsid w:val="5C1C9E1A"/>
    <w:rsid w:val="5C5CA780"/>
    <w:rsid w:val="5C7FD029"/>
    <w:rsid w:val="5C82C581"/>
    <w:rsid w:val="5CA1B3C5"/>
    <w:rsid w:val="5D13D5E1"/>
    <w:rsid w:val="5D200B74"/>
    <w:rsid w:val="5D8D503A"/>
    <w:rsid w:val="5D95F6A8"/>
    <w:rsid w:val="5DCDF1FE"/>
    <w:rsid w:val="5DD10960"/>
    <w:rsid w:val="5DDBE22F"/>
    <w:rsid w:val="5DF3ADF5"/>
    <w:rsid w:val="5E0B20D0"/>
    <w:rsid w:val="5E1C5667"/>
    <w:rsid w:val="5E608E5E"/>
    <w:rsid w:val="5E80959E"/>
    <w:rsid w:val="5EA23B68"/>
    <w:rsid w:val="5EA516A4"/>
    <w:rsid w:val="5EDEA2A9"/>
    <w:rsid w:val="5EF66246"/>
    <w:rsid w:val="5F048835"/>
    <w:rsid w:val="5F1C9334"/>
    <w:rsid w:val="5F2A9489"/>
    <w:rsid w:val="5F4FDE40"/>
    <w:rsid w:val="5F5A818A"/>
    <w:rsid w:val="5F703A70"/>
    <w:rsid w:val="5F70CAE7"/>
    <w:rsid w:val="5F752EC1"/>
    <w:rsid w:val="5F8F060E"/>
    <w:rsid w:val="5FB72476"/>
    <w:rsid w:val="5FD789B4"/>
    <w:rsid w:val="5FFE102A"/>
    <w:rsid w:val="601946CF"/>
    <w:rsid w:val="60295839"/>
    <w:rsid w:val="6045B9B5"/>
    <w:rsid w:val="60679BB4"/>
    <w:rsid w:val="6067D83E"/>
    <w:rsid w:val="6092A230"/>
    <w:rsid w:val="609F1530"/>
    <w:rsid w:val="60D68C10"/>
    <w:rsid w:val="60F362F3"/>
    <w:rsid w:val="611382F1"/>
    <w:rsid w:val="612E0C14"/>
    <w:rsid w:val="61334C66"/>
    <w:rsid w:val="613A1C66"/>
    <w:rsid w:val="6162C171"/>
    <w:rsid w:val="616D21F9"/>
    <w:rsid w:val="61A93848"/>
    <w:rsid w:val="61C54475"/>
    <w:rsid w:val="61C931B9"/>
    <w:rsid w:val="61CD55BB"/>
    <w:rsid w:val="61D1EF3D"/>
    <w:rsid w:val="61F3EF09"/>
    <w:rsid w:val="6200AD80"/>
    <w:rsid w:val="62087B60"/>
    <w:rsid w:val="6259675E"/>
    <w:rsid w:val="627355CC"/>
    <w:rsid w:val="6288C0E3"/>
    <w:rsid w:val="630416BD"/>
    <w:rsid w:val="63386D72"/>
    <w:rsid w:val="6360EB5D"/>
    <w:rsid w:val="63872037"/>
    <w:rsid w:val="63872290"/>
    <w:rsid w:val="639C8985"/>
    <w:rsid w:val="63D1A9E9"/>
    <w:rsid w:val="63E53227"/>
    <w:rsid w:val="63EEA9BE"/>
    <w:rsid w:val="64249144"/>
    <w:rsid w:val="6431FB56"/>
    <w:rsid w:val="64560D07"/>
    <w:rsid w:val="64C81C8C"/>
    <w:rsid w:val="64D815B2"/>
    <w:rsid w:val="64E9BC8A"/>
    <w:rsid w:val="64EA4FEE"/>
    <w:rsid w:val="652BFF10"/>
    <w:rsid w:val="6537F413"/>
    <w:rsid w:val="65637DEE"/>
    <w:rsid w:val="6570902B"/>
    <w:rsid w:val="657E5ECA"/>
    <w:rsid w:val="6597A822"/>
    <w:rsid w:val="65BCB633"/>
    <w:rsid w:val="65C8B993"/>
    <w:rsid w:val="65E64D2D"/>
    <w:rsid w:val="65E6F414"/>
    <w:rsid w:val="65FB649D"/>
    <w:rsid w:val="662AAD37"/>
    <w:rsid w:val="666B5A75"/>
    <w:rsid w:val="667311F8"/>
    <w:rsid w:val="6679DC37"/>
    <w:rsid w:val="667F10EC"/>
    <w:rsid w:val="6685A089"/>
    <w:rsid w:val="66A09466"/>
    <w:rsid w:val="66ACE1A7"/>
    <w:rsid w:val="66B2D055"/>
    <w:rsid w:val="66C272F8"/>
    <w:rsid w:val="66CE2D80"/>
    <w:rsid w:val="67134A71"/>
    <w:rsid w:val="6738AE1A"/>
    <w:rsid w:val="67445E77"/>
    <w:rsid w:val="67561E05"/>
    <w:rsid w:val="67639A0A"/>
    <w:rsid w:val="676B46CD"/>
    <w:rsid w:val="6770AEC8"/>
    <w:rsid w:val="679FFFB4"/>
    <w:rsid w:val="67B866C3"/>
    <w:rsid w:val="67D199D4"/>
    <w:rsid w:val="67F66A89"/>
    <w:rsid w:val="6806CF95"/>
    <w:rsid w:val="680C2CFA"/>
    <w:rsid w:val="680FAE37"/>
    <w:rsid w:val="68274B3A"/>
    <w:rsid w:val="682C763E"/>
    <w:rsid w:val="68606663"/>
    <w:rsid w:val="687052B5"/>
    <w:rsid w:val="6870B616"/>
    <w:rsid w:val="6882F333"/>
    <w:rsid w:val="68A075A9"/>
    <w:rsid w:val="68AFCBEB"/>
    <w:rsid w:val="68B29B17"/>
    <w:rsid w:val="68DBE014"/>
    <w:rsid w:val="68DE18CD"/>
    <w:rsid w:val="68E561E1"/>
    <w:rsid w:val="68E7EFEC"/>
    <w:rsid w:val="6916BD95"/>
    <w:rsid w:val="6927D1FE"/>
    <w:rsid w:val="6937A7D7"/>
    <w:rsid w:val="6955AD52"/>
    <w:rsid w:val="695ACDA6"/>
    <w:rsid w:val="695CEBF3"/>
    <w:rsid w:val="69692E62"/>
    <w:rsid w:val="697436AB"/>
    <w:rsid w:val="69A18DEC"/>
    <w:rsid w:val="69B343E5"/>
    <w:rsid w:val="69CA03CA"/>
    <w:rsid w:val="69E869F2"/>
    <w:rsid w:val="69F4841D"/>
    <w:rsid w:val="6A0BCB09"/>
    <w:rsid w:val="6A187057"/>
    <w:rsid w:val="6A19BF3E"/>
    <w:rsid w:val="6A1C36D0"/>
    <w:rsid w:val="6A283F74"/>
    <w:rsid w:val="6A4AEB33"/>
    <w:rsid w:val="6A4B4A6B"/>
    <w:rsid w:val="6A61CB98"/>
    <w:rsid w:val="6A6AE4AA"/>
    <w:rsid w:val="6ACC8224"/>
    <w:rsid w:val="6ADD1D79"/>
    <w:rsid w:val="6B258D7D"/>
    <w:rsid w:val="6B3139A9"/>
    <w:rsid w:val="6B3928D0"/>
    <w:rsid w:val="6B3DC655"/>
    <w:rsid w:val="6B474EF9"/>
    <w:rsid w:val="6B4BE025"/>
    <w:rsid w:val="6B53CE92"/>
    <w:rsid w:val="6B7EFC9D"/>
    <w:rsid w:val="6BAF21D8"/>
    <w:rsid w:val="6BC40FD5"/>
    <w:rsid w:val="6BDF2AA8"/>
    <w:rsid w:val="6BEAD867"/>
    <w:rsid w:val="6C030C85"/>
    <w:rsid w:val="6C1AE407"/>
    <w:rsid w:val="6C3822D5"/>
    <w:rsid w:val="6C3E2E96"/>
    <w:rsid w:val="6C3EB7F0"/>
    <w:rsid w:val="6C578ABA"/>
    <w:rsid w:val="6C5E18AE"/>
    <w:rsid w:val="6C6ABB86"/>
    <w:rsid w:val="6C6B0E12"/>
    <w:rsid w:val="6C80BFA5"/>
    <w:rsid w:val="6CA548FF"/>
    <w:rsid w:val="6CA7E3E4"/>
    <w:rsid w:val="6CB10D47"/>
    <w:rsid w:val="6CE33CB6"/>
    <w:rsid w:val="6CE87C2F"/>
    <w:rsid w:val="6D141C93"/>
    <w:rsid w:val="6D1D3777"/>
    <w:rsid w:val="6D4ED20E"/>
    <w:rsid w:val="6DE89162"/>
    <w:rsid w:val="6DEDAFDB"/>
    <w:rsid w:val="6E4857A4"/>
    <w:rsid w:val="6E6B9F75"/>
    <w:rsid w:val="6E756717"/>
    <w:rsid w:val="6E8B59E8"/>
    <w:rsid w:val="6EA9CB66"/>
    <w:rsid w:val="6ECA94A1"/>
    <w:rsid w:val="6ED67865"/>
    <w:rsid w:val="6F06587B"/>
    <w:rsid w:val="6F3647FF"/>
    <w:rsid w:val="6F40B27A"/>
    <w:rsid w:val="6F5343E1"/>
    <w:rsid w:val="6FA9A318"/>
    <w:rsid w:val="6FACEE4A"/>
    <w:rsid w:val="6FE128CF"/>
    <w:rsid w:val="6FFE2327"/>
    <w:rsid w:val="70082450"/>
    <w:rsid w:val="7091E544"/>
    <w:rsid w:val="70BD5C67"/>
    <w:rsid w:val="70D21860"/>
    <w:rsid w:val="70DA5AC9"/>
    <w:rsid w:val="70DFDCDA"/>
    <w:rsid w:val="70E111D1"/>
    <w:rsid w:val="71230D61"/>
    <w:rsid w:val="7124848A"/>
    <w:rsid w:val="712B02C5"/>
    <w:rsid w:val="713B7412"/>
    <w:rsid w:val="713C5FE3"/>
    <w:rsid w:val="714ACBE7"/>
    <w:rsid w:val="717928EF"/>
    <w:rsid w:val="71C843CB"/>
    <w:rsid w:val="71E1CB59"/>
    <w:rsid w:val="72268CB0"/>
    <w:rsid w:val="7260DD6B"/>
    <w:rsid w:val="7268E96A"/>
    <w:rsid w:val="726B6ADB"/>
    <w:rsid w:val="7281C13C"/>
    <w:rsid w:val="72AC4EBF"/>
    <w:rsid w:val="72AFB00D"/>
    <w:rsid w:val="72AFCDFA"/>
    <w:rsid w:val="72B49020"/>
    <w:rsid w:val="72BE141B"/>
    <w:rsid w:val="72E4B387"/>
    <w:rsid w:val="72F647B9"/>
    <w:rsid w:val="731AD257"/>
    <w:rsid w:val="73294798"/>
    <w:rsid w:val="733FECA5"/>
    <w:rsid w:val="7350EAA3"/>
    <w:rsid w:val="737729DB"/>
    <w:rsid w:val="737BC2AF"/>
    <w:rsid w:val="7381FF20"/>
    <w:rsid w:val="73994661"/>
    <w:rsid w:val="73E9F9AF"/>
    <w:rsid w:val="745AAD5A"/>
    <w:rsid w:val="745E810B"/>
    <w:rsid w:val="749CD46D"/>
    <w:rsid w:val="755BB27E"/>
    <w:rsid w:val="756FCD35"/>
    <w:rsid w:val="757599FF"/>
    <w:rsid w:val="758B5E71"/>
    <w:rsid w:val="759E2C33"/>
    <w:rsid w:val="75BB12C4"/>
    <w:rsid w:val="75E0BEC5"/>
    <w:rsid w:val="7603F3B9"/>
    <w:rsid w:val="76051690"/>
    <w:rsid w:val="761E5622"/>
    <w:rsid w:val="76239984"/>
    <w:rsid w:val="762A8D21"/>
    <w:rsid w:val="764A92A2"/>
    <w:rsid w:val="766A5E10"/>
    <w:rsid w:val="767AC8DB"/>
    <w:rsid w:val="767C9318"/>
    <w:rsid w:val="768C8F99"/>
    <w:rsid w:val="76B6257E"/>
    <w:rsid w:val="76BF2C46"/>
    <w:rsid w:val="76DC55AD"/>
    <w:rsid w:val="76F9BA06"/>
    <w:rsid w:val="76FD7F65"/>
    <w:rsid w:val="7710A516"/>
    <w:rsid w:val="7719FC4F"/>
    <w:rsid w:val="771B6176"/>
    <w:rsid w:val="774D754F"/>
    <w:rsid w:val="775A2A8D"/>
    <w:rsid w:val="775D8F5A"/>
    <w:rsid w:val="77BEAA9A"/>
    <w:rsid w:val="77D4746F"/>
    <w:rsid w:val="77D58FAE"/>
    <w:rsid w:val="77DEDF3F"/>
    <w:rsid w:val="781138C7"/>
    <w:rsid w:val="782D974E"/>
    <w:rsid w:val="783F6E9C"/>
    <w:rsid w:val="7850ADAC"/>
    <w:rsid w:val="787B3E8A"/>
    <w:rsid w:val="7883D3AC"/>
    <w:rsid w:val="7886A950"/>
    <w:rsid w:val="78958A67"/>
    <w:rsid w:val="7896F462"/>
    <w:rsid w:val="78EB62BB"/>
    <w:rsid w:val="78F102C0"/>
    <w:rsid w:val="78F27AC3"/>
    <w:rsid w:val="79183A50"/>
    <w:rsid w:val="792EAE38"/>
    <w:rsid w:val="794A6F38"/>
    <w:rsid w:val="7951D568"/>
    <w:rsid w:val="7953AD11"/>
    <w:rsid w:val="798607FE"/>
    <w:rsid w:val="7991C7A5"/>
    <w:rsid w:val="79B51B14"/>
    <w:rsid w:val="79E222E3"/>
    <w:rsid w:val="7A340B11"/>
    <w:rsid w:val="7A4ACB79"/>
    <w:rsid w:val="7A4FE0A9"/>
    <w:rsid w:val="7A616A5E"/>
    <w:rsid w:val="7A737672"/>
    <w:rsid w:val="7A7B7896"/>
    <w:rsid w:val="7A7D8C31"/>
    <w:rsid w:val="7AA66DFB"/>
    <w:rsid w:val="7AA721BD"/>
    <w:rsid w:val="7B2CC950"/>
    <w:rsid w:val="7B5F5AD9"/>
    <w:rsid w:val="7B695B86"/>
    <w:rsid w:val="7B71B6CE"/>
    <w:rsid w:val="7B8BAF02"/>
    <w:rsid w:val="7B957A75"/>
    <w:rsid w:val="7B9F7866"/>
    <w:rsid w:val="7BB790A8"/>
    <w:rsid w:val="7BD1A220"/>
    <w:rsid w:val="7BDA725A"/>
    <w:rsid w:val="7BE41639"/>
    <w:rsid w:val="7BFD60A4"/>
    <w:rsid w:val="7C27EB8D"/>
    <w:rsid w:val="7CA18138"/>
    <w:rsid w:val="7CC37DD2"/>
    <w:rsid w:val="7D0E4533"/>
    <w:rsid w:val="7D3B48C7"/>
    <w:rsid w:val="7D5E4B7D"/>
    <w:rsid w:val="7D6D8E33"/>
    <w:rsid w:val="7D865B07"/>
    <w:rsid w:val="7DBA7305"/>
    <w:rsid w:val="7DC8F12A"/>
    <w:rsid w:val="7DDDAD1B"/>
    <w:rsid w:val="7DDF7144"/>
    <w:rsid w:val="7DF5974D"/>
    <w:rsid w:val="7E05F571"/>
    <w:rsid w:val="7E3E6545"/>
    <w:rsid w:val="7E56D325"/>
    <w:rsid w:val="7E630F79"/>
    <w:rsid w:val="7E79522F"/>
    <w:rsid w:val="7E8D1699"/>
    <w:rsid w:val="7E9766E1"/>
    <w:rsid w:val="7E9D0948"/>
    <w:rsid w:val="7EC99BFC"/>
    <w:rsid w:val="7EEBE75B"/>
    <w:rsid w:val="7EEBE80C"/>
    <w:rsid w:val="7F3114E5"/>
    <w:rsid w:val="7F4123AB"/>
    <w:rsid w:val="7F467FF1"/>
    <w:rsid w:val="7F6AA32E"/>
    <w:rsid w:val="7F853A8E"/>
    <w:rsid w:val="7F9E7516"/>
    <w:rsid w:val="7FBE52F5"/>
    <w:rsid w:val="7FCBB1EF"/>
    <w:rsid w:val="7FD8712C"/>
    <w:rsid w:val="7FDBCBF4"/>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1C6155"/>
  <w15:chartTrackingRefBased/>
  <w15:docId w15:val="{5DE9B860-C1F3-488B-AC2E-21BCCC31E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645"/>
    <w:pPr>
      <w:spacing w:after="160" w:line="259" w:lineRule="auto"/>
    </w:pPr>
    <w:rPr>
      <w:sz w:val="22"/>
      <w:szCs w:val="22"/>
      <w:lang w:val="fr-FR"/>
    </w:rPr>
  </w:style>
  <w:style w:type="paragraph" w:styleId="Titre1">
    <w:name w:val="heading 1"/>
    <w:basedOn w:val="Normal"/>
    <w:next w:val="Normal"/>
    <w:link w:val="Titre1Car"/>
    <w:uiPriority w:val="9"/>
    <w:qFormat/>
    <w:rsid w:val="00AF49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113645"/>
    <w:pPr>
      <w:keepNext/>
      <w:keepLines/>
      <w:spacing w:before="40" w:after="120" w:line="240" w:lineRule="auto"/>
      <w:outlineLvl w:val="1"/>
    </w:pPr>
    <w:rPr>
      <w:rFonts w:ascii="Calibri Light" w:eastAsia="Times New Roman" w:hAnsi="Calibri Light"/>
      <w:bCs/>
      <w:color w:val="2F5496"/>
      <w:sz w:val="26"/>
      <w:szCs w:val="26"/>
      <w:lang w:val="fr"/>
    </w:rPr>
  </w:style>
  <w:style w:type="paragraph" w:styleId="Titre3">
    <w:name w:val="heading 3"/>
    <w:basedOn w:val="Normal"/>
    <w:next w:val="Normal"/>
    <w:link w:val="Titre3Car"/>
    <w:uiPriority w:val="9"/>
    <w:semiHidden/>
    <w:unhideWhenUsed/>
    <w:qFormat/>
    <w:rsid w:val="00094E8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5366"/>
    <w:pPr>
      <w:tabs>
        <w:tab w:val="center" w:pos="4536"/>
        <w:tab w:val="right" w:pos="9072"/>
      </w:tabs>
      <w:spacing w:after="0" w:line="240" w:lineRule="auto"/>
    </w:pPr>
  </w:style>
  <w:style w:type="character" w:customStyle="1" w:styleId="En-tteCar">
    <w:name w:val="En-tête Car"/>
    <w:basedOn w:val="Policepardfaut"/>
    <w:link w:val="En-tte"/>
    <w:uiPriority w:val="99"/>
    <w:rsid w:val="00725366"/>
  </w:style>
  <w:style w:type="paragraph" w:styleId="Pieddepage">
    <w:name w:val="footer"/>
    <w:basedOn w:val="Normal"/>
    <w:link w:val="PieddepageCar"/>
    <w:uiPriority w:val="99"/>
    <w:unhideWhenUsed/>
    <w:rsid w:val="0072536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5366"/>
  </w:style>
  <w:style w:type="paragraph" w:styleId="Paragraphedeliste">
    <w:name w:val="List Paragraph"/>
    <w:aliases w:val="List Paragraph (numbered (a)),References,Listes,List Paragraph1,WB Para,Bullets,normal,Normal1,Normal2,Normal3,Normal4,Normal5,Normal6,Normal7,Normal11,Titre 7 Car1,Paragraphe de liste Car Car,Titre 7 Car1 Car Car,Titre1,Retrait"/>
    <w:basedOn w:val="Normal"/>
    <w:link w:val="ParagraphedelisteCar"/>
    <w:uiPriority w:val="34"/>
    <w:qFormat/>
    <w:rsid w:val="00725366"/>
    <w:pPr>
      <w:ind w:left="720"/>
      <w:contextualSpacing/>
    </w:pPr>
  </w:style>
  <w:style w:type="paragraph" w:customStyle="1" w:styleId="footnotedescription">
    <w:name w:val="footnote description"/>
    <w:next w:val="Normal"/>
    <w:link w:val="footnotedescriptionChar"/>
    <w:hidden/>
    <w:rsid w:val="00113645"/>
    <w:pPr>
      <w:spacing w:line="259" w:lineRule="auto"/>
      <w:ind w:right="42"/>
      <w:jc w:val="both"/>
    </w:pPr>
    <w:rPr>
      <w:rFonts w:cs="Calibri"/>
      <w:color w:val="000000"/>
      <w:sz w:val="18"/>
      <w:szCs w:val="22"/>
      <w:lang w:val="fr-FR" w:eastAsia="fr-FR"/>
    </w:rPr>
  </w:style>
  <w:style w:type="character" w:customStyle="1" w:styleId="footnotedescriptionChar">
    <w:name w:val="footnote description Char"/>
    <w:link w:val="footnotedescription"/>
    <w:rsid w:val="00DF5246"/>
    <w:rPr>
      <w:rFonts w:cs="Calibri"/>
      <w:color w:val="000000"/>
      <w:sz w:val="18"/>
      <w:szCs w:val="22"/>
      <w:lang w:val="fr-FR" w:eastAsia="fr-FR"/>
    </w:rPr>
  </w:style>
  <w:style w:type="character" w:customStyle="1" w:styleId="footnotemark">
    <w:name w:val="footnote mark"/>
    <w:hidden/>
    <w:rsid w:val="00DF5246"/>
    <w:rPr>
      <w:rFonts w:ascii="Calibri" w:eastAsia="Calibri" w:hAnsi="Calibri" w:cs="Calibri"/>
      <w:color w:val="000000"/>
      <w:sz w:val="18"/>
      <w:vertAlign w:val="superscript"/>
    </w:rPr>
  </w:style>
  <w:style w:type="paragraph" w:styleId="Textedebulles">
    <w:name w:val="Balloon Text"/>
    <w:basedOn w:val="Normal"/>
    <w:link w:val="TextedebullesCar"/>
    <w:uiPriority w:val="99"/>
    <w:semiHidden/>
    <w:unhideWhenUsed/>
    <w:rsid w:val="001D10FE"/>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D10FE"/>
    <w:rPr>
      <w:rFonts w:ascii="Segoe UI" w:hAnsi="Segoe UI" w:cs="Segoe UI"/>
      <w:sz w:val="18"/>
      <w:szCs w:val="18"/>
    </w:rPr>
  </w:style>
  <w:style w:type="paragraph" w:customStyle="1" w:styleId="Default">
    <w:name w:val="Default"/>
    <w:rsid w:val="00113645"/>
    <w:pPr>
      <w:autoSpaceDE w:val="0"/>
      <w:autoSpaceDN w:val="0"/>
      <w:adjustRightInd w:val="0"/>
    </w:pPr>
    <w:rPr>
      <w:rFonts w:cs="Calibri"/>
      <w:color w:val="000000"/>
      <w:sz w:val="24"/>
      <w:szCs w:val="24"/>
      <w:lang w:val="fr-FR"/>
    </w:rPr>
  </w:style>
  <w:style w:type="table" w:styleId="Grilledutableau">
    <w:name w:val="Table Grid"/>
    <w:basedOn w:val="TableauNormal"/>
    <w:uiPriority w:val="39"/>
    <w:rsid w:val="003158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1">
    <w:name w:val="Plain Table 1"/>
    <w:basedOn w:val="TableauNormal"/>
    <w:uiPriority w:val="41"/>
    <w:rsid w:val="008B127B"/>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Lienhypertexte">
    <w:name w:val="Hyperlink"/>
    <w:uiPriority w:val="99"/>
    <w:unhideWhenUsed/>
    <w:rsid w:val="00113645"/>
    <w:rPr>
      <w:color w:val="0563C1"/>
      <w:u w:val="single"/>
    </w:rPr>
  </w:style>
  <w:style w:type="character" w:customStyle="1" w:styleId="UnresolvedMention1">
    <w:name w:val="Unresolved Mention1"/>
    <w:uiPriority w:val="99"/>
    <w:semiHidden/>
    <w:unhideWhenUsed/>
    <w:rsid w:val="00DE2835"/>
    <w:rPr>
      <w:color w:val="605E5C"/>
      <w:shd w:val="clear" w:color="auto" w:fill="E1DFDD"/>
    </w:rPr>
  </w:style>
  <w:style w:type="paragraph" w:styleId="NormalWeb">
    <w:name w:val="Normal (Web)"/>
    <w:basedOn w:val="Normal"/>
    <w:uiPriority w:val="99"/>
    <w:semiHidden/>
    <w:unhideWhenUsed/>
    <w:rsid w:val="00667A1F"/>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translation">
    <w:name w:val="translation"/>
    <w:basedOn w:val="Policepardfaut"/>
    <w:rsid w:val="00885DF7"/>
  </w:style>
  <w:style w:type="character" w:customStyle="1" w:styleId="Titre2Car">
    <w:name w:val="Titre 2 Car"/>
    <w:link w:val="Titre2"/>
    <w:uiPriority w:val="9"/>
    <w:rsid w:val="00FF29DF"/>
    <w:rPr>
      <w:rFonts w:ascii="Calibri Light" w:eastAsia="Times New Roman" w:hAnsi="Calibri Light"/>
      <w:bCs/>
      <w:color w:val="2F5496"/>
      <w:sz w:val="26"/>
      <w:szCs w:val="26"/>
      <w:lang w:val="fr"/>
    </w:rPr>
  </w:style>
  <w:style w:type="character" w:customStyle="1" w:styleId="ParagraphedelisteCar">
    <w:name w:val="Paragraphe de liste Car"/>
    <w:aliases w:val="List Paragraph (numbered (a)) Car,References Car,Listes Car,List Paragraph1 Car,WB Para Car,Bullets Car,normal Car,Normal1 Car,Normal2 Car,Normal3 Car,Normal4 Car,Normal5 Car,Normal6 Car,Normal7 Car,Normal11 Car,Titre 7 Car1 Car"/>
    <w:link w:val="Paragraphedeliste"/>
    <w:uiPriority w:val="34"/>
    <w:qFormat/>
    <w:locked/>
    <w:rsid w:val="00FF29DF"/>
  </w:style>
  <w:style w:type="paragraph" w:styleId="Notedebasdepage">
    <w:name w:val="footnote text"/>
    <w:aliases w:val="Char,single space,Footnote Text Char3,Footnote Text Char2 Char,Footnote Text Char1 Char Char,Footnote Text Char Char Char Char,Footnote Text Char Char1 Char,Footnote Text Char1 Char1,Footnote Text Char Char Char1,C,fn,f,Car Car"/>
    <w:basedOn w:val="Normal"/>
    <w:link w:val="NotedebasdepageCar"/>
    <w:uiPriority w:val="99"/>
    <w:unhideWhenUsed/>
    <w:qFormat/>
    <w:rsid w:val="00FF29DF"/>
    <w:pPr>
      <w:spacing w:before="120" w:after="120" w:line="240" w:lineRule="auto"/>
    </w:pPr>
    <w:rPr>
      <w:bCs/>
      <w:sz w:val="24"/>
      <w:szCs w:val="24"/>
      <w:lang w:val="fr"/>
    </w:rPr>
  </w:style>
  <w:style w:type="character" w:customStyle="1" w:styleId="NotedebasdepageCar">
    <w:name w:val="Note de bas de page Car"/>
    <w:aliases w:val="Char Car,single space Car,Footnote Text Char3 Car,Footnote Text Char2 Char Car,Footnote Text Char1 Char Char Car,Footnote Text Char Char Char Char Car,Footnote Text Char Char1 Char Car,Footnote Text Char1 Char1 Car,C Car,fn Car"/>
    <w:link w:val="Notedebasdepage"/>
    <w:uiPriority w:val="99"/>
    <w:rsid w:val="00FF29DF"/>
    <w:rPr>
      <w:bCs/>
      <w:sz w:val="24"/>
      <w:szCs w:val="24"/>
      <w:lang w:val="fr"/>
    </w:rPr>
  </w:style>
  <w:style w:type="character" w:styleId="Appelnotedebasdep">
    <w:name w:val="footnote reference"/>
    <w:aliases w:val="BVI fnr,BVI fnr Car Car,BVI fnr Car,BVI fnr Car Car Car Car,BVI fnr Car Car Car Car Char,BVI fnr Zchn Char Zchn Zchn,BVI fnr Car Car Zchn Char Zchn Zchn,BVI fnr Car Zchn Char Zchn Zchn, BVI fnr, BVI fnr Car Car,ftref,16 Point,4_G"/>
    <w:link w:val="Char2"/>
    <w:uiPriority w:val="99"/>
    <w:unhideWhenUsed/>
    <w:qFormat/>
    <w:rsid w:val="00FF29DF"/>
    <w:rPr>
      <w:rFonts w:ascii="Times New Roman" w:hAnsi="Times New Roman" w:cs="Times New Roman"/>
      <w:sz w:val="16"/>
      <w:szCs w:val="16"/>
    </w:rPr>
  </w:style>
  <w:style w:type="paragraph" w:customStyle="1" w:styleId="Char2">
    <w:name w:val="Char2"/>
    <w:basedOn w:val="Normal"/>
    <w:link w:val="Appelnotedebasdep"/>
    <w:uiPriority w:val="99"/>
    <w:rsid w:val="00FF29DF"/>
    <w:pPr>
      <w:spacing w:before="120" w:line="240" w:lineRule="exact"/>
      <w:jc w:val="both"/>
    </w:pPr>
    <w:rPr>
      <w:rFonts w:ascii="Times New Roman" w:hAnsi="Times New Roman"/>
      <w:sz w:val="16"/>
      <w:szCs w:val="16"/>
    </w:rPr>
  </w:style>
  <w:style w:type="paragraph" w:styleId="Lgende">
    <w:name w:val="caption"/>
    <w:basedOn w:val="Normal"/>
    <w:next w:val="Normal"/>
    <w:uiPriority w:val="35"/>
    <w:unhideWhenUsed/>
    <w:qFormat/>
    <w:rsid w:val="00113645"/>
    <w:pPr>
      <w:spacing w:after="200" w:line="240" w:lineRule="auto"/>
    </w:pPr>
    <w:rPr>
      <w:i/>
      <w:iCs/>
      <w:color w:val="44546A"/>
      <w:sz w:val="18"/>
      <w:szCs w:val="18"/>
    </w:rPr>
  </w:style>
  <w:style w:type="character" w:styleId="Marquedecommentaire">
    <w:name w:val="annotation reference"/>
    <w:uiPriority w:val="99"/>
    <w:semiHidden/>
    <w:unhideWhenUsed/>
    <w:rsid w:val="00732CC8"/>
    <w:rPr>
      <w:sz w:val="16"/>
      <w:szCs w:val="16"/>
    </w:rPr>
  </w:style>
  <w:style w:type="paragraph" w:styleId="Commentaire">
    <w:name w:val="annotation text"/>
    <w:basedOn w:val="Normal"/>
    <w:link w:val="CommentaireCar"/>
    <w:uiPriority w:val="99"/>
    <w:unhideWhenUsed/>
    <w:rsid w:val="00732CC8"/>
    <w:pPr>
      <w:spacing w:line="240" w:lineRule="auto"/>
    </w:pPr>
    <w:rPr>
      <w:sz w:val="20"/>
      <w:szCs w:val="20"/>
    </w:rPr>
  </w:style>
  <w:style w:type="character" w:customStyle="1" w:styleId="CommentaireCar">
    <w:name w:val="Commentaire Car"/>
    <w:link w:val="Commentaire"/>
    <w:uiPriority w:val="99"/>
    <w:rsid w:val="00732CC8"/>
    <w:rPr>
      <w:sz w:val="20"/>
      <w:szCs w:val="20"/>
    </w:rPr>
  </w:style>
  <w:style w:type="paragraph" w:styleId="Objetducommentaire">
    <w:name w:val="annotation subject"/>
    <w:basedOn w:val="Commentaire"/>
    <w:next w:val="Commentaire"/>
    <w:link w:val="ObjetducommentaireCar"/>
    <w:uiPriority w:val="99"/>
    <w:semiHidden/>
    <w:unhideWhenUsed/>
    <w:rsid w:val="00732CC8"/>
    <w:rPr>
      <w:b/>
      <w:bCs/>
    </w:rPr>
  </w:style>
  <w:style w:type="character" w:customStyle="1" w:styleId="ObjetducommentaireCar">
    <w:name w:val="Objet du commentaire Car"/>
    <w:link w:val="Objetducommentaire"/>
    <w:uiPriority w:val="99"/>
    <w:semiHidden/>
    <w:rsid w:val="00732CC8"/>
    <w:rPr>
      <w:b/>
      <w:bCs/>
      <w:sz w:val="20"/>
      <w:szCs w:val="20"/>
    </w:rPr>
  </w:style>
  <w:style w:type="paragraph" w:styleId="Rvision">
    <w:name w:val="Revision"/>
    <w:hidden/>
    <w:uiPriority w:val="99"/>
    <w:semiHidden/>
    <w:rsid w:val="00732CC8"/>
    <w:rPr>
      <w:sz w:val="22"/>
      <w:szCs w:val="22"/>
      <w:lang w:val="fr-FR"/>
    </w:rPr>
  </w:style>
  <w:style w:type="table" w:customStyle="1" w:styleId="PlainTable11">
    <w:name w:val="Plain Table 11"/>
    <w:basedOn w:val="TableauNormal"/>
    <w:uiPriority w:val="41"/>
    <w:rsid w:val="00961B50"/>
    <w:rPr>
      <w:rFonts w:asciiTheme="minorHAnsi" w:eastAsiaTheme="minorHAnsi" w:hAnsiTheme="minorHAnsi" w:cstheme="minorBidi"/>
      <w:sz w:val="22"/>
      <w:szCs w:val="22"/>
      <w:lang w:val="fr-F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0">
    <w:name w:val="Unresolved Mention10"/>
    <w:basedOn w:val="Policepardfaut"/>
    <w:uiPriority w:val="99"/>
    <w:semiHidden/>
    <w:unhideWhenUsed/>
    <w:rsid w:val="00961B50"/>
    <w:rPr>
      <w:color w:val="605E5C"/>
      <w:shd w:val="clear" w:color="auto" w:fill="E1DFDD"/>
    </w:rPr>
  </w:style>
  <w:style w:type="paragraph" w:styleId="Sansinterligne">
    <w:name w:val="No Spacing"/>
    <w:uiPriority w:val="1"/>
    <w:qFormat/>
    <w:rsid w:val="00961B50"/>
    <w:rPr>
      <w:rFonts w:asciiTheme="minorHAnsi" w:eastAsiaTheme="minorHAnsi" w:hAnsiTheme="minorHAnsi" w:cstheme="minorBidi"/>
      <w:sz w:val="22"/>
      <w:szCs w:val="22"/>
      <w:lang w:val="fr-FR"/>
    </w:rPr>
  </w:style>
  <w:style w:type="character" w:styleId="lev">
    <w:name w:val="Strong"/>
    <w:basedOn w:val="Policepardfaut"/>
    <w:uiPriority w:val="22"/>
    <w:qFormat/>
    <w:rsid w:val="00305C2C"/>
    <w:rPr>
      <w:b/>
      <w:bCs/>
    </w:rPr>
  </w:style>
  <w:style w:type="character" w:customStyle="1" w:styleId="st">
    <w:name w:val="st"/>
    <w:basedOn w:val="Policepardfaut"/>
    <w:rsid w:val="00305C2C"/>
  </w:style>
  <w:style w:type="character" w:styleId="Accentuation">
    <w:name w:val="Emphasis"/>
    <w:basedOn w:val="Policepardfaut"/>
    <w:uiPriority w:val="20"/>
    <w:qFormat/>
    <w:rsid w:val="00305C2C"/>
    <w:rPr>
      <w:i/>
      <w:iCs/>
    </w:rPr>
  </w:style>
  <w:style w:type="character" w:customStyle="1" w:styleId="Titre3Car">
    <w:name w:val="Titre 3 Car"/>
    <w:basedOn w:val="Policepardfaut"/>
    <w:link w:val="Titre3"/>
    <w:uiPriority w:val="9"/>
    <w:semiHidden/>
    <w:rsid w:val="00094E8E"/>
    <w:rPr>
      <w:rFonts w:asciiTheme="majorHAnsi" w:eastAsiaTheme="majorEastAsia" w:hAnsiTheme="majorHAnsi" w:cstheme="majorBidi"/>
      <w:color w:val="1F3763" w:themeColor="accent1" w:themeShade="7F"/>
      <w:sz w:val="24"/>
      <w:szCs w:val="24"/>
      <w:lang w:val="fr-FR"/>
    </w:rPr>
  </w:style>
  <w:style w:type="paragraph" w:styleId="PrformatHTML">
    <w:name w:val="HTML Preformatted"/>
    <w:basedOn w:val="Normal"/>
    <w:link w:val="PrformatHTMLCar"/>
    <w:uiPriority w:val="99"/>
    <w:semiHidden/>
    <w:unhideWhenUsed/>
    <w:rsid w:val="00016704"/>
    <w:pPr>
      <w:spacing w:after="0" w:line="240" w:lineRule="auto"/>
    </w:pPr>
    <w:rPr>
      <w:rFonts w:ascii="Consolas" w:eastAsiaTheme="minorHAnsi" w:hAnsi="Consolas" w:cstheme="minorBidi"/>
      <w:sz w:val="20"/>
      <w:szCs w:val="20"/>
    </w:rPr>
  </w:style>
  <w:style w:type="character" w:customStyle="1" w:styleId="PrformatHTMLCar">
    <w:name w:val="Préformaté HTML Car"/>
    <w:basedOn w:val="Policepardfaut"/>
    <w:link w:val="PrformatHTML"/>
    <w:uiPriority w:val="99"/>
    <w:semiHidden/>
    <w:rsid w:val="00016704"/>
    <w:rPr>
      <w:rFonts w:ascii="Consolas" w:eastAsiaTheme="minorHAnsi" w:hAnsi="Consolas" w:cstheme="minorBidi"/>
      <w:lang w:val="fr-FR"/>
    </w:rPr>
  </w:style>
  <w:style w:type="paragraph" w:customStyle="1" w:styleId="ftrefCarCar1">
    <w:name w:val="ftref Car Car1"/>
    <w:aliases w:val="16 Point Car Car1,Superscript 6 Point Car1 Car,BVI fnr Car1 Car,BVI fnr Car Car2,BVI fnr Car Car Car1 Car,BVI fnr Car Car Car Car Car1 Car,BVI fnr Car Car Car Car Char Car Car1 Car"/>
    <w:basedOn w:val="Normal"/>
    <w:rsid w:val="00016704"/>
    <w:pPr>
      <w:spacing w:line="240" w:lineRule="exact"/>
    </w:pPr>
    <w:rPr>
      <w:rFonts w:asciiTheme="minorHAnsi" w:eastAsiaTheme="minorHAnsi" w:hAnsiTheme="minorHAnsi" w:cstheme="minorBidi"/>
      <w:vertAlign w:val="superscript"/>
    </w:rPr>
  </w:style>
  <w:style w:type="character" w:customStyle="1" w:styleId="Titre1Car">
    <w:name w:val="Titre 1 Car"/>
    <w:basedOn w:val="Policepardfaut"/>
    <w:link w:val="Titre1"/>
    <w:uiPriority w:val="9"/>
    <w:rsid w:val="00AF49DF"/>
    <w:rPr>
      <w:rFonts w:asciiTheme="majorHAnsi" w:eastAsiaTheme="majorEastAsia" w:hAnsiTheme="majorHAnsi" w:cstheme="majorBidi"/>
      <w:color w:val="2F5496" w:themeColor="accent1" w:themeShade="BF"/>
      <w:sz w:val="32"/>
      <w:szCs w:val="32"/>
      <w:lang w:val="fr-FR"/>
    </w:rPr>
  </w:style>
  <w:style w:type="paragraph" w:styleId="En-ttedetabledesmatires">
    <w:name w:val="TOC Heading"/>
    <w:basedOn w:val="Titre1"/>
    <w:next w:val="Normal"/>
    <w:uiPriority w:val="39"/>
    <w:unhideWhenUsed/>
    <w:qFormat/>
    <w:rsid w:val="00C87C7F"/>
    <w:pPr>
      <w:outlineLvl w:val="9"/>
    </w:pPr>
    <w:rPr>
      <w:lang w:eastAsia="fr-FR"/>
    </w:rPr>
  </w:style>
  <w:style w:type="paragraph" w:styleId="TM1">
    <w:name w:val="toc 1"/>
    <w:basedOn w:val="Normal"/>
    <w:next w:val="Normal"/>
    <w:autoRedefine/>
    <w:uiPriority w:val="39"/>
    <w:unhideWhenUsed/>
    <w:rsid w:val="00C87C7F"/>
    <w:pPr>
      <w:spacing w:after="100"/>
    </w:pPr>
  </w:style>
  <w:style w:type="paragraph" w:styleId="TM2">
    <w:name w:val="toc 2"/>
    <w:basedOn w:val="Normal"/>
    <w:next w:val="Normal"/>
    <w:autoRedefine/>
    <w:uiPriority w:val="39"/>
    <w:unhideWhenUsed/>
    <w:rsid w:val="00C87C7F"/>
    <w:pPr>
      <w:spacing w:after="100"/>
      <w:ind w:left="220"/>
    </w:pPr>
  </w:style>
  <w:style w:type="character" w:styleId="Lienhypertextesuivivisit">
    <w:name w:val="FollowedHyperlink"/>
    <w:basedOn w:val="Policepardfaut"/>
    <w:uiPriority w:val="99"/>
    <w:semiHidden/>
    <w:unhideWhenUsed/>
    <w:rsid w:val="00667E92"/>
    <w:rPr>
      <w:color w:val="954F72" w:themeColor="followedHyperlink"/>
      <w:u w:val="single"/>
    </w:rPr>
  </w:style>
  <w:style w:type="character" w:customStyle="1" w:styleId="Mentionnonrsolue1">
    <w:name w:val="Mention non résolue1"/>
    <w:uiPriority w:val="99"/>
    <w:semiHidden/>
    <w:unhideWhenUsed/>
    <w:rsid w:val="0039610C"/>
    <w:rPr>
      <w:color w:val="605E5C"/>
      <w:shd w:val="clear" w:color="auto" w:fill="E1DFDD"/>
    </w:rPr>
  </w:style>
  <w:style w:type="paragraph" w:customStyle="1" w:styleId="BVIfnrCarCarCarCarCharCar">
    <w:name w:val="BVI fnr Car Car Car Car Char Car"/>
    <w:aliases w:val=" BVI fnr Char,BVI fnr Char, BVI fnr Car Car Char,BVI fnr Car Char,BVI fnr Car Car Char"/>
    <w:basedOn w:val="Normal"/>
    <w:uiPriority w:val="99"/>
    <w:rsid w:val="00D34A39"/>
    <w:pPr>
      <w:spacing w:line="240" w:lineRule="exact"/>
    </w:pPr>
    <w:rPr>
      <w:rFonts w:asciiTheme="minorHAnsi" w:eastAsiaTheme="minorHAnsi" w:hAnsiTheme="minorHAnsi" w:cstheme="minorBidi"/>
      <w:vertAlign w:val="superscript"/>
      <w:lang w:val="en-US"/>
    </w:rPr>
  </w:style>
  <w:style w:type="character" w:styleId="Numrodepage">
    <w:name w:val="page number"/>
    <w:basedOn w:val="Policepardfaut"/>
    <w:uiPriority w:val="99"/>
    <w:semiHidden/>
    <w:unhideWhenUsed/>
    <w:rsid w:val="00B77AEE"/>
  </w:style>
  <w:style w:type="table" w:customStyle="1" w:styleId="Tableausimple11">
    <w:name w:val="Tableau simple 11"/>
    <w:basedOn w:val="TableauNormal"/>
    <w:uiPriority w:val="41"/>
    <w:rsid w:val="003C5706"/>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tionnonrsolue2">
    <w:name w:val="Mention non résolue2"/>
    <w:basedOn w:val="Policepardfaut"/>
    <w:uiPriority w:val="99"/>
    <w:semiHidden/>
    <w:unhideWhenUsed/>
    <w:rsid w:val="00EB72E1"/>
    <w:rPr>
      <w:color w:val="605E5C"/>
      <w:shd w:val="clear" w:color="auto" w:fill="E1DFDD"/>
    </w:rPr>
  </w:style>
  <w:style w:type="character" w:customStyle="1" w:styleId="Mentionnonrsolue3">
    <w:name w:val="Mention non résolue3"/>
    <w:basedOn w:val="Policepardfaut"/>
    <w:uiPriority w:val="99"/>
    <w:semiHidden/>
    <w:unhideWhenUsed/>
    <w:rsid w:val="00C242CD"/>
    <w:rPr>
      <w:color w:val="605E5C"/>
      <w:shd w:val="clear" w:color="auto" w:fill="E1DFDD"/>
    </w:rPr>
  </w:style>
  <w:style w:type="character" w:customStyle="1" w:styleId="Mentionnonrsolue4">
    <w:name w:val="Mention non résolue4"/>
    <w:basedOn w:val="Policepardfaut"/>
    <w:uiPriority w:val="99"/>
    <w:unhideWhenUsed/>
    <w:rsid w:val="00E171F5"/>
    <w:rPr>
      <w:color w:val="605E5C"/>
      <w:shd w:val="clear" w:color="auto" w:fill="E1DFDD"/>
    </w:rPr>
  </w:style>
  <w:style w:type="character" w:customStyle="1" w:styleId="Mention1">
    <w:name w:val="Mention1"/>
    <w:basedOn w:val="Policepardfaut"/>
    <w:uiPriority w:val="99"/>
    <w:unhideWhenUsed/>
    <w:rsid w:val="006D6C6A"/>
    <w:rPr>
      <w:color w:val="2B579A"/>
      <w:shd w:val="clear" w:color="auto" w:fill="E1DFDD"/>
    </w:rPr>
  </w:style>
  <w:style w:type="character" w:styleId="Textedelespacerserv">
    <w:name w:val="Placeholder Text"/>
    <w:basedOn w:val="Policepardfaut"/>
    <w:uiPriority w:val="99"/>
    <w:semiHidden/>
    <w:rsid w:val="00231235"/>
    <w:rPr>
      <w:color w:val="808080"/>
    </w:rPr>
  </w:style>
  <w:style w:type="character" w:customStyle="1" w:styleId="normaltextrun">
    <w:name w:val="normaltextrun"/>
    <w:basedOn w:val="Policepardfaut"/>
    <w:rsid w:val="6BC40FD5"/>
  </w:style>
  <w:style w:type="character" w:customStyle="1" w:styleId="ts-alignment-element-highlighted">
    <w:name w:val="ts-alignment-element-highlighted"/>
    <w:basedOn w:val="Policepardfaut"/>
    <w:rsid w:val="00BE11B2"/>
  </w:style>
  <w:style w:type="character" w:customStyle="1" w:styleId="ts-alignment-element">
    <w:name w:val="ts-alignment-element"/>
    <w:basedOn w:val="Policepardfaut"/>
    <w:rsid w:val="00BE11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303011">
      <w:bodyDiv w:val="1"/>
      <w:marLeft w:val="0"/>
      <w:marRight w:val="0"/>
      <w:marTop w:val="0"/>
      <w:marBottom w:val="0"/>
      <w:divBdr>
        <w:top w:val="none" w:sz="0" w:space="0" w:color="auto"/>
        <w:left w:val="none" w:sz="0" w:space="0" w:color="auto"/>
        <w:bottom w:val="none" w:sz="0" w:space="0" w:color="auto"/>
        <w:right w:val="none" w:sz="0" w:space="0" w:color="auto"/>
      </w:divBdr>
    </w:div>
    <w:div w:id="108671492">
      <w:bodyDiv w:val="1"/>
      <w:marLeft w:val="0"/>
      <w:marRight w:val="0"/>
      <w:marTop w:val="0"/>
      <w:marBottom w:val="0"/>
      <w:divBdr>
        <w:top w:val="none" w:sz="0" w:space="0" w:color="auto"/>
        <w:left w:val="none" w:sz="0" w:space="0" w:color="auto"/>
        <w:bottom w:val="none" w:sz="0" w:space="0" w:color="auto"/>
        <w:right w:val="none" w:sz="0" w:space="0" w:color="auto"/>
      </w:divBdr>
    </w:div>
    <w:div w:id="181938069">
      <w:bodyDiv w:val="1"/>
      <w:marLeft w:val="0"/>
      <w:marRight w:val="0"/>
      <w:marTop w:val="0"/>
      <w:marBottom w:val="0"/>
      <w:divBdr>
        <w:top w:val="none" w:sz="0" w:space="0" w:color="auto"/>
        <w:left w:val="none" w:sz="0" w:space="0" w:color="auto"/>
        <w:bottom w:val="none" w:sz="0" w:space="0" w:color="auto"/>
        <w:right w:val="none" w:sz="0" w:space="0" w:color="auto"/>
      </w:divBdr>
    </w:div>
    <w:div w:id="236940329">
      <w:bodyDiv w:val="1"/>
      <w:marLeft w:val="0"/>
      <w:marRight w:val="0"/>
      <w:marTop w:val="0"/>
      <w:marBottom w:val="0"/>
      <w:divBdr>
        <w:top w:val="none" w:sz="0" w:space="0" w:color="auto"/>
        <w:left w:val="none" w:sz="0" w:space="0" w:color="auto"/>
        <w:bottom w:val="none" w:sz="0" w:space="0" w:color="auto"/>
        <w:right w:val="none" w:sz="0" w:space="0" w:color="auto"/>
      </w:divBdr>
    </w:div>
    <w:div w:id="244416108">
      <w:bodyDiv w:val="1"/>
      <w:marLeft w:val="0"/>
      <w:marRight w:val="0"/>
      <w:marTop w:val="0"/>
      <w:marBottom w:val="0"/>
      <w:divBdr>
        <w:top w:val="none" w:sz="0" w:space="0" w:color="auto"/>
        <w:left w:val="none" w:sz="0" w:space="0" w:color="auto"/>
        <w:bottom w:val="none" w:sz="0" w:space="0" w:color="auto"/>
        <w:right w:val="none" w:sz="0" w:space="0" w:color="auto"/>
      </w:divBdr>
      <w:divsChild>
        <w:div w:id="1749188010">
          <w:marLeft w:val="274"/>
          <w:marRight w:val="0"/>
          <w:marTop w:val="150"/>
          <w:marBottom w:val="0"/>
          <w:divBdr>
            <w:top w:val="none" w:sz="0" w:space="0" w:color="auto"/>
            <w:left w:val="none" w:sz="0" w:space="0" w:color="auto"/>
            <w:bottom w:val="none" w:sz="0" w:space="0" w:color="auto"/>
            <w:right w:val="none" w:sz="0" w:space="0" w:color="auto"/>
          </w:divBdr>
        </w:div>
      </w:divsChild>
    </w:div>
    <w:div w:id="270749071">
      <w:bodyDiv w:val="1"/>
      <w:marLeft w:val="0"/>
      <w:marRight w:val="0"/>
      <w:marTop w:val="0"/>
      <w:marBottom w:val="0"/>
      <w:divBdr>
        <w:top w:val="none" w:sz="0" w:space="0" w:color="auto"/>
        <w:left w:val="none" w:sz="0" w:space="0" w:color="auto"/>
        <w:bottom w:val="none" w:sz="0" w:space="0" w:color="auto"/>
        <w:right w:val="none" w:sz="0" w:space="0" w:color="auto"/>
      </w:divBdr>
    </w:div>
    <w:div w:id="297342617">
      <w:bodyDiv w:val="1"/>
      <w:marLeft w:val="0"/>
      <w:marRight w:val="0"/>
      <w:marTop w:val="0"/>
      <w:marBottom w:val="0"/>
      <w:divBdr>
        <w:top w:val="none" w:sz="0" w:space="0" w:color="auto"/>
        <w:left w:val="none" w:sz="0" w:space="0" w:color="auto"/>
        <w:bottom w:val="none" w:sz="0" w:space="0" w:color="auto"/>
        <w:right w:val="none" w:sz="0" w:space="0" w:color="auto"/>
      </w:divBdr>
    </w:div>
    <w:div w:id="370498491">
      <w:bodyDiv w:val="1"/>
      <w:marLeft w:val="0"/>
      <w:marRight w:val="0"/>
      <w:marTop w:val="0"/>
      <w:marBottom w:val="0"/>
      <w:divBdr>
        <w:top w:val="none" w:sz="0" w:space="0" w:color="auto"/>
        <w:left w:val="none" w:sz="0" w:space="0" w:color="auto"/>
        <w:bottom w:val="none" w:sz="0" w:space="0" w:color="auto"/>
        <w:right w:val="none" w:sz="0" w:space="0" w:color="auto"/>
      </w:divBdr>
      <w:divsChild>
        <w:div w:id="328026088">
          <w:marLeft w:val="274"/>
          <w:marRight w:val="0"/>
          <w:marTop w:val="0"/>
          <w:marBottom w:val="65"/>
          <w:divBdr>
            <w:top w:val="none" w:sz="0" w:space="0" w:color="auto"/>
            <w:left w:val="none" w:sz="0" w:space="0" w:color="auto"/>
            <w:bottom w:val="none" w:sz="0" w:space="0" w:color="auto"/>
            <w:right w:val="none" w:sz="0" w:space="0" w:color="auto"/>
          </w:divBdr>
        </w:div>
        <w:div w:id="1301157391">
          <w:marLeft w:val="0"/>
          <w:marRight w:val="0"/>
          <w:marTop w:val="0"/>
          <w:marBottom w:val="65"/>
          <w:divBdr>
            <w:top w:val="none" w:sz="0" w:space="0" w:color="auto"/>
            <w:left w:val="none" w:sz="0" w:space="0" w:color="auto"/>
            <w:bottom w:val="none" w:sz="0" w:space="0" w:color="auto"/>
            <w:right w:val="none" w:sz="0" w:space="0" w:color="auto"/>
          </w:divBdr>
        </w:div>
        <w:div w:id="1784955575">
          <w:marLeft w:val="274"/>
          <w:marRight w:val="0"/>
          <w:marTop w:val="0"/>
          <w:marBottom w:val="65"/>
          <w:divBdr>
            <w:top w:val="none" w:sz="0" w:space="0" w:color="auto"/>
            <w:left w:val="none" w:sz="0" w:space="0" w:color="auto"/>
            <w:bottom w:val="none" w:sz="0" w:space="0" w:color="auto"/>
            <w:right w:val="none" w:sz="0" w:space="0" w:color="auto"/>
          </w:divBdr>
        </w:div>
      </w:divsChild>
    </w:div>
    <w:div w:id="457843631">
      <w:bodyDiv w:val="1"/>
      <w:marLeft w:val="0"/>
      <w:marRight w:val="0"/>
      <w:marTop w:val="0"/>
      <w:marBottom w:val="0"/>
      <w:divBdr>
        <w:top w:val="none" w:sz="0" w:space="0" w:color="auto"/>
        <w:left w:val="none" w:sz="0" w:space="0" w:color="auto"/>
        <w:bottom w:val="none" w:sz="0" w:space="0" w:color="auto"/>
        <w:right w:val="none" w:sz="0" w:space="0" w:color="auto"/>
      </w:divBdr>
    </w:div>
    <w:div w:id="475224097">
      <w:bodyDiv w:val="1"/>
      <w:marLeft w:val="0"/>
      <w:marRight w:val="0"/>
      <w:marTop w:val="0"/>
      <w:marBottom w:val="0"/>
      <w:divBdr>
        <w:top w:val="none" w:sz="0" w:space="0" w:color="auto"/>
        <w:left w:val="none" w:sz="0" w:space="0" w:color="auto"/>
        <w:bottom w:val="none" w:sz="0" w:space="0" w:color="auto"/>
        <w:right w:val="none" w:sz="0" w:space="0" w:color="auto"/>
      </w:divBdr>
    </w:div>
    <w:div w:id="490298440">
      <w:bodyDiv w:val="1"/>
      <w:marLeft w:val="0"/>
      <w:marRight w:val="0"/>
      <w:marTop w:val="0"/>
      <w:marBottom w:val="0"/>
      <w:divBdr>
        <w:top w:val="none" w:sz="0" w:space="0" w:color="auto"/>
        <w:left w:val="none" w:sz="0" w:space="0" w:color="auto"/>
        <w:bottom w:val="none" w:sz="0" w:space="0" w:color="auto"/>
        <w:right w:val="none" w:sz="0" w:space="0" w:color="auto"/>
      </w:divBdr>
      <w:divsChild>
        <w:div w:id="154224729">
          <w:marLeft w:val="0"/>
          <w:marRight w:val="0"/>
          <w:marTop w:val="0"/>
          <w:marBottom w:val="0"/>
          <w:divBdr>
            <w:top w:val="none" w:sz="0" w:space="0" w:color="auto"/>
            <w:left w:val="none" w:sz="0" w:space="0" w:color="auto"/>
            <w:bottom w:val="none" w:sz="0" w:space="0" w:color="auto"/>
            <w:right w:val="none" w:sz="0" w:space="0" w:color="auto"/>
          </w:divBdr>
          <w:divsChild>
            <w:div w:id="1090466423">
              <w:marLeft w:val="0"/>
              <w:marRight w:val="0"/>
              <w:marTop w:val="0"/>
              <w:marBottom w:val="0"/>
              <w:divBdr>
                <w:top w:val="none" w:sz="0" w:space="0" w:color="auto"/>
                <w:left w:val="none" w:sz="0" w:space="0" w:color="auto"/>
                <w:bottom w:val="none" w:sz="0" w:space="0" w:color="auto"/>
                <w:right w:val="none" w:sz="0" w:space="0" w:color="auto"/>
              </w:divBdr>
              <w:divsChild>
                <w:div w:id="1756899686">
                  <w:marLeft w:val="0"/>
                  <w:marRight w:val="0"/>
                  <w:marTop w:val="0"/>
                  <w:marBottom w:val="0"/>
                  <w:divBdr>
                    <w:top w:val="none" w:sz="0" w:space="0" w:color="auto"/>
                    <w:left w:val="none" w:sz="0" w:space="0" w:color="auto"/>
                    <w:bottom w:val="none" w:sz="0" w:space="0" w:color="auto"/>
                    <w:right w:val="none" w:sz="0" w:space="0" w:color="auto"/>
                  </w:divBdr>
                  <w:divsChild>
                    <w:div w:id="192861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2644914">
      <w:bodyDiv w:val="1"/>
      <w:marLeft w:val="0"/>
      <w:marRight w:val="0"/>
      <w:marTop w:val="0"/>
      <w:marBottom w:val="0"/>
      <w:divBdr>
        <w:top w:val="none" w:sz="0" w:space="0" w:color="auto"/>
        <w:left w:val="none" w:sz="0" w:space="0" w:color="auto"/>
        <w:bottom w:val="none" w:sz="0" w:space="0" w:color="auto"/>
        <w:right w:val="none" w:sz="0" w:space="0" w:color="auto"/>
      </w:divBdr>
    </w:div>
    <w:div w:id="564292959">
      <w:bodyDiv w:val="1"/>
      <w:marLeft w:val="0"/>
      <w:marRight w:val="0"/>
      <w:marTop w:val="0"/>
      <w:marBottom w:val="0"/>
      <w:divBdr>
        <w:top w:val="none" w:sz="0" w:space="0" w:color="auto"/>
        <w:left w:val="none" w:sz="0" w:space="0" w:color="auto"/>
        <w:bottom w:val="none" w:sz="0" w:space="0" w:color="auto"/>
        <w:right w:val="none" w:sz="0" w:space="0" w:color="auto"/>
      </w:divBdr>
    </w:div>
    <w:div w:id="638656946">
      <w:bodyDiv w:val="1"/>
      <w:marLeft w:val="0"/>
      <w:marRight w:val="0"/>
      <w:marTop w:val="0"/>
      <w:marBottom w:val="0"/>
      <w:divBdr>
        <w:top w:val="none" w:sz="0" w:space="0" w:color="auto"/>
        <w:left w:val="none" w:sz="0" w:space="0" w:color="auto"/>
        <w:bottom w:val="none" w:sz="0" w:space="0" w:color="auto"/>
        <w:right w:val="none" w:sz="0" w:space="0" w:color="auto"/>
      </w:divBdr>
    </w:div>
    <w:div w:id="719748300">
      <w:bodyDiv w:val="1"/>
      <w:marLeft w:val="0"/>
      <w:marRight w:val="0"/>
      <w:marTop w:val="0"/>
      <w:marBottom w:val="0"/>
      <w:divBdr>
        <w:top w:val="none" w:sz="0" w:space="0" w:color="auto"/>
        <w:left w:val="none" w:sz="0" w:space="0" w:color="auto"/>
        <w:bottom w:val="none" w:sz="0" w:space="0" w:color="auto"/>
        <w:right w:val="none" w:sz="0" w:space="0" w:color="auto"/>
      </w:divBdr>
    </w:div>
    <w:div w:id="720056898">
      <w:bodyDiv w:val="1"/>
      <w:marLeft w:val="0"/>
      <w:marRight w:val="0"/>
      <w:marTop w:val="0"/>
      <w:marBottom w:val="0"/>
      <w:divBdr>
        <w:top w:val="none" w:sz="0" w:space="0" w:color="auto"/>
        <w:left w:val="none" w:sz="0" w:space="0" w:color="auto"/>
        <w:bottom w:val="none" w:sz="0" w:space="0" w:color="auto"/>
        <w:right w:val="none" w:sz="0" w:space="0" w:color="auto"/>
      </w:divBdr>
    </w:div>
    <w:div w:id="723482537">
      <w:bodyDiv w:val="1"/>
      <w:marLeft w:val="0"/>
      <w:marRight w:val="0"/>
      <w:marTop w:val="0"/>
      <w:marBottom w:val="0"/>
      <w:divBdr>
        <w:top w:val="none" w:sz="0" w:space="0" w:color="auto"/>
        <w:left w:val="none" w:sz="0" w:space="0" w:color="auto"/>
        <w:bottom w:val="none" w:sz="0" w:space="0" w:color="auto"/>
        <w:right w:val="none" w:sz="0" w:space="0" w:color="auto"/>
      </w:divBdr>
    </w:div>
    <w:div w:id="730889955">
      <w:bodyDiv w:val="1"/>
      <w:marLeft w:val="0"/>
      <w:marRight w:val="0"/>
      <w:marTop w:val="0"/>
      <w:marBottom w:val="0"/>
      <w:divBdr>
        <w:top w:val="none" w:sz="0" w:space="0" w:color="auto"/>
        <w:left w:val="none" w:sz="0" w:space="0" w:color="auto"/>
        <w:bottom w:val="none" w:sz="0" w:space="0" w:color="auto"/>
        <w:right w:val="none" w:sz="0" w:space="0" w:color="auto"/>
      </w:divBdr>
    </w:div>
    <w:div w:id="746002430">
      <w:bodyDiv w:val="1"/>
      <w:marLeft w:val="0"/>
      <w:marRight w:val="0"/>
      <w:marTop w:val="0"/>
      <w:marBottom w:val="0"/>
      <w:divBdr>
        <w:top w:val="none" w:sz="0" w:space="0" w:color="auto"/>
        <w:left w:val="none" w:sz="0" w:space="0" w:color="auto"/>
        <w:bottom w:val="none" w:sz="0" w:space="0" w:color="auto"/>
        <w:right w:val="none" w:sz="0" w:space="0" w:color="auto"/>
      </w:divBdr>
    </w:div>
    <w:div w:id="831025619">
      <w:bodyDiv w:val="1"/>
      <w:marLeft w:val="0"/>
      <w:marRight w:val="0"/>
      <w:marTop w:val="0"/>
      <w:marBottom w:val="0"/>
      <w:divBdr>
        <w:top w:val="none" w:sz="0" w:space="0" w:color="auto"/>
        <w:left w:val="none" w:sz="0" w:space="0" w:color="auto"/>
        <w:bottom w:val="none" w:sz="0" w:space="0" w:color="auto"/>
        <w:right w:val="none" w:sz="0" w:space="0" w:color="auto"/>
      </w:divBdr>
    </w:div>
    <w:div w:id="904485805">
      <w:bodyDiv w:val="1"/>
      <w:marLeft w:val="0"/>
      <w:marRight w:val="0"/>
      <w:marTop w:val="0"/>
      <w:marBottom w:val="0"/>
      <w:divBdr>
        <w:top w:val="none" w:sz="0" w:space="0" w:color="auto"/>
        <w:left w:val="none" w:sz="0" w:space="0" w:color="auto"/>
        <w:bottom w:val="none" w:sz="0" w:space="0" w:color="auto"/>
        <w:right w:val="none" w:sz="0" w:space="0" w:color="auto"/>
      </w:divBdr>
    </w:div>
    <w:div w:id="922109578">
      <w:bodyDiv w:val="1"/>
      <w:marLeft w:val="0"/>
      <w:marRight w:val="0"/>
      <w:marTop w:val="0"/>
      <w:marBottom w:val="0"/>
      <w:divBdr>
        <w:top w:val="none" w:sz="0" w:space="0" w:color="auto"/>
        <w:left w:val="none" w:sz="0" w:space="0" w:color="auto"/>
        <w:bottom w:val="none" w:sz="0" w:space="0" w:color="auto"/>
        <w:right w:val="none" w:sz="0" w:space="0" w:color="auto"/>
      </w:divBdr>
      <w:divsChild>
        <w:div w:id="382605015">
          <w:marLeft w:val="547"/>
          <w:marRight w:val="0"/>
          <w:marTop w:val="115"/>
          <w:marBottom w:val="0"/>
          <w:divBdr>
            <w:top w:val="none" w:sz="0" w:space="0" w:color="auto"/>
            <w:left w:val="none" w:sz="0" w:space="0" w:color="auto"/>
            <w:bottom w:val="none" w:sz="0" w:space="0" w:color="auto"/>
            <w:right w:val="none" w:sz="0" w:space="0" w:color="auto"/>
          </w:divBdr>
        </w:div>
        <w:div w:id="980184861">
          <w:marLeft w:val="547"/>
          <w:marRight w:val="0"/>
          <w:marTop w:val="115"/>
          <w:marBottom w:val="0"/>
          <w:divBdr>
            <w:top w:val="none" w:sz="0" w:space="0" w:color="auto"/>
            <w:left w:val="none" w:sz="0" w:space="0" w:color="auto"/>
            <w:bottom w:val="none" w:sz="0" w:space="0" w:color="auto"/>
            <w:right w:val="none" w:sz="0" w:space="0" w:color="auto"/>
          </w:divBdr>
        </w:div>
      </w:divsChild>
    </w:div>
    <w:div w:id="1020737037">
      <w:bodyDiv w:val="1"/>
      <w:marLeft w:val="0"/>
      <w:marRight w:val="0"/>
      <w:marTop w:val="0"/>
      <w:marBottom w:val="0"/>
      <w:divBdr>
        <w:top w:val="none" w:sz="0" w:space="0" w:color="auto"/>
        <w:left w:val="none" w:sz="0" w:space="0" w:color="auto"/>
        <w:bottom w:val="none" w:sz="0" w:space="0" w:color="auto"/>
        <w:right w:val="none" w:sz="0" w:space="0" w:color="auto"/>
      </w:divBdr>
      <w:divsChild>
        <w:div w:id="1616598998">
          <w:marLeft w:val="274"/>
          <w:marRight w:val="0"/>
          <w:marTop w:val="150"/>
          <w:marBottom w:val="0"/>
          <w:divBdr>
            <w:top w:val="none" w:sz="0" w:space="0" w:color="auto"/>
            <w:left w:val="none" w:sz="0" w:space="0" w:color="auto"/>
            <w:bottom w:val="none" w:sz="0" w:space="0" w:color="auto"/>
            <w:right w:val="none" w:sz="0" w:space="0" w:color="auto"/>
          </w:divBdr>
        </w:div>
      </w:divsChild>
    </w:div>
    <w:div w:id="1078594558">
      <w:bodyDiv w:val="1"/>
      <w:marLeft w:val="0"/>
      <w:marRight w:val="0"/>
      <w:marTop w:val="0"/>
      <w:marBottom w:val="0"/>
      <w:divBdr>
        <w:top w:val="none" w:sz="0" w:space="0" w:color="auto"/>
        <w:left w:val="none" w:sz="0" w:space="0" w:color="auto"/>
        <w:bottom w:val="none" w:sz="0" w:space="0" w:color="auto"/>
        <w:right w:val="none" w:sz="0" w:space="0" w:color="auto"/>
      </w:divBdr>
      <w:divsChild>
        <w:div w:id="270625704">
          <w:marLeft w:val="547"/>
          <w:marRight w:val="0"/>
          <w:marTop w:val="144"/>
          <w:marBottom w:val="0"/>
          <w:divBdr>
            <w:top w:val="none" w:sz="0" w:space="0" w:color="auto"/>
            <w:left w:val="none" w:sz="0" w:space="0" w:color="auto"/>
            <w:bottom w:val="none" w:sz="0" w:space="0" w:color="auto"/>
            <w:right w:val="none" w:sz="0" w:space="0" w:color="auto"/>
          </w:divBdr>
        </w:div>
        <w:div w:id="885144090">
          <w:marLeft w:val="1166"/>
          <w:marRight w:val="0"/>
          <w:marTop w:val="77"/>
          <w:marBottom w:val="0"/>
          <w:divBdr>
            <w:top w:val="none" w:sz="0" w:space="0" w:color="auto"/>
            <w:left w:val="none" w:sz="0" w:space="0" w:color="auto"/>
            <w:bottom w:val="none" w:sz="0" w:space="0" w:color="auto"/>
            <w:right w:val="none" w:sz="0" w:space="0" w:color="auto"/>
          </w:divBdr>
        </w:div>
        <w:div w:id="1165709097">
          <w:marLeft w:val="547"/>
          <w:marRight w:val="0"/>
          <w:marTop w:val="115"/>
          <w:marBottom w:val="0"/>
          <w:divBdr>
            <w:top w:val="none" w:sz="0" w:space="0" w:color="auto"/>
            <w:left w:val="none" w:sz="0" w:space="0" w:color="auto"/>
            <w:bottom w:val="none" w:sz="0" w:space="0" w:color="auto"/>
            <w:right w:val="none" w:sz="0" w:space="0" w:color="auto"/>
          </w:divBdr>
        </w:div>
        <w:div w:id="1649164313">
          <w:marLeft w:val="547"/>
          <w:marRight w:val="0"/>
          <w:marTop w:val="115"/>
          <w:marBottom w:val="0"/>
          <w:divBdr>
            <w:top w:val="none" w:sz="0" w:space="0" w:color="auto"/>
            <w:left w:val="none" w:sz="0" w:space="0" w:color="auto"/>
            <w:bottom w:val="none" w:sz="0" w:space="0" w:color="auto"/>
            <w:right w:val="none" w:sz="0" w:space="0" w:color="auto"/>
          </w:divBdr>
        </w:div>
      </w:divsChild>
    </w:div>
    <w:div w:id="1093013851">
      <w:bodyDiv w:val="1"/>
      <w:marLeft w:val="0"/>
      <w:marRight w:val="0"/>
      <w:marTop w:val="0"/>
      <w:marBottom w:val="0"/>
      <w:divBdr>
        <w:top w:val="none" w:sz="0" w:space="0" w:color="auto"/>
        <w:left w:val="none" w:sz="0" w:space="0" w:color="auto"/>
        <w:bottom w:val="none" w:sz="0" w:space="0" w:color="auto"/>
        <w:right w:val="none" w:sz="0" w:space="0" w:color="auto"/>
      </w:divBdr>
    </w:div>
    <w:div w:id="1175804855">
      <w:bodyDiv w:val="1"/>
      <w:marLeft w:val="0"/>
      <w:marRight w:val="0"/>
      <w:marTop w:val="0"/>
      <w:marBottom w:val="0"/>
      <w:divBdr>
        <w:top w:val="none" w:sz="0" w:space="0" w:color="auto"/>
        <w:left w:val="none" w:sz="0" w:space="0" w:color="auto"/>
        <w:bottom w:val="none" w:sz="0" w:space="0" w:color="auto"/>
        <w:right w:val="none" w:sz="0" w:space="0" w:color="auto"/>
      </w:divBdr>
    </w:div>
    <w:div w:id="1248227005">
      <w:bodyDiv w:val="1"/>
      <w:marLeft w:val="0"/>
      <w:marRight w:val="0"/>
      <w:marTop w:val="0"/>
      <w:marBottom w:val="0"/>
      <w:divBdr>
        <w:top w:val="none" w:sz="0" w:space="0" w:color="auto"/>
        <w:left w:val="none" w:sz="0" w:space="0" w:color="auto"/>
        <w:bottom w:val="none" w:sz="0" w:space="0" w:color="auto"/>
        <w:right w:val="none" w:sz="0" w:space="0" w:color="auto"/>
      </w:divBdr>
    </w:div>
    <w:div w:id="1267074949">
      <w:bodyDiv w:val="1"/>
      <w:marLeft w:val="0"/>
      <w:marRight w:val="0"/>
      <w:marTop w:val="0"/>
      <w:marBottom w:val="0"/>
      <w:divBdr>
        <w:top w:val="none" w:sz="0" w:space="0" w:color="auto"/>
        <w:left w:val="none" w:sz="0" w:space="0" w:color="auto"/>
        <w:bottom w:val="none" w:sz="0" w:space="0" w:color="auto"/>
        <w:right w:val="none" w:sz="0" w:space="0" w:color="auto"/>
      </w:divBdr>
    </w:div>
    <w:div w:id="1267806125">
      <w:bodyDiv w:val="1"/>
      <w:marLeft w:val="0"/>
      <w:marRight w:val="0"/>
      <w:marTop w:val="0"/>
      <w:marBottom w:val="0"/>
      <w:divBdr>
        <w:top w:val="none" w:sz="0" w:space="0" w:color="auto"/>
        <w:left w:val="none" w:sz="0" w:space="0" w:color="auto"/>
        <w:bottom w:val="none" w:sz="0" w:space="0" w:color="auto"/>
        <w:right w:val="none" w:sz="0" w:space="0" w:color="auto"/>
      </w:divBdr>
    </w:div>
    <w:div w:id="1283876275">
      <w:bodyDiv w:val="1"/>
      <w:marLeft w:val="0"/>
      <w:marRight w:val="0"/>
      <w:marTop w:val="0"/>
      <w:marBottom w:val="0"/>
      <w:divBdr>
        <w:top w:val="none" w:sz="0" w:space="0" w:color="auto"/>
        <w:left w:val="none" w:sz="0" w:space="0" w:color="auto"/>
        <w:bottom w:val="none" w:sz="0" w:space="0" w:color="auto"/>
        <w:right w:val="none" w:sz="0" w:space="0" w:color="auto"/>
      </w:divBdr>
    </w:div>
    <w:div w:id="1291329145">
      <w:bodyDiv w:val="1"/>
      <w:marLeft w:val="0"/>
      <w:marRight w:val="0"/>
      <w:marTop w:val="0"/>
      <w:marBottom w:val="0"/>
      <w:divBdr>
        <w:top w:val="none" w:sz="0" w:space="0" w:color="auto"/>
        <w:left w:val="none" w:sz="0" w:space="0" w:color="auto"/>
        <w:bottom w:val="none" w:sz="0" w:space="0" w:color="auto"/>
        <w:right w:val="none" w:sz="0" w:space="0" w:color="auto"/>
      </w:divBdr>
      <w:divsChild>
        <w:div w:id="2031837069">
          <w:marLeft w:val="0"/>
          <w:marRight w:val="0"/>
          <w:marTop w:val="0"/>
          <w:marBottom w:val="0"/>
          <w:divBdr>
            <w:top w:val="none" w:sz="0" w:space="0" w:color="auto"/>
            <w:left w:val="none" w:sz="0" w:space="0" w:color="auto"/>
            <w:bottom w:val="none" w:sz="0" w:space="0" w:color="auto"/>
            <w:right w:val="none" w:sz="0" w:space="0" w:color="auto"/>
          </w:divBdr>
        </w:div>
      </w:divsChild>
    </w:div>
    <w:div w:id="1364401844">
      <w:bodyDiv w:val="1"/>
      <w:marLeft w:val="0"/>
      <w:marRight w:val="0"/>
      <w:marTop w:val="0"/>
      <w:marBottom w:val="0"/>
      <w:divBdr>
        <w:top w:val="none" w:sz="0" w:space="0" w:color="auto"/>
        <w:left w:val="none" w:sz="0" w:space="0" w:color="auto"/>
        <w:bottom w:val="none" w:sz="0" w:space="0" w:color="auto"/>
        <w:right w:val="none" w:sz="0" w:space="0" w:color="auto"/>
      </w:divBdr>
    </w:div>
    <w:div w:id="1383483205">
      <w:bodyDiv w:val="1"/>
      <w:marLeft w:val="0"/>
      <w:marRight w:val="0"/>
      <w:marTop w:val="0"/>
      <w:marBottom w:val="0"/>
      <w:divBdr>
        <w:top w:val="none" w:sz="0" w:space="0" w:color="auto"/>
        <w:left w:val="none" w:sz="0" w:space="0" w:color="auto"/>
        <w:bottom w:val="none" w:sz="0" w:space="0" w:color="auto"/>
        <w:right w:val="none" w:sz="0" w:space="0" w:color="auto"/>
      </w:divBdr>
    </w:div>
    <w:div w:id="1471901649">
      <w:bodyDiv w:val="1"/>
      <w:marLeft w:val="0"/>
      <w:marRight w:val="0"/>
      <w:marTop w:val="0"/>
      <w:marBottom w:val="0"/>
      <w:divBdr>
        <w:top w:val="none" w:sz="0" w:space="0" w:color="auto"/>
        <w:left w:val="none" w:sz="0" w:space="0" w:color="auto"/>
        <w:bottom w:val="none" w:sz="0" w:space="0" w:color="auto"/>
        <w:right w:val="none" w:sz="0" w:space="0" w:color="auto"/>
      </w:divBdr>
      <w:divsChild>
        <w:div w:id="1554779619">
          <w:marLeft w:val="0"/>
          <w:marRight w:val="0"/>
          <w:marTop w:val="0"/>
          <w:marBottom w:val="0"/>
          <w:divBdr>
            <w:top w:val="none" w:sz="0" w:space="0" w:color="auto"/>
            <w:left w:val="none" w:sz="0" w:space="0" w:color="auto"/>
            <w:bottom w:val="none" w:sz="0" w:space="0" w:color="auto"/>
            <w:right w:val="none" w:sz="0" w:space="0" w:color="auto"/>
          </w:divBdr>
          <w:divsChild>
            <w:div w:id="1030961011">
              <w:marLeft w:val="0"/>
              <w:marRight w:val="0"/>
              <w:marTop w:val="0"/>
              <w:marBottom w:val="0"/>
              <w:divBdr>
                <w:top w:val="none" w:sz="0" w:space="0" w:color="auto"/>
                <w:left w:val="none" w:sz="0" w:space="0" w:color="auto"/>
                <w:bottom w:val="none" w:sz="0" w:space="0" w:color="auto"/>
                <w:right w:val="none" w:sz="0" w:space="0" w:color="auto"/>
              </w:divBdr>
              <w:divsChild>
                <w:div w:id="1056666580">
                  <w:marLeft w:val="0"/>
                  <w:marRight w:val="0"/>
                  <w:marTop w:val="0"/>
                  <w:marBottom w:val="0"/>
                  <w:divBdr>
                    <w:top w:val="none" w:sz="0" w:space="0" w:color="auto"/>
                    <w:left w:val="none" w:sz="0" w:space="0" w:color="auto"/>
                    <w:bottom w:val="none" w:sz="0" w:space="0" w:color="auto"/>
                    <w:right w:val="none" w:sz="0" w:space="0" w:color="auto"/>
                  </w:divBdr>
                  <w:divsChild>
                    <w:div w:id="212503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555431">
      <w:bodyDiv w:val="1"/>
      <w:marLeft w:val="0"/>
      <w:marRight w:val="0"/>
      <w:marTop w:val="0"/>
      <w:marBottom w:val="0"/>
      <w:divBdr>
        <w:top w:val="none" w:sz="0" w:space="0" w:color="auto"/>
        <w:left w:val="none" w:sz="0" w:space="0" w:color="auto"/>
        <w:bottom w:val="none" w:sz="0" w:space="0" w:color="auto"/>
        <w:right w:val="none" w:sz="0" w:space="0" w:color="auto"/>
      </w:divBdr>
    </w:div>
    <w:div w:id="1554349696">
      <w:bodyDiv w:val="1"/>
      <w:marLeft w:val="0"/>
      <w:marRight w:val="0"/>
      <w:marTop w:val="0"/>
      <w:marBottom w:val="0"/>
      <w:divBdr>
        <w:top w:val="none" w:sz="0" w:space="0" w:color="auto"/>
        <w:left w:val="none" w:sz="0" w:space="0" w:color="auto"/>
        <w:bottom w:val="none" w:sz="0" w:space="0" w:color="auto"/>
        <w:right w:val="none" w:sz="0" w:space="0" w:color="auto"/>
      </w:divBdr>
    </w:div>
    <w:div w:id="1610350856">
      <w:bodyDiv w:val="1"/>
      <w:marLeft w:val="0"/>
      <w:marRight w:val="0"/>
      <w:marTop w:val="0"/>
      <w:marBottom w:val="0"/>
      <w:divBdr>
        <w:top w:val="none" w:sz="0" w:space="0" w:color="auto"/>
        <w:left w:val="none" w:sz="0" w:space="0" w:color="auto"/>
        <w:bottom w:val="none" w:sz="0" w:space="0" w:color="auto"/>
        <w:right w:val="none" w:sz="0" w:space="0" w:color="auto"/>
      </w:divBdr>
    </w:div>
    <w:div w:id="1629623161">
      <w:bodyDiv w:val="1"/>
      <w:marLeft w:val="0"/>
      <w:marRight w:val="0"/>
      <w:marTop w:val="0"/>
      <w:marBottom w:val="0"/>
      <w:divBdr>
        <w:top w:val="none" w:sz="0" w:space="0" w:color="auto"/>
        <w:left w:val="none" w:sz="0" w:space="0" w:color="auto"/>
        <w:bottom w:val="none" w:sz="0" w:space="0" w:color="auto"/>
        <w:right w:val="none" w:sz="0" w:space="0" w:color="auto"/>
      </w:divBdr>
      <w:divsChild>
        <w:div w:id="1531262889">
          <w:marLeft w:val="274"/>
          <w:marRight w:val="0"/>
          <w:marTop w:val="150"/>
          <w:marBottom w:val="0"/>
          <w:divBdr>
            <w:top w:val="none" w:sz="0" w:space="0" w:color="auto"/>
            <w:left w:val="none" w:sz="0" w:space="0" w:color="auto"/>
            <w:bottom w:val="none" w:sz="0" w:space="0" w:color="auto"/>
            <w:right w:val="none" w:sz="0" w:space="0" w:color="auto"/>
          </w:divBdr>
        </w:div>
      </w:divsChild>
    </w:div>
    <w:div w:id="1726679175">
      <w:bodyDiv w:val="1"/>
      <w:marLeft w:val="0"/>
      <w:marRight w:val="0"/>
      <w:marTop w:val="0"/>
      <w:marBottom w:val="0"/>
      <w:divBdr>
        <w:top w:val="none" w:sz="0" w:space="0" w:color="auto"/>
        <w:left w:val="none" w:sz="0" w:space="0" w:color="auto"/>
        <w:bottom w:val="none" w:sz="0" w:space="0" w:color="auto"/>
        <w:right w:val="none" w:sz="0" w:space="0" w:color="auto"/>
      </w:divBdr>
      <w:divsChild>
        <w:div w:id="541134671">
          <w:marLeft w:val="0"/>
          <w:marRight w:val="0"/>
          <w:marTop w:val="0"/>
          <w:marBottom w:val="0"/>
          <w:divBdr>
            <w:top w:val="none" w:sz="0" w:space="0" w:color="auto"/>
            <w:left w:val="none" w:sz="0" w:space="0" w:color="auto"/>
            <w:bottom w:val="none" w:sz="0" w:space="0" w:color="auto"/>
            <w:right w:val="none" w:sz="0" w:space="0" w:color="auto"/>
          </w:divBdr>
        </w:div>
      </w:divsChild>
    </w:div>
    <w:div w:id="1819224594">
      <w:bodyDiv w:val="1"/>
      <w:marLeft w:val="0"/>
      <w:marRight w:val="0"/>
      <w:marTop w:val="0"/>
      <w:marBottom w:val="0"/>
      <w:divBdr>
        <w:top w:val="none" w:sz="0" w:space="0" w:color="auto"/>
        <w:left w:val="none" w:sz="0" w:space="0" w:color="auto"/>
        <w:bottom w:val="none" w:sz="0" w:space="0" w:color="auto"/>
        <w:right w:val="none" w:sz="0" w:space="0" w:color="auto"/>
      </w:divBdr>
      <w:divsChild>
        <w:div w:id="126703522">
          <w:marLeft w:val="547"/>
          <w:marRight w:val="0"/>
          <w:marTop w:val="96"/>
          <w:marBottom w:val="0"/>
          <w:divBdr>
            <w:top w:val="none" w:sz="0" w:space="0" w:color="auto"/>
            <w:left w:val="none" w:sz="0" w:space="0" w:color="auto"/>
            <w:bottom w:val="none" w:sz="0" w:space="0" w:color="auto"/>
            <w:right w:val="none" w:sz="0" w:space="0" w:color="auto"/>
          </w:divBdr>
        </w:div>
        <w:div w:id="1277371868">
          <w:marLeft w:val="547"/>
          <w:marRight w:val="0"/>
          <w:marTop w:val="96"/>
          <w:marBottom w:val="0"/>
          <w:divBdr>
            <w:top w:val="none" w:sz="0" w:space="0" w:color="auto"/>
            <w:left w:val="none" w:sz="0" w:space="0" w:color="auto"/>
            <w:bottom w:val="none" w:sz="0" w:space="0" w:color="auto"/>
            <w:right w:val="none" w:sz="0" w:space="0" w:color="auto"/>
          </w:divBdr>
        </w:div>
        <w:div w:id="1319917173">
          <w:marLeft w:val="547"/>
          <w:marRight w:val="0"/>
          <w:marTop w:val="96"/>
          <w:marBottom w:val="0"/>
          <w:divBdr>
            <w:top w:val="none" w:sz="0" w:space="0" w:color="auto"/>
            <w:left w:val="none" w:sz="0" w:space="0" w:color="auto"/>
            <w:bottom w:val="none" w:sz="0" w:space="0" w:color="auto"/>
            <w:right w:val="none" w:sz="0" w:space="0" w:color="auto"/>
          </w:divBdr>
        </w:div>
        <w:div w:id="1708332444">
          <w:marLeft w:val="547"/>
          <w:marRight w:val="0"/>
          <w:marTop w:val="96"/>
          <w:marBottom w:val="0"/>
          <w:divBdr>
            <w:top w:val="none" w:sz="0" w:space="0" w:color="auto"/>
            <w:left w:val="none" w:sz="0" w:space="0" w:color="auto"/>
            <w:bottom w:val="none" w:sz="0" w:space="0" w:color="auto"/>
            <w:right w:val="none" w:sz="0" w:space="0" w:color="auto"/>
          </w:divBdr>
        </w:div>
      </w:divsChild>
    </w:div>
    <w:div w:id="1871532181">
      <w:bodyDiv w:val="1"/>
      <w:marLeft w:val="0"/>
      <w:marRight w:val="0"/>
      <w:marTop w:val="0"/>
      <w:marBottom w:val="0"/>
      <w:divBdr>
        <w:top w:val="none" w:sz="0" w:space="0" w:color="auto"/>
        <w:left w:val="none" w:sz="0" w:space="0" w:color="auto"/>
        <w:bottom w:val="none" w:sz="0" w:space="0" w:color="auto"/>
        <w:right w:val="none" w:sz="0" w:space="0" w:color="auto"/>
      </w:divBdr>
      <w:divsChild>
        <w:div w:id="289484586">
          <w:marLeft w:val="0"/>
          <w:marRight w:val="0"/>
          <w:marTop w:val="0"/>
          <w:marBottom w:val="0"/>
          <w:divBdr>
            <w:top w:val="none" w:sz="0" w:space="0" w:color="auto"/>
            <w:left w:val="none" w:sz="0" w:space="0" w:color="auto"/>
            <w:bottom w:val="none" w:sz="0" w:space="0" w:color="auto"/>
            <w:right w:val="none" w:sz="0" w:space="0" w:color="auto"/>
          </w:divBdr>
          <w:divsChild>
            <w:div w:id="524830348">
              <w:marLeft w:val="0"/>
              <w:marRight w:val="0"/>
              <w:marTop w:val="0"/>
              <w:marBottom w:val="0"/>
              <w:divBdr>
                <w:top w:val="none" w:sz="0" w:space="0" w:color="auto"/>
                <w:left w:val="none" w:sz="0" w:space="0" w:color="auto"/>
                <w:bottom w:val="none" w:sz="0" w:space="0" w:color="auto"/>
                <w:right w:val="none" w:sz="0" w:space="0" w:color="auto"/>
              </w:divBdr>
              <w:divsChild>
                <w:div w:id="1426727429">
                  <w:marLeft w:val="0"/>
                  <w:marRight w:val="0"/>
                  <w:marTop w:val="0"/>
                  <w:marBottom w:val="0"/>
                  <w:divBdr>
                    <w:top w:val="none" w:sz="0" w:space="0" w:color="auto"/>
                    <w:left w:val="none" w:sz="0" w:space="0" w:color="auto"/>
                    <w:bottom w:val="none" w:sz="0" w:space="0" w:color="auto"/>
                    <w:right w:val="none" w:sz="0" w:space="0" w:color="auto"/>
                  </w:divBdr>
                  <w:divsChild>
                    <w:div w:id="1935281242">
                      <w:marLeft w:val="0"/>
                      <w:marRight w:val="0"/>
                      <w:marTop w:val="0"/>
                      <w:marBottom w:val="0"/>
                      <w:divBdr>
                        <w:top w:val="none" w:sz="0" w:space="0" w:color="auto"/>
                        <w:left w:val="none" w:sz="0" w:space="0" w:color="auto"/>
                        <w:bottom w:val="none" w:sz="0" w:space="0" w:color="auto"/>
                        <w:right w:val="none" w:sz="0" w:space="0" w:color="auto"/>
                      </w:divBdr>
                      <w:divsChild>
                        <w:div w:id="1514804372">
                          <w:marLeft w:val="0"/>
                          <w:marRight w:val="0"/>
                          <w:marTop w:val="0"/>
                          <w:marBottom w:val="0"/>
                          <w:divBdr>
                            <w:top w:val="none" w:sz="0" w:space="0" w:color="auto"/>
                            <w:left w:val="none" w:sz="0" w:space="0" w:color="auto"/>
                            <w:bottom w:val="none" w:sz="0" w:space="0" w:color="auto"/>
                            <w:right w:val="none" w:sz="0" w:space="0" w:color="auto"/>
                          </w:divBdr>
                          <w:divsChild>
                            <w:div w:id="1474442413">
                              <w:marLeft w:val="0"/>
                              <w:marRight w:val="0"/>
                              <w:marTop w:val="0"/>
                              <w:marBottom w:val="0"/>
                              <w:divBdr>
                                <w:top w:val="none" w:sz="0" w:space="0" w:color="auto"/>
                                <w:left w:val="none" w:sz="0" w:space="0" w:color="auto"/>
                                <w:bottom w:val="none" w:sz="0" w:space="0" w:color="auto"/>
                                <w:right w:val="none" w:sz="0" w:space="0" w:color="auto"/>
                              </w:divBdr>
                              <w:divsChild>
                                <w:div w:id="48261853">
                                  <w:marLeft w:val="0"/>
                                  <w:marRight w:val="0"/>
                                  <w:marTop w:val="0"/>
                                  <w:marBottom w:val="0"/>
                                  <w:divBdr>
                                    <w:top w:val="none" w:sz="0" w:space="0" w:color="auto"/>
                                    <w:left w:val="none" w:sz="0" w:space="0" w:color="auto"/>
                                    <w:bottom w:val="none" w:sz="0" w:space="0" w:color="auto"/>
                                    <w:right w:val="none" w:sz="0" w:space="0" w:color="auto"/>
                                  </w:divBdr>
                                  <w:divsChild>
                                    <w:div w:id="905989512">
                                      <w:marLeft w:val="0"/>
                                      <w:marRight w:val="0"/>
                                      <w:marTop w:val="0"/>
                                      <w:marBottom w:val="0"/>
                                      <w:divBdr>
                                        <w:top w:val="none" w:sz="0" w:space="0" w:color="auto"/>
                                        <w:left w:val="none" w:sz="0" w:space="0" w:color="auto"/>
                                        <w:bottom w:val="none" w:sz="0" w:space="0" w:color="auto"/>
                                        <w:right w:val="none" w:sz="0" w:space="0" w:color="auto"/>
                                      </w:divBdr>
                                      <w:divsChild>
                                        <w:div w:id="829636557">
                                          <w:marLeft w:val="0"/>
                                          <w:marRight w:val="0"/>
                                          <w:marTop w:val="0"/>
                                          <w:marBottom w:val="0"/>
                                          <w:divBdr>
                                            <w:top w:val="none" w:sz="0" w:space="0" w:color="auto"/>
                                            <w:left w:val="none" w:sz="0" w:space="0" w:color="auto"/>
                                            <w:bottom w:val="none" w:sz="0" w:space="0" w:color="auto"/>
                                            <w:right w:val="none" w:sz="0" w:space="0" w:color="auto"/>
                                          </w:divBdr>
                                          <w:divsChild>
                                            <w:div w:id="607929340">
                                              <w:marLeft w:val="0"/>
                                              <w:marRight w:val="0"/>
                                              <w:marTop w:val="0"/>
                                              <w:marBottom w:val="0"/>
                                              <w:divBdr>
                                                <w:top w:val="none" w:sz="0" w:space="0" w:color="auto"/>
                                                <w:left w:val="none" w:sz="0" w:space="0" w:color="auto"/>
                                                <w:bottom w:val="none" w:sz="0" w:space="0" w:color="auto"/>
                                                <w:right w:val="none" w:sz="0" w:space="0" w:color="auto"/>
                                              </w:divBdr>
                                              <w:divsChild>
                                                <w:div w:id="227153232">
                                                  <w:marLeft w:val="0"/>
                                                  <w:marRight w:val="0"/>
                                                  <w:marTop w:val="0"/>
                                                  <w:marBottom w:val="0"/>
                                                  <w:divBdr>
                                                    <w:top w:val="none" w:sz="0" w:space="0" w:color="auto"/>
                                                    <w:left w:val="none" w:sz="0" w:space="0" w:color="auto"/>
                                                    <w:bottom w:val="none" w:sz="0" w:space="0" w:color="auto"/>
                                                    <w:right w:val="none" w:sz="0" w:space="0" w:color="auto"/>
                                                  </w:divBdr>
                                                  <w:divsChild>
                                                    <w:div w:id="421028044">
                                                      <w:marLeft w:val="0"/>
                                                      <w:marRight w:val="0"/>
                                                      <w:marTop w:val="0"/>
                                                      <w:marBottom w:val="0"/>
                                                      <w:divBdr>
                                                        <w:top w:val="none" w:sz="0" w:space="0" w:color="auto"/>
                                                        <w:left w:val="none" w:sz="0" w:space="0" w:color="auto"/>
                                                        <w:bottom w:val="none" w:sz="0" w:space="0" w:color="auto"/>
                                                        <w:right w:val="none" w:sz="0" w:space="0" w:color="auto"/>
                                                      </w:divBdr>
                                                      <w:divsChild>
                                                        <w:div w:id="1816293851">
                                                          <w:marLeft w:val="0"/>
                                                          <w:marRight w:val="0"/>
                                                          <w:marTop w:val="0"/>
                                                          <w:marBottom w:val="0"/>
                                                          <w:divBdr>
                                                            <w:top w:val="none" w:sz="0" w:space="0" w:color="auto"/>
                                                            <w:left w:val="none" w:sz="0" w:space="0" w:color="auto"/>
                                                            <w:bottom w:val="none" w:sz="0" w:space="0" w:color="auto"/>
                                                            <w:right w:val="none" w:sz="0" w:space="0" w:color="auto"/>
                                                          </w:divBdr>
                                                          <w:divsChild>
                                                            <w:div w:id="101903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3030606">
      <w:bodyDiv w:val="1"/>
      <w:marLeft w:val="0"/>
      <w:marRight w:val="0"/>
      <w:marTop w:val="0"/>
      <w:marBottom w:val="0"/>
      <w:divBdr>
        <w:top w:val="none" w:sz="0" w:space="0" w:color="auto"/>
        <w:left w:val="none" w:sz="0" w:space="0" w:color="auto"/>
        <w:bottom w:val="none" w:sz="0" w:space="0" w:color="auto"/>
        <w:right w:val="none" w:sz="0" w:space="0" w:color="auto"/>
      </w:divBdr>
    </w:div>
    <w:div w:id="1942494706">
      <w:bodyDiv w:val="1"/>
      <w:marLeft w:val="0"/>
      <w:marRight w:val="0"/>
      <w:marTop w:val="0"/>
      <w:marBottom w:val="0"/>
      <w:divBdr>
        <w:top w:val="none" w:sz="0" w:space="0" w:color="auto"/>
        <w:left w:val="none" w:sz="0" w:space="0" w:color="auto"/>
        <w:bottom w:val="none" w:sz="0" w:space="0" w:color="auto"/>
        <w:right w:val="none" w:sz="0" w:space="0" w:color="auto"/>
      </w:divBdr>
    </w:div>
    <w:div w:id="2002417359">
      <w:bodyDiv w:val="1"/>
      <w:marLeft w:val="0"/>
      <w:marRight w:val="0"/>
      <w:marTop w:val="0"/>
      <w:marBottom w:val="0"/>
      <w:divBdr>
        <w:top w:val="none" w:sz="0" w:space="0" w:color="auto"/>
        <w:left w:val="none" w:sz="0" w:space="0" w:color="auto"/>
        <w:bottom w:val="none" w:sz="0" w:space="0" w:color="auto"/>
        <w:right w:val="none" w:sz="0" w:space="0" w:color="auto"/>
      </w:divBdr>
      <w:divsChild>
        <w:div w:id="1680279899">
          <w:marLeft w:val="0"/>
          <w:marRight w:val="0"/>
          <w:marTop w:val="0"/>
          <w:marBottom w:val="0"/>
          <w:divBdr>
            <w:top w:val="none" w:sz="0" w:space="0" w:color="auto"/>
            <w:left w:val="none" w:sz="0" w:space="0" w:color="auto"/>
            <w:bottom w:val="none" w:sz="0" w:space="0" w:color="auto"/>
            <w:right w:val="none" w:sz="0" w:space="0" w:color="auto"/>
          </w:divBdr>
        </w:div>
      </w:divsChild>
    </w:div>
    <w:div w:id="2072314514">
      <w:bodyDiv w:val="1"/>
      <w:marLeft w:val="0"/>
      <w:marRight w:val="0"/>
      <w:marTop w:val="0"/>
      <w:marBottom w:val="0"/>
      <w:divBdr>
        <w:top w:val="none" w:sz="0" w:space="0" w:color="auto"/>
        <w:left w:val="none" w:sz="0" w:space="0" w:color="auto"/>
        <w:bottom w:val="none" w:sz="0" w:space="0" w:color="auto"/>
        <w:right w:val="none" w:sz="0" w:space="0" w:color="auto"/>
      </w:divBdr>
      <w:divsChild>
        <w:div w:id="252784046">
          <w:marLeft w:val="360"/>
          <w:marRight w:val="0"/>
          <w:marTop w:val="200"/>
          <w:marBottom w:val="0"/>
          <w:divBdr>
            <w:top w:val="none" w:sz="0" w:space="0" w:color="auto"/>
            <w:left w:val="none" w:sz="0" w:space="0" w:color="auto"/>
            <w:bottom w:val="none" w:sz="0" w:space="0" w:color="auto"/>
            <w:right w:val="none" w:sz="0" w:space="0" w:color="auto"/>
          </w:divBdr>
        </w:div>
      </w:divsChild>
    </w:div>
    <w:div w:id="2119445566">
      <w:bodyDiv w:val="1"/>
      <w:marLeft w:val="0"/>
      <w:marRight w:val="0"/>
      <w:marTop w:val="0"/>
      <w:marBottom w:val="0"/>
      <w:divBdr>
        <w:top w:val="none" w:sz="0" w:space="0" w:color="auto"/>
        <w:left w:val="none" w:sz="0" w:space="0" w:color="auto"/>
        <w:bottom w:val="none" w:sz="0" w:space="0" w:color="auto"/>
        <w:right w:val="none" w:sz="0" w:space="0" w:color="auto"/>
      </w:divBdr>
    </w:div>
    <w:div w:id="2145847795">
      <w:bodyDiv w:val="1"/>
      <w:marLeft w:val="0"/>
      <w:marRight w:val="0"/>
      <w:marTop w:val="0"/>
      <w:marBottom w:val="0"/>
      <w:divBdr>
        <w:top w:val="none" w:sz="0" w:space="0" w:color="auto"/>
        <w:left w:val="none" w:sz="0" w:space="0" w:color="auto"/>
        <w:bottom w:val="none" w:sz="0" w:space="0" w:color="auto"/>
        <w:right w:val="none" w:sz="0" w:space="0" w:color="auto"/>
      </w:divBdr>
    </w:div>
    <w:div w:id="2146115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settings" Target="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s://clubdeparis.org/en/communications/communique-presse/4th-meeting-of-the-creditor-committee-for-chad-under-the-common"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data2.unhcr.org/en/documents/details/79656" TargetMode="External"/><Relationship Id="rId13" Type="http://schemas.openxmlformats.org/officeDocument/2006/relationships/hyperlink" Target="https://www.un.org/fr/conf/migration/global-compact-for-safe-orderly-regular-migration.shtml" TargetMode="External"/><Relationship Id="rId3" Type="http://schemas.openxmlformats.org/officeDocument/2006/relationships/hyperlink" Target="https://www.humanitarianresponse.info/sites/www.humanitarianresponse.info/files/documents/files/tcd_str_hno2021_20210415.pdf" TargetMode="External"/><Relationship Id="rId7" Type="http://schemas.openxmlformats.org/officeDocument/2006/relationships/hyperlink" Target="https://migration.iom.int/node/9538" TargetMode="External"/><Relationship Id="rId12" Type="http://schemas.openxmlformats.org/officeDocument/2006/relationships/hyperlink" Target="https://www.un.org/africarenewal/sites/www.un.org.africarenewal/files/French%20Summary%20Report_0.pdf" TargetMode="External"/><Relationship Id="rId2" Type="http://schemas.openxmlformats.org/officeDocument/2006/relationships/hyperlink" Target="https://www.humanitarianresponse.info/en/operations/chad/document/tchad-tableau-de-bord-de-d%C3%A9placements-round-16-17-ao%C3%BBt-16-septembre-2021-fr" TargetMode="External"/><Relationship Id="rId1" Type="http://schemas.openxmlformats.org/officeDocument/2006/relationships/hyperlink" Target="https://www.swissinfo.ch/eng/glencore-under-pressure-from-imf-to-rework-chad-loan/46713736" TargetMode="External"/><Relationship Id="rId6" Type="http://schemas.openxmlformats.org/officeDocument/2006/relationships/hyperlink" Target="https://www.iom.int/fr/news/loim-au-secours-de-migrants-tchadiens-en-detresse-expulses-de-libye" TargetMode="External"/><Relationship Id="rId11" Type="http://schemas.openxmlformats.org/officeDocument/2006/relationships/hyperlink" Target="https://www.peaceau.org/uploads/strategie-regionale-de-stabilisation-de-redressement-et-de-resilience.pdf" TargetMode="External"/><Relationship Id="rId5" Type="http://schemas.openxmlformats.org/officeDocument/2006/relationships/hyperlink" Target="https://www.crtv.cm/2019/08/cameroun-tchad-une-cooperation-dynamique-et-diversifiee/" TargetMode="External"/><Relationship Id="rId10" Type="http://schemas.openxmlformats.org/officeDocument/2006/relationships/hyperlink" Target="https://www.humanitarianresponse.info/en/operations/chad/sud" TargetMode="External"/><Relationship Id="rId4" Type="http://schemas.openxmlformats.org/officeDocument/2006/relationships/hyperlink" Target="https://chad.un.org/index.php/fr/35283-plan-national-de-developpement-du-tchad-2017-2021" TargetMode="External"/><Relationship Id="rId9" Type="http://schemas.openxmlformats.org/officeDocument/2006/relationships/hyperlink" Target="https://reliefweb.int/sites/reliefweb.int/files/resources/DTM%20Chad_Logone%20Oriental_Moyen-Chari_R2_Rapport%20Narratif_Draft3_ab_om_yak_final.pdf" TargetMode="External"/><Relationship Id="rId14" Type="http://schemas.openxmlformats.org/officeDocument/2006/relationships/hyperlink" Target="https://migration.iom.int/reports/tchad-%E2%80%94-suivi-des-urgences-109-08-juillet-202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83E97C1E496146810FEB70F1396B93" ma:contentTypeVersion="12" ma:contentTypeDescription="Create a new document." ma:contentTypeScope="" ma:versionID="db8c0a515c46c5e03b06735768c49eb6">
  <xsd:schema xmlns:xsd="http://www.w3.org/2001/XMLSchema" xmlns:xs="http://www.w3.org/2001/XMLSchema" xmlns:p="http://schemas.microsoft.com/office/2006/metadata/properties" xmlns:ns3="260c9e63-c4c2-4a50-85d0-0cf478f3a22a" xmlns:ns4="89183209-54ec-4e32-bf76-d6dd73274b02" targetNamespace="http://schemas.microsoft.com/office/2006/metadata/properties" ma:root="true" ma:fieldsID="1f03abbf764a0a6971c6ea9eb73c19b6" ns3:_="" ns4:_="">
    <xsd:import namespace="260c9e63-c4c2-4a50-85d0-0cf478f3a22a"/>
    <xsd:import namespace="89183209-54ec-4e32-bf76-d6dd73274b0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c9e63-c4c2-4a50-85d0-0cf478f3a22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183209-54ec-4e32-bf76-d6dd73274b0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FA8E1462663CAC4EBE337790EB1B8BD1" ma:contentTypeVersion="12" ma:contentTypeDescription="Create a new document." ma:contentTypeScope="" ma:versionID="9169cddc818d819bdc38b8745f3e6933">
  <xsd:schema xmlns:xsd="http://www.w3.org/2001/XMLSchema" xmlns:xs="http://www.w3.org/2001/XMLSchema" xmlns:p="http://schemas.microsoft.com/office/2006/metadata/properties" xmlns:ns3="b849d44c-63f3-4d0f-97fa-85d37f225100" xmlns:ns4="ec4518ac-d45a-4fdd-b2df-91ce69347d1f" targetNamespace="http://schemas.microsoft.com/office/2006/metadata/properties" ma:root="true" ma:fieldsID="2d123f56850b3aa880b4f58756a62348" ns3:_="" ns4:_="">
    <xsd:import namespace="b849d44c-63f3-4d0f-97fa-85d37f225100"/>
    <xsd:import namespace="ec4518ac-d45a-4fdd-b2df-91ce69347d1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49d44c-63f3-4d0f-97fa-85d37f225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c4518ac-d45a-4fdd-b2df-91ce69347d1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ct:contentTypeSchema xmlns:ct="http://schemas.microsoft.com/office/2006/metadata/contentType" xmlns:ma="http://schemas.microsoft.com/office/2006/metadata/properties/metaAttributes" ct:_="" ma:_="" ma:contentTypeName="Document" ma:contentTypeID="0x0101000C11C5B0D8264E4B8BC5F93F2B8DDA0F" ma:contentTypeVersion="13" ma:contentTypeDescription="Create a new document." ma:contentTypeScope="" ma:versionID="fc15d21b79ecd891602fe3c93948a3b8">
  <xsd:schema xmlns:xsd="http://www.w3.org/2001/XMLSchema" xmlns:xs="http://www.w3.org/2001/XMLSchema" xmlns:p="http://schemas.microsoft.com/office/2006/metadata/properties" xmlns:ns3="0dcf8483-1041-49aa-ba42-6f24aa73aec3" xmlns:ns4="84a848d9-ed01-40dd-8318-03db16f56d21" targetNamespace="http://schemas.microsoft.com/office/2006/metadata/properties" ma:root="true" ma:fieldsID="3129450f1037764cc7c069dbe15f18fc" ns3:_="" ns4:_="">
    <xsd:import namespace="0dcf8483-1041-49aa-ba42-6f24aa73aec3"/>
    <xsd:import namespace="84a848d9-ed01-40dd-8318-03db16f56d2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cf8483-1041-49aa-ba42-6f24aa73aec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a848d9-ed01-40dd-8318-03db16f56d2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EF948EF-68E3-4267-B74D-92723FEA33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c9e63-c4c2-4a50-85d0-0cf478f3a22a"/>
    <ds:schemaRef ds:uri="89183209-54ec-4e32-bf76-d6dd73274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27C2AB-5736-4CF6-AD45-5F0A6D58CDCB}">
  <ds:schemaRefs>
    <ds:schemaRef ds:uri="http://schemas.microsoft.com/sharepoint/v3/contenttype/forms"/>
  </ds:schemaRefs>
</ds:datastoreItem>
</file>

<file path=customXml/itemProps3.xml><?xml version="1.0" encoding="utf-8"?>
<ds:datastoreItem xmlns:ds="http://schemas.openxmlformats.org/officeDocument/2006/customXml" ds:itemID="{1A2ED8C0-64BE-4238-A704-8FECE6C4512B}">
  <ds:schemaRefs>
    <ds:schemaRef ds:uri="http://schemas.openxmlformats.org/officeDocument/2006/bibliography"/>
  </ds:schemaRefs>
</ds:datastoreItem>
</file>

<file path=customXml/itemProps4.xml><?xml version="1.0" encoding="utf-8"?>
<ds:datastoreItem xmlns:ds="http://schemas.openxmlformats.org/officeDocument/2006/customXml" ds:itemID="{1F7CB62A-608A-4E4F-AEE3-0839F9EAC624}">
  <ds:schemaRefs>
    <ds:schemaRef ds:uri="http://schemas.microsoft.com/sharepoint/v3/contenttype/forms"/>
  </ds:schemaRefs>
</ds:datastoreItem>
</file>

<file path=customXml/itemProps5.xml><?xml version="1.0" encoding="utf-8"?>
<ds:datastoreItem xmlns:ds="http://schemas.openxmlformats.org/officeDocument/2006/customXml" ds:itemID="{7B0AD393-E30C-4286-A07C-29F46E938F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49d44c-63f3-4d0f-97fa-85d37f225100"/>
    <ds:schemaRef ds:uri="ec4518ac-d45a-4fdd-b2df-91ce69347d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A6524E61-1767-4DE0-AFEB-76A2B39E8F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cf8483-1041-49aa-ba42-6f24aa73aec3"/>
    <ds:schemaRef ds:uri="84a848d9-ed01-40dd-8318-03db16f56d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246D57A6-FCD6-4F2D-A180-BBDB04FAF55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129</Pages>
  <Words>58729</Words>
  <Characters>323012</Characters>
  <Application>Microsoft Office Word</Application>
  <DocSecurity>0</DocSecurity>
  <Lines>2691</Lines>
  <Paragraphs>761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VTao</dc:creator>
  <cp:keywords/>
  <dc:description/>
  <cp:lastModifiedBy>Vridaou Tao</cp:lastModifiedBy>
  <cp:revision>2</cp:revision>
  <dcterms:created xsi:type="dcterms:W3CDTF">2021-12-27T10:30:00Z</dcterms:created>
  <dcterms:modified xsi:type="dcterms:W3CDTF">2021-12-27T10:30:00Z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0x010100FA8E1462663CAC4EBE337790EB1B8BD1</vt:lpwstr>
  </property>
  <property fmtid="{D5CDD505-2E9C-101B-9397-08002B2CF9AE}" pid="3" name="TaxKeyword">
    <vt:lpwstr/>
  </property>
  <property fmtid="{D5CDD505-2E9C-101B-9397-08002B2CF9AE}" pid="4" name="Topic">
    <vt:lpwstr/>
  </property>
  <property fmtid="{D5CDD505-2E9C-101B-9397-08002B2CF9AE}" pid="5" name="OfficeDivision">
    <vt:lpwstr>2;#WCARO, Senegal-381R|9457ef44-ef23-492b-a8cb-2710cadf8e20</vt:lpwstr>
  </property>
  <property fmtid="{D5CDD505-2E9C-101B-9397-08002B2CF9AE}" pid="6" name="DocumentType">
    <vt:lpwstr/>
  </property>
  <property fmtid="{D5CDD505-2E9C-101B-9397-08002B2CF9AE}" pid="7" name="GeographicScope">
    <vt:lpwstr/>
  </property>
  <property fmtid="{D5CDD505-2E9C-101B-9397-08002B2CF9AE}" pid="8" name="MSIP_Label_65b15e2b-c6d2-488b-8aea-978109a77633_Enabled">
    <vt:lpwstr>true</vt:lpwstr>
  </property>
  <property fmtid="{D5CDD505-2E9C-101B-9397-08002B2CF9AE}" pid="9" name="MSIP_Label_65b15e2b-c6d2-488b-8aea-978109a77633_SetDate">
    <vt:lpwstr>2021-11-03T15:38:34Z</vt:lpwstr>
  </property>
  <property fmtid="{D5CDD505-2E9C-101B-9397-08002B2CF9AE}" pid="10" name="MSIP_Label_65b15e2b-c6d2-488b-8aea-978109a77633_Method">
    <vt:lpwstr>Privileged</vt:lpwstr>
  </property>
  <property fmtid="{D5CDD505-2E9C-101B-9397-08002B2CF9AE}" pid="11" name="MSIP_Label_65b15e2b-c6d2-488b-8aea-978109a77633_Name">
    <vt:lpwstr>IOMLb0010IN123173</vt:lpwstr>
  </property>
  <property fmtid="{D5CDD505-2E9C-101B-9397-08002B2CF9AE}" pid="12" name="MSIP_Label_65b15e2b-c6d2-488b-8aea-978109a77633_SiteId">
    <vt:lpwstr>1588262d-23fb-43b4-bd6e-bce49c8e6186</vt:lpwstr>
  </property>
  <property fmtid="{D5CDD505-2E9C-101B-9397-08002B2CF9AE}" pid="13" name="MSIP_Label_65b15e2b-c6d2-488b-8aea-978109a77633_ActionId">
    <vt:lpwstr>a450863b-a77b-410c-81f0-e3e549419f35</vt:lpwstr>
  </property>
  <property fmtid="{D5CDD505-2E9C-101B-9397-08002B2CF9AE}" pid="14" name="MSIP_Label_65b15e2b-c6d2-488b-8aea-978109a77633_ContentBits">
    <vt:lpwstr>0</vt:lpwstr>
  </property>
  <property fmtid="{D5CDD505-2E9C-101B-9397-08002B2CF9AE}" pid="15" name="_NewReviewCycle">
    <vt:lpwstr/>
  </property>
</Properties>
</file>