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15A6A" w14:textId="77777777" w:rsidR="00380918" w:rsidRPr="008B4C78" w:rsidRDefault="00380918" w:rsidP="00E54B73">
      <w:pPr>
        <w:pStyle w:val="Title"/>
        <w:jc w:val="center"/>
        <w:rPr>
          <w:rFonts w:ascii="Roboto" w:hAnsi="Roboto"/>
          <w:b/>
          <w:bCs/>
          <w:smallCaps/>
        </w:rPr>
      </w:pPr>
    </w:p>
    <w:p w14:paraId="0869D359" w14:textId="77777777" w:rsidR="00380918" w:rsidRPr="008B4C78" w:rsidRDefault="00380918" w:rsidP="00E54B73">
      <w:pPr>
        <w:pStyle w:val="Title"/>
        <w:jc w:val="center"/>
        <w:rPr>
          <w:rFonts w:ascii="Roboto" w:hAnsi="Roboto"/>
          <w:b/>
          <w:bCs/>
          <w:smallCaps/>
        </w:rPr>
      </w:pPr>
    </w:p>
    <w:p w14:paraId="172E6D76" w14:textId="528661FC" w:rsidR="00CB1976" w:rsidRPr="008B4C78" w:rsidRDefault="00CB1976" w:rsidP="00E54B73">
      <w:pPr>
        <w:pStyle w:val="Title"/>
        <w:jc w:val="center"/>
        <w:rPr>
          <w:rFonts w:ascii="Roboto" w:hAnsi="Roboto"/>
          <w:b/>
          <w:bCs/>
          <w:smallCaps/>
        </w:rPr>
      </w:pPr>
      <w:r w:rsidRPr="008B4C78">
        <w:rPr>
          <w:rFonts w:ascii="Roboto" w:hAnsi="Roboto"/>
          <w:b/>
          <w:bCs/>
          <w:smallCaps/>
        </w:rPr>
        <w:t>actualisation 01</w:t>
      </w:r>
    </w:p>
    <w:p w14:paraId="7048CEB0" w14:textId="211B7320" w:rsidR="001E0FE8" w:rsidRPr="008B4C78" w:rsidRDefault="00E54B73" w:rsidP="001E0FE8">
      <w:pPr>
        <w:pStyle w:val="Title"/>
        <w:jc w:val="center"/>
        <w:rPr>
          <w:rFonts w:ascii="Roboto" w:hAnsi="Roboto"/>
          <w:b/>
          <w:bCs/>
          <w:smallCaps/>
        </w:rPr>
      </w:pPr>
      <w:r w:rsidRPr="008B4C78">
        <w:rPr>
          <w:rFonts w:ascii="Roboto" w:hAnsi="Roboto"/>
          <w:b/>
          <w:bCs/>
          <w:smallCaps/>
        </w:rPr>
        <w:t>l’</w:t>
      </w:r>
      <w:r w:rsidR="001D6AAB" w:rsidRPr="008B4C78">
        <w:rPr>
          <w:rFonts w:ascii="Roboto" w:hAnsi="Roboto"/>
          <w:b/>
          <w:bCs/>
          <w:smallCaps/>
        </w:rPr>
        <w:t>A</w:t>
      </w:r>
      <w:r w:rsidR="00D36C47" w:rsidRPr="008B4C78">
        <w:rPr>
          <w:rFonts w:ascii="Roboto" w:hAnsi="Roboto"/>
          <w:b/>
          <w:bCs/>
          <w:smallCaps/>
        </w:rPr>
        <w:t xml:space="preserve">nalyse </w:t>
      </w:r>
      <w:r w:rsidR="001D6AAB" w:rsidRPr="008B4C78">
        <w:rPr>
          <w:rFonts w:ascii="Roboto" w:hAnsi="Roboto"/>
          <w:b/>
          <w:bCs/>
          <w:smallCaps/>
        </w:rPr>
        <w:t>C</w:t>
      </w:r>
      <w:r w:rsidR="00D36C47" w:rsidRPr="008B4C78">
        <w:rPr>
          <w:rFonts w:ascii="Roboto" w:hAnsi="Roboto"/>
          <w:b/>
          <w:bCs/>
          <w:smallCaps/>
        </w:rPr>
        <w:t>ommune d</w:t>
      </w:r>
      <w:r w:rsidR="001D6AAB" w:rsidRPr="008B4C78">
        <w:rPr>
          <w:rFonts w:ascii="Roboto" w:hAnsi="Roboto"/>
          <w:b/>
          <w:bCs/>
          <w:smallCaps/>
        </w:rPr>
        <w:t>e</w:t>
      </w:r>
      <w:r w:rsidR="00D36C47" w:rsidRPr="008B4C78">
        <w:rPr>
          <w:rFonts w:ascii="Roboto" w:hAnsi="Roboto"/>
          <w:b/>
          <w:bCs/>
          <w:smallCaps/>
        </w:rPr>
        <w:t xml:space="preserve"> </w:t>
      </w:r>
      <w:r w:rsidR="001D6AAB" w:rsidRPr="008B4C78">
        <w:rPr>
          <w:rFonts w:ascii="Roboto" w:hAnsi="Roboto"/>
          <w:b/>
          <w:bCs/>
          <w:smallCaps/>
        </w:rPr>
        <w:t>P</w:t>
      </w:r>
      <w:r w:rsidR="00D36C47" w:rsidRPr="008B4C78">
        <w:rPr>
          <w:rFonts w:ascii="Roboto" w:hAnsi="Roboto"/>
          <w:b/>
          <w:bCs/>
          <w:smallCaps/>
        </w:rPr>
        <w:t>ay</w:t>
      </w:r>
      <w:r w:rsidR="001E0FE8" w:rsidRPr="008B4C78">
        <w:rPr>
          <w:rFonts w:ascii="Roboto" w:hAnsi="Roboto"/>
          <w:b/>
          <w:bCs/>
          <w:smallCaps/>
        </w:rPr>
        <w:t>s</w:t>
      </w:r>
    </w:p>
    <w:p w14:paraId="351C4C2C" w14:textId="71E7D6B4" w:rsidR="001E0FE8" w:rsidRPr="008B4C78" w:rsidRDefault="001E0FE8" w:rsidP="001E0FE8">
      <w:pPr>
        <w:pStyle w:val="Title"/>
        <w:jc w:val="center"/>
        <w:rPr>
          <w:rFonts w:ascii="Roboto" w:hAnsi="Roboto"/>
          <w:b/>
          <w:bCs/>
          <w:smallCaps/>
        </w:rPr>
      </w:pPr>
      <w:r w:rsidRPr="008B4C78">
        <w:rPr>
          <w:rFonts w:ascii="Roboto" w:hAnsi="Roboto"/>
          <w:b/>
          <w:bCs/>
          <w:smallCaps/>
        </w:rPr>
        <w:t xml:space="preserve">République de Guinée </w:t>
      </w:r>
    </w:p>
    <w:p w14:paraId="01EC4A02" w14:textId="60DFDF81" w:rsidR="00295DE3" w:rsidRPr="008B4C78" w:rsidRDefault="00295DE3" w:rsidP="002C0CD7">
      <w:pPr>
        <w:jc w:val="center"/>
        <w:rPr>
          <w:rFonts w:ascii="Roboto" w:hAnsi="Roboto"/>
          <w:b/>
          <w:bCs/>
        </w:rPr>
      </w:pPr>
    </w:p>
    <w:p w14:paraId="078E3B39" w14:textId="7682BEA3" w:rsidR="00295DE3" w:rsidRPr="008B4C78" w:rsidRDefault="00295DE3" w:rsidP="002C0CD7">
      <w:pPr>
        <w:jc w:val="center"/>
        <w:rPr>
          <w:rFonts w:ascii="Roboto" w:hAnsi="Roboto"/>
          <w:b/>
          <w:bCs/>
        </w:rPr>
      </w:pPr>
    </w:p>
    <w:p w14:paraId="10D8779E" w14:textId="5EDDA5CB" w:rsidR="00295DE3" w:rsidRPr="008B4C78" w:rsidRDefault="00E54B73" w:rsidP="002C0CD7">
      <w:pPr>
        <w:jc w:val="center"/>
        <w:rPr>
          <w:rFonts w:ascii="Roboto" w:hAnsi="Roboto"/>
          <w:b/>
          <w:bCs/>
        </w:rPr>
      </w:pPr>
      <w:r w:rsidRPr="008B4C78">
        <w:rPr>
          <w:rFonts w:ascii="Roboto" w:hAnsi="Roboto"/>
          <w:b/>
          <w:bCs/>
          <w:noProof/>
          <w:lang w:val="en-US"/>
        </w:rPr>
        <w:drawing>
          <wp:inline distT="0" distB="0" distL="0" distR="0" wp14:anchorId="076F7E28" wp14:editId="4BBFED00">
            <wp:extent cx="5224780" cy="3487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4780" cy="3487420"/>
                    </a:xfrm>
                    <a:prstGeom prst="rect">
                      <a:avLst/>
                    </a:prstGeom>
                    <a:noFill/>
                  </pic:spPr>
                </pic:pic>
              </a:graphicData>
            </a:graphic>
          </wp:inline>
        </w:drawing>
      </w:r>
    </w:p>
    <w:p w14:paraId="782E39E1" w14:textId="206F647A" w:rsidR="00380918" w:rsidRPr="008B4C78" w:rsidRDefault="00380918" w:rsidP="002C0CD7">
      <w:pPr>
        <w:jc w:val="center"/>
        <w:rPr>
          <w:rFonts w:ascii="Roboto" w:hAnsi="Roboto"/>
          <w:b/>
          <w:bCs/>
        </w:rPr>
      </w:pPr>
    </w:p>
    <w:p w14:paraId="6C6E59FC" w14:textId="607F0531" w:rsidR="00380918" w:rsidRPr="008B4C78" w:rsidRDefault="00380918" w:rsidP="002C0CD7">
      <w:pPr>
        <w:jc w:val="center"/>
        <w:rPr>
          <w:rFonts w:ascii="Roboto" w:hAnsi="Roboto"/>
          <w:b/>
          <w:bCs/>
        </w:rPr>
      </w:pPr>
    </w:p>
    <w:p w14:paraId="03F71154" w14:textId="386085E7" w:rsidR="00380918" w:rsidRPr="008B4C78" w:rsidRDefault="00380918" w:rsidP="002C0CD7">
      <w:pPr>
        <w:jc w:val="center"/>
        <w:rPr>
          <w:rFonts w:ascii="Roboto" w:hAnsi="Roboto"/>
          <w:b/>
          <w:bCs/>
        </w:rPr>
      </w:pPr>
    </w:p>
    <w:p w14:paraId="69FDC635" w14:textId="47A9D08C" w:rsidR="00380918" w:rsidRPr="008B4C78" w:rsidRDefault="00380918" w:rsidP="002C0CD7">
      <w:pPr>
        <w:jc w:val="center"/>
        <w:rPr>
          <w:rFonts w:ascii="Roboto" w:hAnsi="Roboto"/>
          <w:b/>
          <w:bCs/>
        </w:rPr>
      </w:pPr>
    </w:p>
    <w:p w14:paraId="58B256E9" w14:textId="4CBD107F" w:rsidR="00380918" w:rsidRPr="008B4C78" w:rsidRDefault="00380918" w:rsidP="002C0CD7">
      <w:pPr>
        <w:jc w:val="center"/>
        <w:rPr>
          <w:rFonts w:ascii="Roboto" w:hAnsi="Roboto"/>
          <w:b/>
          <w:bCs/>
        </w:rPr>
      </w:pPr>
    </w:p>
    <w:p w14:paraId="0C2EA88A" w14:textId="750465C9" w:rsidR="00380918" w:rsidRPr="008B4C78" w:rsidRDefault="00380918" w:rsidP="002C0CD7">
      <w:pPr>
        <w:jc w:val="center"/>
        <w:rPr>
          <w:rFonts w:ascii="Roboto" w:hAnsi="Roboto"/>
          <w:b/>
          <w:bCs/>
        </w:rPr>
      </w:pPr>
    </w:p>
    <w:p w14:paraId="44C1BDF0" w14:textId="77777777" w:rsidR="00380918" w:rsidRPr="008B4C78" w:rsidRDefault="00380918" w:rsidP="002C0CD7">
      <w:pPr>
        <w:jc w:val="center"/>
        <w:rPr>
          <w:rFonts w:ascii="Roboto" w:hAnsi="Roboto"/>
          <w:b/>
          <w:bCs/>
        </w:rPr>
      </w:pPr>
    </w:p>
    <w:p w14:paraId="303C34A2" w14:textId="77777777" w:rsidR="00295DE3" w:rsidRPr="008B4C78" w:rsidRDefault="00295DE3" w:rsidP="002C0CD7">
      <w:pPr>
        <w:jc w:val="center"/>
        <w:rPr>
          <w:rFonts w:ascii="Roboto" w:hAnsi="Roboto"/>
          <w:b/>
          <w:bCs/>
        </w:rPr>
      </w:pPr>
    </w:p>
    <w:sdt>
      <w:sdtPr>
        <w:rPr>
          <w:rFonts w:ascii="Roboto" w:eastAsiaTheme="minorHAnsi" w:hAnsi="Roboto" w:cstheme="minorBidi"/>
          <w:b/>
          <w:bCs/>
          <w:color w:val="44546A" w:themeColor="text2"/>
          <w:sz w:val="22"/>
          <w:szCs w:val="22"/>
          <w:lang w:val="fr-FR"/>
        </w:rPr>
        <w:id w:val="1925070151"/>
        <w:docPartObj>
          <w:docPartGallery w:val="Table of Contents"/>
          <w:docPartUnique/>
        </w:docPartObj>
      </w:sdtPr>
      <w:sdtEndPr>
        <w:rPr>
          <w:noProof/>
        </w:rPr>
      </w:sdtEndPr>
      <w:sdtContent>
        <w:p w14:paraId="1C3685F8" w14:textId="10A096EC" w:rsidR="00945409" w:rsidRPr="008B4C78" w:rsidRDefault="00945409">
          <w:pPr>
            <w:pStyle w:val="TOCHeading"/>
            <w:rPr>
              <w:rFonts w:ascii="Roboto" w:hAnsi="Roboto"/>
              <w:b/>
              <w:bCs/>
              <w:color w:val="44546A" w:themeColor="text2"/>
              <w:sz w:val="22"/>
              <w:szCs w:val="22"/>
            </w:rPr>
          </w:pPr>
          <w:r w:rsidRPr="008B4C78">
            <w:rPr>
              <w:rFonts w:ascii="Roboto" w:hAnsi="Roboto"/>
              <w:b/>
              <w:bCs/>
              <w:color w:val="44546A" w:themeColor="text2"/>
              <w:sz w:val="22"/>
              <w:szCs w:val="22"/>
            </w:rPr>
            <w:t>Contents</w:t>
          </w:r>
        </w:p>
        <w:p w14:paraId="21838193" w14:textId="137CD47B" w:rsidR="006C321D" w:rsidRDefault="00945409">
          <w:pPr>
            <w:pStyle w:val="TOC1"/>
            <w:tabs>
              <w:tab w:val="left" w:pos="440"/>
              <w:tab w:val="right" w:leader="dot" w:pos="9016"/>
            </w:tabs>
            <w:rPr>
              <w:rFonts w:eastAsiaTheme="minorEastAsia"/>
              <w:noProof/>
              <w:lang w:eastAsia="fr-FR"/>
            </w:rPr>
          </w:pPr>
          <w:r w:rsidRPr="008B4C78">
            <w:rPr>
              <w:rFonts w:ascii="Roboto" w:hAnsi="Roboto"/>
            </w:rPr>
            <w:fldChar w:fldCharType="begin"/>
          </w:r>
          <w:r w:rsidRPr="008B4C78">
            <w:rPr>
              <w:rFonts w:ascii="Roboto" w:hAnsi="Roboto"/>
            </w:rPr>
            <w:instrText xml:space="preserve"> TOC \o "1-3" \h \z \u </w:instrText>
          </w:r>
          <w:r w:rsidRPr="008B4C78">
            <w:rPr>
              <w:rFonts w:ascii="Roboto" w:hAnsi="Roboto"/>
            </w:rPr>
            <w:fldChar w:fldCharType="separate"/>
          </w:r>
          <w:hyperlink w:anchor="_Toc141568087" w:history="1">
            <w:r w:rsidR="006C321D" w:rsidRPr="00632B6D">
              <w:rPr>
                <w:rStyle w:val="Hyperlink"/>
                <w:rFonts w:ascii="Roboto" w:hAnsi="Roboto"/>
                <w:noProof/>
              </w:rPr>
              <w:t>I.</w:t>
            </w:r>
            <w:r w:rsidR="006C321D">
              <w:rPr>
                <w:rFonts w:eastAsiaTheme="minorEastAsia"/>
                <w:noProof/>
                <w:lang w:eastAsia="fr-FR"/>
              </w:rPr>
              <w:tab/>
            </w:r>
            <w:r w:rsidR="006C321D" w:rsidRPr="00632B6D">
              <w:rPr>
                <w:rStyle w:val="Hyperlink"/>
                <w:rFonts w:ascii="Roboto" w:hAnsi="Roboto"/>
                <w:noProof/>
              </w:rPr>
              <w:t>Sommaire exécutif</w:t>
            </w:r>
            <w:r w:rsidR="006C321D">
              <w:rPr>
                <w:noProof/>
                <w:webHidden/>
              </w:rPr>
              <w:tab/>
            </w:r>
            <w:r w:rsidR="006C321D">
              <w:rPr>
                <w:noProof/>
                <w:webHidden/>
              </w:rPr>
              <w:fldChar w:fldCharType="begin"/>
            </w:r>
            <w:r w:rsidR="006C321D">
              <w:rPr>
                <w:noProof/>
                <w:webHidden/>
              </w:rPr>
              <w:instrText xml:space="preserve"> PAGEREF _Toc141568087 \h </w:instrText>
            </w:r>
            <w:r w:rsidR="006C321D">
              <w:rPr>
                <w:noProof/>
                <w:webHidden/>
              </w:rPr>
            </w:r>
            <w:r w:rsidR="006C321D">
              <w:rPr>
                <w:noProof/>
                <w:webHidden/>
              </w:rPr>
              <w:fldChar w:fldCharType="separate"/>
            </w:r>
            <w:r w:rsidR="006C321D">
              <w:rPr>
                <w:noProof/>
                <w:webHidden/>
              </w:rPr>
              <w:t>3</w:t>
            </w:r>
            <w:r w:rsidR="006C321D">
              <w:rPr>
                <w:noProof/>
                <w:webHidden/>
              </w:rPr>
              <w:fldChar w:fldCharType="end"/>
            </w:r>
          </w:hyperlink>
        </w:p>
        <w:p w14:paraId="4D0E9EB2" w14:textId="123DCCC0" w:rsidR="006C321D" w:rsidRDefault="006C321D">
          <w:pPr>
            <w:pStyle w:val="TOC1"/>
            <w:tabs>
              <w:tab w:val="left" w:pos="440"/>
              <w:tab w:val="right" w:leader="dot" w:pos="9016"/>
            </w:tabs>
            <w:rPr>
              <w:rFonts w:eastAsiaTheme="minorEastAsia"/>
              <w:noProof/>
              <w:lang w:eastAsia="fr-FR"/>
            </w:rPr>
          </w:pPr>
          <w:hyperlink w:anchor="_Toc141568088" w:history="1">
            <w:r w:rsidRPr="00632B6D">
              <w:rPr>
                <w:rStyle w:val="Hyperlink"/>
                <w:rFonts w:ascii="Roboto" w:hAnsi="Roboto"/>
                <w:noProof/>
              </w:rPr>
              <w:t>II.</w:t>
            </w:r>
            <w:r>
              <w:rPr>
                <w:rFonts w:eastAsiaTheme="minorEastAsia"/>
                <w:noProof/>
                <w:lang w:eastAsia="fr-FR"/>
              </w:rPr>
              <w:tab/>
            </w:r>
            <w:r w:rsidRPr="00632B6D">
              <w:rPr>
                <w:rStyle w:val="Hyperlink"/>
                <w:rFonts w:ascii="Roboto" w:hAnsi="Roboto"/>
                <w:noProof/>
              </w:rPr>
              <w:t>Gouvernance politique et état de droit</w:t>
            </w:r>
            <w:r>
              <w:rPr>
                <w:noProof/>
                <w:webHidden/>
              </w:rPr>
              <w:tab/>
            </w:r>
            <w:r>
              <w:rPr>
                <w:noProof/>
                <w:webHidden/>
              </w:rPr>
              <w:fldChar w:fldCharType="begin"/>
            </w:r>
            <w:r>
              <w:rPr>
                <w:noProof/>
                <w:webHidden/>
              </w:rPr>
              <w:instrText xml:space="preserve"> PAGEREF _Toc141568088 \h </w:instrText>
            </w:r>
            <w:r>
              <w:rPr>
                <w:noProof/>
                <w:webHidden/>
              </w:rPr>
            </w:r>
            <w:r>
              <w:rPr>
                <w:noProof/>
                <w:webHidden/>
              </w:rPr>
              <w:fldChar w:fldCharType="separate"/>
            </w:r>
            <w:r>
              <w:rPr>
                <w:noProof/>
                <w:webHidden/>
              </w:rPr>
              <w:t>3</w:t>
            </w:r>
            <w:r>
              <w:rPr>
                <w:noProof/>
                <w:webHidden/>
              </w:rPr>
              <w:fldChar w:fldCharType="end"/>
            </w:r>
          </w:hyperlink>
        </w:p>
        <w:p w14:paraId="44EAF8A4" w14:textId="203D13D1" w:rsidR="006C321D" w:rsidRDefault="006C321D">
          <w:pPr>
            <w:pStyle w:val="TOC2"/>
            <w:rPr>
              <w:rFonts w:eastAsiaTheme="minorEastAsia"/>
              <w:noProof/>
              <w:lang w:eastAsia="fr-FR"/>
            </w:rPr>
          </w:pPr>
          <w:hyperlink w:anchor="_Toc141568089" w:history="1">
            <w:r w:rsidRPr="00632B6D">
              <w:rPr>
                <w:rStyle w:val="Hyperlink"/>
                <w:rFonts w:ascii="Roboto" w:hAnsi="Roboto"/>
                <w:noProof/>
              </w:rPr>
              <w:t>1.</w:t>
            </w:r>
            <w:r>
              <w:rPr>
                <w:rFonts w:eastAsiaTheme="minorEastAsia"/>
                <w:noProof/>
                <w:lang w:eastAsia="fr-FR"/>
              </w:rPr>
              <w:tab/>
            </w:r>
            <w:r w:rsidRPr="00632B6D">
              <w:rPr>
                <w:rStyle w:val="Hyperlink"/>
                <w:rFonts w:ascii="Roboto" w:hAnsi="Roboto"/>
                <w:noProof/>
              </w:rPr>
              <w:t>Transition politique</w:t>
            </w:r>
            <w:r>
              <w:rPr>
                <w:noProof/>
                <w:webHidden/>
              </w:rPr>
              <w:tab/>
            </w:r>
            <w:r>
              <w:rPr>
                <w:noProof/>
                <w:webHidden/>
              </w:rPr>
              <w:fldChar w:fldCharType="begin"/>
            </w:r>
            <w:r>
              <w:rPr>
                <w:noProof/>
                <w:webHidden/>
              </w:rPr>
              <w:instrText xml:space="preserve"> PAGEREF _Toc141568089 \h </w:instrText>
            </w:r>
            <w:r>
              <w:rPr>
                <w:noProof/>
                <w:webHidden/>
              </w:rPr>
            </w:r>
            <w:r>
              <w:rPr>
                <w:noProof/>
                <w:webHidden/>
              </w:rPr>
              <w:fldChar w:fldCharType="separate"/>
            </w:r>
            <w:r>
              <w:rPr>
                <w:noProof/>
                <w:webHidden/>
              </w:rPr>
              <w:t>3</w:t>
            </w:r>
            <w:r>
              <w:rPr>
                <w:noProof/>
                <w:webHidden/>
              </w:rPr>
              <w:fldChar w:fldCharType="end"/>
            </w:r>
          </w:hyperlink>
        </w:p>
        <w:p w14:paraId="05518D97" w14:textId="4C6E3BA9" w:rsidR="006C321D" w:rsidRDefault="006C321D">
          <w:pPr>
            <w:pStyle w:val="TOC2"/>
            <w:rPr>
              <w:rFonts w:eastAsiaTheme="minorEastAsia"/>
              <w:noProof/>
              <w:lang w:eastAsia="fr-FR"/>
            </w:rPr>
          </w:pPr>
          <w:hyperlink w:anchor="_Toc141568090" w:history="1">
            <w:r w:rsidRPr="00632B6D">
              <w:rPr>
                <w:rStyle w:val="Hyperlink"/>
                <w:rFonts w:ascii="Roboto" w:hAnsi="Roboto"/>
                <w:noProof/>
              </w:rPr>
              <w:t>2.</w:t>
            </w:r>
            <w:r>
              <w:rPr>
                <w:rFonts w:eastAsiaTheme="minorEastAsia"/>
                <w:noProof/>
                <w:lang w:eastAsia="fr-FR"/>
              </w:rPr>
              <w:tab/>
            </w:r>
            <w:r w:rsidRPr="00632B6D">
              <w:rPr>
                <w:rStyle w:val="Hyperlink"/>
                <w:rFonts w:ascii="Roboto" w:hAnsi="Roboto"/>
                <w:noProof/>
              </w:rPr>
              <w:t>Déguerpissements</w:t>
            </w:r>
            <w:r>
              <w:rPr>
                <w:noProof/>
                <w:webHidden/>
              </w:rPr>
              <w:tab/>
            </w:r>
            <w:r>
              <w:rPr>
                <w:noProof/>
                <w:webHidden/>
              </w:rPr>
              <w:fldChar w:fldCharType="begin"/>
            </w:r>
            <w:r>
              <w:rPr>
                <w:noProof/>
                <w:webHidden/>
              </w:rPr>
              <w:instrText xml:space="preserve"> PAGEREF _Toc141568090 \h </w:instrText>
            </w:r>
            <w:r>
              <w:rPr>
                <w:noProof/>
                <w:webHidden/>
              </w:rPr>
            </w:r>
            <w:r>
              <w:rPr>
                <w:noProof/>
                <w:webHidden/>
              </w:rPr>
              <w:fldChar w:fldCharType="separate"/>
            </w:r>
            <w:r>
              <w:rPr>
                <w:noProof/>
                <w:webHidden/>
              </w:rPr>
              <w:t>4</w:t>
            </w:r>
            <w:r>
              <w:rPr>
                <w:noProof/>
                <w:webHidden/>
              </w:rPr>
              <w:fldChar w:fldCharType="end"/>
            </w:r>
          </w:hyperlink>
        </w:p>
        <w:p w14:paraId="24B17D73" w14:textId="0ABEF97A" w:rsidR="006C321D" w:rsidRDefault="006C321D">
          <w:pPr>
            <w:pStyle w:val="TOC2"/>
            <w:rPr>
              <w:rFonts w:eastAsiaTheme="minorEastAsia"/>
              <w:noProof/>
              <w:lang w:eastAsia="fr-FR"/>
            </w:rPr>
          </w:pPr>
          <w:hyperlink w:anchor="_Toc141568091" w:history="1">
            <w:r w:rsidRPr="00632B6D">
              <w:rPr>
                <w:rStyle w:val="Hyperlink"/>
                <w:rFonts w:ascii="Roboto" w:hAnsi="Roboto"/>
                <w:noProof/>
              </w:rPr>
              <w:t>3.</w:t>
            </w:r>
            <w:r>
              <w:rPr>
                <w:rFonts w:eastAsiaTheme="minorEastAsia"/>
                <w:noProof/>
                <w:lang w:eastAsia="fr-FR"/>
              </w:rPr>
              <w:tab/>
            </w:r>
            <w:r w:rsidRPr="00632B6D">
              <w:rPr>
                <w:rStyle w:val="Hyperlink"/>
                <w:rFonts w:ascii="Roboto" w:hAnsi="Roboto"/>
                <w:noProof/>
              </w:rPr>
              <w:t>Réconciliation et justice transitionnelle</w:t>
            </w:r>
            <w:r>
              <w:rPr>
                <w:noProof/>
                <w:webHidden/>
              </w:rPr>
              <w:tab/>
            </w:r>
            <w:r>
              <w:rPr>
                <w:noProof/>
                <w:webHidden/>
              </w:rPr>
              <w:fldChar w:fldCharType="begin"/>
            </w:r>
            <w:r>
              <w:rPr>
                <w:noProof/>
                <w:webHidden/>
              </w:rPr>
              <w:instrText xml:space="preserve"> PAGEREF _Toc141568091 \h </w:instrText>
            </w:r>
            <w:r>
              <w:rPr>
                <w:noProof/>
                <w:webHidden/>
              </w:rPr>
            </w:r>
            <w:r>
              <w:rPr>
                <w:noProof/>
                <w:webHidden/>
              </w:rPr>
              <w:fldChar w:fldCharType="separate"/>
            </w:r>
            <w:r>
              <w:rPr>
                <w:noProof/>
                <w:webHidden/>
              </w:rPr>
              <w:t>4</w:t>
            </w:r>
            <w:r>
              <w:rPr>
                <w:noProof/>
                <w:webHidden/>
              </w:rPr>
              <w:fldChar w:fldCharType="end"/>
            </w:r>
          </w:hyperlink>
        </w:p>
        <w:p w14:paraId="482662F8" w14:textId="65B91F6C" w:rsidR="006C321D" w:rsidRDefault="006C321D">
          <w:pPr>
            <w:pStyle w:val="TOC2"/>
            <w:rPr>
              <w:rFonts w:eastAsiaTheme="minorEastAsia"/>
              <w:noProof/>
              <w:lang w:eastAsia="fr-FR"/>
            </w:rPr>
          </w:pPr>
          <w:hyperlink w:anchor="_Toc141568092" w:history="1">
            <w:r w:rsidRPr="00632B6D">
              <w:rPr>
                <w:rStyle w:val="Hyperlink"/>
                <w:rFonts w:ascii="Roboto" w:hAnsi="Roboto"/>
                <w:noProof/>
              </w:rPr>
              <w:t>4.</w:t>
            </w:r>
            <w:r>
              <w:rPr>
                <w:rFonts w:eastAsiaTheme="minorEastAsia"/>
                <w:noProof/>
                <w:lang w:eastAsia="fr-FR"/>
              </w:rPr>
              <w:tab/>
            </w:r>
            <w:r w:rsidRPr="00632B6D">
              <w:rPr>
                <w:rStyle w:val="Hyperlink"/>
                <w:rFonts w:ascii="Roboto" w:hAnsi="Roboto"/>
                <w:noProof/>
              </w:rPr>
              <w:t>Libertés civiles</w:t>
            </w:r>
            <w:r>
              <w:rPr>
                <w:noProof/>
                <w:webHidden/>
              </w:rPr>
              <w:tab/>
            </w:r>
            <w:r>
              <w:rPr>
                <w:noProof/>
                <w:webHidden/>
              </w:rPr>
              <w:fldChar w:fldCharType="begin"/>
            </w:r>
            <w:r>
              <w:rPr>
                <w:noProof/>
                <w:webHidden/>
              </w:rPr>
              <w:instrText xml:space="preserve"> PAGEREF _Toc141568092 \h </w:instrText>
            </w:r>
            <w:r>
              <w:rPr>
                <w:noProof/>
                <w:webHidden/>
              </w:rPr>
            </w:r>
            <w:r>
              <w:rPr>
                <w:noProof/>
                <w:webHidden/>
              </w:rPr>
              <w:fldChar w:fldCharType="separate"/>
            </w:r>
            <w:r>
              <w:rPr>
                <w:noProof/>
                <w:webHidden/>
              </w:rPr>
              <w:t>5</w:t>
            </w:r>
            <w:r>
              <w:rPr>
                <w:noProof/>
                <w:webHidden/>
              </w:rPr>
              <w:fldChar w:fldCharType="end"/>
            </w:r>
          </w:hyperlink>
        </w:p>
        <w:p w14:paraId="03AF94CC" w14:textId="21BA31A2" w:rsidR="006C321D" w:rsidRDefault="006C321D">
          <w:pPr>
            <w:pStyle w:val="TOC2"/>
            <w:rPr>
              <w:rFonts w:eastAsiaTheme="minorEastAsia"/>
              <w:noProof/>
              <w:lang w:eastAsia="fr-FR"/>
            </w:rPr>
          </w:pPr>
          <w:hyperlink w:anchor="_Toc141568093" w:history="1">
            <w:r w:rsidRPr="00632B6D">
              <w:rPr>
                <w:rStyle w:val="Hyperlink"/>
                <w:rFonts w:ascii="Roboto" w:hAnsi="Roboto"/>
                <w:noProof/>
              </w:rPr>
              <w:t>5.</w:t>
            </w:r>
            <w:r>
              <w:rPr>
                <w:rFonts w:eastAsiaTheme="minorEastAsia"/>
                <w:noProof/>
                <w:lang w:eastAsia="fr-FR"/>
              </w:rPr>
              <w:tab/>
            </w:r>
            <w:r w:rsidRPr="00632B6D">
              <w:rPr>
                <w:rStyle w:val="Hyperlink"/>
                <w:rFonts w:ascii="Roboto" w:hAnsi="Roboto"/>
                <w:noProof/>
              </w:rPr>
              <w:t>Lutte contre l’impunité</w:t>
            </w:r>
            <w:r>
              <w:rPr>
                <w:noProof/>
                <w:webHidden/>
              </w:rPr>
              <w:tab/>
            </w:r>
            <w:r>
              <w:rPr>
                <w:noProof/>
                <w:webHidden/>
              </w:rPr>
              <w:fldChar w:fldCharType="begin"/>
            </w:r>
            <w:r>
              <w:rPr>
                <w:noProof/>
                <w:webHidden/>
              </w:rPr>
              <w:instrText xml:space="preserve"> PAGEREF _Toc141568093 \h </w:instrText>
            </w:r>
            <w:r>
              <w:rPr>
                <w:noProof/>
                <w:webHidden/>
              </w:rPr>
            </w:r>
            <w:r>
              <w:rPr>
                <w:noProof/>
                <w:webHidden/>
              </w:rPr>
              <w:fldChar w:fldCharType="separate"/>
            </w:r>
            <w:r>
              <w:rPr>
                <w:noProof/>
                <w:webHidden/>
              </w:rPr>
              <w:t>5</w:t>
            </w:r>
            <w:r>
              <w:rPr>
                <w:noProof/>
                <w:webHidden/>
              </w:rPr>
              <w:fldChar w:fldCharType="end"/>
            </w:r>
          </w:hyperlink>
        </w:p>
        <w:p w14:paraId="01EBFB47" w14:textId="317AA6DD" w:rsidR="006C321D" w:rsidRDefault="006C321D">
          <w:pPr>
            <w:pStyle w:val="TOC2"/>
            <w:rPr>
              <w:rFonts w:eastAsiaTheme="minorEastAsia"/>
              <w:noProof/>
              <w:lang w:eastAsia="fr-FR"/>
            </w:rPr>
          </w:pPr>
          <w:hyperlink w:anchor="_Toc141568094" w:history="1">
            <w:r w:rsidRPr="00632B6D">
              <w:rPr>
                <w:rStyle w:val="Hyperlink"/>
                <w:rFonts w:ascii="Roboto" w:hAnsi="Roboto"/>
                <w:noProof/>
              </w:rPr>
              <w:t>6.</w:t>
            </w:r>
            <w:r>
              <w:rPr>
                <w:rFonts w:eastAsiaTheme="minorEastAsia"/>
                <w:noProof/>
                <w:lang w:eastAsia="fr-FR"/>
              </w:rPr>
              <w:tab/>
            </w:r>
            <w:r w:rsidRPr="00632B6D">
              <w:rPr>
                <w:rStyle w:val="Hyperlink"/>
                <w:rFonts w:ascii="Roboto" w:hAnsi="Roboto"/>
                <w:noProof/>
              </w:rPr>
              <w:t>Dialogue Politique</w:t>
            </w:r>
            <w:r>
              <w:rPr>
                <w:noProof/>
                <w:webHidden/>
              </w:rPr>
              <w:tab/>
            </w:r>
            <w:r>
              <w:rPr>
                <w:noProof/>
                <w:webHidden/>
              </w:rPr>
              <w:fldChar w:fldCharType="begin"/>
            </w:r>
            <w:r>
              <w:rPr>
                <w:noProof/>
                <w:webHidden/>
              </w:rPr>
              <w:instrText xml:space="preserve"> PAGEREF _Toc141568094 \h </w:instrText>
            </w:r>
            <w:r>
              <w:rPr>
                <w:noProof/>
                <w:webHidden/>
              </w:rPr>
            </w:r>
            <w:r>
              <w:rPr>
                <w:noProof/>
                <w:webHidden/>
              </w:rPr>
              <w:fldChar w:fldCharType="separate"/>
            </w:r>
            <w:r>
              <w:rPr>
                <w:noProof/>
                <w:webHidden/>
              </w:rPr>
              <w:t>5</w:t>
            </w:r>
            <w:r>
              <w:rPr>
                <w:noProof/>
                <w:webHidden/>
              </w:rPr>
              <w:fldChar w:fldCharType="end"/>
            </w:r>
          </w:hyperlink>
        </w:p>
        <w:p w14:paraId="551389DD" w14:textId="3F7408DD" w:rsidR="006C321D" w:rsidRDefault="006C321D">
          <w:pPr>
            <w:pStyle w:val="TOC1"/>
            <w:tabs>
              <w:tab w:val="left" w:pos="660"/>
              <w:tab w:val="right" w:leader="dot" w:pos="9016"/>
            </w:tabs>
            <w:rPr>
              <w:rFonts w:eastAsiaTheme="minorEastAsia"/>
              <w:noProof/>
              <w:lang w:eastAsia="fr-FR"/>
            </w:rPr>
          </w:pPr>
          <w:hyperlink w:anchor="_Toc141568095" w:history="1">
            <w:r w:rsidRPr="00632B6D">
              <w:rPr>
                <w:rStyle w:val="Hyperlink"/>
                <w:rFonts w:ascii="Roboto" w:hAnsi="Roboto"/>
                <w:noProof/>
              </w:rPr>
              <w:t>III.</w:t>
            </w:r>
            <w:r>
              <w:rPr>
                <w:rFonts w:eastAsiaTheme="minorEastAsia"/>
                <w:noProof/>
                <w:lang w:eastAsia="fr-FR"/>
              </w:rPr>
              <w:tab/>
            </w:r>
            <w:r w:rsidRPr="00632B6D">
              <w:rPr>
                <w:rStyle w:val="Hyperlink"/>
                <w:rFonts w:ascii="Roboto" w:hAnsi="Roboto"/>
                <w:noProof/>
              </w:rPr>
              <w:t>Économie-Impact de la crise mondiale liée à la guerre en Ukraine sur les performances macroéconomiques</w:t>
            </w:r>
            <w:r>
              <w:rPr>
                <w:noProof/>
                <w:webHidden/>
              </w:rPr>
              <w:tab/>
            </w:r>
            <w:r>
              <w:rPr>
                <w:noProof/>
                <w:webHidden/>
              </w:rPr>
              <w:fldChar w:fldCharType="begin"/>
            </w:r>
            <w:r>
              <w:rPr>
                <w:noProof/>
                <w:webHidden/>
              </w:rPr>
              <w:instrText xml:space="preserve"> PAGEREF _Toc141568095 \h </w:instrText>
            </w:r>
            <w:r>
              <w:rPr>
                <w:noProof/>
                <w:webHidden/>
              </w:rPr>
            </w:r>
            <w:r>
              <w:rPr>
                <w:noProof/>
                <w:webHidden/>
              </w:rPr>
              <w:fldChar w:fldCharType="separate"/>
            </w:r>
            <w:r>
              <w:rPr>
                <w:noProof/>
                <w:webHidden/>
              </w:rPr>
              <w:t>7</w:t>
            </w:r>
            <w:r>
              <w:rPr>
                <w:noProof/>
                <w:webHidden/>
              </w:rPr>
              <w:fldChar w:fldCharType="end"/>
            </w:r>
          </w:hyperlink>
        </w:p>
        <w:p w14:paraId="699CD088" w14:textId="1F476155" w:rsidR="006C321D" w:rsidRDefault="006C321D">
          <w:pPr>
            <w:pStyle w:val="TOC2"/>
            <w:rPr>
              <w:rFonts w:eastAsiaTheme="minorEastAsia"/>
              <w:noProof/>
              <w:lang w:eastAsia="fr-FR"/>
            </w:rPr>
          </w:pPr>
          <w:hyperlink w:anchor="_Toc141568096" w:history="1">
            <w:r w:rsidRPr="00632B6D">
              <w:rPr>
                <w:rStyle w:val="Hyperlink"/>
                <w:rFonts w:ascii="Roboto" w:hAnsi="Roboto"/>
                <w:noProof/>
              </w:rPr>
              <w:t>1.</w:t>
            </w:r>
            <w:r>
              <w:rPr>
                <w:rFonts w:eastAsiaTheme="minorEastAsia"/>
                <w:noProof/>
                <w:lang w:eastAsia="fr-FR"/>
              </w:rPr>
              <w:tab/>
            </w:r>
            <w:r w:rsidRPr="00632B6D">
              <w:rPr>
                <w:rStyle w:val="Hyperlink"/>
                <w:rFonts w:ascii="Roboto" w:hAnsi="Roboto"/>
                <w:noProof/>
              </w:rPr>
              <w:t>Les performances macroéconomiques</w:t>
            </w:r>
            <w:r>
              <w:rPr>
                <w:noProof/>
                <w:webHidden/>
              </w:rPr>
              <w:tab/>
            </w:r>
            <w:r>
              <w:rPr>
                <w:noProof/>
                <w:webHidden/>
              </w:rPr>
              <w:fldChar w:fldCharType="begin"/>
            </w:r>
            <w:r>
              <w:rPr>
                <w:noProof/>
                <w:webHidden/>
              </w:rPr>
              <w:instrText xml:space="preserve"> PAGEREF _Toc141568096 \h </w:instrText>
            </w:r>
            <w:r>
              <w:rPr>
                <w:noProof/>
                <w:webHidden/>
              </w:rPr>
            </w:r>
            <w:r>
              <w:rPr>
                <w:noProof/>
                <w:webHidden/>
              </w:rPr>
              <w:fldChar w:fldCharType="separate"/>
            </w:r>
            <w:r>
              <w:rPr>
                <w:noProof/>
                <w:webHidden/>
              </w:rPr>
              <w:t>7</w:t>
            </w:r>
            <w:r>
              <w:rPr>
                <w:noProof/>
                <w:webHidden/>
              </w:rPr>
              <w:fldChar w:fldCharType="end"/>
            </w:r>
          </w:hyperlink>
        </w:p>
        <w:p w14:paraId="3FF8DBCE" w14:textId="7014E3EB" w:rsidR="006C321D" w:rsidRDefault="006C321D">
          <w:pPr>
            <w:pStyle w:val="TOC3"/>
            <w:tabs>
              <w:tab w:val="left" w:pos="1100"/>
              <w:tab w:val="right" w:leader="dot" w:pos="9016"/>
            </w:tabs>
            <w:rPr>
              <w:rFonts w:eastAsiaTheme="minorEastAsia"/>
              <w:noProof/>
              <w:lang w:eastAsia="fr-FR"/>
            </w:rPr>
          </w:pPr>
          <w:hyperlink w:anchor="_Toc141568097" w:history="1">
            <w:r w:rsidRPr="00632B6D">
              <w:rPr>
                <w:rStyle w:val="Hyperlink"/>
                <w:rFonts w:ascii="Roboto" w:hAnsi="Roboto"/>
                <w:noProof/>
              </w:rPr>
              <w:t>1.1.</w:t>
            </w:r>
            <w:r>
              <w:rPr>
                <w:rFonts w:eastAsiaTheme="minorEastAsia"/>
                <w:noProof/>
                <w:lang w:eastAsia="fr-FR"/>
              </w:rPr>
              <w:tab/>
            </w:r>
            <w:r w:rsidRPr="00632B6D">
              <w:rPr>
                <w:rStyle w:val="Hyperlink"/>
                <w:rFonts w:ascii="Roboto" w:hAnsi="Roboto"/>
                <w:noProof/>
              </w:rPr>
              <w:t>La croissance économique en Guinée</w:t>
            </w:r>
            <w:r>
              <w:rPr>
                <w:noProof/>
                <w:webHidden/>
              </w:rPr>
              <w:tab/>
            </w:r>
            <w:r>
              <w:rPr>
                <w:noProof/>
                <w:webHidden/>
              </w:rPr>
              <w:fldChar w:fldCharType="begin"/>
            </w:r>
            <w:r>
              <w:rPr>
                <w:noProof/>
                <w:webHidden/>
              </w:rPr>
              <w:instrText xml:space="preserve"> PAGEREF _Toc141568097 \h </w:instrText>
            </w:r>
            <w:r>
              <w:rPr>
                <w:noProof/>
                <w:webHidden/>
              </w:rPr>
            </w:r>
            <w:r>
              <w:rPr>
                <w:noProof/>
                <w:webHidden/>
              </w:rPr>
              <w:fldChar w:fldCharType="separate"/>
            </w:r>
            <w:r>
              <w:rPr>
                <w:noProof/>
                <w:webHidden/>
              </w:rPr>
              <w:t>7</w:t>
            </w:r>
            <w:r>
              <w:rPr>
                <w:noProof/>
                <w:webHidden/>
              </w:rPr>
              <w:fldChar w:fldCharType="end"/>
            </w:r>
          </w:hyperlink>
        </w:p>
        <w:p w14:paraId="491544FA" w14:textId="78FF3A08" w:rsidR="006C321D" w:rsidRDefault="006C321D">
          <w:pPr>
            <w:pStyle w:val="TOC3"/>
            <w:tabs>
              <w:tab w:val="left" w:pos="1100"/>
              <w:tab w:val="right" w:leader="dot" w:pos="9016"/>
            </w:tabs>
            <w:rPr>
              <w:rFonts w:eastAsiaTheme="minorEastAsia"/>
              <w:noProof/>
              <w:lang w:eastAsia="fr-FR"/>
            </w:rPr>
          </w:pPr>
          <w:hyperlink w:anchor="_Toc141568098" w:history="1">
            <w:r w:rsidRPr="00632B6D">
              <w:rPr>
                <w:rStyle w:val="Hyperlink"/>
                <w:rFonts w:ascii="Roboto" w:hAnsi="Roboto"/>
                <w:noProof/>
              </w:rPr>
              <w:t>1.2.</w:t>
            </w:r>
            <w:r>
              <w:rPr>
                <w:rFonts w:eastAsiaTheme="minorEastAsia"/>
                <w:noProof/>
                <w:lang w:eastAsia="fr-FR"/>
              </w:rPr>
              <w:tab/>
            </w:r>
            <w:r w:rsidRPr="00632B6D">
              <w:rPr>
                <w:rStyle w:val="Hyperlink"/>
                <w:rFonts w:ascii="Roboto" w:hAnsi="Roboto"/>
                <w:noProof/>
              </w:rPr>
              <w:t>L’inflation</w:t>
            </w:r>
            <w:r>
              <w:rPr>
                <w:noProof/>
                <w:webHidden/>
              </w:rPr>
              <w:tab/>
            </w:r>
            <w:r>
              <w:rPr>
                <w:noProof/>
                <w:webHidden/>
              </w:rPr>
              <w:fldChar w:fldCharType="begin"/>
            </w:r>
            <w:r>
              <w:rPr>
                <w:noProof/>
                <w:webHidden/>
              </w:rPr>
              <w:instrText xml:space="preserve"> PAGEREF _Toc141568098 \h </w:instrText>
            </w:r>
            <w:r>
              <w:rPr>
                <w:noProof/>
                <w:webHidden/>
              </w:rPr>
            </w:r>
            <w:r>
              <w:rPr>
                <w:noProof/>
                <w:webHidden/>
              </w:rPr>
              <w:fldChar w:fldCharType="separate"/>
            </w:r>
            <w:r>
              <w:rPr>
                <w:noProof/>
                <w:webHidden/>
              </w:rPr>
              <w:t>9</w:t>
            </w:r>
            <w:r>
              <w:rPr>
                <w:noProof/>
                <w:webHidden/>
              </w:rPr>
              <w:fldChar w:fldCharType="end"/>
            </w:r>
          </w:hyperlink>
        </w:p>
        <w:p w14:paraId="50040E2D" w14:textId="5C32811B" w:rsidR="006C321D" w:rsidRDefault="006C321D">
          <w:pPr>
            <w:pStyle w:val="TOC3"/>
            <w:tabs>
              <w:tab w:val="left" w:pos="1100"/>
              <w:tab w:val="right" w:leader="dot" w:pos="9016"/>
            </w:tabs>
            <w:rPr>
              <w:rFonts w:eastAsiaTheme="minorEastAsia"/>
              <w:noProof/>
              <w:lang w:eastAsia="fr-FR"/>
            </w:rPr>
          </w:pPr>
          <w:hyperlink w:anchor="_Toc141568099" w:history="1">
            <w:r w:rsidRPr="00632B6D">
              <w:rPr>
                <w:rStyle w:val="Hyperlink"/>
                <w:rFonts w:ascii="Roboto" w:hAnsi="Roboto"/>
                <w:noProof/>
              </w:rPr>
              <w:t>1.3.</w:t>
            </w:r>
            <w:r>
              <w:rPr>
                <w:rFonts w:eastAsiaTheme="minorEastAsia"/>
                <w:noProof/>
                <w:lang w:eastAsia="fr-FR"/>
              </w:rPr>
              <w:tab/>
            </w:r>
            <w:r w:rsidRPr="00632B6D">
              <w:rPr>
                <w:rStyle w:val="Hyperlink"/>
                <w:rFonts w:ascii="Roboto" w:hAnsi="Roboto"/>
                <w:noProof/>
              </w:rPr>
              <w:t>Le déficit budgétaire</w:t>
            </w:r>
            <w:r>
              <w:rPr>
                <w:noProof/>
                <w:webHidden/>
              </w:rPr>
              <w:tab/>
            </w:r>
            <w:r>
              <w:rPr>
                <w:noProof/>
                <w:webHidden/>
              </w:rPr>
              <w:fldChar w:fldCharType="begin"/>
            </w:r>
            <w:r>
              <w:rPr>
                <w:noProof/>
                <w:webHidden/>
              </w:rPr>
              <w:instrText xml:space="preserve"> PAGEREF _Toc141568099 \h </w:instrText>
            </w:r>
            <w:r>
              <w:rPr>
                <w:noProof/>
                <w:webHidden/>
              </w:rPr>
            </w:r>
            <w:r>
              <w:rPr>
                <w:noProof/>
                <w:webHidden/>
              </w:rPr>
              <w:fldChar w:fldCharType="separate"/>
            </w:r>
            <w:r>
              <w:rPr>
                <w:noProof/>
                <w:webHidden/>
              </w:rPr>
              <w:t>10</w:t>
            </w:r>
            <w:r>
              <w:rPr>
                <w:noProof/>
                <w:webHidden/>
              </w:rPr>
              <w:fldChar w:fldCharType="end"/>
            </w:r>
          </w:hyperlink>
        </w:p>
        <w:p w14:paraId="46A0A8A4" w14:textId="40FD9C93" w:rsidR="006C321D" w:rsidRDefault="006C321D">
          <w:pPr>
            <w:pStyle w:val="TOC2"/>
            <w:rPr>
              <w:rFonts w:eastAsiaTheme="minorEastAsia"/>
              <w:noProof/>
              <w:lang w:eastAsia="fr-FR"/>
            </w:rPr>
          </w:pPr>
          <w:hyperlink w:anchor="_Toc141568100" w:history="1">
            <w:r w:rsidRPr="00632B6D">
              <w:rPr>
                <w:rStyle w:val="Hyperlink"/>
                <w:rFonts w:ascii="Roboto" w:hAnsi="Roboto"/>
                <w:noProof/>
              </w:rPr>
              <w:t>2.</w:t>
            </w:r>
            <w:r>
              <w:rPr>
                <w:rFonts w:eastAsiaTheme="minorEastAsia"/>
                <w:noProof/>
                <w:lang w:eastAsia="fr-FR"/>
              </w:rPr>
              <w:tab/>
            </w:r>
            <w:r w:rsidRPr="00632B6D">
              <w:rPr>
                <w:rStyle w:val="Hyperlink"/>
                <w:rFonts w:ascii="Roboto" w:hAnsi="Roboto"/>
                <w:noProof/>
              </w:rPr>
              <w:t>La transformation Économique et structurelle</w:t>
            </w:r>
            <w:r>
              <w:rPr>
                <w:noProof/>
                <w:webHidden/>
              </w:rPr>
              <w:tab/>
            </w:r>
            <w:r>
              <w:rPr>
                <w:noProof/>
                <w:webHidden/>
              </w:rPr>
              <w:fldChar w:fldCharType="begin"/>
            </w:r>
            <w:r>
              <w:rPr>
                <w:noProof/>
                <w:webHidden/>
              </w:rPr>
              <w:instrText xml:space="preserve"> PAGEREF _Toc141568100 \h </w:instrText>
            </w:r>
            <w:r>
              <w:rPr>
                <w:noProof/>
                <w:webHidden/>
              </w:rPr>
            </w:r>
            <w:r>
              <w:rPr>
                <w:noProof/>
                <w:webHidden/>
              </w:rPr>
              <w:fldChar w:fldCharType="separate"/>
            </w:r>
            <w:r>
              <w:rPr>
                <w:noProof/>
                <w:webHidden/>
              </w:rPr>
              <w:t>10</w:t>
            </w:r>
            <w:r>
              <w:rPr>
                <w:noProof/>
                <w:webHidden/>
              </w:rPr>
              <w:fldChar w:fldCharType="end"/>
            </w:r>
          </w:hyperlink>
        </w:p>
        <w:p w14:paraId="1C7282AF" w14:textId="77C7B64A" w:rsidR="006C321D" w:rsidRDefault="006C321D">
          <w:pPr>
            <w:pStyle w:val="TOC3"/>
            <w:tabs>
              <w:tab w:val="left" w:pos="1100"/>
              <w:tab w:val="right" w:leader="dot" w:pos="9016"/>
            </w:tabs>
            <w:rPr>
              <w:rFonts w:eastAsiaTheme="minorEastAsia"/>
              <w:noProof/>
              <w:lang w:eastAsia="fr-FR"/>
            </w:rPr>
          </w:pPr>
          <w:hyperlink w:anchor="_Toc141568101" w:history="1">
            <w:r w:rsidRPr="00632B6D">
              <w:rPr>
                <w:rStyle w:val="Hyperlink"/>
                <w:rFonts w:ascii="Roboto" w:hAnsi="Roboto"/>
                <w:noProof/>
              </w:rPr>
              <w:t>2.1.</w:t>
            </w:r>
            <w:r>
              <w:rPr>
                <w:rFonts w:eastAsiaTheme="minorEastAsia"/>
                <w:noProof/>
                <w:lang w:eastAsia="fr-FR"/>
              </w:rPr>
              <w:tab/>
            </w:r>
            <w:r w:rsidRPr="00632B6D">
              <w:rPr>
                <w:rStyle w:val="Hyperlink"/>
                <w:rFonts w:ascii="Roboto" w:hAnsi="Roboto"/>
                <w:noProof/>
              </w:rPr>
              <w:t>Le Programme de Référence Intérimaire de la Transition (PRI) 2022-2025</w:t>
            </w:r>
            <w:r>
              <w:rPr>
                <w:noProof/>
                <w:webHidden/>
              </w:rPr>
              <w:tab/>
            </w:r>
            <w:r>
              <w:rPr>
                <w:noProof/>
                <w:webHidden/>
              </w:rPr>
              <w:fldChar w:fldCharType="begin"/>
            </w:r>
            <w:r>
              <w:rPr>
                <w:noProof/>
                <w:webHidden/>
              </w:rPr>
              <w:instrText xml:space="preserve"> PAGEREF _Toc141568101 \h </w:instrText>
            </w:r>
            <w:r>
              <w:rPr>
                <w:noProof/>
                <w:webHidden/>
              </w:rPr>
            </w:r>
            <w:r>
              <w:rPr>
                <w:noProof/>
                <w:webHidden/>
              </w:rPr>
              <w:fldChar w:fldCharType="separate"/>
            </w:r>
            <w:r>
              <w:rPr>
                <w:noProof/>
                <w:webHidden/>
              </w:rPr>
              <w:t>10</w:t>
            </w:r>
            <w:r>
              <w:rPr>
                <w:noProof/>
                <w:webHidden/>
              </w:rPr>
              <w:fldChar w:fldCharType="end"/>
            </w:r>
          </w:hyperlink>
        </w:p>
        <w:p w14:paraId="700C24A6" w14:textId="771128D9" w:rsidR="006C321D" w:rsidRDefault="006C321D">
          <w:pPr>
            <w:pStyle w:val="TOC3"/>
            <w:tabs>
              <w:tab w:val="left" w:pos="1100"/>
              <w:tab w:val="right" w:leader="dot" w:pos="9016"/>
            </w:tabs>
            <w:rPr>
              <w:rFonts w:eastAsiaTheme="minorEastAsia"/>
              <w:noProof/>
              <w:lang w:eastAsia="fr-FR"/>
            </w:rPr>
          </w:pPr>
          <w:hyperlink w:anchor="_Toc141568102" w:history="1">
            <w:r w:rsidRPr="00632B6D">
              <w:rPr>
                <w:rStyle w:val="Hyperlink"/>
                <w:rFonts w:ascii="Roboto" w:hAnsi="Roboto"/>
                <w:noProof/>
              </w:rPr>
              <w:t>2.2.</w:t>
            </w:r>
            <w:r>
              <w:rPr>
                <w:rFonts w:eastAsiaTheme="minorEastAsia"/>
                <w:noProof/>
                <w:lang w:eastAsia="fr-FR"/>
              </w:rPr>
              <w:tab/>
            </w:r>
            <w:r w:rsidRPr="00632B6D">
              <w:rPr>
                <w:rStyle w:val="Hyperlink"/>
                <w:rFonts w:ascii="Roboto" w:hAnsi="Roboto"/>
                <w:noProof/>
              </w:rPr>
              <w:t>Le Plan de Relance Économique (PRE)</w:t>
            </w:r>
            <w:r>
              <w:rPr>
                <w:noProof/>
                <w:webHidden/>
              </w:rPr>
              <w:tab/>
            </w:r>
            <w:r>
              <w:rPr>
                <w:noProof/>
                <w:webHidden/>
              </w:rPr>
              <w:fldChar w:fldCharType="begin"/>
            </w:r>
            <w:r>
              <w:rPr>
                <w:noProof/>
                <w:webHidden/>
              </w:rPr>
              <w:instrText xml:space="preserve"> PAGEREF _Toc141568102 \h </w:instrText>
            </w:r>
            <w:r>
              <w:rPr>
                <w:noProof/>
                <w:webHidden/>
              </w:rPr>
            </w:r>
            <w:r>
              <w:rPr>
                <w:noProof/>
                <w:webHidden/>
              </w:rPr>
              <w:fldChar w:fldCharType="separate"/>
            </w:r>
            <w:r>
              <w:rPr>
                <w:noProof/>
                <w:webHidden/>
              </w:rPr>
              <w:t>11</w:t>
            </w:r>
            <w:r>
              <w:rPr>
                <w:noProof/>
                <w:webHidden/>
              </w:rPr>
              <w:fldChar w:fldCharType="end"/>
            </w:r>
          </w:hyperlink>
        </w:p>
        <w:p w14:paraId="1CE6F389" w14:textId="5F589F47" w:rsidR="006C321D" w:rsidRDefault="006C321D">
          <w:pPr>
            <w:pStyle w:val="TOC3"/>
            <w:tabs>
              <w:tab w:val="left" w:pos="1100"/>
              <w:tab w:val="right" w:leader="dot" w:pos="9016"/>
            </w:tabs>
            <w:rPr>
              <w:rFonts w:eastAsiaTheme="minorEastAsia"/>
              <w:noProof/>
              <w:lang w:eastAsia="fr-FR"/>
            </w:rPr>
          </w:pPr>
          <w:hyperlink w:anchor="_Toc141568103" w:history="1">
            <w:r w:rsidRPr="00632B6D">
              <w:rPr>
                <w:rStyle w:val="Hyperlink"/>
                <w:rFonts w:ascii="Roboto" w:hAnsi="Roboto"/>
                <w:noProof/>
              </w:rPr>
              <w:t>2.3.</w:t>
            </w:r>
            <w:r>
              <w:rPr>
                <w:rFonts w:eastAsiaTheme="minorEastAsia"/>
                <w:noProof/>
                <w:lang w:eastAsia="fr-FR"/>
              </w:rPr>
              <w:tab/>
            </w:r>
            <w:r w:rsidRPr="00632B6D">
              <w:rPr>
                <w:rStyle w:val="Hyperlink"/>
                <w:rFonts w:ascii="Roboto" w:hAnsi="Roboto"/>
                <w:noProof/>
              </w:rPr>
              <w:t>La politique nationale de développement industriel (PNDIG) –2022-2040</w:t>
            </w:r>
            <w:r>
              <w:rPr>
                <w:noProof/>
                <w:webHidden/>
              </w:rPr>
              <w:tab/>
            </w:r>
            <w:r>
              <w:rPr>
                <w:noProof/>
                <w:webHidden/>
              </w:rPr>
              <w:fldChar w:fldCharType="begin"/>
            </w:r>
            <w:r>
              <w:rPr>
                <w:noProof/>
                <w:webHidden/>
              </w:rPr>
              <w:instrText xml:space="preserve"> PAGEREF _Toc141568103 \h </w:instrText>
            </w:r>
            <w:r>
              <w:rPr>
                <w:noProof/>
                <w:webHidden/>
              </w:rPr>
            </w:r>
            <w:r>
              <w:rPr>
                <w:noProof/>
                <w:webHidden/>
              </w:rPr>
              <w:fldChar w:fldCharType="separate"/>
            </w:r>
            <w:r>
              <w:rPr>
                <w:noProof/>
                <w:webHidden/>
              </w:rPr>
              <w:t>11</w:t>
            </w:r>
            <w:r>
              <w:rPr>
                <w:noProof/>
                <w:webHidden/>
              </w:rPr>
              <w:fldChar w:fldCharType="end"/>
            </w:r>
          </w:hyperlink>
        </w:p>
        <w:p w14:paraId="631992BA" w14:textId="65256862" w:rsidR="006C321D" w:rsidRDefault="006C321D">
          <w:pPr>
            <w:pStyle w:val="TOC2"/>
            <w:rPr>
              <w:rFonts w:eastAsiaTheme="minorEastAsia"/>
              <w:noProof/>
              <w:lang w:eastAsia="fr-FR"/>
            </w:rPr>
          </w:pPr>
          <w:hyperlink w:anchor="_Toc141568104" w:history="1">
            <w:r w:rsidRPr="00632B6D">
              <w:rPr>
                <w:rStyle w:val="Hyperlink"/>
                <w:rFonts w:ascii="Roboto" w:hAnsi="Roboto"/>
                <w:noProof/>
              </w:rPr>
              <w:t>3.</w:t>
            </w:r>
            <w:r>
              <w:rPr>
                <w:rFonts w:eastAsiaTheme="minorEastAsia"/>
                <w:noProof/>
                <w:lang w:eastAsia="fr-FR"/>
              </w:rPr>
              <w:tab/>
            </w:r>
            <w:r w:rsidRPr="00632B6D">
              <w:rPr>
                <w:rStyle w:val="Hyperlink"/>
                <w:rFonts w:ascii="Roboto" w:hAnsi="Roboto"/>
                <w:noProof/>
              </w:rPr>
              <w:t>Les défis à la transformation économique et structurelle</w:t>
            </w:r>
            <w:r>
              <w:rPr>
                <w:noProof/>
                <w:webHidden/>
              </w:rPr>
              <w:tab/>
            </w:r>
            <w:r>
              <w:rPr>
                <w:noProof/>
                <w:webHidden/>
              </w:rPr>
              <w:fldChar w:fldCharType="begin"/>
            </w:r>
            <w:r>
              <w:rPr>
                <w:noProof/>
                <w:webHidden/>
              </w:rPr>
              <w:instrText xml:space="preserve"> PAGEREF _Toc141568104 \h </w:instrText>
            </w:r>
            <w:r>
              <w:rPr>
                <w:noProof/>
                <w:webHidden/>
              </w:rPr>
            </w:r>
            <w:r>
              <w:rPr>
                <w:noProof/>
                <w:webHidden/>
              </w:rPr>
              <w:fldChar w:fldCharType="separate"/>
            </w:r>
            <w:r>
              <w:rPr>
                <w:noProof/>
                <w:webHidden/>
              </w:rPr>
              <w:t>12</w:t>
            </w:r>
            <w:r>
              <w:rPr>
                <w:noProof/>
                <w:webHidden/>
              </w:rPr>
              <w:fldChar w:fldCharType="end"/>
            </w:r>
          </w:hyperlink>
        </w:p>
        <w:p w14:paraId="671EE01B" w14:textId="59175A1D" w:rsidR="006C321D" w:rsidRDefault="006C321D">
          <w:pPr>
            <w:pStyle w:val="TOC3"/>
            <w:tabs>
              <w:tab w:val="left" w:pos="1100"/>
              <w:tab w:val="right" w:leader="dot" w:pos="9016"/>
            </w:tabs>
            <w:rPr>
              <w:rFonts w:eastAsiaTheme="minorEastAsia"/>
              <w:noProof/>
              <w:lang w:eastAsia="fr-FR"/>
            </w:rPr>
          </w:pPr>
          <w:hyperlink w:anchor="_Toc141568105" w:history="1">
            <w:r w:rsidRPr="00632B6D">
              <w:rPr>
                <w:rStyle w:val="Hyperlink"/>
                <w:rFonts w:ascii="Roboto" w:hAnsi="Roboto"/>
                <w:noProof/>
              </w:rPr>
              <w:t>3.1.</w:t>
            </w:r>
            <w:r>
              <w:rPr>
                <w:rFonts w:eastAsiaTheme="minorEastAsia"/>
                <w:noProof/>
                <w:lang w:eastAsia="fr-FR"/>
              </w:rPr>
              <w:tab/>
            </w:r>
            <w:r w:rsidRPr="00632B6D">
              <w:rPr>
                <w:rStyle w:val="Hyperlink"/>
                <w:rFonts w:ascii="Roboto" w:hAnsi="Roboto"/>
                <w:noProof/>
              </w:rPr>
              <w:t>L’insuffisance des infrastructures</w:t>
            </w:r>
            <w:r>
              <w:rPr>
                <w:noProof/>
                <w:webHidden/>
              </w:rPr>
              <w:tab/>
            </w:r>
            <w:r>
              <w:rPr>
                <w:noProof/>
                <w:webHidden/>
              </w:rPr>
              <w:fldChar w:fldCharType="begin"/>
            </w:r>
            <w:r>
              <w:rPr>
                <w:noProof/>
                <w:webHidden/>
              </w:rPr>
              <w:instrText xml:space="preserve"> PAGEREF _Toc141568105 \h </w:instrText>
            </w:r>
            <w:r>
              <w:rPr>
                <w:noProof/>
                <w:webHidden/>
              </w:rPr>
            </w:r>
            <w:r>
              <w:rPr>
                <w:noProof/>
                <w:webHidden/>
              </w:rPr>
              <w:fldChar w:fldCharType="separate"/>
            </w:r>
            <w:r>
              <w:rPr>
                <w:noProof/>
                <w:webHidden/>
              </w:rPr>
              <w:t>12</w:t>
            </w:r>
            <w:r>
              <w:rPr>
                <w:noProof/>
                <w:webHidden/>
              </w:rPr>
              <w:fldChar w:fldCharType="end"/>
            </w:r>
          </w:hyperlink>
        </w:p>
        <w:p w14:paraId="26885349" w14:textId="49AFC7CB" w:rsidR="006C321D" w:rsidRDefault="006C321D">
          <w:pPr>
            <w:pStyle w:val="TOC3"/>
            <w:tabs>
              <w:tab w:val="left" w:pos="1100"/>
              <w:tab w:val="right" w:leader="dot" w:pos="9016"/>
            </w:tabs>
            <w:rPr>
              <w:rFonts w:eastAsiaTheme="minorEastAsia"/>
              <w:noProof/>
              <w:lang w:eastAsia="fr-FR"/>
            </w:rPr>
          </w:pPr>
          <w:hyperlink w:anchor="_Toc141568106" w:history="1">
            <w:r w:rsidRPr="00632B6D">
              <w:rPr>
                <w:rStyle w:val="Hyperlink"/>
                <w:rFonts w:ascii="Roboto" w:hAnsi="Roboto"/>
                <w:noProof/>
              </w:rPr>
              <w:t>3.2.</w:t>
            </w:r>
            <w:r>
              <w:rPr>
                <w:rFonts w:eastAsiaTheme="minorEastAsia"/>
                <w:noProof/>
                <w:lang w:eastAsia="fr-FR"/>
              </w:rPr>
              <w:tab/>
            </w:r>
            <w:r w:rsidRPr="00632B6D">
              <w:rPr>
                <w:rStyle w:val="Hyperlink"/>
                <w:rFonts w:ascii="Roboto" w:hAnsi="Roboto"/>
                <w:noProof/>
              </w:rPr>
              <w:t>Le manque d’orientation stratégique</w:t>
            </w:r>
            <w:r>
              <w:rPr>
                <w:noProof/>
                <w:webHidden/>
              </w:rPr>
              <w:tab/>
            </w:r>
            <w:r>
              <w:rPr>
                <w:noProof/>
                <w:webHidden/>
              </w:rPr>
              <w:fldChar w:fldCharType="begin"/>
            </w:r>
            <w:r>
              <w:rPr>
                <w:noProof/>
                <w:webHidden/>
              </w:rPr>
              <w:instrText xml:space="preserve"> PAGEREF _Toc141568106 \h </w:instrText>
            </w:r>
            <w:r>
              <w:rPr>
                <w:noProof/>
                <w:webHidden/>
              </w:rPr>
            </w:r>
            <w:r>
              <w:rPr>
                <w:noProof/>
                <w:webHidden/>
              </w:rPr>
              <w:fldChar w:fldCharType="separate"/>
            </w:r>
            <w:r>
              <w:rPr>
                <w:noProof/>
                <w:webHidden/>
              </w:rPr>
              <w:t>12</w:t>
            </w:r>
            <w:r>
              <w:rPr>
                <w:noProof/>
                <w:webHidden/>
              </w:rPr>
              <w:fldChar w:fldCharType="end"/>
            </w:r>
          </w:hyperlink>
        </w:p>
        <w:p w14:paraId="56EFEB70" w14:textId="3CBA9557" w:rsidR="006C321D" w:rsidRDefault="006C321D">
          <w:pPr>
            <w:pStyle w:val="TOC3"/>
            <w:tabs>
              <w:tab w:val="left" w:pos="1100"/>
              <w:tab w:val="right" w:leader="dot" w:pos="9016"/>
            </w:tabs>
            <w:rPr>
              <w:rFonts w:eastAsiaTheme="minorEastAsia"/>
              <w:noProof/>
              <w:lang w:eastAsia="fr-FR"/>
            </w:rPr>
          </w:pPr>
          <w:hyperlink w:anchor="_Toc141568107" w:history="1">
            <w:r w:rsidRPr="00632B6D">
              <w:rPr>
                <w:rStyle w:val="Hyperlink"/>
                <w:rFonts w:ascii="Roboto" w:hAnsi="Roboto"/>
                <w:noProof/>
              </w:rPr>
              <w:t>3.3.</w:t>
            </w:r>
            <w:r>
              <w:rPr>
                <w:rFonts w:eastAsiaTheme="minorEastAsia"/>
                <w:noProof/>
                <w:lang w:eastAsia="fr-FR"/>
              </w:rPr>
              <w:tab/>
            </w:r>
            <w:r w:rsidRPr="00632B6D">
              <w:rPr>
                <w:rStyle w:val="Hyperlink"/>
                <w:rFonts w:ascii="Roboto" w:hAnsi="Roboto"/>
                <w:noProof/>
              </w:rPr>
              <w:t>L’Instabilité politique</w:t>
            </w:r>
            <w:r>
              <w:rPr>
                <w:noProof/>
                <w:webHidden/>
              </w:rPr>
              <w:tab/>
            </w:r>
            <w:r>
              <w:rPr>
                <w:noProof/>
                <w:webHidden/>
              </w:rPr>
              <w:fldChar w:fldCharType="begin"/>
            </w:r>
            <w:r>
              <w:rPr>
                <w:noProof/>
                <w:webHidden/>
              </w:rPr>
              <w:instrText xml:space="preserve"> PAGEREF _Toc141568107 \h </w:instrText>
            </w:r>
            <w:r>
              <w:rPr>
                <w:noProof/>
                <w:webHidden/>
              </w:rPr>
            </w:r>
            <w:r>
              <w:rPr>
                <w:noProof/>
                <w:webHidden/>
              </w:rPr>
              <w:fldChar w:fldCharType="separate"/>
            </w:r>
            <w:r>
              <w:rPr>
                <w:noProof/>
                <w:webHidden/>
              </w:rPr>
              <w:t>12</w:t>
            </w:r>
            <w:r>
              <w:rPr>
                <w:noProof/>
                <w:webHidden/>
              </w:rPr>
              <w:fldChar w:fldCharType="end"/>
            </w:r>
          </w:hyperlink>
        </w:p>
        <w:p w14:paraId="4D28124F" w14:textId="12964E80" w:rsidR="006C321D" w:rsidRDefault="006C321D">
          <w:pPr>
            <w:pStyle w:val="TOC1"/>
            <w:tabs>
              <w:tab w:val="left" w:pos="660"/>
              <w:tab w:val="right" w:leader="dot" w:pos="9016"/>
            </w:tabs>
            <w:rPr>
              <w:rFonts w:eastAsiaTheme="minorEastAsia"/>
              <w:noProof/>
              <w:lang w:eastAsia="fr-FR"/>
            </w:rPr>
          </w:pPr>
          <w:hyperlink w:anchor="_Toc141568108" w:history="1">
            <w:r w:rsidRPr="00632B6D">
              <w:rPr>
                <w:rStyle w:val="Hyperlink"/>
                <w:rFonts w:ascii="Roboto" w:hAnsi="Roboto"/>
                <w:noProof/>
              </w:rPr>
              <w:t>IV.</w:t>
            </w:r>
            <w:r>
              <w:rPr>
                <w:rFonts w:eastAsiaTheme="minorEastAsia"/>
                <w:noProof/>
                <w:lang w:eastAsia="fr-FR"/>
              </w:rPr>
              <w:tab/>
            </w:r>
            <w:r w:rsidRPr="00632B6D">
              <w:rPr>
                <w:rStyle w:val="Hyperlink"/>
                <w:rFonts w:ascii="Roboto" w:hAnsi="Roboto"/>
                <w:noProof/>
              </w:rPr>
              <w:t>Fragilité sociale</w:t>
            </w:r>
            <w:r>
              <w:rPr>
                <w:noProof/>
                <w:webHidden/>
              </w:rPr>
              <w:tab/>
            </w:r>
            <w:r>
              <w:rPr>
                <w:noProof/>
                <w:webHidden/>
              </w:rPr>
              <w:fldChar w:fldCharType="begin"/>
            </w:r>
            <w:r>
              <w:rPr>
                <w:noProof/>
                <w:webHidden/>
              </w:rPr>
              <w:instrText xml:space="preserve"> PAGEREF _Toc141568108 \h </w:instrText>
            </w:r>
            <w:r>
              <w:rPr>
                <w:noProof/>
                <w:webHidden/>
              </w:rPr>
            </w:r>
            <w:r>
              <w:rPr>
                <w:noProof/>
                <w:webHidden/>
              </w:rPr>
              <w:fldChar w:fldCharType="separate"/>
            </w:r>
            <w:r>
              <w:rPr>
                <w:noProof/>
                <w:webHidden/>
              </w:rPr>
              <w:t>13</w:t>
            </w:r>
            <w:r>
              <w:rPr>
                <w:noProof/>
                <w:webHidden/>
              </w:rPr>
              <w:fldChar w:fldCharType="end"/>
            </w:r>
          </w:hyperlink>
        </w:p>
        <w:p w14:paraId="15534CC0" w14:textId="17C4030E" w:rsidR="006C321D" w:rsidRDefault="006C321D">
          <w:pPr>
            <w:pStyle w:val="TOC2"/>
            <w:rPr>
              <w:rFonts w:eastAsiaTheme="minorEastAsia"/>
              <w:noProof/>
              <w:lang w:eastAsia="fr-FR"/>
            </w:rPr>
          </w:pPr>
          <w:hyperlink w:anchor="_Toc141568109" w:history="1">
            <w:r w:rsidRPr="00632B6D">
              <w:rPr>
                <w:rStyle w:val="Hyperlink"/>
                <w:rFonts w:ascii="Roboto" w:hAnsi="Roboto"/>
                <w:noProof/>
              </w:rPr>
              <w:t>2.</w:t>
            </w:r>
            <w:r>
              <w:rPr>
                <w:rFonts w:eastAsiaTheme="minorEastAsia"/>
                <w:noProof/>
                <w:lang w:eastAsia="fr-FR"/>
              </w:rPr>
              <w:tab/>
            </w:r>
            <w:r w:rsidRPr="00632B6D">
              <w:rPr>
                <w:rStyle w:val="Hyperlink"/>
                <w:rFonts w:ascii="Roboto" w:hAnsi="Roboto"/>
                <w:noProof/>
              </w:rPr>
              <w:t>Mesure de remédiation</w:t>
            </w:r>
            <w:r>
              <w:rPr>
                <w:noProof/>
                <w:webHidden/>
              </w:rPr>
              <w:tab/>
            </w:r>
            <w:r>
              <w:rPr>
                <w:noProof/>
                <w:webHidden/>
              </w:rPr>
              <w:fldChar w:fldCharType="begin"/>
            </w:r>
            <w:r>
              <w:rPr>
                <w:noProof/>
                <w:webHidden/>
              </w:rPr>
              <w:instrText xml:space="preserve"> PAGEREF _Toc141568109 \h </w:instrText>
            </w:r>
            <w:r>
              <w:rPr>
                <w:noProof/>
                <w:webHidden/>
              </w:rPr>
            </w:r>
            <w:r>
              <w:rPr>
                <w:noProof/>
                <w:webHidden/>
              </w:rPr>
              <w:fldChar w:fldCharType="separate"/>
            </w:r>
            <w:r>
              <w:rPr>
                <w:noProof/>
                <w:webHidden/>
              </w:rPr>
              <w:t>15</w:t>
            </w:r>
            <w:r>
              <w:rPr>
                <w:noProof/>
                <w:webHidden/>
              </w:rPr>
              <w:fldChar w:fldCharType="end"/>
            </w:r>
          </w:hyperlink>
        </w:p>
        <w:p w14:paraId="37B41261" w14:textId="772FBC1F" w:rsidR="006C321D" w:rsidRDefault="006C321D">
          <w:pPr>
            <w:pStyle w:val="TOC1"/>
            <w:tabs>
              <w:tab w:val="left" w:pos="440"/>
              <w:tab w:val="right" w:leader="dot" w:pos="9016"/>
            </w:tabs>
            <w:rPr>
              <w:rFonts w:eastAsiaTheme="minorEastAsia"/>
              <w:noProof/>
              <w:lang w:eastAsia="fr-FR"/>
            </w:rPr>
          </w:pPr>
          <w:hyperlink w:anchor="_Toc141568110" w:history="1">
            <w:r w:rsidRPr="00632B6D">
              <w:rPr>
                <w:rStyle w:val="Hyperlink"/>
                <w:rFonts w:ascii="Roboto" w:hAnsi="Roboto"/>
                <w:noProof/>
              </w:rPr>
              <w:t>V.</w:t>
            </w:r>
            <w:r>
              <w:rPr>
                <w:rFonts w:eastAsiaTheme="minorEastAsia"/>
                <w:noProof/>
                <w:lang w:eastAsia="fr-FR"/>
              </w:rPr>
              <w:tab/>
            </w:r>
            <w:r w:rsidRPr="00632B6D">
              <w:rPr>
                <w:rStyle w:val="Hyperlink"/>
                <w:rFonts w:ascii="Roboto" w:hAnsi="Roboto"/>
                <w:noProof/>
              </w:rPr>
              <w:t>Analyses prospectives en Guinée</w:t>
            </w:r>
            <w:r>
              <w:rPr>
                <w:noProof/>
                <w:webHidden/>
              </w:rPr>
              <w:tab/>
            </w:r>
            <w:r>
              <w:rPr>
                <w:noProof/>
                <w:webHidden/>
              </w:rPr>
              <w:fldChar w:fldCharType="begin"/>
            </w:r>
            <w:r>
              <w:rPr>
                <w:noProof/>
                <w:webHidden/>
              </w:rPr>
              <w:instrText xml:space="preserve"> PAGEREF _Toc141568110 \h </w:instrText>
            </w:r>
            <w:r>
              <w:rPr>
                <w:noProof/>
                <w:webHidden/>
              </w:rPr>
            </w:r>
            <w:r>
              <w:rPr>
                <w:noProof/>
                <w:webHidden/>
              </w:rPr>
              <w:fldChar w:fldCharType="separate"/>
            </w:r>
            <w:r>
              <w:rPr>
                <w:noProof/>
                <w:webHidden/>
              </w:rPr>
              <w:t>16</w:t>
            </w:r>
            <w:r>
              <w:rPr>
                <w:noProof/>
                <w:webHidden/>
              </w:rPr>
              <w:fldChar w:fldCharType="end"/>
            </w:r>
          </w:hyperlink>
        </w:p>
        <w:p w14:paraId="1231E8A9" w14:textId="7750E146" w:rsidR="006C321D" w:rsidRDefault="006C321D">
          <w:pPr>
            <w:pStyle w:val="TOC1"/>
            <w:tabs>
              <w:tab w:val="right" w:leader="dot" w:pos="9016"/>
            </w:tabs>
            <w:rPr>
              <w:rFonts w:eastAsiaTheme="minorEastAsia"/>
              <w:noProof/>
              <w:lang w:eastAsia="fr-FR"/>
            </w:rPr>
          </w:pPr>
          <w:hyperlink w:anchor="_Toc141568111" w:history="1">
            <w:r w:rsidRPr="00632B6D">
              <w:rPr>
                <w:rStyle w:val="Hyperlink"/>
                <w:rFonts w:ascii="Roboto" w:hAnsi="Roboto"/>
                <w:noProof/>
              </w:rPr>
              <w:t>Conclusion :</w:t>
            </w:r>
            <w:r>
              <w:rPr>
                <w:noProof/>
                <w:webHidden/>
              </w:rPr>
              <w:tab/>
            </w:r>
            <w:r>
              <w:rPr>
                <w:noProof/>
                <w:webHidden/>
              </w:rPr>
              <w:fldChar w:fldCharType="begin"/>
            </w:r>
            <w:r>
              <w:rPr>
                <w:noProof/>
                <w:webHidden/>
              </w:rPr>
              <w:instrText xml:space="preserve"> PAGEREF _Toc141568111 \h </w:instrText>
            </w:r>
            <w:r>
              <w:rPr>
                <w:noProof/>
                <w:webHidden/>
              </w:rPr>
            </w:r>
            <w:r>
              <w:rPr>
                <w:noProof/>
                <w:webHidden/>
              </w:rPr>
              <w:fldChar w:fldCharType="separate"/>
            </w:r>
            <w:r>
              <w:rPr>
                <w:noProof/>
                <w:webHidden/>
              </w:rPr>
              <w:t>18</w:t>
            </w:r>
            <w:r>
              <w:rPr>
                <w:noProof/>
                <w:webHidden/>
              </w:rPr>
              <w:fldChar w:fldCharType="end"/>
            </w:r>
          </w:hyperlink>
        </w:p>
        <w:p w14:paraId="5E16BE75" w14:textId="1FB75192" w:rsidR="007C1990" w:rsidRPr="008B4C78" w:rsidRDefault="00945409" w:rsidP="005139DD">
          <w:pPr>
            <w:rPr>
              <w:rFonts w:ascii="Roboto" w:hAnsi="Roboto"/>
              <w:b/>
              <w:bCs/>
              <w:noProof/>
              <w:color w:val="44546A" w:themeColor="text2"/>
            </w:rPr>
          </w:pPr>
          <w:r w:rsidRPr="008B4C78">
            <w:rPr>
              <w:rFonts w:ascii="Roboto" w:hAnsi="Roboto"/>
              <w:b/>
              <w:bCs/>
              <w:noProof/>
              <w:color w:val="44546A" w:themeColor="text2"/>
            </w:rPr>
            <w:fldChar w:fldCharType="end"/>
          </w:r>
        </w:p>
      </w:sdtContent>
    </w:sdt>
    <w:p w14:paraId="4E1558F6" w14:textId="02C0A65D" w:rsidR="007C1990" w:rsidRPr="008B4C78" w:rsidRDefault="007C1990" w:rsidP="00A8668E">
      <w:pPr>
        <w:rPr>
          <w:rFonts w:ascii="Roboto" w:hAnsi="Roboto"/>
          <w:b/>
          <w:bCs/>
          <w:noProof/>
        </w:rPr>
      </w:pPr>
    </w:p>
    <w:p w14:paraId="33BAFD40" w14:textId="27925453" w:rsidR="006F2D6D" w:rsidRPr="008B4C78" w:rsidRDefault="006F2D6D" w:rsidP="00A8668E">
      <w:pPr>
        <w:rPr>
          <w:rFonts w:ascii="Roboto" w:hAnsi="Roboto"/>
          <w:b/>
          <w:bCs/>
          <w:noProof/>
        </w:rPr>
      </w:pPr>
    </w:p>
    <w:p w14:paraId="33B9B6FD" w14:textId="3D928376" w:rsidR="006F2D6D" w:rsidRPr="008B4C78" w:rsidRDefault="006F2D6D" w:rsidP="00A8668E">
      <w:pPr>
        <w:rPr>
          <w:rFonts w:ascii="Roboto" w:hAnsi="Roboto"/>
          <w:b/>
          <w:bCs/>
          <w:noProof/>
        </w:rPr>
      </w:pPr>
    </w:p>
    <w:p w14:paraId="38CA2687" w14:textId="3EEC8CC6" w:rsidR="006F2D6D" w:rsidRDefault="006F2D6D" w:rsidP="00A8668E">
      <w:pPr>
        <w:rPr>
          <w:rFonts w:ascii="Roboto" w:hAnsi="Roboto"/>
          <w:b/>
          <w:bCs/>
          <w:noProof/>
        </w:rPr>
      </w:pPr>
    </w:p>
    <w:p w14:paraId="13E14FDD" w14:textId="77777777" w:rsidR="000A0225" w:rsidRDefault="000A0225" w:rsidP="00A8668E">
      <w:pPr>
        <w:rPr>
          <w:rFonts w:ascii="Roboto" w:hAnsi="Roboto"/>
          <w:b/>
          <w:bCs/>
          <w:noProof/>
        </w:rPr>
      </w:pPr>
    </w:p>
    <w:p w14:paraId="59280D47" w14:textId="77777777" w:rsidR="006F314F" w:rsidRPr="008B4C78" w:rsidRDefault="006F314F" w:rsidP="00A8668E">
      <w:pPr>
        <w:rPr>
          <w:rFonts w:ascii="Roboto" w:hAnsi="Roboto"/>
          <w:b/>
          <w:bCs/>
          <w:noProof/>
        </w:rPr>
      </w:pPr>
    </w:p>
    <w:p w14:paraId="51B30A1D" w14:textId="0110A93E" w:rsidR="00245641" w:rsidRPr="008B4C78" w:rsidRDefault="007D11E6" w:rsidP="00DF3140">
      <w:pPr>
        <w:pStyle w:val="Heading1"/>
        <w:numPr>
          <w:ilvl w:val="0"/>
          <w:numId w:val="27"/>
        </w:numPr>
        <w:rPr>
          <w:rFonts w:ascii="Roboto" w:hAnsi="Roboto"/>
        </w:rPr>
      </w:pPr>
      <w:bookmarkStart w:id="0" w:name="_Toc141568087"/>
      <w:r w:rsidRPr="008B4C78">
        <w:rPr>
          <w:rFonts w:ascii="Roboto" w:hAnsi="Roboto"/>
        </w:rPr>
        <w:lastRenderedPageBreak/>
        <w:t>Sommaire exécutif</w:t>
      </w:r>
      <w:bookmarkEnd w:id="0"/>
      <w:r w:rsidRPr="008B4C78">
        <w:rPr>
          <w:rFonts w:ascii="Roboto" w:hAnsi="Roboto"/>
        </w:rPr>
        <w:t xml:space="preserve"> </w:t>
      </w:r>
    </w:p>
    <w:p w14:paraId="06E49CDE" w14:textId="77777777" w:rsidR="00523DE9" w:rsidRPr="008B4C78" w:rsidRDefault="00523DE9" w:rsidP="00AA72AF">
      <w:pPr>
        <w:jc w:val="both"/>
        <w:rPr>
          <w:rFonts w:ascii="Roboto" w:hAnsi="Roboto"/>
        </w:rPr>
      </w:pPr>
    </w:p>
    <w:p w14:paraId="57A68767" w14:textId="6139F122" w:rsidR="00AA72AF" w:rsidRPr="008B4C78" w:rsidRDefault="008B4E95" w:rsidP="00AA72AF">
      <w:pPr>
        <w:jc w:val="both"/>
        <w:rPr>
          <w:rFonts w:ascii="Roboto" w:hAnsi="Roboto"/>
        </w:rPr>
      </w:pPr>
      <w:r w:rsidRPr="008B4C78">
        <w:rPr>
          <w:rFonts w:ascii="Roboto" w:hAnsi="Roboto"/>
        </w:rPr>
        <w:t xml:space="preserve">L’analyse commune pays représente un document de base pour identifier les défis et besoins en développement du pays. L’analyse se veut indépendante et participative afin de permettre d’identifier les pistes de solutions catalytiques qui permettent de dépasser les nœuds structurels que connait le contexte socioéconomique et politique de la Guinée, tout en s’alignant avec les priorités nationales, sectorielles, régionales et globales en matière de développement économique, social, environnemental et politique. </w:t>
      </w:r>
    </w:p>
    <w:p w14:paraId="7795AB09" w14:textId="0B629943" w:rsidR="00AA72AF" w:rsidRPr="008B4C78" w:rsidRDefault="00AA72AF" w:rsidP="00AA72AF">
      <w:pPr>
        <w:jc w:val="both"/>
        <w:rPr>
          <w:rFonts w:ascii="Roboto" w:hAnsi="Roboto"/>
        </w:rPr>
      </w:pPr>
      <w:r w:rsidRPr="008B4C78">
        <w:rPr>
          <w:rFonts w:ascii="Roboto" w:hAnsi="Roboto"/>
        </w:rPr>
        <w:t xml:space="preserve">Ce document est un addendum à l’analyse commune pays élaborée en 2021 par l’équipe pays des Nations Unies en Guinée et vise à intégrer les dernières données et analyses relatives au contexte du pays. </w:t>
      </w:r>
    </w:p>
    <w:p w14:paraId="5C84C303" w14:textId="3F33CACF" w:rsidR="004D1409" w:rsidRPr="004D1409" w:rsidRDefault="004D1409" w:rsidP="004D1409">
      <w:pPr>
        <w:jc w:val="both"/>
        <w:rPr>
          <w:rFonts w:ascii="Roboto" w:hAnsi="Roboto"/>
        </w:rPr>
      </w:pPr>
      <w:r>
        <w:rPr>
          <w:rFonts w:ascii="Roboto" w:hAnsi="Roboto"/>
        </w:rPr>
        <w:t>Cette analyse traite davantage les changements politiques en Guinée avec l’avènement de la transition dont l</w:t>
      </w:r>
      <w:r w:rsidRPr="004D1409">
        <w:rPr>
          <w:rFonts w:ascii="Roboto" w:hAnsi="Roboto"/>
        </w:rPr>
        <w:t>a Charte vise à refonder l'État en instaurant des institutions solides et crédibles, ainsi que la réconciliation nationale</w:t>
      </w:r>
      <w:r>
        <w:rPr>
          <w:rFonts w:ascii="Roboto" w:hAnsi="Roboto"/>
        </w:rPr>
        <w:t>. L’analyse couvre également l’i</w:t>
      </w:r>
      <w:r w:rsidRPr="004D1409">
        <w:rPr>
          <w:rFonts w:ascii="Roboto" w:hAnsi="Roboto"/>
        </w:rPr>
        <w:t>mpact de la crise mondiale liée à la guerre en Ukraine sur les performances macroéconomiques</w:t>
      </w:r>
      <w:r>
        <w:rPr>
          <w:rFonts w:ascii="Roboto" w:hAnsi="Roboto"/>
        </w:rPr>
        <w:t xml:space="preserve"> et plus particulièrement les répercussions sur la sécurité alimentaire et la croissance. </w:t>
      </w:r>
    </w:p>
    <w:p w14:paraId="78F18B71" w14:textId="507F5D1B" w:rsidR="004D1409" w:rsidRPr="004D1409" w:rsidRDefault="004D1409" w:rsidP="004D1409">
      <w:pPr>
        <w:jc w:val="both"/>
        <w:rPr>
          <w:rFonts w:ascii="Roboto" w:hAnsi="Roboto"/>
        </w:rPr>
      </w:pPr>
      <w:r w:rsidRPr="004D1409">
        <w:rPr>
          <w:rFonts w:ascii="Roboto" w:hAnsi="Roboto"/>
        </w:rPr>
        <w:t xml:space="preserve">La Guinée fait face à une crise alimentaire et économique due à l'impact du conflit Russo-Ukrainien sur les intrants agricoles, en particulier les fertilisants. Le gouvernement a pris des mesures pour stabiliser les prix des denrées alimentaires, mais la situation reste préoccupante. Pour résoudre ces problèmes, il est essentiel </w:t>
      </w:r>
      <w:r>
        <w:rPr>
          <w:rFonts w:ascii="Roboto" w:hAnsi="Roboto"/>
        </w:rPr>
        <w:t>d’i</w:t>
      </w:r>
      <w:r w:rsidRPr="004D1409">
        <w:rPr>
          <w:rFonts w:ascii="Roboto" w:hAnsi="Roboto"/>
        </w:rPr>
        <w:t>ntensifier et diversifier la production agricole, renforcer les capacités du secteur agricole, et investir dans l'agriculture et la recherche agricole. La Guinée doit également adopter une approche systémique pour renforcer sa sécurité alimentaire et améliorer les conditions de vie de sa population agricole.</w:t>
      </w:r>
    </w:p>
    <w:p w14:paraId="719BDCB1" w14:textId="40F84E4D" w:rsidR="004D1409" w:rsidRPr="008B4C78" w:rsidRDefault="00E21097" w:rsidP="004D1409">
      <w:pPr>
        <w:jc w:val="both"/>
        <w:rPr>
          <w:rFonts w:ascii="Roboto" w:hAnsi="Roboto"/>
        </w:rPr>
      </w:pPr>
      <w:r>
        <w:rPr>
          <w:rFonts w:ascii="Roboto" w:hAnsi="Roboto"/>
        </w:rPr>
        <w:t>L’analyse reprend les conclusion</w:t>
      </w:r>
      <w:r w:rsidR="009E35EE">
        <w:rPr>
          <w:rFonts w:ascii="Roboto" w:hAnsi="Roboto"/>
        </w:rPr>
        <w:t>s</w:t>
      </w:r>
      <w:r>
        <w:rPr>
          <w:rFonts w:ascii="Roboto" w:hAnsi="Roboto"/>
        </w:rPr>
        <w:t xml:space="preserve"> de l’exercice de </w:t>
      </w:r>
      <w:r w:rsidR="004D1409" w:rsidRPr="004D1409">
        <w:rPr>
          <w:rFonts w:ascii="Roboto" w:hAnsi="Roboto"/>
        </w:rPr>
        <w:t xml:space="preserve">prospective nationale </w:t>
      </w:r>
      <w:r>
        <w:rPr>
          <w:rFonts w:ascii="Roboto" w:hAnsi="Roboto"/>
        </w:rPr>
        <w:t xml:space="preserve">qui </w:t>
      </w:r>
      <w:r w:rsidR="004D1409" w:rsidRPr="004D1409">
        <w:rPr>
          <w:rFonts w:ascii="Roboto" w:hAnsi="Roboto"/>
        </w:rPr>
        <w:t>a été réalisé en Guinée, mettant en évidence les défis et enjeux pour le développement, la paix et la sécurité du pays. Des facteurs de changement ont été identifiés, et des scénarios ont été définis pour chaque domaine. Trois facteurs de changement prioritaires ont été retenus : la mise en œuvre de politiques publiques inclusives, la dégradation environnementale, et la transformation du secteur rural et minier. Des actions ciblées sur ces facteurs peuvent renforcer la trajectoire de prospérité pour la Guinée.</w:t>
      </w:r>
    </w:p>
    <w:p w14:paraId="127FA6B3" w14:textId="1BD8FDE5" w:rsidR="00245641" w:rsidRPr="008B4C78" w:rsidRDefault="00F21E24" w:rsidP="00DF3140">
      <w:pPr>
        <w:pStyle w:val="Heading1"/>
        <w:numPr>
          <w:ilvl w:val="0"/>
          <w:numId w:val="27"/>
        </w:numPr>
        <w:rPr>
          <w:rFonts w:ascii="Roboto" w:hAnsi="Roboto"/>
        </w:rPr>
      </w:pPr>
      <w:bookmarkStart w:id="1" w:name="_Toc141568088"/>
      <w:r w:rsidRPr="008B4C78">
        <w:rPr>
          <w:rFonts w:ascii="Roboto" w:hAnsi="Roboto"/>
        </w:rPr>
        <w:t>G</w:t>
      </w:r>
      <w:r w:rsidR="00E457CE" w:rsidRPr="008B4C78">
        <w:rPr>
          <w:rFonts w:ascii="Roboto" w:hAnsi="Roboto"/>
        </w:rPr>
        <w:t>ouvernance</w:t>
      </w:r>
      <w:r w:rsidR="00245641" w:rsidRPr="008B4C78">
        <w:rPr>
          <w:rFonts w:ascii="Roboto" w:hAnsi="Roboto"/>
        </w:rPr>
        <w:t xml:space="preserve"> </w:t>
      </w:r>
      <w:r w:rsidR="0004335F" w:rsidRPr="008B4C78">
        <w:rPr>
          <w:rFonts w:ascii="Roboto" w:hAnsi="Roboto"/>
        </w:rPr>
        <w:t>politique et état de droit</w:t>
      </w:r>
      <w:bookmarkEnd w:id="1"/>
      <w:r w:rsidR="0004335F" w:rsidRPr="008B4C78">
        <w:rPr>
          <w:rFonts w:ascii="Roboto" w:hAnsi="Roboto"/>
        </w:rPr>
        <w:t xml:space="preserve"> </w:t>
      </w:r>
    </w:p>
    <w:p w14:paraId="4C955FDA" w14:textId="77777777" w:rsidR="00E32421" w:rsidRPr="008B4C78" w:rsidRDefault="00E32421" w:rsidP="00615FAE">
      <w:pPr>
        <w:jc w:val="both"/>
        <w:rPr>
          <w:rFonts w:ascii="Roboto" w:hAnsi="Roboto" w:cstheme="minorHAnsi"/>
        </w:rPr>
      </w:pPr>
    </w:p>
    <w:p w14:paraId="7A7676D1" w14:textId="0ED107A2" w:rsidR="00D4380A" w:rsidRPr="008B4C78" w:rsidRDefault="00D4380A" w:rsidP="007A59A7">
      <w:pPr>
        <w:pStyle w:val="Heading2"/>
        <w:numPr>
          <w:ilvl w:val="0"/>
          <w:numId w:val="28"/>
        </w:numPr>
        <w:rPr>
          <w:rFonts w:ascii="Roboto" w:hAnsi="Roboto"/>
        </w:rPr>
      </w:pPr>
      <w:bookmarkStart w:id="2" w:name="_Toc141568089"/>
      <w:r w:rsidRPr="008B4C78">
        <w:rPr>
          <w:rFonts w:ascii="Roboto" w:hAnsi="Roboto"/>
        </w:rPr>
        <w:t>Transition politique</w:t>
      </w:r>
      <w:bookmarkEnd w:id="2"/>
    </w:p>
    <w:p w14:paraId="1311FC27" w14:textId="15FEE1E9" w:rsidR="00C94C35" w:rsidRPr="008B4C78" w:rsidRDefault="00615FAE" w:rsidP="00615FAE">
      <w:pPr>
        <w:jc w:val="both"/>
        <w:rPr>
          <w:rFonts w:ascii="Roboto" w:hAnsi="Roboto" w:cstheme="minorHAnsi"/>
        </w:rPr>
      </w:pPr>
      <w:r w:rsidRPr="008B4C78">
        <w:rPr>
          <w:rFonts w:ascii="Roboto" w:hAnsi="Roboto" w:cstheme="minorHAnsi"/>
        </w:rPr>
        <w:t xml:space="preserve">Les événements du 5 septembre 2021 ont conduit, en République de Guinée, </w:t>
      </w:r>
      <w:r w:rsidR="0075000D">
        <w:rPr>
          <w:rFonts w:ascii="Roboto" w:hAnsi="Roboto" w:cstheme="minorHAnsi"/>
        </w:rPr>
        <w:t xml:space="preserve">à </w:t>
      </w:r>
      <w:r w:rsidRPr="008B4C78">
        <w:rPr>
          <w:rFonts w:ascii="Roboto" w:hAnsi="Roboto" w:cstheme="minorHAnsi"/>
        </w:rPr>
        <w:t>la prise du pouvoir par l’armée et la mise en place d’une période de transition dirigée par le Comité national du rassemblement pour le développement (CNRD) sous la Présidence du Colonel Mamady Doumbouya.</w:t>
      </w:r>
    </w:p>
    <w:p w14:paraId="27E8BEA7" w14:textId="3864B2B9" w:rsidR="00615FAE" w:rsidRPr="008B4C78" w:rsidRDefault="00615FAE" w:rsidP="00615FAE">
      <w:pPr>
        <w:jc w:val="both"/>
        <w:rPr>
          <w:rFonts w:ascii="Roboto" w:hAnsi="Roboto" w:cstheme="minorHAnsi"/>
        </w:rPr>
      </w:pPr>
      <w:r w:rsidRPr="008B4C78">
        <w:rPr>
          <w:rFonts w:ascii="Roboto" w:hAnsi="Roboto" w:cstheme="minorHAnsi"/>
        </w:rPr>
        <w:t xml:space="preserve">La transition actuelle a proclamé </w:t>
      </w:r>
      <w:r w:rsidRPr="008B4C78">
        <w:rPr>
          <w:rFonts w:ascii="Roboto" w:hAnsi="Roboto" w:cstheme="minorHAnsi"/>
          <w:i/>
          <w:iCs/>
        </w:rPr>
        <w:t>« sa volonté de refonder l’</w:t>
      </w:r>
      <w:r w:rsidR="0017413B" w:rsidRPr="008B4C78">
        <w:rPr>
          <w:rFonts w:ascii="Roboto" w:hAnsi="Roboto" w:cstheme="minorHAnsi"/>
          <w:i/>
          <w:iCs/>
        </w:rPr>
        <w:t>État</w:t>
      </w:r>
      <w:r w:rsidRPr="008B4C78">
        <w:rPr>
          <w:rFonts w:ascii="Roboto" w:hAnsi="Roboto" w:cstheme="minorHAnsi"/>
          <w:i/>
          <w:iCs/>
        </w:rPr>
        <w:t xml:space="preserve"> pour : (i) définitivement tourner la page de l’autocratie qui minait dangereusement la stabilité des institutions nationales ; (ii) alléger les souffrances des populations ; et (iii) rattraper les retards injustifiés de la Guinée sur le plan du développement socio-économique. Cette refondation qui appelle à une profonde </w:t>
      </w:r>
      <w:r w:rsidRPr="008B4C78">
        <w:rPr>
          <w:rFonts w:ascii="Roboto" w:hAnsi="Roboto" w:cstheme="minorHAnsi"/>
          <w:i/>
          <w:iCs/>
        </w:rPr>
        <w:lastRenderedPageBreak/>
        <w:t>transformation de l’</w:t>
      </w:r>
      <w:r w:rsidR="00E42710" w:rsidRPr="008B4C78">
        <w:rPr>
          <w:rFonts w:ascii="Roboto" w:hAnsi="Roboto" w:cstheme="minorHAnsi"/>
          <w:i/>
          <w:iCs/>
        </w:rPr>
        <w:t>État</w:t>
      </w:r>
      <w:r w:rsidRPr="008B4C78">
        <w:rPr>
          <w:rFonts w:ascii="Roboto" w:hAnsi="Roboto" w:cstheme="minorHAnsi"/>
          <w:i/>
          <w:iCs/>
        </w:rPr>
        <w:t>, tant dans son fonctionnement que dans son rapport avec les citoyens, reposera sur une nouvelle constitution, une justice équitable, des pratiques administratives rénovées, et une redevabilité accrue.</w:t>
      </w:r>
      <w:r w:rsidRPr="008B4C78">
        <w:rPr>
          <w:rStyle w:val="FootnoteReference"/>
          <w:rFonts w:ascii="Roboto" w:hAnsi="Roboto" w:cstheme="minorHAnsi"/>
          <w:i/>
          <w:iCs/>
        </w:rPr>
        <w:footnoteReference w:id="1"/>
      </w:r>
      <w:r w:rsidRPr="008B4C78">
        <w:rPr>
          <w:rFonts w:ascii="Roboto" w:hAnsi="Roboto" w:cstheme="minorHAnsi"/>
          <w:i/>
          <w:iCs/>
        </w:rPr>
        <w:t> »</w:t>
      </w:r>
      <w:r w:rsidRPr="008B4C78">
        <w:rPr>
          <w:rFonts w:ascii="Roboto" w:hAnsi="Roboto" w:cstheme="minorHAnsi"/>
        </w:rPr>
        <w:t>, suscitant l’espoir au sein de la population guinéenne.</w:t>
      </w:r>
    </w:p>
    <w:p w14:paraId="55EE4D6D" w14:textId="7AA8D76D" w:rsidR="00D4380A" w:rsidRPr="008B4C78" w:rsidRDefault="00233D63" w:rsidP="006517AB">
      <w:pPr>
        <w:jc w:val="both"/>
        <w:rPr>
          <w:rFonts w:ascii="Roboto" w:hAnsi="Roboto" w:cstheme="minorHAnsi"/>
        </w:rPr>
      </w:pPr>
      <w:r w:rsidRPr="008B4C78">
        <w:rPr>
          <w:rFonts w:ascii="Roboto" w:hAnsi="Roboto" w:cstheme="minorHAnsi"/>
        </w:rPr>
        <w:t xml:space="preserve">Les </w:t>
      </w:r>
      <w:r w:rsidR="00D4380A" w:rsidRPr="008B4C78">
        <w:rPr>
          <w:rFonts w:ascii="Roboto" w:hAnsi="Roboto" w:cstheme="minorHAnsi"/>
        </w:rPr>
        <w:t xml:space="preserve">FDS, réunies au sein du Comité National du Rassemblement pour le Développement (CNRD) ont pris le pouvoir en mettant fin au troisième mandat du Président en exercice, suspendu la Constitution, dissout le Gouvernement et les institutions républicaines et instauré une Transition. </w:t>
      </w:r>
    </w:p>
    <w:p w14:paraId="321D2F7B" w14:textId="31633184" w:rsidR="00D4380A" w:rsidRPr="008B4C78" w:rsidRDefault="00D4380A" w:rsidP="004C7FBC">
      <w:pPr>
        <w:jc w:val="both"/>
        <w:rPr>
          <w:rFonts w:ascii="Roboto" w:hAnsi="Roboto" w:cstheme="minorHAnsi"/>
        </w:rPr>
      </w:pPr>
      <w:r w:rsidRPr="008B4C78">
        <w:rPr>
          <w:rFonts w:ascii="Roboto" w:hAnsi="Roboto" w:cstheme="minorHAnsi"/>
        </w:rPr>
        <w:t xml:space="preserve">Le CNRD a adopté la Charte de la Transition mettant en priorité la refondation de l’État pour bâtir des institutions fortes, crédibles et légitimes et le renforcement de la cohésion sociale ainsi que la poursuite du processus de réconciliation nationale qui figure à la tête des valeurs de la Charte. </w:t>
      </w:r>
    </w:p>
    <w:p w14:paraId="24B35634" w14:textId="3694FE67" w:rsidR="00D4380A" w:rsidRPr="008B4C78" w:rsidRDefault="00D4380A" w:rsidP="00D4380A">
      <w:pPr>
        <w:jc w:val="both"/>
        <w:rPr>
          <w:rFonts w:ascii="Roboto" w:hAnsi="Roboto" w:cstheme="minorHAnsi"/>
        </w:rPr>
      </w:pPr>
      <w:r w:rsidRPr="008B4C78">
        <w:rPr>
          <w:rFonts w:ascii="Roboto" w:hAnsi="Roboto" w:cstheme="minorHAnsi"/>
        </w:rPr>
        <w:t xml:space="preserve">La Charte institue les quatre organes de la transition : </w:t>
      </w:r>
      <w:r w:rsidRPr="008B4C78">
        <w:rPr>
          <w:rFonts w:ascii="Roboto" w:hAnsi="Roboto"/>
        </w:rPr>
        <w:t xml:space="preserve">CNRD ; Président de la Transition ; Gouvernement </w:t>
      </w:r>
      <w:r w:rsidRPr="008B4C78">
        <w:rPr>
          <w:rFonts w:ascii="Roboto" w:hAnsi="Roboto" w:cstheme="minorHAnsi"/>
        </w:rPr>
        <w:t>de la Transition : et Conseil National de la Transition. Elle fixe la représentation des femmes à au moins 30 % dans toutes les entités établies par la charte et interdit aux personnes impliquées dans le troisième mandat d’en faire partie, et à ses membres de se présenter aux prochaines élections. Cependant, un seul organe, le CNT, répond à ce jour au critère de représentation féminine fixé par la Charte.</w:t>
      </w:r>
    </w:p>
    <w:p w14:paraId="65A9317A" w14:textId="12C7782A" w:rsidR="002B6D86" w:rsidRPr="008B4C78" w:rsidRDefault="00D4380A" w:rsidP="00427634">
      <w:pPr>
        <w:jc w:val="both"/>
        <w:rPr>
          <w:rFonts w:ascii="Roboto" w:hAnsi="Roboto" w:cstheme="minorHAnsi"/>
        </w:rPr>
      </w:pPr>
      <w:r w:rsidRPr="008B4C78">
        <w:rPr>
          <w:rFonts w:ascii="Roboto" w:hAnsi="Roboto" w:cstheme="minorHAnsi"/>
        </w:rPr>
        <w:t>Dès leur prise du pouvoir, les autorités de la Transition ont confirmé leur engagement à maintenir les engagements internationaux de la Guinée y compris en matière des droits de l’homme. C’est dans ce cadre que le Président de la Transition a assigné au Premier Ministre une lettre de mission qui prévoit notamment de « renforcer la cohésion nationale et le respect des droits de l’homme à travers l’élaboration et la mise en œuvre d’un programme national d’éducation civique, de changement de mentalité et de comportement et de promouvoir la réconciliation et l’unité nationale ».</w:t>
      </w:r>
    </w:p>
    <w:p w14:paraId="0BB9FF14" w14:textId="3F80BA0F" w:rsidR="002B6D86" w:rsidRPr="002018FD" w:rsidRDefault="00AA2BAE" w:rsidP="00375A6D">
      <w:pPr>
        <w:pStyle w:val="Heading2"/>
        <w:numPr>
          <w:ilvl w:val="0"/>
          <w:numId w:val="28"/>
        </w:numPr>
        <w:rPr>
          <w:rFonts w:ascii="Roboto" w:hAnsi="Roboto"/>
        </w:rPr>
      </w:pPr>
      <w:bookmarkStart w:id="3" w:name="_Toc141568090"/>
      <w:r w:rsidRPr="002018FD">
        <w:rPr>
          <w:rFonts w:ascii="Roboto" w:hAnsi="Roboto"/>
        </w:rPr>
        <w:t>Déguerpissements</w:t>
      </w:r>
      <w:bookmarkEnd w:id="3"/>
    </w:p>
    <w:p w14:paraId="79EBF19C" w14:textId="018F6645" w:rsidR="0068116C" w:rsidRPr="002018FD" w:rsidRDefault="0068116C" w:rsidP="0068116C">
      <w:pPr>
        <w:jc w:val="both"/>
        <w:rPr>
          <w:rFonts w:ascii="Roboto" w:hAnsi="Roboto" w:cstheme="minorHAnsi"/>
        </w:rPr>
      </w:pPr>
      <w:r w:rsidRPr="002018FD">
        <w:rPr>
          <w:rFonts w:ascii="Roboto" w:hAnsi="Roboto" w:cstheme="minorHAnsi"/>
        </w:rPr>
        <w:t xml:space="preserve">Dans la perspective d’assurer la continuité de l’État tout en garantissant la qualité et la moralisation de la gestion publique, les autorités de la transition ont par ailleurs défini comme une de leurs priorités l’identification, la récupération et la sauvegarde des patrimoines bâtis et non bâtis de l’État. Des opérations de libération du patrimoine bâti de l’État ont eu lieu dès </w:t>
      </w:r>
      <w:r w:rsidR="000F5686" w:rsidRPr="002018FD">
        <w:rPr>
          <w:rFonts w:ascii="Roboto" w:hAnsi="Roboto" w:cstheme="minorHAnsi"/>
        </w:rPr>
        <w:t xml:space="preserve">la fin de l’année 2021 et </w:t>
      </w:r>
      <w:r w:rsidRPr="002018FD">
        <w:rPr>
          <w:rFonts w:ascii="Roboto" w:hAnsi="Roboto" w:cstheme="minorHAnsi"/>
        </w:rPr>
        <w:t xml:space="preserve">le début de l’année 2022 à Conakry. Une vaste campagne de libération des emprises des voies publiques et des domaines de l’État occupés illégalement dans plusieurs communes (Conakry, </w:t>
      </w:r>
      <w:proofErr w:type="spellStart"/>
      <w:r w:rsidRPr="002018FD">
        <w:rPr>
          <w:rFonts w:ascii="Roboto" w:hAnsi="Roboto" w:cstheme="minorHAnsi"/>
        </w:rPr>
        <w:t>Dubréka</w:t>
      </w:r>
      <w:proofErr w:type="spellEnd"/>
      <w:r w:rsidRPr="002018FD">
        <w:rPr>
          <w:rFonts w:ascii="Roboto" w:hAnsi="Roboto" w:cstheme="minorHAnsi"/>
        </w:rPr>
        <w:t>, Coyah et Boké) a entrainé la destruction ou l’enlèvement de kiosques, commerces, ateliers et de bâtiments à usage d’habitation</w:t>
      </w:r>
      <w:r w:rsidR="0075000D">
        <w:rPr>
          <w:rFonts w:ascii="Roboto" w:hAnsi="Roboto" w:cstheme="minorHAnsi"/>
        </w:rPr>
        <w:t>.</w:t>
      </w:r>
    </w:p>
    <w:p w14:paraId="58211869" w14:textId="30148FE1" w:rsidR="00F02795" w:rsidRPr="002018FD" w:rsidRDefault="00615FAE" w:rsidP="000F5686">
      <w:pPr>
        <w:jc w:val="both"/>
        <w:rPr>
          <w:rFonts w:ascii="Roboto" w:hAnsi="Roboto" w:cstheme="minorHAnsi"/>
        </w:rPr>
      </w:pPr>
      <w:r w:rsidRPr="002018FD">
        <w:rPr>
          <w:rFonts w:ascii="Roboto" w:hAnsi="Roboto" w:cstheme="minorHAnsi"/>
        </w:rPr>
        <w:t xml:space="preserve">Organisées en collectifs, les femmes victimes de déguerpissement </w:t>
      </w:r>
      <w:r w:rsidR="0089268F">
        <w:rPr>
          <w:rFonts w:ascii="Roboto" w:hAnsi="Roboto" w:cstheme="minorHAnsi"/>
        </w:rPr>
        <w:t>de plusieurs quartiers</w:t>
      </w:r>
      <w:r w:rsidRPr="002018FD">
        <w:rPr>
          <w:rFonts w:ascii="Roboto" w:hAnsi="Roboto" w:cstheme="minorHAnsi"/>
        </w:rPr>
        <w:t xml:space="preserve">, ont rendu une déclaration publique le samedi 23 octobre 2021 pour exprimer leur détresse et formuler des doléances à travers un mémorandum remis aux autorités de la Transition. Parmi les doléances figurent le soutien à apporter aux femmes victimes exerçant des activités génératrices de revenus. </w:t>
      </w:r>
    </w:p>
    <w:p w14:paraId="18A44000" w14:textId="5EAE8C0D" w:rsidR="002A3C38" w:rsidRPr="008B4C78" w:rsidRDefault="002A3C38" w:rsidP="00375A6D">
      <w:pPr>
        <w:pStyle w:val="Heading2"/>
        <w:numPr>
          <w:ilvl w:val="0"/>
          <w:numId w:val="28"/>
        </w:numPr>
        <w:rPr>
          <w:rFonts w:ascii="Roboto" w:hAnsi="Roboto"/>
        </w:rPr>
      </w:pPr>
      <w:bookmarkStart w:id="4" w:name="_Toc141568091"/>
      <w:r w:rsidRPr="008B4C78">
        <w:rPr>
          <w:rFonts w:ascii="Roboto" w:hAnsi="Roboto"/>
        </w:rPr>
        <w:t>Réconciliation</w:t>
      </w:r>
      <w:r w:rsidR="0084069E" w:rsidRPr="008B4C78">
        <w:rPr>
          <w:rFonts w:ascii="Roboto" w:hAnsi="Roboto"/>
        </w:rPr>
        <w:t xml:space="preserve"> et justice transitionnelle</w:t>
      </w:r>
      <w:bookmarkEnd w:id="4"/>
      <w:r w:rsidR="0084069E" w:rsidRPr="008B4C78">
        <w:rPr>
          <w:rFonts w:ascii="Roboto" w:hAnsi="Roboto"/>
        </w:rPr>
        <w:t xml:space="preserve"> </w:t>
      </w:r>
      <w:r w:rsidRPr="008B4C78">
        <w:rPr>
          <w:rFonts w:ascii="Roboto" w:hAnsi="Roboto"/>
        </w:rPr>
        <w:t xml:space="preserve"> </w:t>
      </w:r>
    </w:p>
    <w:p w14:paraId="1C088CBC" w14:textId="77777777" w:rsidR="00B673C6" w:rsidRPr="008B4C78" w:rsidRDefault="00B673C6" w:rsidP="00AD3B07">
      <w:pPr>
        <w:jc w:val="both"/>
        <w:rPr>
          <w:rFonts w:ascii="Roboto" w:hAnsi="Roboto" w:cstheme="minorHAnsi"/>
        </w:rPr>
      </w:pPr>
    </w:p>
    <w:p w14:paraId="47EF7587" w14:textId="3637F6EC" w:rsidR="00AD3B07" w:rsidRPr="008B4C78" w:rsidRDefault="00AD3B07" w:rsidP="00AD3B07">
      <w:pPr>
        <w:jc w:val="both"/>
        <w:rPr>
          <w:rFonts w:ascii="Roboto" w:hAnsi="Roboto" w:cstheme="minorHAnsi"/>
        </w:rPr>
      </w:pPr>
      <w:r w:rsidRPr="008B4C78">
        <w:rPr>
          <w:rFonts w:ascii="Roboto" w:hAnsi="Roboto" w:cstheme="minorHAnsi"/>
        </w:rPr>
        <w:lastRenderedPageBreak/>
        <w:t xml:space="preserve">Dans le domaine de la justice transitionnelle, le Comité des droits de l’Homme des Nations Unies à l’issue de l’examen du troisième rapport périodique de la Guinée en 2018 et le Conseil des Droits de l’Homme lors de l’Examen Périodique Universel (EPU, 2020) ont recommandé à l’Etat de veiller à la mise en place d’un mécanisme de vérité et de réconciliation et de « prendre des mesures immédiates afin d’accélérer les enquêtes, poursuites et sanctions dans le cadre des violations passées des droits de l’homme ». La Guinée a accepté cette recommandation. </w:t>
      </w:r>
    </w:p>
    <w:p w14:paraId="41EA32FB" w14:textId="6E3086E8" w:rsidR="006945C6" w:rsidRPr="008B4C78" w:rsidRDefault="00615FAE" w:rsidP="00AD3B07">
      <w:pPr>
        <w:jc w:val="both"/>
        <w:rPr>
          <w:rFonts w:ascii="Roboto" w:hAnsi="Roboto" w:cstheme="minorHAnsi"/>
        </w:rPr>
      </w:pPr>
      <w:r w:rsidRPr="008B4C78">
        <w:rPr>
          <w:rFonts w:ascii="Roboto" w:hAnsi="Roboto" w:cstheme="minorHAnsi"/>
        </w:rPr>
        <w:t>A la faveur des “Assises nationales pour la vérité et le pardon” qui se sont tenues en avril et mai 2022, plusieurs victimes se sont exprimées sur la nécessité de faire la lumière sur ces douloureux évènements ainsi que de rendre justice et procéder à des réparations.</w:t>
      </w:r>
      <w:r w:rsidR="003B3B8C" w:rsidRPr="008B4C78">
        <w:rPr>
          <w:rFonts w:ascii="Roboto" w:hAnsi="Roboto" w:cstheme="minorHAnsi"/>
        </w:rPr>
        <w:t xml:space="preserve"> </w:t>
      </w:r>
      <w:r w:rsidRPr="008B4C78">
        <w:rPr>
          <w:rFonts w:ascii="Roboto" w:hAnsi="Roboto" w:cstheme="minorHAnsi"/>
        </w:rPr>
        <w:t xml:space="preserve">Il convient de souligner la convergence entre les travaux de la CPRN et ceux des récentes assises nationales quant aux attentes et recommandations des populations pour une véritable réconciliation. Les attentes prioritaires de la population se rapportaient : au droit à la vérité historique et au droit à la justice, aux réparations, notamment par la reconnaissance officielle par l’État des crimes commis. Les réformes institutionnelles représentaient également une des attentes majeures des populations interrogées : réformes du système judiciaire, de l’administration publique et des forces de défense et de sécurité. </w:t>
      </w:r>
    </w:p>
    <w:p w14:paraId="30C782AB" w14:textId="4F36289D" w:rsidR="00AD3B07" w:rsidRPr="008B4C78" w:rsidRDefault="00615FAE" w:rsidP="00AD3B07">
      <w:pPr>
        <w:jc w:val="both"/>
        <w:rPr>
          <w:rFonts w:ascii="Roboto" w:hAnsi="Roboto" w:cstheme="minorHAnsi"/>
        </w:rPr>
      </w:pPr>
      <w:r w:rsidRPr="008B4C78">
        <w:rPr>
          <w:rFonts w:ascii="Roboto" w:hAnsi="Roboto" w:cstheme="minorHAnsi"/>
        </w:rPr>
        <w:t>Le procès du massacre du Stade du 28 septembre s’est ouvert 13 ans après les faits, en septembre 2022, en présence du Président de la Transition, de la SRSG Patten et du Procureur de la CPI</w:t>
      </w:r>
      <w:r w:rsidR="006945C6" w:rsidRPr="008B4C78">
        <w:rPr>
          <w:rFonts w:ascii="Roboto" w:hAnsi="Roboto" w:cstheme="minorHAnsi"/>
        </w:rPr>
        <w:t xml:space="preserve">. Les orateurs sont revenus sur la </w:t>
      </w:r>
      <w:r w:rsidR="003A76E3" w:rsidRPr="008B4C78">
        <w:rPr>
          <w:rFonts w:ascii="Roboto" w:hAnsi="Roboto" w:cstheme="minorHAnsi"/>
        </w:rPr>
        <w:t xml:space="preserve">nécessité de </w:t>
      </w:r>
      <w:r w:rsidR="006945C6" w:rsidRPr="008B4C78">
        <w:rPr>
          <w:rFonts w:ascii="Roboto" w:hAnsi="Roboto" w:cstheme="minorHAnsi"/>
        </w:rPr>
        <w:t>lutte</w:t>
      </w:r>
      <w:r w:rsidR="003A76E3" w:rsidRPr="008B4C78">
        <w:rPr>
          <w:rFonts w:ascii="Roboto" w:hAnsi="Roboto" w:cstheme="minorHAnsi"/>
        </w:rPr>
        <w:t>r</w:t>
      </w:r>
      <w:r w:rsidR="006945C6" w:rsidRPr="008B4C78">
        <w:rPr>
          <w:rFonts w:ascii="Roboto" w:hAnsi="Roboto" w:cstheme="minorHAnsi"/>
        </w:rPr>
        <w:t xml:space="preserve"> contre l'impunité, l'indépendance de la justice, le principe de la présomption d'innocence, la complémentarité entre les juridictions nationales et la Cour Pénale Internationale. L'engagement des autorités guinéennes à organiser le procès, la reconnaissance des efforts du </w:t>
      </w:r>
      <w:r w:rsidR="008720AF">
        <w:rPr>
          <w:rFonts w:ascii="Roboto" w:hAnsi="Roboto" w:cstheme="minorHAnsi"/>
        </w:rPr>
        <w:t>S</w:t>
      </w:r>
      <w:r w:rsidR="006945C6" w:rsidRPr="008B4C78">
        <w:rPr>
          <w:rFonts w:ascii="Roboto" w:hAnsi="Roboto" w:cstheme="minorHAnsi"/>
        </w:rPr>
        <w:t>ystème des Nations Unies et la contribution de la CPI pour l’organisation de ce procès ont été perceptibles.</w:t>
      </w:r>
    </w:p>
    <w:p w14:paraId="3E398E0E" w14:textId="4D793E68" w:rsidR="00AE16E6" w:rsidRPr="008B4C78" w:rsidRDefault="00AE16E6" w:rsidP="00F747AB">
      <w:pPr>
        <w:pStyle w:val="Heading2"/>
        <w:numPr>
          <w:ilvl w:val="0"/>
          <w:numId w:val="28"/>
        </w:numPr>
        <w:rPr>
          <w:rFonts w:ascii="Roboto" w:hAnsi="Roboto"/>
        </w:rPr>
      </w:pPr>
      <w:bookmarkStart w:id="5" w:name="_Toc141568092"/>
      <w:r w:rsidRPr="008B4C78">
        <w:rPr>
          <w:rFonts w:ascii="Roboto" w:hAnsi="Roboto"/>
        </w:rPr>
        <w:t>Libertés civiles</w:t>
      </w:r>
      <w:bookmarkEnd w:id="5"/>
      <w:r w:rsidRPr="008B4C78">
        <w:rPr>
          <w:rFonts w:ascii="Roboto" w:hAnsi="Roboto"/>
        </w:rPr>
        <w:t xml:space="preserve"> </w:t>
      </w:r>
    </w:p>
    <w:p w14:paraId="70234C7A" w14:textId="5D3D2327" w:rsidR="009E52E9" w:rsidRPr="008B4C78" w:rsidRDefault="009E52E9" w:rsidP="009E52E9">
      <w:pPr>
        <w:jc w:val="both"/>
        <w:rPr>
          <w:rFonts w:ascii="Roboto" w:hAnsi="Roboto" w:cstheme="minorHAnsi"/>
        </w:rPr>
      </w:pPr>
      <w:r w:rsidRPr="008B4C78">
        <w:rPr>
          <w:rFonts w:ascii="Roboto" w:hAnsi="Roboto" w:cstheme="minorHAnsi"/>
        </w:rPr>
        <w:t>L</w:t>
      </w:r>
      <w:r w:rsidR="00001ECF" w:rsidRPr="008B4C78">
        <w:rPr>
          <w:rFonts w:ascii="Roboto" w:hAnsi="Roboto" w:cstheme="minorHAnsi"/>
        </w:rPr>
        <w:t xml:space="preserve">es leaders du </w:t>
      </w:r>
      <w:r w:rsidR="000320B2" w:rsidRPr="008B4C78">
        <w:rPr>
          <w:rFonts w:ascii="Roboto" w:hAnsi="Roboto" w:cstheme="minorHAnsi"/>
        </w:rPr>
        <w:t>F</w:t>
      </w:r>
      <w:r w:rsidR="00001ECF" w:rsidRPr="008B4C78">
        <w:rPr>
          <w:rFonts w:ascii="Roboto" w:hAnsi="Roboto" w:cstheme="minorHAnsi"/>
        </w:rPr>
        <w:t xml:space="preserve">ront </w:t>
      </w:r>
      <w:r w:rsidR="000320B2" w:rsidRPr="008B4C78">
        <w:rPr>
          <w:rFonts w:ascii="Roboto" w:hAnsi="Roboto" w:cstheme="minorHAnsi"/>
        </w:rPr>
        <w:t xml:space="preserve">national </w:t>
      </w:r>
      <w:r w:rsidR="00001ECF" w:rsidRPr="008B4C78">
        <w:rPr>
          <w:rFonts w:ascii="Roboto" w:hAnsi="Roboto" w:cstheme="minorHAnsi"/>
        </w:rPr>
        <w:t xml:space="preserve">pour la défense de la Constitution (FNDC) ont fait objet d’arrestations de poursuites. L’année a été également caractérisée </w:t>
      </w:r>
      <w:r w:rsidR="0089268F">
        <w:rPr>
          <w:rFonts w:ascii="Roboto" w:hAnsi="Roboto" w:cstheme="minorHAnsi"/>
        </w:rPr>
        <w:t xml:space="preserve">par </w:t>
      </w:r>
      <w:r w:rsidR="00001ECF" w:rsidRPr="008B4C78">
        <w:rPr>
          <w:rFonts w:ascii="Roboto" w:hAnsi="Roboto" w:cstheme="minorHAnsi"/>
        </w:rPr>
        <w:t>l’interdiction des manifestations publiques, et la dissolution du FNDC le 6 Août 2022</w:t>
      </w:r>
      <w:r w:rsidR="000C5E81">
        <w:rPr>
          <w:rFonts w:ascii="Roboto" w:hAnsi="Roboto" w:cstheme="minorHAnsi"/>
        </w:rPr>
        <w:t>.</w:t>
      </w:r>
    </w:p>
    <w:p w14:paraId="0A4044D2" w14:textId="4F61A57A" w:rsidR="002E6D03" w:rsidRPr="008B4C78" w:rsidRDefault="002E6D03" w:rsidP="00A20A79">
      <w:pPr>
        <w:pStyle w:val="Heading2"/>
        <w:numPr>
          <w:ilvl w:val="0"/>
          <w:numId w:val="28"/>
        </w:numPr>
        <w:rPr>
          <w:rFonts w:ascii="Roboto" w:hAnsi="Roboto"/>
        </w:rPr>
      </w:pPr>
      <w:bookmarkStart w:id="6" w:name="_Toc141568093"/>
      <w:r w:rsidRPr="008B4C78">
        <w:rPr>
          <w:rFonts w:ascii="Roboto" w:hAnsi="Roboto"/>
        </w:rPr>
        <w:t>Lutte contre l’impunité</w:t>
      </w:r>
      <w:bookmarkEnd w:id="6"/>
    </w:p>
    <w:p w14:paraId="499DF2C6" w14:textId="6BC0FDED" w:rsidR="009E52E9" w:rsidRPr="008B4C78" w:rsidRDefault="00001ECF" w:rsidP="009E52E9">
      <w:pPr>
        <w:jc w:val="both"/>
        <w:rPr>
          <w:rFonts w:ascii="Roboto" w:hAnsi="Roboto" w:cstheme="minorHAnsi"/>
        </w:rPr>
      </w:pPr>
      <w:r w:rsidRPr="008B4C78">
        <w:rPr>
          <w:rFonts w:ascii="Roboto" w:hAnsi="Roboto" w:cstheme="minorHAnsi"/>
        </w:rPr>
        <w:t xml:space="preserve">Dans la lutte contre l’impunité et la moralisation de la société, l’année a été marquée par la </w:t>
      </w:r>
      <w:r w:rsidRPr="008B4C78">
        <w:rPr>
          <w:rStyle w:val="normaltextrun"/>
          <w:rFonts w:ascii="Roboto" w:hAnsi="Roboto" w:cstheme="minorHAnsi"/>
        </w:rPr>
        <w:t xml:space="preserve">création de la Cour de Répression des Infractions </w:t>
      </w:r>
      <w:r w:rsidR="002018FD" w:rsidRPr="008B4C78">
        <w:rPr>
          <w:rStyle w:val="normaltextrun"/>
          <w:rFonts w:ascii="Roboto" w:hAnsi="Roboto" w:cstheme="minorHAnsi"/>
        </w:rPr>
        <w:t>Économiques</w:t>
      </w:r>
      <w:r w:rsidRPr="008B4C78">
        <w:rPr>
          <w:rStyle w:val="normaltextrun"/>
          <w:rFonts w:ascii="Roboto" w:hAnsi="Roboto" w:cstheme="minorHAnsi"/>
        </w:rPr>
        <w:t xml:space="preserve"> et Financières (CRIEF). </w:t>
      </w:r>
      <w:r w:rsidRPr="008B4C78">
        <w:rPr>
          <w:rFonts w:ascii="Roboto" w:hAnsi="Roboto" w:cstheme="minorHAnsi"/>
        </w:rPr>
        <w:t xml:space="preserve">La lutte contre l’impunité des crimes économiques que les nouvelles autorités ont entamée, quoique saluée au départ par l’opinion publique et les partenaires du pays, n’a pas tardé à exacerber les tensions entre les nouvelles autorités et la classe politique. Cette dernière au regard de l’inculpation de la plupart des responsables de l’ancien régime parmi lesquels l’ancien Premier Ministre et le ministre de la Défense par cette juridiction, et l’exil de certains opposants considère la CRIEF comme un instrument du pouvoir pour taire toutes les voix discordantes. </w:t>
      </w:r>
    </w:p>
    <w:p w14:paraId="1E7C1D46" w14:textId="6F1FDC86" w:rsidR="007C2B39" w:rsidRPr="008B4C78" w:rsidRDefault="007F67B3" w:rsidP="004A7787">
      <w:pPr>
        <w:pStyle w:val="Heading2"/>
        <w:numPr>
          <w:ilvl w:val="0"/>
          <w:numId w:val="28"/>
        </w:numPr>
        <w:rPr>
          <w:rFonts w:ascii="Roboto" w:hAnsi="Roboto"/>
        </w:rPr>
      </w:pPr>
      <w:bookmarkStart w:id="7" w:name="_Toc141568094"/>
      <w:r w:rsidRPr="008B4C78">
        <w:rPr>
          <w:rFonts w:ascii="Roboto" w:hAnsi="Roboto"/>
        </w:rPr>
        <w:t>Dialogue Politique</w:t>
      </w:r>
      <w:bookmarkEnd w:id="7"/>
      <w:r w:rsidRPr="008B4C78">
        <w:rPr>
          <w:rFonts w:ascii="Roboto" w:hAnsi="Roboto"/>
        </w:rPr>
        <w:t xml:space="preserve"> </w:t>
      </w:r>
    </w:p>
    <w:p w14:paraId="5532D5E2" w14:textId="12D13FE6" w:rsidR="009E52E9" w:rsidRDefault="006945C6" w:rsidP="009E52E9">
      <w:pPr>
        <w:jc w:val="both"/>
        <w:rPr>
          <w:rFonts w:ascii="Roboto" w:hAnsi="Roboto" w:cstheme="minorHAnsi"/>
        </w:rPr>
      </w:pPr>
      <w:r w:rsidRPr="006F314F">
        <w:rPr>
          <w:rFonts w:ascii="Roboto" w:hAnsi="Roboto" w:cstheme="minorHAnsi"/>
        </w:rPr>
        <w:t xml:space="preserve">Sur le plan politique, l’année 2022 a été marquée par </w:t>
      </w:r>
      <w:r w:rsidR="002018FD">
        <w:rPr>
          <w:rFonts w:ascii="Roboto" w:hAnsi="Roboto" w:cstheme="minorHAnsi"/>
        </w:rPr>
        <w:t xml:space="preserve">quelques </w:t>
      </w:r>
      <w:r w:rsidRPr="006F314F">
        <w:rPr>
          <w:rFonts w:ascii="Roboto" w:hAnsi="Roboto" w:cstheme="minorHAnsi"/>
        </w:rPr>
        <w:t xml:space="preserve">divergences entre les acteurs politiques et </w:t>
      </w:r>
      <w:r w:rsidR="002018FD">
        <w:rPr>
          <w:rFonts w:ascii="Roboto" w:hAnsi="Roboto" w:cstheme="minorHAnsi"/>
        </w:rPr>
        <w:t>le gouvernement</w:t>
      </w:r>
      <w:r w:rsidRPr="006F314F">
        <w:rPr>
          <w:rFonts w:ascii="Roboto" w:hAnsi="Roboto" w:cstheme="minorHAnsi"/>
        </w:rPr>
        <w:t xml:space="preserve">. </w:t>
      </w:r>
      <w:r w:rsidR="00AD27DA" w:rsidRPr="006F314F">
        <w:rPr>
          <w:rFonts w:ascii="Roboto" w:hAnsi="Roboto" w:cstheme="minorHAnsi"/>
        </w:rPr>
        <w:t>Ces divergences s’articulent autour du calendrier et de la durée de la transition</w:t>
      </w:r>
      <w:r w:rsidR="002018FD">
        <w:rPr>
          <w:rFonts w:ascii="Roboto" w:hAnsi="Roboto" w:cstheme="minorHAnsi"/>
        </w:rPr>
        <w:t xml:space="preserve"> et du besoin d’un</w:t>
      </w:r>
      <w:r w:rsidR="00AD27DA" w:rsidRPr="006F314F">
        <w:rPr>
          <w:rFonts w:ascii="Roboto" w:hAnsi="Roboto" w:cstheme="minorHAnsi"/>
        </w:rPr>
        <w:t xml:space="preserve"> dialogue inclusif</w:t>
      </w:r>
      <w:r w:rsidR="00C02BF2" w:rsidRPr="006F314F">
        <w:rPr>
          <w:rFonts w:ascii="Roboto" w:hAnsi="Roboto" w:cstheme="minorHAnsi"/>
        </w:rPr>
        <w:t xml:space="preserve"> avec</w:t>
      </w:r>
      <w:r w:rsidR="00AD27DA" w:rsidRPr="006F314F">
        <w:rPr>
          <w:rFonts w:ascii="Roboto" w:hAnsi="Roboto" w:cstheme="minorHAnsi"/>
        </w:rPr>
        <w:t xml:space="preserve"> toutes les parties prenantes. En effet</w:t>
      </w:r>
      <w:r w:rsidR="002018FD">
        <w:rPr>
          <w:rFonts w:ascii="Roboto" w:hAnsi="Roboto" w:cstheme="minorHAnsi"/>
        </w:rPr>
        <w:t>, c</w:t>
      </w:r>
      <w:r w:rsidRPr="006F314F">
        <w:rPr>
          <w:rFonts w:ascii="Roboto" w:hAnsi="Roboto" w:cstheme="minorHAnsi"/>
        </w:rPr>
        <w:t>e</w:t>
      </w:r>
      <w:r w:rsidR="004A2B5F" w:rsidRPr="006F314F">
        <w:rPr>
          <w:rFonts w:ascii="Roboto" w:hAnsi="Roboto" w:cstheme="minorHAnsi"/>
        </w:rPr>
        <w:t>rtains opposants ont boycotté le</w:t>
      </w:r>
      <w:r w:rsidRPr="006F314F">
        <w:rPr>
          <w:rFonts w:ascii="Roboto" w:hAnsi="Roboto" w:cstheme="minorHAnsi"/>
        </w:rPr>
        <w:t>s assises</w:t>
      </w:r>
      <w:r w:rsidR="00E16EDB" w:rsidRPr="006F314F">
        <w:rPr>
          <w:rFonts w:ascii="Roboto" w:hAnsi="Roboto" w:cstheme="minorHAnsi"/>
        </w:rPr>
        <w:t xml:space="preserve"> nationales</w:t>
      </w:r>
      <w:r w:rsidR="00645A46">
        <w:rPr>
          <w:rFonts w:ascii="Roboto" w:hAnsi="Roboto" w:cstheme="minorHAnsi"/>
        </w:rPr>
        <w:t xml:space="preserve"> et ensuite le cadre de concertation.</w:t>
      </w:r>
    </w:p>
    <w:p w14:paraId="1424E818" w14:textId="6653B62E" w:rsidR="002018FD" w:rsidRDefault="002018FD" w:rsidP="00092A17">
      <w:pPr>
        <w:jc w:val="both"/>
        <w:rPr>
          <w:rFonts w:ascii="Roboto" w:hAnsi="Roboto" w:cstheme="minorHAnsi"/>
        </w:rPr>
      </w:pPr>
      <w:r>
        <w:rPr>
          <w:rFonts w:ascii="Roboto" w:hAnsi="Roboto" w:cstheme="minorHAnsi"/>
        </w:rPr>
        <w:lastRenderedPageBreak/>
        <w:t xml:space="preserve">Le Gouvernement de </w:t>
      </w:r>
      <w:r w:rsidRPr="00645A46">
        <w:rPr>
          <w:rFonts w:ascii="Roboto" w:hAnsi="Roboto" w:cstheme="minorHAnsi"/>
        </w:rPr>
        <w:t xml:space="preserve">la </w:t>
      </w:r>
      <w:r w:rsidR="00645A46" w:rsidRPr="00645A46">
        <w:rPr>
          <w:rFonts w:ascii="Roboto" w:hAnsi="Roboto" w:cstheme="minorHAnsi"/>
        </w:rPr>
        <w:t>Guinée</w:t>
      </w:r>
      <w:r w:rsidRPr="00645A46">
        <w:rPr>
          <w:rFonts w:ascii="Roboto" w:hAnsi="Roboto" w:cstheme="minorHAnsi"/>
        </w:rPr>
        <w:t xml:space="preserve"> a lanc</w:t>
      </w:r>
      <w:r w:rsidR="00645A46">
        <w:rPr>
          <w:rFonts w:ascii="Roboto" w:hAnsi="Roboto" w:cstheme="minorHAnsi"/>
        </w:rPr>
        <w:t>é</w:t>
      </w:r>
      <w:r w:rsidRPr="00645A46">
        <w:rPr>
          <w:rFonts w:ascii="Roboto" w:hAnsi="Roboto" w:cstheme="minorHAnsi"/>
        </w:rPr>
        <w:t xml:space="preserve"> </w:t>
      </w:r>
      <w:r w:rsidR="00645A46">
        <w:rPr>
          <w:rFonts w:ascii="Roboto" w:hAnsi="Roboto" w:cstheme="minorHAnsi"/>
        </w:rPr>
        <w:t xml:space="preserve">ensuite </w:t>
      </w:r>
      <w:r w:rsidRPr="00645A46">
        <w:rPr>
          <w:rFonts w:ascii="Roboto" w:hAnsi="Roboto" w:cstheme="minorHAnsi"/>
        </w:rPr>
        <w:t>un cadre de dialogue</w:t>
      </w:r>
      <w:r>
        <w:rPr>
          <w:rFonts w:ascii="Roboto" w:hAnsi="Roboto" w:cstheme="minorHAnsi"/>
        </w:rPr>
        <w:t xml:space="preserve"> </w:t>
      </w:r>
      <w:r w:rsidR="00645A46">
        <w:rPr>
          <w:rFonts w:ascii="Roboto" w:hAnsi="Roboto" w:cstheme="minorHAnsi"/>
        </w:rPr>
        <w:t>inter guinéen en novembre 2022 avec un appui et une présence d’un médiateur de la CEDEAO. Le cadre a été renforcé par la nomination de trois facilitatrices, figures choisies vues leurs expériences</w:t>
      </w:r>
      <w:r w:rsidR="00357325">
        <w:rPr>
          <w:rFonts w:ascii="Roboto" w:hAnsi="Roboto" w:cstheme="minorHAnsi"/>
        </w:rPr>
        <w:t xml:space="preserve">/expertise </w:t>
      </w:r>
      <w:r w:rsidR="00645A46">
        <w:rPr>
          <w:rFonts w:ascii="Roboto" w:hAnsi="Roboto" w:cstheme="minorHAnsi"/>
        </w:rPr>
        <w:t>et leurs capacités à rassembler les positions</w:t>
      </w:r>
      <w:r w:rsidR="00092A17">
        <w:rPr>
          <w:rFonts w:ascii="Roboto" w:hAnsi="Roboto" w:cstheme="minorHAnsi"/>
        </w:rPr>
        <w:t xml:space="preserve"> leur </w:t>
      </w:r>
      <w:r w:rsidR="00537D37" w:rsidRPr="00537D37">
        <w:rPr>
          <w:rFonts w:ascii="Roboto" w:hAnsi="Roboto" w:cstheme="minorHAnsi"/>
        </w:rPr>
        <w:t>moralité</w:t>
      </w:r>
      <w:r w:rsidR="00092A17">
        <w:rPr>
          <w:rFonts w:ascii="Roboto" w:hAnsi="Roboto" w:cstheme="minorHAnsi"/>
        </w:rPr>
        <w:t xml:space="preserve"> et</w:t>
      </w:r>
      <w:r w:rsidR="00537D37" w:rsidRPr="00537D37">
        <w:rPr>
          <w:rFonts w:ascii="Roboto" w:hAnsi="Roboto" w:cstheme="minorHAnsi"/>
        </w:rPr>
        <w:t xml:space="preserve"> neutralité</w:t>
      </w:r>
      <w:r w:rsidR="00092A17">
        <w:rPr>
          <w:rFonts w:ascii="Roboto" w:hAnsi="Roboto" w:cstheme="minorHAnsi"/>
        </w:rPr>
        <w:t>.</w:t>
      </w:r>
    </w:p>
    <w:p w14:paraId="5D6C05AB" w14:textId="3C07CBA5" w:rsidR="00537D37" w:rsidRDefault="00740ED5" w:rsidP="009E52E9">
      <w:pPr>
        <w:jc w:val="both"/>
        <w:rPr>
          <w:rFonts w:ascii="Roboto" w:hAnsi="Roboto" w:cstheme="minorHAnsi"/>
        </w:rPr>
      </w:pPr>
      <w:r w:rsidRPr="00740ED5">
        <w:rPr>
          <w:rFonts w:ascii="Roboto" w:hAnsi="Roboto" w:cstheme="minorHAnsi"/>
        </w:rPr>
        <w:t>35 résolutions ont été remises au Colonel Mamadi Doumbouya. Les facilitatrices ont animé le cadre pendant plus de trois semaines, assurant ainsi une approche transparente et inclusive</w:t>
      </w:r>
      <w:r>
        <w:rPr>
          <w:rFonts w:ascii="Roboto" w:hAnsi="Roboto" w:cstheme="minorHAnsi"/>
        </w:rPr>
        <w:t>, malgré quelques abstentions de la part de quelques partis politiques</w:t>
      </w:r>
      <w:r w:rsidRPr="00740ED5">
        <w:rPr>
          <w:rFonts w:ascii="Roboto" w:hAnsi="Roboto" w:cstheme="minorHAnsi"/>
        </w:rPr>
        <w:t xml:space="preserve">. Parmi les recommandations, les dirigeants et fonctionnaires devront déclarer leurs biens avant et après leur mandat, et les candidatures indépendantes seront autorisées pour les élections locales. Pour les présidentielles, l'âge minimum des candidats est fixé à 35 ans et le maximum à 75 ans, avec une exception pour les personnes de 75 ans révolus au 31 décembre 2022. </w:t>
      </w:r>
    </w:p>
    <w:p w14:paraId="034F0949" w14:textId="353B7A28" w:rsidR="00537D37" w:rsidRDefault="00537D37" w:rsidP="00DC0619">
      <w:pPr>
        <w:jc w:val="both"/>
        <w:rPr>
          <w:rFonts w:ascii="Roboto" w:hAnsi="Roboto" w:cstheme="minorHAnsi"/>
        </w:rPr>
      </w:pPr>
      <w:r w:rsidRPr="00740ED5">
        <w:rPr>
          <w:rFonts w:ascii="Roboto" w:hAnsi="Roboto" w:cstheme="minorHAnsi"/>
        </w:rPr>
        <w:t>Pour le suivi-évaluation de</w:t>
      </w:r>
      <w:r w:rsidR="00740ED5">
        <w:rPr>
          <w:rFonts w:ascii="Roboto" w:hAnsi="Roboto" w:cstheme="minorHAnsi"/>
        </w:rPr>
        <w:t xml:space="preserve">s </w:t>
      </w:r>
      <w:r w:rsidRPr="00740ED5">
        <w:rPr>
          <w:rFonts w:ascii="Roboto" w:hAnsi="Roboto" w:cstheme="minorHAnsi"/>
        </w:rPr>
        <w:t xml:space="preserve">recommandations, </w:t>
      </w:r>
      <w:r w:rsidR="00FA43F9">
        <w:rPr>
          <w:rFonts w:ascii="Roboto" w:hAnsi="Roboto" w:cstheme="minorHAnsi"/>
        </w:rPr>
        <w:t>et d</w:t>
      </w:r>
      <w:r w:rsidR="00FA43F9" w:rsidRPr="00FA43F9">
        <w:rPr>
          <w:rFonts w:ascii="Roboto" w:hAnsi="Roboto" w:cstheme="minorHAnsi"/>
        </w:rPr>
        <w:t>ans un décret, il a créé</w:t>
      </w:r>
      <w:r w:rsidR="00FA43F9">
        <w:rPr>
          <w:rFonts w:ascii="Roboto" w:hAnsi="Roboto" w:cstheme="minorHAnsi"/>
        </w:rPr>
        <w:t xml:space="preserve"> en décembre 2022</w:t>
      </w:r>
      <w:r w:rsidR="00FA43F9" w:rsidRPr="00FA43F9">
        <w:rPr>
          <w:rFonts w:ascii="Roboto" w:hAnsi="Roboto" w:cstheme="minorHAnsi"/>
        </w:rPr>
        <w:t xml:space="preserve"> un “Comité national permanent de suivi de la mise en œuvre des résolutions du Cadre de dialogue inclusif inter-guinéen”</w:t>
      </w:r>
      <w:r w:rsidR="00FA43F9">
        <w:rPr>
          <w:rFonts w:ascii="Roboto" w:hAnsi="Roboto" w:cstheme="minorHAnsi"/>
        </w:rPr>
        <w:t xml:space="preserve"> </w:t>
      </w:r>
      <w:r w:rsidRPr="00740ED5">
        <w:rPr>
          <w:rFonts w:ascii="Roboto" w:hAnsi="Roboto" w:cstheme="minorHAnsi"/>
        </w:rPr>
        <w:t>sous la coordination du Premier ministre</w:t>
      </w:r>
      <w:r w:rsidRPr="00537D37">
        <w:rPr>
          <w:rFonts w:ascii="Roboto" w:hAnsi="Roboto" w:cstheme="minorHAnsi"/>
        </w:rPr>
        <w:t>.</w:t>
      </w:r>
      <w:r w:rsidR="00740ED5">
        <w:rPr>
          <w:rFonts w:ascii="Roboto" w:hAnsi="Roboto" w:cstheme="minorHAnsi"/>
        </w:rPr>
        <w:t xml:space="preserve"> </w:t>
      </w:r>
      <w:r w:rsidR="00DC0619" w:rsidRPr="00DC0619">
        <w:rPr>
          <w:rFonts w:ascii="Roboto" w:hAnsi="Roboto" w:cstheme="minorHAnsi"/>
        </w:rPr>
        <w:t xml:space="preserve">Il comprend le ministre de l’Administration du territoire et de la Décentralisation, le ministre des Affaires étrangères de l’intégration africaine et des Guinéens </w:t>
      </w:r>
      <w:r w:rsidR="00DF00D6">
        <w:rPr>
          <w:rFonts w:ascii="Roboto" w:hAnsi="Roboto" w:cstheme="minorHAnsi"/>
        </w:rPr>
        <w:t>établis à</w:t>
      </w:r>
      <w:r w:rsidR="00DC0619" w:rsidRPr="00DC0619">
        <w:rPr>
          <w:rFonts w:ascii="Roboto" w:hAnsi="Roboto" w:cstheme="minorHAnsi"/>
        </w:rPr>
        <w:t xml:space="preserve"> l’Étranger, 5 membres du CNRD, 5 représentants des coalitions des partis politiques, 3 représentants de faîtières de la société civile, 3 personnes ressources.</w:t>
      </w:r>
      <w:r w:rsidR="00DC0619">
        <w:rPr>
          <w:rFonts w:ascii="Roboto" w:hAnsi="Roboto" w:cstheme="minorHAnsi"/>
        </w:rPr>
        <w:t xml:space="preserve"> La participation du </w:t>
      </w:r>
      <w:r w:rsidR="00740ED5">
        <w:rPr>
          <w:rFonts w:ascii="Roboto" w:hAnsi="Roboto" w:cstheme="minorHAnsi"/>
        </w:rPr>
        <w:t xml:space="preserve">G5 </w:t>
      </w:r>
      <w:r w:rsidR="00DF00D6">
        <w:rPr>
          <w:rFonts w:ascii="Roboto" w:hAnsi="Roboto" w:cstheme="minorHAnsi"/>
        </w:rPr>
        <w:t xml:space="preserve">(Nations Unies, CEDEAO, Ambassade de France, Ambassade Etats Unis, Délégation Union </w:t>
      </w:r>
      <w:proofErr w:type="gramStart"/>
      <w:r w:rsidR="00DF00D6">
        <w:rPr>
          <w:rFonts w:ascii="Roboto" w:hAnsi="Roboto" w:cstheme="minorHAnsi"/>
        </w:rPr>
        <w:t xml:space="preserve">Européenne)  </w:t>
      </w:r>
      <w:r w:rsidR="00740ED5">
        <w:rPr>
          <w:rFonts w:ascii="Roboto" w:hAnsi="Roboto" w:cstheme="minorHAnsi"/>
        </w:rPr>
        <w:t>comme</w:t>
      </w:r>
      <w:proofErr w:type="gramEnd"/>
      <w:r w:rsidR="00740ED5">
        <w:rPr>
          <w:rFonts w:ascii="Roboto" w:hAnsi="Roboto" w:cstheme="minorHAnsi"/>
        </w:rPr>
        <w:t xml:space="preserve"> observateur</w:t>
      </w:r>
      <w:r w:rsidR="00DC0619">
        <w:rPr>
          <w:rFonts w:ascii="Roboto" w:hAnsi="Roboto" w:cstheme="minorHAnsi"/>
        </w:rPr>
        <w:t xml:space="preserve"> dans ce cadre a été sujet de différentes réclamations de partis de l’opposition et des forces vives. Le décret stipule que </w:t>
      </w:r>
      <w:r w:rsidR="00DC0619" w:rsidRPr="00DC0619">
        <w:rPr>
          <w:rFonts w:ascii="Roboto" w:hAnsi="Roboto" w:cstheme="minorHAnsi"/>
        </w:rPr>
        <w:t>les entités suivantes peuvent se faire représenter en qualité d’observateurs : le bureau du Conseil National de la transition, le groupe d’ambassadeurs de la CEDEAO accrédités en Guinée et de représentants de la Communauté internationale en Guinée.</w:t>
      </w:r>
    </w:p>
    <w:p w14:paraId="2A4FE253" w14:textId="42867BDA" w:rsidR="001A289F" w:rsidRDefault="001A289F" w:rsidP="00DC0619">
      <w:pPr>
        <w:jc w:val="both"/>
        <w:rPr>
          <w:rFonts w:ascii="Roboto" w:hAnsi="Roboto" w:cstheme="minorHAnsi"/>
        </w:rPr>
      </w:pPr>
      <w:r>
        <w:rPr>
          <w:rFonts w:ascii="Roboto" w:hAnsi="Roboto" w:cstheme="minorHAnsi"/>
        </w:rPr>
        <w:t>Le Premier Ministre Dr Bernard GOUMOU a visité les partis politiques afin de les inviter à se joindre au processus de dialogue qui est en cours</w:t>
      </w:r>
      <w:r w:rsidR="007C02A9">
        <w:rPr>
          <w:rFonts w:ascii="Roboto" w:hAnsi="Roboto" w:cstheme="minorHAnsi"/>
        </w:rPr>
        <w:t xml:space="preserve"> et le Gouvernement continue de réitérer ce message afin que tous les acteurs rejoignent ce processus. </w:t>
      </w:r>
    </w:p>
    <w:p w14:paraId="3F0C4A9D" w14:textId="47B5000B" w:rsidR="007C02A9" w:rsidRPr="006F314F" w:rsidRDefault="002E48BC" w:rsidP="00DC0619">
      <w:pPr>
        <w:jc w:val="both"/>
        <w:rPr>
          <w:rFonts w:ascii="Roboto" w:hAnsi="Roboto" w:cstheme="minorHAnsi"/>
        </w:rPr>
      </w:pPr>
      <w:r>
        <w:rPr>
          <w:rFonts w:ascii="Roboto" w:hAnsi="Roboto" w:cstheme="minorHAnsi"/>
        </w:rPr>
        <w:t>À</w:t>
      </w:r>
      <w:r w:rsidR="007C02A9">
        <w:rPr>
          <w:rFonts w:ascii="Roboto" w:hAnsi="Roboto" w:cstheme="minorHAnsi"/>
        </w:rPr>
        <w:t xml:space="preserve"> date de </w:t>
      </w:r>
      <w:r>
        <w:rPr>
          <w:rFonts w:ascii="Roboto" w:hAnsi="Roboto" w:cstheme="minorHAnsi"/>
        </w:rPr>
        <w:t>juillet</w:t>
      </w:r>
      <w:r w:rsidR="007C02A9">
        <w:rPr>
          <w:rFonts w:ascii="Roboto" w:hAnsi="Roboto" w:cstheme="minorHAnsi"/>
        </w:rPr>
        <w:t xml:space="preserve"> 2023, deux réunions </w:t>
      </w:r>
      <w:r>
        <w:rPr>
          <w:rFonts w:ascii="Roboto" w:hAnsi="Roboto" w:cstheme="minorHAnsi"/>
        </w:rPr>
        <w:t xml:space="preserve">du </w:t>
      </w:r>
      <w:r w:rsidRPr="007C02A9">
        <w:rPr>
          <w:rFonts w:ascii="Roboto" w:hAnsi="Roboto" w:cstheme="minorHAnsi"/>
        </w:rPr>
        <w:t>comité</w:t>
      </w:r>
      <w:r w:rsidR="007C02A9" w:rsidRPr="007C02A9">
        <w:rPr>
          <w:rFonts w:ascii="Roboto" w:hAnsi="Roboto" w:cstheme="minorHAnsi"/>
        </w:rPr>
        <w:t xml:space="preserve"> de pilotage suivi-évaluation de la mise en œuvre du chronogramme de la transition</w:t>
      </w:r>
      <w:r w:rsidR="007C02A9">
        <w:rPr>
          <w:rFonts w:ascii="Roboto" w:hAnsi="Roboto" w:cstheme="minorHAnsi"/>
        </w:rPr>
        <w:t xml:space="preserve"> ont été menées, durant lesquels le point a été fait sur l’avancement du chronogramme de la transition.  </w:t>
      </w:r>
      <w:r>
        <w:rPr>
          <w:rFonts w:ascii="Roboto" w:hAnsi="Roboto" w:cstheme="minorHAnsi"/>
        </w:rPr>
        <w:t xml:space="preserve">La dernière réunion fait appel aux partenaires techniques et financiers pour appuyer le financement urgent du chronogramme estimé à $600 </w:t>
      </w:r>
      <w:r w:rsidR="006B12E8">
        <w:rPr>
          <w:rFonts w:ascii="Roboto" w:hAnsi="Roboto" w:cstheme="minorHAnsi"/>
        </w:rPr>
        <w:t>millions</w:t>
      </w:r>
      <w:r>
        <w:rPr>
          <w:rFonts w:ascii="Roboto" w:hAnsi="Roboto" w:cstheme="minorHAnsi"/>
        </w:rPr>
        <w:t xml:space="preserve"> US dont approximativement $60 million</w:t>
      </w:r>
      <w:r w:rsidR="006B12E8">
        <w:rPr>
          <w:rFonts w:ascii="Roboto" w:hAnsi="Roboto" w:cstheme="minorHAnsi"/>
        </w:rPr>
        <w:t>s</w:t>
      </w:r>
      <w:r>
        <w:rPr>
          <w:rFonts w:ascii="Roboto" w:hAnsi="Roboto" w:cstheme="minorHAnsi"/>
        </w:rPr>
        <w:t xml:space="preserve"> US ont été déjà mobilisées par le Gouvernement afin d’éviter tout retard dans la mise en œuvre des étapes. </w:t>
      </w:r>
    </w:p>
    <w:p w14:paraId="2BDDBCF1" w14:textId="4F44B0A0" w:rsidR="009E52E9" w:rsidRPr="006F314F" w:rsidRDefault="00BE176E" w:rsidP="00AD021A">
      <w:pPr>
        <w:jc w:val="both"/>
        <w:rPr>
          <w:rFonts w:ascii="Roboto" w:hAnsi="Roboto" w:cstheme="minorHAnsi"/>
        </w:rPr>
      </w:pPr>
      <w:r>
        <w:rPr>
          <w:rFonts w:ascii="Roboto" w:hAnsi="Roboto" w:cstheme="minorHAnsi"/>
        </w:rPr>
        <w:t xml:space="preserve">Le chronogramme de la transition a été sujet de débats avec </w:t>
      </w:r>
      <w:r w:rsidR="00F649ED" w:rsidRPr="006F314F">
        <w:rPr>
          <w:rFonts w:ascii="Roboto" w:hAnsi="Roboto" w:cstheme="minorHAnsi"/>
        </w:rPr>
        <w:t xml:space="preserve">la Communauté économique des États de l’Afrique de l’Ouest (CEDEAO) </w:t>
      </w:r>
      <w:r w:rsidR="006945C6" w:rsidRPr="006F314F">
        <w:rPr>
          <w:rFonts w:ascii="Roboto" w:hAnsi="Roboto" w:cstheme="minorHAnsi"/>
        </w:rPr>
        <w:t xml:space="preserve">notamment sur la durée et le programme. </w:t>
      </w:r>
      <w:r w:rsidR="00692B69" w:rsidRPr="006F314F">
        <w:rPr>
          <w:rFonts w:ascii="Roboto" w:hAnsi="Roboto" w:cstheme="minorHAnsi"/>
        </w:rPr>
        <w:t>L</w:t>
      </w:r>
      <w:r w:rsidR="006945C6" w:rsidRPr="006F314F">
        <w:rPr>
          <w:rFonts w:ascii="Roboto" w:hAnsi="Roboto" w:cstheme="minorHAnsi"/>
        </w:rPr>
        <w:t xml:space="preserve">e </w:t>
      </w:r>
      <w:r w:rsidR="00D54802" w:rsidRPr="006F314F">
        <w:rPr>
          <w:rFonts w:ascii="Roboto" w:hAnsi="Roboto" w:cstheme="minorHAnsi"/>
        </w:rPr>
        <w:t>CNRD</w:t>
      </w:r>
      <w:r w:rsidR="006945C6" w:rsidRPr="006F314F">
        <w:rPr>
          <w:rFonts w:ascii="Roboto" w:hAnsi="Roboto" w:cstheme="minorHAnsi"/>
        </w:rPr>
        <w:t xml:space="preserve"> </w:t>
      </w:r>
      <w:r w:rsidR="00692B69" w:rsidRPr="006F314F">
        <w:rPr>
          <w:rFonts w:ascii="Roboto" w:hAnsi="Roboto" w:cstheme="minorHAnsi"/>
        </w:rPr>
        <w:t>suggér</w:t>
      </w:r>
      <w:r w:rsidR="006945C6" w:rsidRPr="006F314F">
        <w:rPr>
          <w:rFonts w:ascii="Roboto" w:hAnsi="Roboto" w:cstheme="minorHAnsi"/>
        </w:rPr>
        <w:t xml:space="preserve">ait une transition sur 39 mois, ramenée à 36 mois en mai 2022 par </w:t>
      </w:r>
      <w:r w:rsidR="00692B69" w:rsidRPr="006F314F">
        <w:rPr>
          <w:rFonts w:ascii="Roboto" w:hAnsi="Roboto" w:cstheme="minorHAnsi"/>
        </w:rPr>
        <w:t xml:space="preserve">le </w:t>
      </w:r>
      <w:r w:rsidR="006945C6" w:rsidRPr="006F314F">
        <w:rPr>
          <w:rFonts w:ascii="Roboto" w:hAnsi="Roboto" w:cstheme="minorHAnsi"/>
        </w:rPr>
        <w:t xml:space="preserve">CNT, une décision qui s’est heurtée à l’opposition de la CEDEAO, les coalitions politiques de l’opposition à savoir CORED, ANAD et UFR, et même certaines organisations de la société civile dont OGDH et Forum des Forces sociales, ainsi que le FNDC. </w:t>
      </w:r>
    </w:p>
    <w:p w14:paraId="04453B3B" w14:textId="17C67751" w:rsidR="00001ECF" w:rsidRPr="006F314F" w:rsidRDefault="00CA07B5" w:rsidP="009E52E9">
      <w:pPr>
        <w:jc w:val="both"/>
        <w:rPr>
          <w:rFonts w:ascii="Roboto" w:hAnsi="Roboto" w:cstheme="minorHAnsi"/>
        </w:rPr>
      </w:pPr>
      <w:r>
        <w:rPr>
          <w:rFonts w:ascii="Roboto" w:hAnsi="Roboto" w:cstheme="minorHAnsi"/>
        </w:rPr>
        <w:t>L</w:t>
      </w:r>
      <w:r w:rsidR="006945C6" w:rsidRPr="006F314F">
        <w:rPr>
          <w:rFonts w:ascii="Roboto" w:hAnsi="Roboto" w:cstheme="minorHAnsi"/>
        </w:rPr>
        <w:t xml:space="preserve">es autorités de transition ont fini par s’accorder avec la CEDEAO sur </w:t>
      </w:r>
      <w:r w:rsidR="00CF1DEC" w:rsidRPr="006F314F">
        <w:rPr>
          <w:rFonts w:ascii="Roboto" w:hAnsi="Roboto" w:cstheme="minorHAnsi"/>
        </w:rPr>
        <w:t xml:space="preserve">un consensus dynamique et </w:t>
      </w:r>
      <w:r w:rsidR="006945C6" w:rsidRPr="006F314F">
        <w:rPr>
          <w:rFonts w:ascii="Roboto" w:hAnsi="Roboto" w:cstheme="minorHAnsi"/>
        </w:rPr>
        <w:t>une feuille de route et la durée de la transition sur une période de deux ans</w:t>
      </w:r>
      <w:r w:rsidR="00001ECF" w:rsidRPr="006F314F">
        <w:rPr>
          <w:rFonts w:ascii="Roboto" w:hAnsi="Roboto" w:cstheme="minorHAnsi"/>
        </w:rPr>
        <w:t xml:space="preserve"> débutant début décembre 2022</w:t>
      </w:r>
      <w:r w:rsidR="00692B69" w:rsidRPr="006F314F">
        <w:rPr>
          <w:rFonts w:ascii="Roboto" w:hAnsi="Roboto" w:cstheme="minorHAnsi"/>
        </w:rPr>
        <w:t>.</w:t>
      </w:r>
    </w:p>
    <w:p w14:paraId="4B8E63EE" w14:textId="3156056E" w:rsidR="00245641" w:rsidRPr="008B4C78" w:rsidRDefault="00011858" w:rsidP="00DF3140">
      <w:pPr>
        <w:pStyle w:val="Heading1"/>
        <w:numPr>
          <w:ilvl w:val="0"/>
          <w:numId w:val="27"/>
        </w:numPr>
        <w:rPr>
          <w:rFonts w:ascii="Roboto" w:hAnsi="Roboto"/>
        </w:rPr>
      </w:pPr>
      <w:bookmarkStart w:id="8" w:name="_Toc141568095"/>
      <w:r w:rsidRPr="008B4C78">
        <w:rPr>
          <w:rFonts w:ascii="Roboto" w:hAnsi="Roboto"/>
        </w:rPr>
        <w:lastRenderedPageBreak/>
        <w:t>Économie</w:t>
      </w:r>
      <w:r w:rsidR="00245641" w:rsidRPr="008B4C78">
        <w:rPr>
          <w:rFonts w:ascii="Roboto" w:hAnsi="Roboto"/>
        </w:rPr>
        <w:t>-Impact de la crise mondiale liée à la guerre en Ukraine sur les performances macroéconomiques</w:t>
      </w:r>
      <w:bookmarkEnd w:id="8"/>
      <w:r w:rsidR="00245641" w:rsidRPr="008B4C78">
        <w:rPr>
          <w:rFonts w:ascii="Roboto" w:hAnsi="Roboto"/>
        </w:rPr>
        <w:t xml:space="preserve"> </w:t>
      </w:r>
    </w:p>
    <w:p w14:paraId="72F978E7" w14:textId="77777777" w:rsidR="0062613E" w:rsidRPr="008B4C78" w:rsidRDefault="0062613E" w:rsidP="0062613E">
      <w:pPr>
        <w:jc w:val="both"/>
        <w:rPr>
          <w:rFonts w:ascii="Roboto" w:hAnsi="Roboto"/>
        </w:rPr>
      </w:pPr>
    </w:p>
    <w:p w14:paraId="2110E623" w14:textId="77777777" w:rsidR="005A35DE" w:rsidRPr="008B4C78" w:rsidRDefault="005A35DE" w:rsidP="005A35DE">
      <w:pPr>
        <w:pStyle w:val="Heading2"/>
        <w:numPr>
          <w:ilvl w:val="0"/>
          <w:numId w:val="35"/>
        </w:numPr>
        <w:rPr>
          <w:rFonts w:ascii="Roboto" w:hAnsi="Roboto"/>
        </w:rPr>
      </w:pPr>
      <w:bookmarkStart w:id="9" w:name="_Hlk124926592"/>
      <w:bookmarkStart w:id="10" w:name="_Toc141568096"/>
      <w:r w:rsidRPr="008B4C78">
        <w:rPr>
          <w:rFonts w:ascii="Roboto" w:hAnsi="Roboto"/>
        </w:rPr>
        <w:t>Les performances macroéconomiques</w:t>
      </w:r>
      <w:bookmarkEnd w:id="10"/>
    </w:p>
    <w:bookmarkEnd w:id="9"/>
    <w:p w14:paraId="2059A1FC" w14:textId="77777777" w:rsidR="005A35DE" w:rsidRPr="008B4C78" w:rsidRDefault="005A35DE" w:rsidP="005A35DE">
      <w:pPr>
        <w:jc w:val="both"/>
        <w:rPr>
          <w:rFonts w:ascii="Roboto" w:hAnsi="Roboto"/>
          <w:b/>
          <w:bCs/>
        </w:rPr>
      </w:pPr>
    </w:p>
    <w:p w14:paraId="29A80F26" w14:textId="77777777" w:rsidR="005A35DE" w:rsidRDefault="005A35DE" w:rsidP="005A35DE">
      <w:pPr>
        <w:pStyle w:val="Heading3"/>
        <w:numPr>
          <w:ilvl w:val="1"/>
          <w:numId w:val="35"/>
        </w:numPr>
        <w:rPr>
          <w:rFonts w:ascii="Roboto" w:hAnsi="Roboto"/>
        </w:rPr>
      </w:pPr>
      <w:bookmarkStart w:id="11" w:name="_Toc141568097"/>
      <w:r w:rsidRPr="008B4C78">
        <w:rPr>
          <w:rFonts w:ascii="Roboto" w:hAnsi="Roboto"/>
        </w:rPr>
        <w:t>La croissance économique en Guinée</w:t>
      </w:r>
      <w:bookmarkEnd w:id="11"/>
    </w:p>
    <w:p w14:paraId="2F59ED09" w14:textId="77777777" w:rsidR="005A35DE" w:rsidRDefault="005A35DE" w:rsidP="005A35DE"/>
    <w:p w14:paraId="27E75002" w14:textId="77777777" w:rsidR="005A35DE" w:rsidRPr="003F0523" w:rsidRDefault="005A35DE" w:rsidP="005A35DE">
      <w:pPr>
        <w:pStyle w:val="Heading4"/>
        <w:rPr>
          <w:rFonts w:ascii="Roboto" w:hAnsi="Roboto"/>
        </w:rPr>
      </w:pPr>
      <w:r w:rsidRPr="003F0523">
        <w:rPr>
          <w:rFonts w:ascii="Roboto" w:hAnsi="Roboto"/>
        </w:rPr>
        <w:t xml:space="preserve">Guerre en Ukraine et Impact sur l’économie mondiale </w:t>
      </w:r>
    </w:p>
    <w:p w14:paraId="6FF5191E" w14:textId="77777777" w:rsidR="005A35DE" w:rsidRDefault="005A35DE" w:rsidP="005A35DE">
      <w:pPr>
        <w:jc w:val="both"/>
        <w:rPr>
          <w:rFonts w:ascii="Roboto" w:hAnsi="Roboto"/>
        </w:rPr>
      </w:pPr>
    </w:p>
    <w:p w14:paraId="28D17D2D" w14:textId="2CA8E09F" w:rsidR="005A35DE" w:rsidRPr="008B4C78" w:rsidRDefault="005A35DE" w:rsidP="005A35DE">
      <w:pPr>
        <w:jc w:val="both"/>
        <w:rPr>
          <w:rFonts w:ascii="Roboto" w:hAnsi="Roboto"/>
        </w:rPr>
      </w:pPr>
      <w:r w:rsidRPr="008B4C78">
        <w:rPr>
          <w:rFonts w:ascii="Roboto" w:hAnsi="Roboto"/>
        </w:rPr>
        <w:t xml:space="preserve">Les premières répercussions économiques de </w:t>
      </w:r>
      <w:bookmarkStart w:id="12" w:name="_Hlk124932692"/>
      <w:r w:rsidRPr="008B4C78">
        <w:rPr>
          <w:rFonts w:ascii="Roboto" w:hAnsi="Roboto"/>
        </w:rPr>
        <w:t xml:space="preserve">la guerre en Ukraine </w:t>
      </w:r>
      <w:bookmarkEnd w:id="12"/>
      <w:r w:rsidRPr="008B4C78">
        <w:rPr>
          <w:rFonts w:ascii="Roboto" w:hAnsi="Roboto"/>
        </w:rPr>
        <w:t xml:space="preserve">sont la hausse des prix des matières premières car la Russie est un important </w:t>
      </w:r>
      <w:r>
        <w:rPr>
          <w:rFonts w:ascii="Roboto" w:hAnsi="Roboto"/>
        </w:rPr>
        <w:t xml:space="preserve">pays </w:t>
      </w:r>
      <w:r w:rsidRPr="008B4C78">
        <w:rPr>
          <w:rFonts w:ascii="Roboto" w:hAnsi="Roboto"/>
        </w:rPr>
        <w:t>exportat</w:t>
      </w:r>
      <w:r>
        <w:rPr>
          <w:rFonts w:ascii="Roboto" w:hAnsi="Roboto"/>
        </w:rPr>
        <w:t>eur</w:t>
      </w:r>
      <w:r w:rsidRPr="008B4C78">
        <w:rPr>
          <w:rFonts w:ascii="Roboto" w:hAnsi="Roboto"/>
        </w:rPr>
        <w:t xml:space="preserve"> de Pétrole, d</w:t>
      </w:r>
      <w:r w:rsidR="006A3028">
        <w:rPr>
          <w:rFonts w:ascii="Roboto" w:hAnsi="Roboto"/>
        </w:rPr>
        <w:t>e</w:t>
      </w:r>
      <w:r w:rsidRPr="008B4C78">
        <w:rPr>
          <w:rFonts w:ascii="Roboto" w:hAnsi="Roboto"/>
        </w:rPr>
        <w:t xml:space="preserve"> gaz et des céréales tel</w:t>
      </w:r>
      <w:r w:rsidR="006A3028">
        <w:rPr>
          <w:rFonts w:ascii="Roboto" w:hAnsi="Roboto"/>
        </w:rPr>
        <w:t>le</w:t>
      </w:r>
      <w:r w:rsidRPr="008B4C78">
        <w:rPr>
          <w:rFonts w:ascii="Roboto" w:hAnsi="Roboto"/>
        </w:rPr>
        <w:t xml:space="preserve">s que le </w:t>
      </w:r>
      <w:r w:rsidR="006A3028">
        <w:rPr>
          <w:rFonts w:ascii="Roboto" w:hAnsi="Roboto"/>
        </w:rPr>
        <w:t>b</w:t>
      </w:r>
      <w:r w:rsidRPr="008B4C78">
        <w:rPr>
          <w:rFonts w:ascii="Roboto" w:hAnsi="Roboto"/>
        </w:rPr>
        <w:t>lé, sans oublier l'Ukraine qui est également un grand</w:t>
      </w:r>
      <w:r>
        <w:rPr>
          <w:rFonts w:ascii="Roboto" w:hAnsi="Roboto"/>
        </w:rPr>
        <w:t xml:space="preserve"> pays</w:t>
      </w:r>
      <w:r w:rsidRPr="008B4C78">
        <w:rPr>
          <w:rFonts w:ascii="Roboto" w:hAnsi="Roboto"/>
        </w:rPr>
        <w:t xml:space="preserve"> exporta</w:t>
      </w:r>
      <w:r>
        <w:rPr>
          <w:rFonts w:ascii="Roboto" w:hAnsi="Roboto"/>
        </w:rPr>
        <w:t>teur</w:t>
      </w:r>
      <w:r w:rsidRPr="008B4C78">
        <w:rPr>
          <w:rFonts w:ascii="Roboto" w:hAnsi="Roboto"/>
        </w:rPr>
        <w:t xml:space="preserve"> de blé et d</w:t>
      </w:r>
      <w:r w:rsidR="006A3028">
        <w:rPr>
          <w:rFonts w:ascii="Roboto" w:hAnsi="Roboto"/>
        </w:rPr>
        <w:t>e</w:t>
      </w:r>
      <w:r w:rsidRPr="008B4C78">
        <w:rPr>
          <w:rFonts w:ascii="Roboto" w:hAnsi="Roboto"/>
        </w:rPr>
        <w:t xml:space="preserve"> </w:t>
      </w:r>
      <w:r w:rsidR="006A3028">
        <w:rPr>
          <w:rFonts w:ascii="Roboto" w:hAnsi="Roboto"/>
        </w:rPr>
        <w:t>m</w:t>
      </w:r>
      <w:r w:rsidRPr="008B4C78">
        <w:rPr>
          <w:rFonts w:ascii="Roboto" w:hAnsi="Roboto"/>
        </w:rPr>
        <w:t>aïs au niveau mondial. Le prix du pétrole a dépassé, en mars 2022, les 100 US dollars par baril pour la première fois depuis 2014, et la tonne de blé a atteint un niveau record à 430 US dollars, la tonne.</w:t>
      </w:r>
    </w:p>
    <w:p w14:paraId="07BBE2C5" w14:textId="77777777" w:rsidR="005A35DE" w:rsidRPr="008B4C78" w:rsidRDefault="005A35DE" w:rsidP="005A35DE">
      <w:pPr>
        <w:jc w:val="both"/>
        <w:rPr>
          <w:rFonts w:ascii="Roboto" w:hAnsi="Roboto"/>
        </w:rPr>
      </w:pPr>
      <w:r w:rsidRPr="008B4C78">
        <w:rPr>
          <w:rFonts w:ascii="Roboto" w:hAnsi="Roboto"/>
        </w:rPr>
        <w:t>Selon les prévisions du FMI</w:t>
      </w:r>
      <w:r>
        <w:rPr>
          <w:rStyle w:val="FootnoteReference"/>
          <w:rFonts w:ascii="Roboto" w:hAnsi="Roboto"/>
        </w:rPr>
        <w:footnoteReference w:id="2"/>
      </w:r>
      <w:r w:rsidRPr="008B4C78">
        <w:rPr>
          <w:rFonts w:ascii="Roboto" w:hAnsi="Roboto"/>
        </w:rPr>
        <w:t>, la croissance mondiale devrait ralentir de 6,0 % en 2021 à 3,2 % en 2022 et 2,7 % en 2023. L’inflation mondiale bondira de 4,7 % en 2021 à 8,8 % en 2022, avant de diminuer à 6,5 % en 2023 et 4,1 % en 2024</w:t>
      </w:r>
      <w:r w:rsidRPr="008B4C78">
        <w:rPr>
          <w:rStyle w:val="FootnoteReference"/>
          <w:rFonts w:ascii="Roboto" w:hAnsi="Roboto"/>
        </w:rPr>
        <w:footnoteReference w:id="3"/>
      </w:r>
      <w:r w:rsidRPr="008B4C78">
        <w:rPr>
          <w:rFonts w:ascii="Roboto" w:hAnsi="Roboto"/>
        </w:rPr>
        <w:t>. L’inflation</w:t>
      </w:r>
      <w:r>
        <w:rPr>
          <w:rFonts w:ascii="Roboto" w:hAnsi="Roboto"/>
        </w:rPr>
        <w:t xml:space="preserve"> a</w:t>
      </w:r>
      <w:r w:rsidRPr="008B4C78">
        <w:rPr>
          <w:rFonts w:ascii="Roboto" w:hAnsi="Roboto"/>
        </w:rPr>
        <w:t xml:space="preserve"> atteint des sommets jamais connus depuis plusieurs décennies. La croissance, en 2023, dans les trois plus grandes puissances économiques, les États-Unis (1 %), la Chine (4,4 %) et la zone euro (0.5%), restera faible. </w:t>
      </w:r>
    </w:p>
    <w:p w14:paraId="4DF7549D" w14:textId="77777777" w:rsidR="005A35DE" w:rsidRPr="003F0523" w:rsidRDefault="005A35DE" w:rsidP="005A35DE">
      <w:pPr>
        <w:pStyle w:val="Heading4"/>
        <w:rPr>
          <w:rFonts w:ascii="Roboto" w:hAnsi="Roboto"/>
        </w:rPr>
      </w:pPr>
      <w:r w:rsidRPr="003F0523">
        <w:rPr>
          <w:rFonts w:ascii="Roboto" w:hAnsi="Roboto"/>
        </w:rPr>
        <w:t xml:space="preserve">Guerre en Ukraine et Impact sur l’économie </w:t>
      </w:r>
      <w:r>
        <w:rPr>
          <w:rFonts w:ascii="Roboto" w:hAnsi="Roboto"/>
        </w:rPr>
        <w:t xml:space="preserve">guinéenne </w:t>
      </w:r>
      <w:r w:rsidRPr="003F0523">
        <w:rPr>
          <w:rFonts w:ascii="Roboto" w:hAnsi="Roboto"/>
        </w:rPr>
        <w:t xml:space="preserve"> </w:t>
      </w:r>
    </w:p>
    <w:p w14:paraId="2475FBF4" w14:textId="77777777" w:rsidR="005A35DE" w:rsidRDefault="005A35DE" w:rsidP="005A35DE">
      <w:pPr>
        <w:jc w:val="both"/>
        <w:rPr>
          <w:rFonts w:ascii="Roboto" w:hAnsi="Roboto"/>
        </w:rPr>
      </w:pPr>
    </w:p>
    <w:p w14:paraId="5D4F8F37" w14:textId="4CFAC159" w:rsidR="005A35DE" w:rsidRPr="008B4C78" w:rsidRDefault="005A35DE" w:rsidP="005A35DE">
      <w:pPr>
        <w:jc w:val="both"/>
        <w:rPr>
          <w:rFonts w:ascii="Roboto" w:hAnsi="Roboto"/>
        </w:rPr>
      </w:pPr>
      <w:r w:rsidRPr="008B4C78">
        <w:rPr>
          <w:rFonts w:ascii="Roboto" w:hAnsi="Roboto"/>
        </w:rPr>
        <w:t xml:space="preserve">Au-delà de l’impact de la situation mondiale, la Guinée entretient des relations commerciales relativement importantes avec la Russie et l’Ukraine. Le pays exporte essentiellement des produits miniers vers ces deux pays en conflit et importe également de ces pays des produits divers dont des produits de première nécessité (blé). En outre, plusieurs sociétés russes exploitent les ressources minières guinéennes et </w:t>
      </w:r>
      <w:r w:rsidR="006C321D">
        <w:rPr>
          <w:rFonts w:ascii="Roboto" w:hAnsi="Roboto"/>
        </w:rPr>
        <w:t>offrent</w:t>
      </w:r>
      <w:r w:rsidR="006C321D" w:rsidRPr="008B4C78">
        <w:rPr>
          <w:rFonts w:ascii="Roboto" w:hAnsi="Roboto"/>
        </w:rPr>
        <w:t xml:space="preserve"> de</w:t>
      </w:r>
      <w:r w:rsidRPr="008B4C78">
        <w:rPr>
          <w:rFonts w:ascii="Roboto" w:hAnsi="Roboto"/>
        </w:rPr>
        <w:t xml:space="preserve"> milliers d’emplois directs et indirects. Elles contribuent également aux recettes de l’État.</w:t>
      </w:r>
      <w:r w:rsidRPr="008B4C78">
        <w:rPr>
          <w:rFonts w:ascii="Roboto" w:hAnsi="Roboto"/>
        </w:rPr>
        <w:cr/>
      </w:r>
    </w:p>
    <w:p w14:paraId="50360713" w14:textId="3111FCB9" w:rsidR="005A35DE" w:rsidRPr="008B4C78" w:rsidRDefault="005A35DE" w:rsidP="005A35DE">
      <w:pPr>
        <w:jc w:val="both"/>
        <w:rPr>
          <w:rFonts w:ascii="Roboto" w:hAnsi="Roboto"/>
        </w:rPr>
      </w:pPr>
      <w:r w:rsidRPr="008B4C78">
        <w:rPr>
          <w:rFonts w:ascii="Roboto" w:hAnsi="Roboto"/>
        </w:rPr>
        <w:t xml:space="preserve">Selon les prévisions du FMI, la croissance en 2022 devrait se </w:t>
      </w:r>
      <w:proofErr w:type="gramStart"/>
      <w:r w:rsidRPr="008B4C78">
        <w:rPr>
          <w:rFonts w:ascii="Roboto" w:hAnsi="Roboto"/>
        </w:rPr>
        <w:t>maintenir  autour</w:t>
      </w:r>
      <w:proofErr w:type="gramEnd"/>
      <w:r w:rsidRPr="008B4C78">
        <w:rPr>
          <w:rFonts w:ascii="Roboto" w:hAnsi="Roboto"/>
        </w:rPr>
        <w:t xml:space="preserve"> de 4,6 % contre 3,8 % en 2021.  La situation en 2020, malgré la COVID, a été également meilleure que prévue, (4,9%)</w:t>
      </w:r>
      <w:r w:rsidRPr="008B4C78">
        <w:rPr>
          <w:rStyle w:val="FootnoteReference"/>
          <w:rFonts w:ascii="Roboto" w:hAnsi="Roboto"/>
        </w:rPr>
        <w:footnoteReference w:id="4"/>
      </w:r>
      <w:r w:rsidRPr="008B4C78">
        <w:rPr>
          <w:rFonts w:ascii="Roboto" w:hAnsi="Roboto"/>
        </w:rPr>
        <w:t xml:space="preserve"> grâce à l’augmentation significative de 18,4 % des activités minières. L'économie guinéenne est restée résiliente dans le contexte d'un environnement difficile (avec la COVID depuis 2019 et la guerre en Ukraine en 2022), du fait essentiellement, de l’essor du secteur minier avec la production d'or et de bauxite en augmentation continue. </w:t>
      </w:r>
    </w:p>
    <w:p w14:paraId="43BA326D" w14:textId="77777777" w:rsidR="005A35DE" w:rsidRPr="008B4C78" w:rsidRDefault="005A35DE" w:rsidP="005A35DE">
      <w:pPr>
        <w:jc w:val="both"/>
        <w:rPr>
          <w:rFonts w:ascii="Roboto" w:hAnsi="Roboto"/>
        </w:rPr>
      </w:pPr>
    </w:p>
    <w:p w14:paraId="592D6739" w14:textId="77777777" w:rsidR="005A35DE" w:rsidRPr="008B4C78" w:rsidRDefault="005A35DE" w:rsidP="005A35DE">
      <w:pPr>
        <w:jc w:val="both"/>
        <w:rPr>
          <w:rFonts w:ascii="Roboto" w:hAnsi="Roboto"/>
        </w:rPr>
      </w:pPr>
      <w:r w:rsidRPr="008B4C78">
        <w:rPr>
          <w:rFonts w:ascii="Roboto" w:hAnsi="Roboto"/>
          <w:noProof/>
          <w:lang w:val="en-US"/>
        </w:rPr>
        <w:lastRenderedPageBreak/>
        <w:drawing>
          <wp:inline distT="0" distB="0" distL="0" distR="0" wp14:anchorId="62D36ECD" wp14:editId="644EA156">
            <wp:extent cx="5581540" cy="2029651"/>
            <wp:effectExtent l="0" t="0" r="635" b="8890"/>
            <wp:docPr id="1" name="Graphique 1">
              <a:extLst xmlns:a="http://schemas.openxmlformats.org/drawingml/2006/main">
                <a:ext uri="{FF2B5EF4-FFF2-40B4-BE49-F238E27FC236}">
                  <a16:creationId xmlns:a16="http://schemas.microsoft.com/office/drawing/2014/main" id="{B67D67DA-90D2-B9A2-AF18-FB7500799C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DDD790" w14:textId="1A191D40" w:rsidR="005A35DE" w:rsidRPr="008B4C78" w:rsidRDefault="005A35DE" w:rsidP="005A35DE">
      <w:pPr>
        <w:jc w:val="both"/>
        <w:rPr>
          <w:rFonts w:ascii="Roboto" w:hAnsi="Roboto"/>
        </w:rPr>
      </w:pPr>
      <w:r w:rsidRPr="008B4C78">
        <w:rPr>
          <w:rFonts w:ascii="Roboto" w:hAnsi="Roboto"/>
        </w:rPr>
        <w:t>Les activités extractives contribuent à hauteur de 17 % du PIB</w:t>
      </w:r>
      <w:r>
        <w:rPr>
          <w:rStyle w:val="FootnoteReference"/>
          <w:rFonts w:ascii="Roboto" w:hAnsi="Roboto"/>
        </w:rPr>
        <w:footnoteReference w:id="5"/>
      </w:r>
      <w:r w:rsidRPr="008B4C78">
        <w:rPr>
          <w:rFonts w:ascii="Roboto" w:hAnsi="Roboto"/>
        </w:rPr>
        <w:t xml:space="preserve">, </w:t>
      </w:r>
      <w:r>
        <w:rPr>
          <w:rFonts w:ascii="Roboto" w:hAnsi="Roboto"/>
        </w:rPr>
        <w:t xml:space="preserve">et en </w:t>
      </w:r>
      <w:r w:rsidRPr="00F05079">
        <w:rPr>
          <w:rFonts w:ascii="Roboto" w:hAnsi="Roboto"/>
        </w:rPr>
        <w:t xml:space="preserve">variation annuelle </w:t>
      </w:r>
      <w:r>
        <w:rPr>
          <w:rFonts w:ascii="Roboto" w:hAnsi="Roboto"/>
        </w:rPr>
        <w:t xml:space="preserve"> a augmenté de </w:t>
      </w:r>
      <w:r w:rsidRPr="00F05079">
        <w:rPr>
          <w:rFonts w:ascii="Roboto" w:hAnsi="Roboto"/>
        </w:rPr>
        <w:t>10,9</w:t>
      </w:r>
      <w:r>
        <w:rPr>
          <w:rFonts w:ascii="Roboto" w:hAnsi="Roboto"/>
        </w:rPr>
        <w:t xml:space="preserve">% en 2022 et les estimations sont de </w:t>
      </w:r>
      <w:r w:rsidRPr="00F05079">
        <w:rPr>
          <w:rFonts w:ascii="Roboto" w:hAnsi="Roboto"/>
        </w:rPr>
        <w:t>11,9</w:t>
      </w:r>
      <w:r>
        <w:rPr>
          <w:rFonts w:ascii="Roboto" w:hAnsi="Roboto"/>
        </w:rPr>
        <w:t>% pour 2023</w:t>
      </w:r>
      <w:r>
        <w:rPr>
          <w:rStyle w:val="FootnoteReference"/>
          <w:rFonts w:ascii="Roboto" w:hAnsi="Roboto"/>
        </w:rPr>
        <w:footnoteReference w:id="6"/>
      </w:r>
      <w:r>
        <w:rPr>
          <w:rFonts w:ascii="Roboto" w:hAnsi="Roboto"/>
        </w:rPr>
        <w:t xml:space="preserve">, </w:t>
      </w:r>
      <w:r w:rsidRPr="008B4C78">
        <w:rPr>
          <w:rFonts w:ascii="Roboto" w:hAnsi="Roboto"/>
        </w:rPr>
        <w:t xml:space="preserve">d’où l’importance de ce secteur pour l’économie nationale. Néanmoins, les exportations minières guinéennes rencontrent des problèmes du fait des sanctions économiques prise contre la Russie, notamment la restriction des transactions commerciales entre la Russie et ses partenaires ; la restriction des transports vers et </w:t>
      </w:r>
      <w:r w:rsidR="006A3028">
        <w:rPr>
          <w:rFonts w:ascii="Roboto" w:hAnsi="Roboto"/>
        </w:rPr>
        <w:t>au</w:t>
      </w:r>
      <w:r w:rsidR="006A3028" w:rsidRPr="008B4C78">
        <w:rPr>
          <w:rFonts w:ascii="Roboto" w:hAnsi="Roboto"/>
        </w:rPr>
        <w:t xml:space="preserve"> </w:t>
      </w:r>
      <w:r w:rsidRPr="008B4C78">
        <w:rPr>
          <w:rFonts w:ascii="Roboto" w:hAnsi="Roboto"/>
        </w:rPr>
        <w:t>départ de la Russie ; la restriction des activités financières et le retrait de la Russie du Système Mondial de Paiement SWIFT.</w:t>
      </w:r>
    </w:p>
    <w:p w14:paraId="02A391B3" w14:textId="77777777" w:rsidR="005A35DE" w:rsidRPr="008B4C78" w:rsidRDefault="005A35DE" w:rsidP="005A35DE">
      <w:pPr>
        <w:jc w:val="both"/>
        <w:rPr>
          <w:rFonts w:ascii="Roboto" w:hAnsi="Roboto"/>
        </w:rPr>
      </w:pPr>
      <w:bookmarkStart w:id="13" w:name="_Hlk121658852"/>
      <w:r w:rsidRPr="008B4C78">
        <w:rPr>
          <w:rFonts w:ascii="Roboto" w:hAnsi="Roboto"/>
        </w:rPr>
        <w:t xml:space="preserve">Quatre sociétés minières russes opèrent en Guinée </w:t>
      </w:r>
      <w:bookmarkEnd w:id="13"/>
      <w:r w:rsidRPr="008B4C78">
        <w:rPr>
          <w:rFonts w:ascii="Roboto" w:hAnsi="Roboto"/>
        </w:rPr>
        <w:t>dont la plus connue est RUSAL (2e producteur mondial d’aluminium) qui possède trois filiales en Guinée. Plus de 5% de la bauxite et 100% d’alumine exportés de la Guinée proviennent de ces trois filiales de RUSAL avec la valeur de 91,2 millions de dollars (alumine) et plus de 127 millions de dollars (bauxite) par an. En aout 2022, en glissement annuel, les exportations guinéennes ont reculé de 68,9 %. Le cumul à fin août 2022 est évalué à GNF 49 461,8 milliards, contre GNF 54 898,9 milliards pour la même période de l’année précédente, soit une baisse de 9,9 %</w:t>
      </w:r>
      <w:r w:rsidRPr="008B4C78">
        <w:rPr>
          <w:rStyle w:val="FootnoteReference"/>
          <w:rFonts w:ascii="Roboto" w:hAnsi="Roboto"/>
        </w:rPr>
        <w:footnoteReference w:id="7"/>
      </w:r>
      <w:r w:rsidRPr="008B4C78">
        <w:rPr>
          <w:rFonts w:ascii="Roboto" w:hAnsi="Roboto"/>
        </w:rPr>
        <w:t>.</w:t>
      </w:r>
    </w:p>
    <w:p w14:paraId="58192018" w14:textId="77777777" w:rsidR="005A35DE" w:rsidRPr="008B4C78" w:rsidRDefault="005A35DE" w:rsidP="005A35DE">
      <w:pPr>
        <w:jc w:val="both"/>
        <w:rPr>
          <w:rFonts w:ascii="Roboto" w:hAnsi="Roboto"/>
        </w:rPr>
      </w:pPr>
      <w:r w:rsidRPr="008B4C78">
        <w:rPr>
          <w:rFonts w:ascii="Roboto" w:hAnsi="Roboto"/>
        </w:rPr>
        <w:t>Les importations de la Guinée provenant de la Russie et de l’Ukraine s’établissent à GNF 331,4 milliards et à GNF 92,4 milliards en 2021. Un tiers des importations du blé de la Guinée provient de la Russie (37,6%), les autres exportateurs étant l’Allemagne (59,3%) et la France (3,1%). Les importations provenant de la Russie sont principalement constituées des produits de construction automobile, des pièces de rechange et matériels de construction, des produits du travail de métaux, des produits alimentaires, des machines, des équipements et des produits chimiques. Celles provenant de l’Ukraine sont composées des produits alimentaires, des pièces et des produits métallurgiques</w:t>
      </w:r>
      <w:r>
        <w:rPr>
          <w:rStyle w:val="FootnoteReference"/>
          <w:rFonts w:ascii="Roboto" w:hAnsi="Roboto"/>
        </w:rPr>
        <w:footnoteReference w:id="8"/>
      </w:r>
      <w:r w:rsidRPr="008B4C78">
        <w:rPr>
          <w:rFonts w:ascii="Roboto" w:hAnsi="Roboto"/>
        </w:rPr>
        <w:t xml:space="preserve">. </w:t>
      </w:r>
    </w:p>
    <w:p w14:paraId="56F12F08" w14:textId="4AD85A48" w:rsidR="005A35DE" w:rsidRPr="008B4C78" w:rsidRDefault="005A35DE" w:rsidP="005A35DE">
      <w:pPr>
        <w:jc w:val="both"/>
        <w:rPr>
          <w:rFonts w:ascii="Roboto" w:hAnsi="Roboto"/>
        </w:rPr>
      </w:pPr>
      <w:r w:rsidRPr="008B4C78">
        <w:rPr>
          <w:rFonts w:ascii="Roboto" w:hAnsi="Roboto"/>
        </w:rPr>
        <w:t>Par ailleurs, les sociétés minières sont également des employeurs importants en Guinée. En 2021, elles ont employé 13 924 travailleurs dont 13 034 guinéens et 890 étrangers. Les sociétés minières russes emploient 5 234 travailleurs, soit 37,6 % des emplois totaux du secteur minier en 2021. L’une des filiales avec une production annuelle de 3,5 millions de tonnes de bauxite a arrêté ses opérations en mars 2022 du fait qu’elle approvisionnait la raffinerie d’alumine situ</w:t>
      </w:r>
      <w:r w:rsidR="006A3028">
        <w:rPr>
          <w:rFonts w:ascii="Roboto" w:hAnsi="Roboto"/>
        </w:rPr>
        <w:t>ée</w:t>
      </w:r>
      <w:r w:rsidRPr="008B4C78">
        <w:rPr>
          <w:rFonts w:ascii="Roboto" w:hAnsi="Roboto"/>
        </w:rPr>
        <w:t xml:space="preserve"> en Ukraine. Par ailleurs, à cause des restrictions bancaires, RUSAL </w:t>
      </w:r>
      <w:r w:rsidRPr="008B4C78">
        <w:rPr>
          <w:rFonts w:ascii="Roboto" w:hAnsi="Roboto"/>
        </w:rPr>
        <w:lastRenderedPageBreak/>
        <w:t>a eu des difficultés pour payer les salaires à ses quelques 4 000 employés directs en Guinée, les factures des sous-traitants, les taxes minières, ainsi que la contribution au Fonds de développement économique et local</w:t>
      </w:r>
      <w:r>
        <w:rPr>
          <w:rStyle w:val="FootnoteReference"/>
          <w:rFonts w:ascii="Roboto" w:hAnsi="Roboto"/>
        </w:rPr>
        <w:footnoteReference w:id="9"/>
      </w:r>
      <w:r w:rsidRPr="008B4C78">
        <w:rPr>
          <w:rFonts w:ascii="Roboto" w:hAnsi="Roboto"/>
        </w:rPr>
        <w:t>.</w:t>
      </w:r>
    </w:p>
    <w:p w14:paraId="7DA62F7A" w14:textId="77777777" w:rsidR="005A35DE" w:rsidRPr="008B4C78" w:rsidRDefault="005A35DE" w:rsidP="005A35DE">
      <w:pPr>
        <w:pStyle w:val="Heading3"/>
        <w:numPr>
          <w:ilvl w:val="1"/>
          <w:numId w:val="35"/>
        </w:numPr>
        <w:rPr>
          <w:rFonts w:ascii="Roboto" w:hAnsi="Roboto"/>
        </w:rPr>
      </w:pPr>
      <w:bookmarkStart w:id="14" w:name="_Toc141568098"/>
      <w:r w:rsidRPr="008B4C78">
        <w:rPr>
          <w:rFonts w:ascii="Roboto" w:hAnsi="Roboto"/>
        </w:rPr>
        <w:t>L’inflation</w:t>
      </w:r>
      <w:bookmarkEnd w:id="14"/>
    </w:p>
    <w:p w14:paraId="6B7858E6" w14:textId="77777777" w:rsidR="005A35DE" w:rsidRDefault="005A35DE" w:rsidP="005A35DE">
      <w:pPr>
        <w:jc w:val="both"/>
        <w:rPr>
          <w:rFonts w:ascii="Roboto" w:hAnsi="Roboto"/>
        </w:rPr>
      </w:pPr>
    </w:p>
    <w:p w14:paraId="02F759E2" w14:textId="77777777" w:rsidR="005A35DE" w:rsidRPr="008B4C78" w:rsidRDefault="005A35DE" w:rsidP="005A35DE">
      <w:pPr>
        <w:jc w:val="both"/>
        <w:rPr>
          <w:rFonts w:ascii="Roboto" w:hAnsi="Roboto"/>
        </w:rPr>
      </w:pPr>
      <w:r w:rsidRPr="008B4C78">
        <w:rPr>
          <w:rFonts w:ascii="Roboto" w:hAnsi="Roboto"/>
        </w:rPr>
        <w:t xml:space="preserve">L’inflation dans la zone euro a atteint un nouveau record en février, à 5,8 % sur un an, alimentée par la flambée des prix du pétrole, du gaz, l’électricité et de l’alimentation. Cette inflation </w:t>
      </w:r>
      <w:r>
        <w:rPr>
          <w:rFonts w:ascii="Roboto" w:hAnsi="Roboto"/>
        </w:rPr>
        <w:t xml:space="preserve">a </w:t>
      </w:r>
      <w:r w:rsidRPr="008B4C78">
        <w:rPr>
          <w:rFonts w:ascii="Roboto" w:hAnsi="Roboto"/>
        </w:rPr>
        <w:t>affect</w:t>
      </w:r>
      <w:r>
        <w:rPr>
          <w:rFonts w:ascii="Roboto" w:hAnsi="Roboto"/>
        </w:rPr>
        <w:t>é</w:t>
      </w:r>
      <w:r w:rsidRPr="008B4C78">
        <w:rPr>
          <w:rFonts w:ascii="Roboto" w:hAnsi="Roboto"/>
        </w:rPr>
        <w:t xml:space="preserve"> le transport et donc le commerce international. Les importations guinéennes </w:t>
      </w:r>
      <w:r>
        <w:rPr>
          <w:rFonts w:ascii="Roboto" w:hAnsi="Roboto"/>
        </w:rPr>
        <w:t>ont été</w:t>
      </w:r>
      <w:r w:rsidRPr="008B4C78">
        <w:rPr>
          <w:rFonts w:ascii="Roboto" w:hAnsi="Roboto"/>
        </w:rPr>
        <w:t xml:space="preserve">, de ce fait, impactées et </w:t>
      </w:r>
      <w:r>
        <w:rPr>
          <w:rFonts w:ascii="Roboto" w:hAnsi="Roboto"/>
        </w:rPr>
        <w:t xml:space="preserve">par conséquent ont </w:t>
      </w:r>
      <w:r w:rsidRPr="008B4C78">
        <w:rPr>
          <w:rFonts w:ascii="Roboto" w:hAnsi="Roboto"/>
        </w:rPr>
        <w:t>fai</w:t>
      </w:r>
      <w:r>
        <w:rPr>
          <w:rFonts w:ascii="Roboto" w:hAnsi="Roboto"/>
        </w:rPr>
        <w:t>t</w:t>
      </w:r>
      <w:r w:rsidRPr="008B4C78">
        <w:rPr>
          <w:rFonts w:ascii="Roboto" w:hAnsi="Roboto"/>
        </w:rPr>
        <w:t xml:space="preserve"> augmenter les prix à la consommation des produits et services non règlementés.</w:t>
      </w:r>
    </w:p>
    <w:p w14:paraId="663FDCFC" w14:textId="77777777" w:rsidR="005A35DE" w:rsidRPr="008B4C78" w:rsidRDefault="005A35DE" w:rsidP="005A35DE">
      <w:pPr>
        <w:jc w:val="both"/>
        <w:rPr>
          <w:rFonts w:ascii="Roboto" w:hAnsi="Roboto"/>
        </w:rPr>
      </w:pPr>
      <w:r w:rsidRPr="008B4C78">
        <w:rPr>
          <w:rFonts w:ascii="Roboto" w:hAnsi="Roboto"/>
          <w:noProof/>
          <w:lang w:val="en-US"/>
        </w:rPr>
        <w:drawing>
          <wp:inline distT="0" distB="0" distL="0" distR="0" wp14:anchorId="37904B8A" wp14:editId="35AECB2B">
            <wp:extent cx="5792962" cy="1950085"/>
            <wp:effectExtent l="0" t="0" r="17780" b="12065"/>
            <wp:docPr id="2" name="Graphique 2">
              <a:extLst xmlns:a="http://schemas.openxmlformats.org/drawingml/2006/main">
                <a:ext uri="{FF2B5EF4-FFF2-40B4-BE49-F238E27FC236}">
                  <a16:creationId xmlns:a16="http://schemas.microsoft.com/office/drawing/2014/main" id="{BC8B45DA-CC87-DC81-9A4A-7E568B1894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0D9DFF" w14:textId="77777777" w:rsidR="005A35DE" w:rsidRPr="008B4C78" w:rsidRDefault="005A35DE" w:rsidP="005A35DE">
      <w:pPr>
        <w:jc w:val="both"/>
        <w:rPr>
          <w:rFonts w:ascii="Roboto" w:hAnsi="Roboto"/>
        </w:rPr>
      </w:pPr>
    </w:p>
    <w:p w14:paraId="14730014" w14:textId="2F364B8F" w:rsidR="005A35DE" w:rsidRPr="008B4C78" w:rsidRDefault="005A35DE" w:rsidP="005A35DE">
      <w:pPr>
        <w:jc w:val="both"/>
        <w:rPr>
          <w:rFonts w:ascii="Roboto" w:hAnsi="Roboto"/>
        </w:rPr>
      </w:pPr>
      <w:r w:rsidRPr="008B4C78">
        <w:rPr>
          <w:rFonts w:ascii="Roboto" w:hAnsi="Roboto"/>
        </w:rPr>
        <w:t>Selon les estimations du FMI, les prix à la consommation ont augmenté de 9,5% en 2019 à 12,7% en 2022. Selon l’Institut National de la Statistique, l’indice harmonisé des prix à la consommation de Conakry, en glissement annuel, s’est accru de 8,7% en octobre 2022. Les hausses les plus importantes sont du fait des postes suivants : « Logement, eau, électricité, gaz et autre</w:t>
      </w:r>
      <w:r w:rsidR="000C02A3">
        <w:rPr>
          <w:rFonts w:ascii="Roboto" w:hAnsi="Roboto"/>
        </w:rPr>
        <w:t>s</w:t>
      </w:r>
      <w:r w:rsidRPr="008B4C78">
        <w:rPr>
          <w:rFonts w:ascii="Roboto" w:hAnsi="Roboto"/>
        </w:rPr>
        <w:t xml:space="preserve"> combustibles » (+31,2%) ; Enseignements (+31,6%) », « Santé (+29,7%),»,« Boissons alcoolisées, tabacs et stupéfiants (+29,4%) », et « Restaurants et hôtels (+29,2%)</w:t>
      </w:r>
      <w:r w:rsidRPr="008B4C78">
        <w:rPr>
          <w:rStyle w:val="FootnoteReference"/>
          <w:rFonts w:ascii="Roboto" w:hAnsi="Roboto"/>
        </w:rPr>
        <w:footnoteReference w:id="10"/>
      </w:r>
      <w:r w:rsidRPr="008B4C78">
        <w:rPr>
          <w:rFonts w:ascii="Roboto" w:hAnsi="Roboto"/>
        </w:rPr>
        <w:t xml:space="preserve">. </w:t>
      </w:r>
    </w:p>
    <w:p w14:paraId="1AD6BAD6" w14:textId="77777777" w:rsidR="005A35DE" w:rsidRPr="008B4C78" w:rsidRDefault="005A35DE" w:rsidP="005A35DE">
      <w:pPr>
        <w:jc w:val="both"/>
        <w:rPr>
          <w:rFonts w:ascii="Roboto" w:hAnsi="Roboto"/>
        </w:rPr>
      </w:pPr>
      <w:r w:rsidRPr="008B4C78">
        <w:rPr>
          <w:rFonts w:ascii="Roboto" w:hAnsi="Roboto"/>
        </w:rPr>
        <w:t>Il faut noter que certaines des pressions exercées par la hausse des prix internationaux des matières premières ont été freinées par le fait que le gouvernement guinéen a une politique de préservation du pouvoir d’achat de la population par une politique de fixation des tarifs des produits énergétiques et de première nécessité (farine, sucre). De ce fait et avec ses efforts de subvention, le gouvernement essaie de maintenir les tarifs de ces produits stables.  A court terme, ces hausses n’auront pas d’impacts majeurs sur le pouvoir d’achat de la population, du moins par rapport à ces produits énergétiques et de première nécessité.</w:t>
      </w:r>
    </w:p>
    <w:p w14:paraId="3ACA66BB" w14:textId="17FE6A51" w:rsidR="005A35DE" w:rsidRPr="008B4C78" w:rsidRDefault="005A35DE" w:rsidP="005A35DE">
      <w:pPr>
        <w:jc w:val="both"/>
        <w:rPr>
          <w:rFonts w:ascii="Roboto" w:hAnsi="Roboto"/>
        </w:rPr>
      </w:pPr>
      <w:r w:rsidRPr="008B4C78">
        <w:rPr>
          <w:rFonts w:ascii="Roboto" w:hAnsi="Roboto"/>
        </w:rPr>
        <w:t xml:space="preserve">En ce qui concerne le carburant, le Gouvernement guinéen applique un contrôle de prix en fixant le prix du litre des hydrocarbures à la pompe. Le 27 septembre 2021, le gouvernement de transition avait pris la décision de baissé le prix du litre de l’essence de 11 000 FG à 10 000 FG, soit une baisse de 10 %. Il faut se rappeler que deux mois avant, le gouvernement d’Alpha Condé avait augmenté le prix de 9000 GNF à 11 000 GNF, une augmentation de 22%. En juin </w:t>
      </w:r>
      <w:r w:rsidRPr="008B4C78">
        <w:rPr>
          <w:rFonts w:ascii="Roboto" w:hAnsi="Roboto"/>
        </w:rPr>
        <w:lastRenderedPageBreak/>
        <w:t>2022, devant la hausse du prix mondial des hydrocarbure</w:t>
      </w:r>
      <w:r w:rsidR="000C02A3">
        <w:rPr>
          <w:rFonts w:ascii="Roboto" w:hAnsi="Roboto"/>
        </w:rPr>
        <w:t>s</w:t>
      </w:r>
      <w:r w:rsidRPr="008B4C78">
        <w:rPr>
          <w:rFonts w:ascii="Roboto" w:hAnsi="Roboto"/>
        </w:rPr>
        <w:t>, le gouvernement de transition a été obligé de hausser les prix des produits pétroliers à la pompe de 20 %</w:t>
      </w:r>
      <w:r>
        <w:rPr>
          <w:rStyle w:val="FootnoteReference"/>
          <w:rFonts w:ascii="Roboto" w:hAnsi="Roboto"/>
        </w:rPr>
        <w:footnoteReference w:id="11"/>
      </w:r>
      <w:r w:rsidRPr="008B4C78">
        <w:rPr>
          <w:rFonts w:ascii="Roboto" w:hAnsi="Roboto"/>
        </w:rPr>
        <w:t>.</w:t>
      </w:r>
    </w:p>
    <w:p w14:paraId="01D3D640" w14:textId="77777777" w:rsidR="005A35DE" w:rsidRPr="008B4C78" w:rsidRDefault="005A35DE" w:rsidP="005A35DE">
      <w:pPr>
        <w:pStyle w:val="Heading3"/>
        <w:numPr>
          <w:ilvl w:val="1"/>
          <w:numId w:val="35"/>
        </w:numPr>
        <w:rPr>
          <w:rFonts w:ascii="Roboto" w:hAnsi="Roboto"/>
        </w:rPr>
      </w:pPr>
      <w:bookmarkStart w:id="15" w:name="_Toc141568099"/>
      <w:r w:rsidRPr="008B4C78">
        <w:rPr>
          <w:rFonts w:ascii="Roboto" w:hAnsi="Roboto"/>
        </w:rPr>
        <w:t>Le déficit budgétaire</w:t>
      </w:r>
      <w:bookmarkEnd w:id="15"/>
    </w:p>
    <w:p w14:paraId="36CEFF36" w14:textId="77777777" w:rsidR="005A35DE" w:rsidRPr="008B4C78" w:rsidRDefault="005A35DE" w:rsidP="005A35DE">
      <w:pPr>
        <w:jc w:val="both"/>
        <w:rPr>
          <w:rFonts w:ascii="Roboto" w:hAnsi="Roboto"/>
        </w:rPr>
      </w:pPr>
      <w:r w:rsidRPr="008B4C78">
        <w:rPr>
          <w:rFonts w:ascii="Roboto" w:hAnsi="Roboto"/>
        </w:rPr>
        <w:t xml:space="preserve">Néanmoins, </w:t>
      </w:r>
      <w:bookmarkStart w:id="16" w:name="_Hlk121669564"/>
      <w:r w:rsidRPr="008B4C78">
        <w:rPr>
          <w:rFonts w:ascii="Roboto" w:hAnsi="Roboto"/>
        </w:rPr>
        <w:t xml:space="preserve">ces subventions </w:t>
      </w:r>
      <w:bookmarkEnd w:id="16"/>
      <w:r w:rsidRPr="008B4C78">
        <w:rPr>
          <w:rFonts w:ascii="Roboto" w:hAnsi="Roboto"/>
        </w:rPr>
        <w:t>qui permettent de stabiliser le prix des produits pétroliers et de première nécessité, grèvent lourdement le budget de l’Etat et vont creuser le déficit budgétaire surtout si le contexte actuel de tendances haussières se poursuit. Le déficit budgétaire estimé à 2,3 % en 2022 pourrait être beaucoup plus important.</w:t>
      </w:r>
    </w:p>
    <w:p w14:paraId="3E2189AB" w14:textId="77777777" w:rsidR="005A35DE" w:rsidRDefault="005A35DE" w:rsidP="005A35DE">
      <w:pPr>
        <w:jc w:val="both"/>
        <w:rPr>
          <w:rFonts w:ascii="Roboto" w:hAnsi="Roboto"/>
        </w:rPr>
      </w:pPr>
      <w:r w:rsidRPr="008B4C78">
        <w:rPr>
          <w:rFonts w:ascii="Roboto" w:hAnsi="Roboto"/>
        </w:rPr>
        <w:t>Selon une étude réalisée dans les 15 pays de l’espace CEDEAO du 25 avril au 10 mai 2022</w:t>
      </w:r>
      <w:r>
        <w:rPr>
          <w:rStyle w:val="FootnoteReference"/>
          <w:rFonts w:ascii="Roboto" w:hAnsi="Roboto"/>
        </w:rPr>
        <w:footnoteReference w:id="12"/>
      </w:r>
      <w:r w:rsidRPr="008B4C78">
        <w:rPr>
          <w:rFonts w:ascii="Roboto" w:hAnsi="Roboto"/>
        </w:rPr>
        <w:t xml:space="preserve">, par la FAO, le PAM, en collaboration avec la CEDEAO, le CILSS et l’UEMOA, les pays de la CEDEAO sont confrontés à des situations économiques fragiles, une démographie galopante, une urbanisation accélérée et des défis de gouvernance. Ces pays sont peu résilients aux chocs aussi bien endogènes qu’exogènes. Le dérèglement climatique, les pandémies notamment Ebola et la Covid-19 ont eu des conséquences désastreuses dont les effets sont encore perceptibles. Selon </w:t>
      </w:r>
      <w:r>
        <w:rPr>
          <w:rFonts w:ascii="Roboto" w:hAnsi="Roboto"/>
        </w:rPr>
        <w:t>cette</w:t>
      </w:r>
      <w:r w:rsidRPr="008B4C78">
        <w:rPr>
          <w:rFonts w:ascii="Roboto" w:hAnsi="Roboto"/>
        </w:rPr>
        <w:t xml:space="preserve"> étude, les mesures de restrictions du fait de la Covid- 19 ont engendré une hausse soutenue des prix des produits alimentaires de base combinée à une réduction de l’assiette fiscale des États. Cette dernière a conduit à un déficit budgétaire important de -6,4% en 2021.</w:t>
      </w:r>
    </w:p>
    <w:p w14:paraId="27AB47CE" w14:textId="3CD5291D" w:rsidR="005A35DE" w:rsidRPr="008B4C78" w:rsidRDefault="005A35DE" w:rsidP="005A35DE">
      <w:pPr>
        <w:jc w:val="both"/>
        <w:rPr>
          <w:rFonts w:ascii="Roboto" w:hAnsi="Roboto"/>
        </w:rPr>
      </w:pPr>
      <w:r w:rsidRPr="008B4C78">
        <w:rPr>
          <w:rFonts w:ascii="Roboto" w:hAnsi="Roboto"/>
        </w:rPr>
        <w:t xml:space="preserve">Il faut se rappeler que le déficit s’était déjà aggravé à 3,1 % du PIB en 2020 compte tenu, d’un côté, d’une hausse des dépenses sociales et de santé, des interventions budgétaires pour soutenir l’économie et, de l’autre, d’une baisse des recettes publiques face au ralentissement </w:t>
      </w:r>
      <w:r w:rsidR="000C02A3">
        <w:rPr>
          <w:rFonts w:ascii="Roboto" w:hAnsi="Roboto"/>
        </w:rPr>
        <w:t xml:space="preserve">de </w:t>
      </w:r>
      <w:r w:rsidRPr="008B4C78">
        <w:rPr>
          <w:rFonts w:ascii="Roboto" w:hAnsi="Roboto"/>
        </w:rPr>
        <w:t xml:space="preserve">l’activité économique. </w:t>
      </w:r>
    </w:p>
    <w:p w14:paraId="70EE65C7" w14:textId="29644767" w:rsidR="005A35DE" w:rsidRPr="008B4C78" w:rsidRDefault="005A35DE" w:rsidP="005A35DE">
      <w:pPr>
        <w:pStyle w:val="Heading2"/>
        <w:numPr>
          <w:ilvl w:val="0"/>
          <w:numId w:val="35"/>
        </w:numPr>
        <w:rPr>
          <w:rFonts w:ascii="Roboto" w:hAnsi="Roboto"/>
        </w:rPr>
      </w:pPr>
      <w:bookmarkStart w:id="17" w:name="_Toc141568100"/>
      <w:r w:rsidRPr="008B4C78">
        <w:rPr>
          <w:rFonts w:ascii="Roboto" w:hAnsi="Roboto"/>
        </w:rPr>
        <w:t xml:space="preserve">La transformation </w:t>
      </w:r>
      <w:r w:rsidR="00B87F7C" w:rsidRPr="008B4C78">
        <w:rPr>
          <w:rFonts w:ascii="Roboto" w:hAnsi="Roboto"/>
        </w:rPr>
        <w:t>Économique</w:t>
      </w:r>
      <w:r w:rsidRPr="008B4C78">
        <w:rPr>
          <w:rFonts w:ascii="Roboto" w:hAnsi="Roboto"/>
        </w:rPr>
        <w:t xml:space="preserve"> et structurelle</w:t>
      </w:r>
      <w:bookmarkEnd w:id="17"/>
    </w:p>
    <w:p w14:paraId="04C36920" w14:textId="77777777" w:rsidR="005A35DE" w:rsidRDefault="005A35DE" w:rsidP="005A35DE">
      <w:pPr>
        <w:jc w:val="both"/>
        <w:rPr>
          <w:rFonts w:ascii="Roboto" w:hAnsi="Roboto"/>
        </w:rPr>
      </w:pPr>
    </w:p>
    <w:p w14:paraId="57A49E68" w14:textId="77777777" w:rsidR="005A35DE" w:rsidRPr="008B4C78" w:rsidRDefault="005A35DE" w:rsidP="005A35DE">
      <w:pPr>
        <w:jc w:val="both"/>
        <w:rPr>
          <w:rFonts w:ascii="Roboto" w:hAnsi="Roboto"/>
        </w:rPr>
      </w:pPr>
      <w:r w:rsidRPr="008B4C78">
        <w:rPr>
          <w:rFonts w:ascii="Roboto" w:hAnsi="Roboto"/>
        </w:rPr>
        <w:t>En prenant la direction du pays le 5 septembre 2021, le gouvernement de transition et le Comité National du Rassemblement pour le Développement (CNRD), ont pris des initiatives pour une refondation en profondeur des institutions de l’état et une transformation structurelle du pays. Les instruments les plus notables adoptés entre décembre 2022 et janvier 2023, sont le Programme de Référence Intérimaire de la Transition (PRI) 2022-2025 qui constitue la stratégie de développement national ; un Plan de Relance Économique (PRE) qui a une perspective conjoncturelle pour faire face aux chocs liés à la COVID et à la guerre en Ukraine et enfin une politique nationale de développement industriel (PNDIG) 2022-2040 qui se donne comme ambition de diversifier son économie, d’augmenter la valeur ajouté créée dans le pays ainsi que les opportunités d’emploi.</w:t>
      </w:r>
    </w:p>
    <w:p w14:paraId="615DD4F2" w14:textId="77777777" w:rsidR="005A35DE" w:rsidRPr="008B4C78" w:rsidRDefault="005A35DE" w:rsidP="005A35DE">
      <w:pPr>
        <w:pStyle w:val="Heading3"/>
        <w:numPr>
          <w:ilvl w:val="1"/>
          <w:numId w:val="35"/>
        </w:numPr>
        <w:rPr>
          <w:rFonts w:ascii="Roboto" w:hAnsi="Roboto"/>
        </w:rPr>
      </w:pPr>
      <w:bookmarkStart w:id="18" w:name="_Toc141568101"/>
      <w:r w:rsidRPr="008B4C78">
        <w:rPr>
          <w:rFonts w:ascii="Roboto" w:hAnsi="Roboto"/>
        </w:rPr>
        <w:t>Le Programme de Référence Intérimaire de la Transition (PRI) 2022-2025</w:t>
      </w:r>
      <w:bookmarkEnd w:id="18"/>
    </w:p>
    <w:p w14:paraId="67BF2798" w14:textId="77777777" w:rsidR="005A35DE" w:rsidRPr="008B4C78" w:rsidRDefault="005A35DE" w:rsidP="005A35DE">
      <w:pPr>
        <w:jc w:val="both"/>
        <w:rPr>
          <w:rFonts w:ascii="Roboto" w:hAnsi="Roboto"/>
        </w:rPr>
      </w:pPr>
      <w:r w:rsidRPr="008B4C78">
        <w:rPr>
          <w:rFonts w:ascii="Roboto" w:hAnsi="Roboto"/>
        </w:rPr>
        <w:t xml:space="preserve">Le PRI a été développé par le gouvernement de transition et validé par le Comité National du Rassemblement pour le Développement (CNRD) en décembre 2022. Il articule sa stratégie d’intervention autour des cinq (5) axes de la feuille de route du Gouvernement, à savoir : (i) rectification institutionnelle ; (ii) cadre macroéconomique et financier ; (iii) cadre légal et </w:t>
      </w:r>
      <w:r w:rsidRPr="008B4C78">
        <w:rPr>
          <w:rFonts w:ascii="Roboto" w:hAnsi="Roboto"/>
        </w:rPr>
        <w:lastRenderedPageBreak/>
        <w:t>gouvernance ; (iv) action sociale, emploi et employabilité ; (v) infrastructures, connectivité et assainissement</w:t>
      </w:r>
      <w:r>
        <w:rPr>
          <w:rStyle w:val="FootnoteReference"/>
          <w:rFonts w:ascii="Roboto" w:hAnsi="Roboto"/>
        </w:rPr>
        <w:footnoteReference w:id="13"/>
      </w:r>
      <w:r w:rsidRPr="008B4C78">
        <w:rPr>
          <w:rFonts w:ascii="Roboto" w:hAnsi="Roboto"/>
        </w:rPr>
        <w:t>.</w:t>
      </w:r>
    </w:p>
    <w:p w14:paraId="2B5EF0B3" w14:textId="77777777" w:rsidR="005A35DE" w:rsidRPr="008B4C78" w:rsidRDefault="005A35DE" w:rsidP="005A35DE">
      <w:pPr>
        <w:jc w:val="both"/>
        <w:rPr>
          <w:rFonts w:ascii="Roboto" w:hAnsi="Roboto"/>
        </w:rPr>
      </w:pPr>
      <w:r w:rsidRPr="008B4C78">
        <w:rPr>
          <w:rFonts w:ascii="Roboto" w:hAnsi="Roboto"/>
        </w:rPr>
        <w:t>Le PRI a pour vocation de créer les conditions permettant de faire face aux défis infrastructurels et transformationnels tels que la transition démographique pour maximiser le dividende démographique, la transformation numérique et digitale pour accélérer la croissance, la diversification et la transformation structurelle de l’économie pour booster ses exportations et enfin le renforcement de sa résilience face aux catastrophes naturelles et autres risques environnementaux.</w:t>
      </w:r>
    </w:p>
    <w:p w14:paraId="7444CDE1" w14:textId="77777777" w:rsidR="005A35DE" w:rsidRPr="008B4C78" w:rsidRDefault="005A35DE" w:rsidP="005A35DE">
      <w:pPr>
        <w:pStyle w:val="Heading3"/>
        <w:numPr>
          <w:ilvl w:val="1"/>
          <w:numId w:val="35"/>
        </w:numPr>
        <w:rPr>
          <w:rFonts w:ascii="Roboto" w:hAnsi="Roboto"/>
        </w:rPr>
      </w:pPr>
      <w:bookmarkStart w:id="19" w:name="_Toc141568102"/>
      <w:r w:rsidRPr="008B4C78">
        <w:rPr>
          <w:rFonts w:ascii="Roboto" w:hAnsi="Roboto"/>
        </w:rPr>
        <w:t>Le Plan de Relance Économique (PRE)</w:t>
      </w:r>
      <w:bookmarkEnd w:id="19"/>
    </w:p>
    <w:p w14:paraId="0E9B1C30" w14:textId="77777777" w:rsidR="005A35DE" w:rsidRPr="008B4C78" w:rsidRDefault="005A35DE" w:rsidP="005A35DE">
      <w:pPr>
        <w:jc w:val="both"/>
        <w:rPr>
          <w:rFonts w:ascii="Roboto" w:hAnsi="Roboto"/>
        </w:rPr>
      </w:pPr>
      <w:r w:rsidRPr="008B4C78">
        <w:rPr>
          <w:rFonts w:ascii="Roboto" w:hAnsi="Roboto"/>
        </w:rPr>
        <w:t>Le plan de relance le premier outil d’opérationnalisation du PRI. Il porte une approche keynésienne et constitue la réponse proposée par le Gouvernement pour stimuler l’activité économique en contribuant à la transformation structurelle de l’économie. Pour atteindre cet objectif, le Gouvernement prévoit des mesures de redressement économique en mettant l’accent sur des projets de développement à Haute Intensité de Main d’œuvre et la promotion de l’entreprenariat, surtout des jeunes.</w:t>
      </w:r>
    </w:p>
    <w:p w14:paraId="6F952331" w14:textId="77777777" w:rsidR="005A35DE" w:rsidRPr="008B4C78" w:rsidRDefault="005A35DE" w:rsidP="005A35DE">
      <w:pPr>
        <w:rPr>
          <w:rFonts w:ascii="Roboto" w:hAnsi="Roboto"/>
        </w:rPr>
      </w:pPr>
      <w:r w:rsidRPr="008B4C78">
        <w:rPr>
          <w:rFonts w:ascii="Roboto" w:hAnsi="Roboto"/>
        </w:rPr>
        <w:t xml:space="preserve">La mise en œuvre du plan de relance s’articule autour de deux volets : </w:t>
      </w:r>
    </w:p>
    <w:p w14:paraId="47741320" w14:textId="564FBAA7" w:rsidR="005A35DE" w:rsidRPr="008B4C78" w:rsidRDefault="005A35DE" w:rsidP="005A35DE">
      <w:pPr>
        <w:pStyle w:val="ListParagraph"/>
        <w:numPr>
          <w:ilvl w:val="0"/>
          <w:numId w:val="11"/>
        </w:numPr>
        <w:jc w:val="both"/>
        <w:rPr>
          <w:rFonts w:ascii="Roboto" w:hAnsi="Roboto"/>
        </w:rPr>
      </w:pPr>
      <w:r w:rsidRPr="008B4C78">
        <w:rPr>
          <w:rFonts w:ascii="Roboto" w:hAnsi="Roboto"/>
        </w:rPr>
        <w:t>Volet de relance par la demande qui porte essentiellement sur les activités génératrices de revenu en faveur de la population la plus vulnérable, sans pour autant développer l’assistanat permanent. Ces activités permettront également l’amélioration des conditions de vie de la population en relevant les défis posés en matière de logement salubre, d’assainissement, de développement des infrastructures urbain</w:t>
      </w:r>
      <w:r w:rsidR="002F1630">
        <w:rPr>
          <w:rFonts w:ascii="Roboto" w:hAnsi="Roboto"/>
        </w:rPr>
        <w:t>e</w:t>
      </w:r>
      <w:r w:rsidRPr="008B4C78">
        <w:rPr>
          <w:rFonts w:ascii="Roboto" w:hAnsi="Roboto"/>
        </w:rPr>
        <w:t>s, de lutte contre la pollution, de préservation de l’environnement. Ce volet a concrètement identifié 20 projets avec un coût de 1 615,8 milliards GNF, une possibilité de financement de plusieurs projets privés avec un coût supplémentaire de 1 050 milliards GNF et 17 mesures d’amélioration du climat des affaires.</w:t>
      </w:r>
    </w:p>
    <w:p w14:paraId="4B0E8412" w14:textId="77777777" w:rsidR="005A35DE" w:rsidRPr="008B4C78" w:rsidRDefault="005A35DE" w:rsidP="005A35DE">
      <w:pPr>
        <w:pStyle w:val="ListParagraph"/>
        <w:numPr>
          <w:ilvl w:val="0"/>
          <w:numId w:val="11"/>
        </w:numPr>
        <w:jc w:val="both"/>
        <w:rPr>
          <w:rFonts w:ascii="Roboto" w:hAnsi="Roboto"/>
        </w:rPr>
      </w:pPr>
      <w:r w:rsidRPr="008B4C78">
        <w:rPr>
          <w:rFonts w:ascii="Roboto" w:hAnsi="Roboto"/>
        </w:rPr>
        <w:t xml:space="preserve">Et le volet de relance par l’offre se donne comme ambition de transformer la structure des exportations en diversifiant les produits de base (produits miniers et agricoles), de favoriser les secteurs non miniers à plus forte employabilité et valeur ajoutée et enfin de créer des zones industrielles adéquatement équipées.  </w:t>
      </w:r>
    </w:p>
    <w:p w14:paraId="06ED9164" w14:textId="77777777" w:rsidR="005A35DE" w:rsidRPr="008B4C78" w:rsidRDefault="005A35DE" w:rsidP="005A35DE">
      <w:pPr>
        <w:pStyle w:val="Heading3"/>
        <w:numPr>
          <w:ilvl w:val="1"/>
          <w:numId w:val="35"/>
        </w:numPr>
        <w:rPr>
          <w:rFonts w:ascii="Roboto" w:hAnsi="Roboto"/>
        </w:rPr>
      </w:pPr>
      <w:bookmarkStart w:id="20" w:name="_Toc141568103"/>
      <w:r w:rsidRPr="008B4C78">
        <w:rPr>
          <w:rFonts w:ascii="Roboto" w:hAnsi="Roboto"/>
        </w:rPr>
        <w:t>La politique nationale de développement industriel (PNDIG) –2022-2040</w:t>
      </w:r>
      <w:bookmarkEnd w:id="20"/>
    </w:p>
    <w:p w14:paraId="62EF5D8D" w14:textId="77777777" w:rsidR="005A35DE" w:rsidRPr="008B4C78" w:rsidRDefault="005A35DE" w:rsidP="005A35DE">
      <w:pPr>
        <w:jc w:val="both"/>
        <w:rPr>
          <w:rFonts w:ascii="Roboto" w:hAnsi="Roboto"/>
        </w:rPr>
      </w:pPr>
      <w:r w:rsidRPr="008B4C78">
        <w:rPr>
          <w:rFonts w:ascii="Roboto" w:hAnsi="Roboto"/>
        </w:rPr>
        <w:t xml:space="preserve">De l’indépendance jusqu’au milieu des années 80, la Guinée avait une politique publique de développement industriel qui avait permis au pays de se doter d’un tissu industriel permettant une production manufacturière diversifiée allant de l’alimentaire au pharmaceutique en passant par la construction. Ce tissu industriel n’a pas survécu aux programmes d’ajustement structurel des institutions de Bretton Woods. </w:t>
      </w:r>
    </w:p>
    <w:p w14:paraId="13E4DB38" w14:textId="5AAA0426" w:rsidR="005A35DE" w:rsidRPr="008B4C78" w:rsidRDefault="005A35DE" w:rsidP="005A35DE">
      <w:pPr>
        <w:jc w:val="both"/>
        <w:rPr>
          <w:rFonts w:ascii="Roboto" w:hAnsi="Roboto"/>
        </w:rPr>
      </w:pPr>
      <w:r w:rsidRPr="008B4C78">
        <w:rPr>
          <w:rFonts w:ascii="Roboto" w:hAnsi="Roboto"/>
        </w:rPr>
        <w:t>La Mission de la PNDIG est donc de faire renaitre un tissu industriel diversifiée sur la base des ressources naturelle</w:t>
      </w:r>
      <w:r w:rsidR="002F1630">
        <w:rPr>
          <w:rFonts w:ascii="Roboto" w:hAnsi="Roboto"/>
        </w:rPr>
        <w:t>s</w:t>
      </w:r>
      <w:r w:rsidRPr="008B4C78">
        <w:rPr>
          <w:rFonts w:ascii="Roboto" w:hAnsi="Roboto"/>
        </w:rPr>
        <w:t xml:space="preserve"> du pays en renforçant la compétitivité et une valeur ajoutée accrue dans le secteur manufacturier, notamment dans l’agroalimentaire, l’industrie légère, les services industriels, les industries du secteur minier, la construction, les travaux publics, l’industrie de l’énergie, l’industrie du transport, l’industrie de la pêche et de l’artisanat. </w:t>
      </w:r>
    </w:p>
    <w:p w14:paraId="4DBAA386" w14:textId="77777777" w:rsidR="005A35DE" w:rsidRPr="00515004" w:rsidRDefault="005A35DE" w:rsidP="005A35DE">
      <w:pPr>
        <w:pStyle w:val="Heading2"/>
        <w:numPr>
          <w:ilvl w:val="0"/>
          <w:numId w:val="35"/>
        </w:numPr>
        <w:rPr>
          <w:rFonts w:ascii="Roboto" w:hAnsi="Roboto"/>
        </w:rPr>
      </w:pPr>
      <w:bookmarkStart w:id="21" w:name="_Toc141568104"/>
      <w:r w:rsidRPr="008B4C78">
        <w:rPr>
          <w:rFonts w:ascii="Roboto" w:hAnsi="Roboto"/>
        </w:rPr>
        <w:lastRenderedPageBreak/>
        <w:t>Les défis à la transformation économique et structurelle</w:t>
      </w:r>
      <w:bookmarkEnd w:id="21"/>
    </w:p>
    <w:p w14:paraId="0C201DA8" w14:textId="77777777" w:rsidR="005A35DE" w:rsidRPr="008B4C78" w:rsidRDefault="005A35DE" w:rsidP="005A35DE">
      <w:pPr>
        <w:jc w:val="both"/>
        <w:rPr>
          <w:rFonts w:ascii="Roboto" w:hAnsi="Roboto"/>
        </w:rPr>
      </w:pPr>
      <w:r w:rsidRPr="008B4C78">
        <w:rPr>
          <w:rFonts w:ascii="Roboto" w:hAnsi="Roboto"/>
        </w:rPr>
        <w:t>L’examen de la situation macro-économique révèle que l’essentiel de la croissance est tiré des exportations de l’industrie extractive qui créé relativement peu de valeur et offre peu d’emploi. La transformation économique et structurelle de la Guinée passe par une diversification de son économie afin de ne plus dépendre des exportations des produits de base miniers.</w:t>
      </w:r>
    </w:p>
    <w:p w14:paraId="471E5E91" w14:textId="77777777" w:rsidR="005A35DE" w:rsidRPr="008B4C78" w:rsidRDefault="005A35DE" w:rsidP="005A35DE">
      <w:pPr>
        <w:jc w:val="both"/>
        <w:rPr>
          <w:rFonts w:ascii="Roboto" w:hAnsi="Roboto"/>
        </w:rPr>
      </w:pPr>
      <w:r w:rsidRPr="008B4C78">
        <w:rPr>
          <w:rFonts w:ascii="Roboto" w:hAnsi="Roboto"/>
        </w:rPr>
        <w:t>Selon l’Indice de l’industrialisation en Afrique (IIA)</w:t>
      </w:r>
      <w:r w:rsidRPr="008B4C78">
        <w:rPr>
          <w:rStyle w:val="FootnoteReference"/>
          <w:rFonts w:ascii="Roboto" w:hAnsi="Roboto"/>
        </w:rPr>
        <w:footnoteReference w:id="14"/>
      </w:r>
      <w:r w:rsidRPr="008B4C78">
        <w:rPr>
          <w:rFonts w:ascii="Roboto" w:hAnsi="Roboto"/>
        </w:rPr>
        <w:t>, calculé par la Banque Africaine de Développement (BAD) et qui vise à mesurer les progrès industriels réalisés sur le continent, La Guinée fait partie du quintile supérieur du classement. La signification est que le pays progresse, certes lentement, mais dispose de ressources naturelles montrant des signes prometteurs d’émergence d’un tissu industriel permettant de créer plus de richesses nationales et offrant plus d’emploi, surtout aux jeunes.</w:t>
      </w:r>
    </w:p>
    <w:p w14:paraId="731EC4C7" w14:textId="77777777" w:rsidR="005A35DE" w:rsidRPr="008B4C78" w:rsidRDefault="005A35DE" w:rsidP="005A35DE">
      <w:pPr>
        <w:jc w:val="both"/>
        <w:rPr>
          <w:rFonts w:ascii="Roboto" w:hAnsi="Roboto"/>
        </w:rPr>
      </w:pPr>
      <w:r w:rsidRPr="008B4C78">
        <w:rPr>
          <w:rFonts w:ascii="Roboto" w:hAnsi="Roboto"/>
        </w:rPr>
        <w:t>La mise en place d’une industrie de transformation et de valorisation des produits primaires (agricultures et miniers) demande que le pays relève un certain nombre de défis structurels.</w:t>
      </w:r>
    </w:p>
    <w:p w14:paraId="7E6FF9E7" w14:textId="77777777" w:rsidR="005A35DE" w:rsidRPr="008B4C78" w:rsidRDefault="005A35DE" w:rsidP="005A35DE">
      <w:pPr>
        <w:pStyle w:val="Heading3"/>
        <w:numPr>
          <w:ilvl w:val="1"/>
          <w:numId w:val="35"/>
        </w:numPr>
        <w:rPr>
          <w:rFonts w:ascii="Roboto" w:hAnsi="Roboto"/>
        </w:rPr>
      </w:pPr>
      <w:bookmarkStart w:id="22" w:name="_Toc141568105"/>
      <w:r w:rsidRPr="008B4C78">
        <w:rPr>
          <w:rFonts w:ascii="Roboto" w:hAnsi="Roboto"/>
        </w:rPr>
        <w:t>L’insuffisance des infrastructures</w:t>
      </w:r>
      <w:bookmarkEnd w:id="22"/>
    </w:p>
    <w:p w14:paraId="28D31D9D" w14:textId="77777777" w:rsidR="005A35DE" w:rsidRPr="008B4C78" w:rsidRDefault="005A35DE" w:rsidP="005A35DE">
      <w:pPr>
        <w:jc w:val="both"/>
        <w:rPr>
          <w:rFonts w:ascii="Roboto" w:hAnsi="Roboto"/>
        </w:rPr>
      </w:pPr>
      <w:r w:rsidRPr="008B4C78">
        <w:rPr>
          <w:rFonts w:ascii="Roboto" w:hAnsi="Roboto"/>
        </w:rPr>
        <w:t>L’insuffisance des infrastructures est la contrainte la plus immédiate pour un processus d’industrialisation. L’état des infrastructures liées au transport (routier, ferroviaire) entrave la croissance de l’industrie manufacturière guinéenne. Les coûts du transport intérieur sont également jugés trop élevés et contribuent à l’augmentation des coûts de production avec des effets négatifs sur la productivité et la compétitivité des produits guinéens. Un réseau électrique fiable et à bon marché est un autre facteur déterminant pour le développement d’un tissu industriel. Les constatations de l’Enquête d’entreprises de Guinée 2021 de l’ONUDI</w:t>
      </w:r>
      <w:r w:rsidRPr="008B4C78">
        <w:rPr>
          <w:rStyle w:val="FootnoteReference"/>
          <w:rFonts w:ascii="Roboto" w:hAnsi="Roboto"/>
        </w:rPr>
        <w:footnoteReference w:id="15"/>
      </w:r>
      <w:r w:rsidRPr="008B4C78">
        <w:rPr>
          <w:rFonts w:ascii="Roboto" w:hAnsi="Roboto"/>
        </w:rPr>
        <w:t xml:space="preserve"> révèlent que 40 % des entreprises ont signalé l’électricité comme un obstacle très important pour leurs activités. Près de 80 % des réponses exprimaient que le coût de l’électricité est un problème essentiel, tandis que 90 % s’accordent à dire que le nombre de coupures de courant est le problème le plus préoccupant. </w:t>
      </w:r>
    </w:p>
    <w:p w14:paraId="4623CBE7" w14:textId="77777777" w:rsidR="005A35DE" w:rsidRPr="008B4C78" w:rsidRDefault="005A35DE" w:rsidP="005A35DE">
      <w:pPr>
        <w:jc w:val="both"/>
        <w:rPr>
          <w:rFonts w:ascii="Roboto" w:hAnsi="Roboto"/>
        </w:rPr>
      </w:pPr>
      <w:r w:rsidRPr="008B4C78">
        <w:rPr>
          <w:rFonts w:ascii="Roboto" w:hAnsi="Roboto"/>
        </w:rPr>
        <w:t xml:space="preserve">Le PRI (2022-2025) met en relief dans son « Axe 5 », le développement des infrastructures à travers, entre autres, la construction, la réhabilitation, l’amélioration et le renforcement des infrastructures routières et électriques. </w:t>
      </w:r>
    </w:p>
    <w:p w14:paraId="66523BC6" w14:textId="77777777" w:rsidR="005A35DE" w:rsidRPr="008B4C78" w:rsidRDefault="005A35DE" w:rsidP="005A35DE">
      <w:pPr>
        <w:pStyle w:val="Heading3"/>
        <w:numPr>
          <w:ilvl w:val="1"/>
          <w:numId w:val="35"/>
        </w:numPr>
        <w:rPr>
          <w:rFonts w:ascii="Roboto" w:hAnsi="Roboto"/>
        </w:rPr>
      </w:pPr>
      <w:bookmarkStart w:id="23" w:name="_Toc141568106"/>
      <w:r w:rsidRPr="008B4C78">
        <w:rPr>
          <w:rFonts w:ascii="Roboto" w:hAnsi="Roboto"/>
        </w:rPr>
        <w:t>Le manque d’orientation stratégique</w:t>
      </w:r>
      <w:bookmarkEnd w:id="23"/>
    </w:p>
    <w:p w14:paraId="7BCC197B" w14:textId="77777777" w:rsidR="005A35DE" w:rsidRPr="008B4C78" w:rsidRDefault="005A35DE" w:rsidP="005A35DE">
      <w:pPr>
        <w:jc w:val="both"/>
        <w:rPr>
          <w:rFonts w:ascii="Roboto" w:hAnsi="Roboto"/>
        </w:rPr>
      </w:pPr>
      <w:r w:rsidRPr="008B4C78">
        <w:rPr>
          <w:rFonts w:ascii="Roboto" w:hAnsi="Roboto"/>
        </w:rPr>
        <w:t>Le manque d’orientation stratégique en matière d’industrialisation est considéré comme un frein au développement du secteur manufacturier qui peut contribuer à la transformation et à la modernisation de l’économie et stimuler la création d’emplois pour les jeunes. Il est également important de rétablir la confiance et la collaboration entre le secteur privé et l’État. Le développement récent de la politique nationale de développement industriel et la mise en place de la nouvelle Confédération Générale des Entreprises de Guinée pourront permettre d’améliorer la situation.</w:t>
      </w:r>
    </w:p>
    <w:p w14:paraId="5FFA7BDE" w14:textId="77777777" w:rsidR="005A35DE" w:rsidRPr="008B4C78" w:rsidRDefault="005A35DE" w:rsidP="005A35DE">
      <w:pPr>
        <w:pStyle w:val="Heading3"/>
        <w:numPr>
          <w:ilvl w:val="1"/>
          <w:numId w:val="35"/>
        </w:numPr>
        <w:rPr>
          <w:rFonts w:ascii="Roboto" w:hAnsi="Roboto"/>
        </w:rPr>
      </w:pPr>
      <w:bookmarkStart w:id="24" w:name="_Toc141568107"/>
      <w:r w:rsidRPr="008B4C78">
        <w:rPr>
          <w:rFonts w:ascii="Roboto" w:hAnsi="Roboto"/>
        </w:rPr>
        <w:t>L’Instabilité politique</w:t>
      </w:r>
      <w:bookmarkEnd w:id="24"/>
    </w:p>
    <w:p w14:paraId="276EDAFA" w14:textId="2ECF78D2" w:rsidR="005A35DE" w:rsidRDefault="005A35DE" w:rsidP="005A35DE">
      <w:pPr>
        <w:jc w:val="both"/>
        <w:rPr>
          <w:rFonts w:ascii="Roboto" w:hAnsi="Roboto"/>
        </w:rPr>
      </w:pPr>
      <w:r w:rsidRPr="008B4C78">
        <w:rPr>
          <w:rFonts w:ascii="Roboto" w:hAnsi="Roboto"/>
        </w:rPr>
        <w:t xml:space="preserve">Un environnement politique stable et prévisible est une condition préalable à une croissance économique régulière. Les incertitudes actuelles liées aux tensions ressentis durant cette </w:t>
      </w:r>
      <w:r w:rsidRPr="008B4C78">
        <w:rPr>
          <w:rFonts w:ascii="Roboto" w:hAnsi="Roboto"/>
        </w:rPr>
        <w:lastRenderedPageBreak/>
        <w:t>période de transition peuvent constituer un frein aux investissements du secteur priv</w:t>
      </w:r>
      <w:r>
        <w:rPr>
          <w:rFonts w:ascii="Roboto" w:hAnsi="Roboto"/>
        </w:rPr>
        <w:t>é</w:t>
      </w:r>
      <w:r w:rsidRPr="008B4C78">
        <w:rPr>
          <w:rFonts w:ascii="Roboto" w:hAnsi="Roboto"/>
        </w:rPr>
        <w:t xml:space="preserve"> national et international car les décisions d’investir peuvent être reportées, reconsidérées ou simplement annulées.</w:t>
      </w:r>
    </w:p>
    <w:p w14:paraId="685AE0D6" w14:textId="77777777" w:rsidR="00666BE6" w:rsidRPr="008B4C78" w:rsidRDefault="00666BE6" w:rsidP="005A35DE">
      <w:pPr>
        <w:jc w:val="both"/>
        <w:rPr>
          <w:rFonts w:ascii="Roboto" w:hAnsi="Roboto"/>
        </w:rPr>
      </w:pPr>
    </w:p>
    <w:p w14:paraId="1CAAFF80" w14:textId="37B6D627" w:rsidR="00EE6353" w:rsidRPr="008B4C78" w:rsidRDefault="00245641" w:rsidP="00DF3140">
      <w:pPr>
        <w:pStyle w:val="Heading1"/>
        <w:numPr>
          <w:ilvl w:val="0"/>
          <w:numId w:val="27"/>
        </w:numPr>
        <w:rPr>
          <w:rFonts w:ascii="Roboto" w:hAnsi="Roboto"/>
        </w:rPr>
      </w:pPr>
      <w:bookmarkStart w:id="25" w:name="_Toc141568108"/>
      <w:r w:rsidRPr="008B4C78">
        <w:rPr>
          <w:rFonts w:ascii="Roboto" w:hAnsi="Roboto"/>
        </w:rPr>
        <w:t xml:space="preserve">Fragilité </w:t>
      </w:r>
      <w:r w:rsidR="00E457CE" w:rsidRPr="008B4C78">
        <w:rPr>
          <w:rFonts w:ascii="Roboto" w:hAnsi="Roboto"/>
        </w:rPr>
        <w:t>social</w:t>
      </w:r>
      <w:r w:rsidRPr="008B4C78">
        <w:rPr>
          <w:rFonts w:ascii="Roboto" w:hAnsi="Roboto"/>
        </w:rPr>
        <w:t>e</w:t>
      </w:r>
      <w:bookmarkEnd w:id="25"/>
    </w:p>
    <w:p w14:paraId="7C425541" w14:textId="12532DD9" w:rsidR="00295C66" w:rsidRPr="008B4C78" w:rsidRDefault="00295C66" w:rsidP="00295C66">
      <w:pPr>
        <w:rPr>
          <w:rFonts w:ascii="Roboto" w:hAnsi="Roboto"/>
        </w:rPr>
      </w:pPr>
    </w:p>
    <w:p w14:paraId="1C129D73" w14:textId="0E669C78" w:rsidR="00B43E19" w:rsidRPr="008B4C78" w:rsidRDefault="00B43E19" w:rsidP="00B43E19">
      <w:pPr>
        <w:pStyle w:val="ListParagraph"/>
        <w:numPr>
          <w:ilvl w:val="0"/>
          <w:numId w:val="37"/>
        </w:numPr>
        <w:rPr>
          <w:rFonts w:ascii="Roboto" w:eastAsiaTheme="majorEastAsia" w:hAnsi="Roboto" w:cstheme="majorBidi"/>
          <w:color w:val="2F5496" w:themeColor="accent1" w:themeShade="BF"/>
          <w:sz w:val="26"/>
          <w:szCs w:val="26"/>
        </w:rPr>
      </w:pPr>
      <w:r w:rsidRPr="008B4C78">
        <w:rPr>
          <w:rFonts w:ascii="Roboto" w:eastAsiaTheme="majorEastAsia" w:hAnsi="Roboto" w:cstheme="majorBidi"/>
          <w:color w:val="2F5496" w:themeColor="accent1" w:themeShade="BF"/>
          <w:sz w:val="26"/>
          <w:szCs w:val="26"/>
        </w:rPr>
        <w:t>Sécurité alimentaire</w:t>
      </w:r>
      <w:r w:rsidR="00666BE6">
        <w:rPr>
          <w:rFonts w:ascii="Roboto" w:eastAsiaTheme="majorEastAsia" w:hAnsi="Roboto" w:cstheme="majorBidi"/>
          <w:color w:val="2F5496" w:themeColor="accent1" w:themeShade="BF"/>
          <w:sz w:val="26"/>
          <w:szCs w:val="26"/>
        </w:rPr>
        <w:t>, nutrition</w:t>
      </w:r>
      <w:r w:rsidRPr="008B4C78">
        <w:rPr>
          <w:rFonts w:ascii="Roboto" w:eastAsiaTheme="majorEastAsia" w:hAnsi="Roboto" w:cstheme="majorBidi"/>
          <w:color w:val="2F5496" w:themeColor="accent1" w:themeShade="BF"/>
          <w:sz w:val="26"/>
          <w:szCs w:val="26"/>
        </w:rPr>
        <w:t xml:space="preserve"> et agriculture </w:t>
      </w:r>
    </w:p>
    <w:p w14:paraId="343480BB" w14:textId="50FD83B7" w:rsidR="00B123F1" w:rsidRPr="008B4C78" w:rsidRDefault="00B123F1" w:rsidP="00430EBA">
      <w:pPr>
        <w:jc w:val="both"/>
        <w:rPr>
          <w:rFonts w:ascii="Roboto" w:hAnsi="Roboto"/>
        </w:rPr>
      </w:pPr>
      <w:r w:rsidRPr="008B4C78">
        <w:rPr>
          <w:rFonts w:ascii="Roboto" w:hAnsi="Roboto"/>
        </w:rPr>
        <w:t xml:space="preserve">Selon </w:t>
      </w:r>
      <w:r w:rsidR="00666BE6">
        <w:rPr>
          <w:rFonts w:ascii="Roboto" w:hAnsi="Roboto"/>
        </w:rPr>
        <w:t xml:space="preserve">une </w:t>
      </w:r>
      <w:r w:rsidRPr="008B4C78">
        <w:rPr>
          <w:rFonts w:ascii="Roboto" w:hAnsi="Roboto"/>
        </w:rPr>
        <w:t>étude réalisée dans les 15 pays de l’espace CEDEAO</w:t>
      </w:r>
      <w:r w:rsidR="00717A61">
        <w:rPr>
          <w:rFonts w:ascii="Roboto" w:hAnsi="Roboto"/>
        </w:rPr>
        <w:t xml:space="preserve">, </w:t>
      </w:r>
      <w:r w:rsidRPr="008B4C78">
        <w:rPr>
          <w:rFonts w:ascii="Roboto" w:hAnsi="Roboto"/>
        </w:rPr>
        <w:t>l’extrême pauvreté a augmenté de 3%, atteignant 34% de la population. En Guinée, la crise Russo-</w:t>
      </w:r>
      <w:r w:rsidR="000F0D29" w:rsidRPr="008B4C78">
        <w:rPr>
          <w:rFonts w:ascii="Roboto" w:hAnsi="Roboto"/>
        </w:rPr>
        <w:t>Ukrainienne</w:t>
      </w:r>
      <w:r w:rsidRPr="008B4C78">
        <w:rPr>
          <w:rFonts w:ascii="Roboto" w:hAnsi="Roboto"/>
        </w:rPr>
        <w:t xml:space="preserve"> a des effets sur la disponibilité des fertilisants, la production agro-alimentaire, le commerce et les prix des produits agro-alimentaires ainsi que la sécurité alimentaire. En effet, la Guinée est un pays à faible revenu et à déficit vivrier qui importe la quasi-totalité de ses besoins en fertilisants chimiques et une bonne partie des produits agro-alimentaires.</w:t>
      </w:r>
    </w:p>
    <w:p w14:paraId="49EFDF70" w14:textId="079FD662" w:rsidR="00B123F1" w:rsidRPr="008B4C78" w:rsidRDefault="00B123F1" w:rsidP="00430EBA">
      <w:pPr>
        <w:jc w:val="both"/>
        <w:rPr>
          <w:rFonts w:ascii="Roboto" w:hAnsi="Roboto"/>
        </w:rPr>
      </w:pPr>
      <w:r w:rsidRPr="008B4C78">
        <w:rPr>
          <w:rFonts w:ascii="Roboto" w:hAnsi="Roboto"/>
        </w:rPr>
        <w:t xml:space="preserve">L’agriculture guinéenne est fragilisée par </w:t>
      </w:r>
      <w:r w:rsidR="00EE6353" w:rsidRPr="008B4C78">
        <w:rPr>
          <w:rFonts w:ascii="Roboto" w:hAnsi="Roboto"/>
        </w:rPr>
        <w:t>le conflit russo-ukrainien</w:t>
      </w:r>
      <w:r w:rsidRPr="008B4C78">
        <w:rPr>
          <w:rFonts w:ascii="Roboto" w:hAnsi="Roboto"/>
        </w:rPr>
        <w:t xml:space="preserve"> qui a fait de l’engrais une denrée rare. Son prix augmente considérablement, compromettant l’approvisionnement des cultivateurs. La situation menace un secteur économique vital pour l’emploi de 80 % de la population. Les frais de transports ont connu une forte augmentation, ainsi que des retards dans la livraison des cargaisons.</w:t>
      </w:r>
    </w:p>
    <w:p w14:paraId="48BDBBAB" w14:textId="163EAF4E" w:rsidR="00B123F1" w:rsidRPr="008B4C78" w:rsidRDefault="00B123F1" w:rsidP="00430EBA">
      <w:pPr>
        <w:jc w:val="both"/>
        <w:rPr>
          <w:rFonts w:ascii="Roboto" w:hAnsi="Roboto"/>
        </w:rPr>
      </w:pPr>
      <w:r w:rsidRPr="008B4C78">
        <w:rPr>
          <w:rFonts w:ascii="Roboto" w:hAnsi="Roboto"/>
        </w:rPr>
        <w:t>La Guinée comme les autres pays de la sous-région a subi les contre-coups d’une hausse du cours du blé. Parallèlement au risque de flambée des cours des produits alimentaires, le pétrole étant l’un des facteurs majeurs de production, la crise a déjà entrainé une hausse de son cours qui a frôlé, le 7 mars 2022, les 140$ le baril. Ce renchérissement du cours du pétrole devrait affecter négativement la dynamique de production nationale et provoquer un ralentissement de l’activité économique globale, déjà secouée par les effets de la pandémie de COVID-19 et les pesanteurs inhérentes à la transition politique en cours. Le taux de croissance de 5,7% prévu pour 2022 serait très difficile à réaliser d’autant plus que celui-ci est tiré en grande partie par les mines, la construction, le transport et la logistique. La contrainte d’offre due aux chocs exogènes, risquerait de provoquer une persistance à la hausse de l’inflation.</w:t>
      </w:r>
    </w:p>
    <w:p w14:paraId="31D56178" w14:textId="77777777" w:rsidR="00B123F1" w:rsidRPr="008B4C78" w:rsidRDefault="00B123F1" w:rsidP="00430EBA">
      <w:pPr>
        <w:jc w:val="both"/>
        <w:rPr>
          <w:rFonts w:ascii="Roboto" w:hAnsi="Roboto"/>
        </w:rPr>
      </w:pPr>
      <w:r w:rsidRPr="008B4C78">
        <w:rPr>
          <w:rFonts w:ascii="Roboto" w:hAnsi="Roboto"/>
        </w:rPr>
        <w:t>La Guinée a besoin d’engrais minéraux pour bonifier ses exploitations agricoles qui sont pauvres en azote, en phosphore, en potassium et en oligoéléments que les engrais organiques ne peuvent pas satisfaire dans l’immédiat.</w:t>
      </w:r>
    </w:p>
    <w:p w14:paraId="620903F8" w14:textId="090E4D7B" w:rsidR="00B123F1" w:rsidRPr="008B4C78" w:rsidRDefault="00B123F1" w:rsidP="00430EBA">
      <w:pPr>
        <w:jc w:val="both"/>
        <w:rPr>
          <w:rFonts w:ascii="Roboto" w:hAnsi="Roboto"/>
        </w:rPr>
      </w:pPr>
      <w:r w:rsidRPr="008B4C78">
        <w:rPr>
          <w:rFonts w:ascii="Roboto" w:hAnsi="Roboto"/>
        </w:rPr>
        <w:t xml:space="preserve">Aujourd'hui, en plus des 10 000 tonnes d'engrais issues du stock de l'année dernière, le pays vient </w:t>
      </w:r>
      <w:r w:rsidR="00FB3400" w:rsidRPr="008B4C78">
        <w:rPr>
          <w:rFonts w:ascii="Roboto" w:hAnsi="Roboto"/>
        </w:rPr>
        <w:t>d’acquérir</w:t>
      </w:r>
      <w:r w:rsidRPr="008B4C78">
        <w:rPr>
          <w:rFonts w:ascii="Roboto" w:hAnsi="Roboto"/>
        </w:rPr>
        <w:t xml:space="preserve"> 27 mille tonnes en provenance de l’Ukraine. Pour la campagne agricole 2022-2023, la Guinée a contracté un prêt auprès de la BADEA pour l’achat des engrais. Ce prêt a été fait sous la conditionnalité qu'au moins 50% du volume soit acheté dans un pays arabe. Ainsi, la commande a été lancée auprès de l’Office Chérifien du phosphate. Or, l'engrais est produit à partir du gaz. L'importation du gaz étant rendue difficile, la production du Maroc </w:t>
      </w:r>
      <w:r w:rsidR="00FB3400" w:rsidRPr="008B4C78">
        <w:rPr>
          <w:rFonts w:ascii="Roboto" w:hAnsi="Roboto"/>
        </w:rPr>
        <w:t>a chuté</w:t>
      </w:r>
      <w:r w:rsidRPr="008B4C78">
        <w:rPr>
          <w:rFonts w:ascii="Roboto" w:hAnsi="Roboto"/>
        </w:rPr>
        <w:t xml:space="preserve"> et </w:t>
      </w:r>
      <w:r w:rsidR="00A21733">
        <w:rPr>
          <w:rFonts w:ascii="Roboto" w:hAnsi="Roboto"/>
        </w:rPr>
        <w:t xml:space="preserve">le pays </w:t>
      </w:r>
      <w:r w:rsidRPr="008B4C78">
        <w:rPr>
          <w:rFonts w:ascii="Roboto" w:hAnsi="Roboto"/>
        </w:rPr>
        <w:t xml:space="preserve">ne peut plus honorer ses engagements du fait que sa production est devenue insuffisante par manque de gaz dont une partie est importée des pays en conflit. Le sac de 50 kg d'engrais qui se vendait en Guinée au prix subventionné de 130 000 GNF en 2021 coûte aujourd'hui 500 000 GNF </w:t>
      </w:r>
      <w:r w:rsidR="00CE7DA2" w:rsidRPr="008B4C78">
        <w:rPr>
          <w:rFonts w:ascii="Roboto" w:hAnsi="Roboto"/>
        </w:rPr>
        <w:t>si on</w:t>
      </w:r>
      <w:r w:rsidRPr="008B4C78">
        <w:rPr>
          <w:rFonts w:ascii="Roboto" w:hAnsi="Roboto"/>
        </w:rPr>
        <w:t xml:space="preserve"> en trouve. Les ressources destinées à la campagne agricole de </w:t>
      </w:r>
      <w:r w:rsidRPr="008B4C78">
        <w:rPr>
          <w:rFonts w:ascii="Roboto" w:hAnsi="Roboto"/>
        </w:rPr>
        <w:lastRenderedPageBreak/>
        <w:t xml:space="preserve">cette année sont nettement insuffisantes par rapport au besoin. De ce fait, le schéma d'approvisionnement de la Guinée est bouleversé et la campagne agricole sérieusement menacée. Aussi, les tracteurs et autres équipements qui étaient commandés en Russie par les investisseurs privés guinéens sont bloqués pour cause de transport. La crise a fait grimper le coût de transport qui se répercute sur le prix des fertilisants et des produits agro-alimentaires. </w:t>
      </w:r>
    </w:p>
    <w:p w14:paraId="4A4B2421" w14:textId="24CB76A7" w:rsidR="00B123F1" w:rsidRDefault="00B123F1" w:rsidP="00430EBA">
      <w:pPr>
        <w:jc w:val="both"/>
        <w:rPr>
          <w:rFonts w:ascii="Roboto" w:hAnsi="Roboto"/>
        </w:rPr>
      </w:pPr>
      <w:r w:rsidRPr="008B4C78">
        <w:rPr>
          <w:rFonts w:ascii="Roboto" w:hAnsi="Roboto"/>
        </w:rPr>
        <w:t>En outre, la crise Russo-Ukrainienne</w:t>
      </w:r>
      <w:r w:rsidR="00666BE6">
        <w:rPr>
          <w:rFonts w:ascii="Roboto" w:hAnsi="Roboto"/>
        </w:rPr>
        <w:t xml:space="preserve"> est</w:t>
      </w:r>
      <w:r w:rsidRPr="008B4C78">
        <w:rPr>
          <w:rFonts w:ascii="Roboto" w:hAnsi="Roboto"/>
        </w:rPr>
        <w:t xml:space="preserve"> </w:t>
      </w:r>
      <w:r w:rsidR="00666BE6" w:rsidRPr="008B4C78">
        <w:rPr>
          <w:rFonts w:ascii="Roboto" w:hAnsi="Roboto"/>
        </w:rPr>
        <w:t>arrivé</w:t>
      </w:r>
      <w:r w:rsidR="00666BE6">
        <w:rPr>
          <w:rFonts w:ascii="Roboto" w:hAnsi="Roboto"/>
        </w:rPr>
        <w:t xml:space="preserve">e </w:t>
      </w:r>
      <w:r w:rsidRPr="008B4C78">
        <w:rPr>
          <w:rFonts w:ascii="Roboto" w:hAnsi="Roboto"/>
        </w:rPr>
        <w:t xml:space="preserve">à un moment où la Guinée sort de la pandémie de COVID 19 qui a sérieusement ébranlé la sécurité alimentaire des populations. Les résultats de la session du Cadre Harmonisé de mars 2022 montrent que 10,9% de la population sont en insécurité alimentaire (phases 3 à 5). </w:t>
      </w:r>
    </w:p>
    <w:p w14:paraId="2C939A65" w14:textId="781E3054" w:rsidR="00666BE6" w:rsidRDefault="00666BE6" w:rsidP="00430EBA">
      <w:pPr>
        <w:jc w:val="both"/>
        <w:rPr>
          <w:rFonts w:ascii="Roboto" w:hAnsi="Roboto"/>
        </w:rPr>
      </w:pPr>
      <w:r w:rsidRPr="008B4C78">
        <w:rPr>
          <w:rFonts w:ascii="Roboto" w:hAnsi="Roboto"/>
        </w:rPr>
        <w:t xml:space="preserve">Les conclusions du Cadre Harmonisé de novembre 2022 montre une nette dégradation de la sécurité alimentaire et nutritionnelle du pays, notamment en comparaison à la même période en 2021.  La </w:t>
      </w:r>
      <w:r w:rsidR="00A21733">
        <w:rPr>
          <w:rFonts w:ascii="Roboto" w:hAnsi="Roboto"/>
        </w:rPr>
        <w:t>s</w:t>
      </w:r>
      <w:r w:rsidRPr="008B4C78">
        <w:rPr>
          <w:rFonts w:ascii="Roboto" w:hAnsi="Roboto"/>
        </w:rPr>
        <w:t>ituation projetée pour juin-Juillet-Août 2023, prédit même une situation qui se détériorera d’avantage car, sur les trente-trois préfectures analysées seules trois préfectures seront en phase minimale contre huit en novembre 2022, vingt-neuf préfectures en phase sous pression contre vingt-cinq en novembre 2022 et une en crise profonde. </w:t>
      </w:r>
    </w:p>
    <w:p w14:paraId="72CA0725" w14:textId="77777777" w:rsidR="00666BE6" w:rsidRPr="008B4C78" w:rsidRDefault="00666BE6" w:rsidP="00666BE6">
      <w:pPr>
        <w:jc w:val="both"/>
        <w:rPr>
          <w:rFonts w:ascii="Roboto" w:hAnsi="Roboto"/>
        </w:rPr>
      </w:pPr>
      <w:r w:rsidRPr="008B4C78">
        <w:rPr>
          <w:rFonts w:ascii="Roboto" w:hAnsi="Roboto"/>
        </w:rPr>
        <w:t>Entre février et septembre 2022, les augmentations suivantes ont été constatées :</w:t>
      </w:r>
    </w:p>
    <w:p w14:paraId="4B810962" w14:textId="77777777" w:rsidR="00666BE6" w:rsidRPr="008B4C78" w:rsidRDefault="00666BE6" w:rsidP="00666BE6">
      <w:pPr>
        <w:pStyle w:val="ListParagraph"/>
        <w:numPr>
          <w:ilvl w:val="0"/>
          <w:numId w:val="16"/>
        </w:numPr>
        <w:jc w:val="both"/>
        <w:rPr>
          <w:rFonts w:ascii="Roboto" w:hAnsi="Roboto"/>
        </w:rPr>
      </w:pPr>
      <w:r w:rsidRPr="008B4C78">
        <w:rPr>
          <w:rFonts w:ascii="Roboto" w:hAnsi="Roboto"/>
        </w:rPr>
        <w:t>Prix de la tonne d’urée est passé de 600 $US à 1 550 $US ; les prix ont été multipliés par 1,6, soit une augmentation de 158%</w:t>
      </w:r>
    </w:p>
    <w:p w14:paraId="3051C0A8" w14:textId="77777777" w:rsidR="00666BE6" w:rsidRPr="008B4C78" w:rsidRDefault="00666BE6" w:rsidP="00666BE6">
      <w:pPr>
        <w:pStyle w:val="ListParagraph"/>
        <w:numPr>
          <w:ilvl w:val="0"/>
          <w:numId w:val="16"/>
        </w:numPr>
        <w:jc w:val="both"/>
        <w:rPr>
          <w:rFonts w:ascii="Roboto" w:hAnsi="Roboto"/>
        </w:rPr>
      </w:pPr>
      <w:r w:rsidRPr="008B4C78">
        <w:rPr>
          <w:rFonts w:ascii="Roboto" w:hAnsi="Roboto"/>
        </w:rPr>
        <w:t>Tonne de NPK est passé de 400 $US à 1450 $US ; les prix ont été multipliés par 2,6, soit une augmentation de 262%</w:t>
      </w:r>
    </w:p>
    <w:p w14:paraId="4B58AE85" w14:textId="77777777" w:rsidR="00666BE6" w:rsidRPr="008B4C78" w:rsidRDefault="00666BE6" w:rsidP="00666BE6">
      <w:pPr>
        <w:pStyle w:val="ListParagraph"/>
        <w:numPr>
          <w:ilvl w:val="0"/>
          <w:numId w:val="16"/>
        </w:numPr>
        <w:jc w:val="both"/>
        <w:rPr>
          <w:rFonts w:ascii="Roboto" w:hAnsi="Roboto"/>
        </w:rPr>
      </w:pPr>
      <w:r w:rsidRPr="008B4C78">
        <w:rPr>
          <w:rFonts w:ascii="Roboto" w:hAnsi="Roboto"/>
        </w:rPr>
        <w:t>Herbicide total de 3,8 $US le litre à 8,88 $US ; les prix ont été multipliés par 1,3, soit une augmentation de 133%</w:t>
      </w:r>
    </w:p>
    <w:p w14:paraId="242BF4B7" w14:textId="692C6BB4" w:rsidR="00666BE6" w:rsidRPr="008B4C78" w:rsidRDefault="00666BE6" w:rsidP="00666BE6">
      <w:pPr>
        <w:pStyle w:val="ListParagraph"/>
        <w:numPr>
          <w:ilvl w:val="0"/>
          <w:numId w:val="16"/>
        </w:numPr>
        <w:jc w:val="both"/>
        <w:rPr>
          <w:rFonts w:ascii="Roboto" w:hAnsi="Roboto"/>
        </w:rPr>
      </w:pPr>
      <w:r w:rsidRPr="008B4C78">
        <w:rPr>
          <w:rFonts w:ascii="Roboto" w:hAnsi="Roboto"/>
        </w:rPr>
        <w:t>Insecticides de 8,88 $US à 13.6 $US, les prix ont été multipliés par 0</w:t>
      </w:r>
      <w:r w:rsidR="00A21733">
        <w:rPr>
          <w:rFonts w:ascii="Roboto" w:hAnsi="Roboto"/>
        </w:rPr>
        <w:t>,</w:t>
      </w:r>
      <w:r w:rsidRPr="008B4C78">
        <w:rPr>
          <w:rFonts w:ascii="Roboto" w:hAnsi="Roboto"/>
        </w:rPr>
        <w:t>53, soit une augmentation de 53%</w:t>
      </w:r>
    </w:p>
    <w:p w14:paraId="3FB5D8A2" w14:textId="0EF4CE6D" w:rsidR="00B123F1" w:rsidRPr="008B4C78" w:rsidRDefault="00B123F1" w:rsidP="00430EBA">
      <w:pPr>
        <w:jc w:val="both"/>
        <w:rPr>
          <w:rFonts w:ascii="Roboto" w:hAnsi="Roboto"/>
        </w:rPr>
      </w:pPr>
      <w:r w:rsidRPr="008B4C78">
        <w:rPr>
          <w:rFonts w:ascii="Roboto" w:hAnsi="Roboto"/>
        </w:rPr>
        <w:t xml:space="preserve">Si cette crise perdure, il va sans dire que la disponibilité des intrants agricoles et des produits agro-alimentaires continuera de baisser du fait d’un problème d’accès dû à la baisse de la production au niveau national, à la baisse des stocks au niveau mondial et à l’explosion des coûts de transport.  Ce qui sera très dommageable pour un pays dont plus de </w:t>
      </w:r>
      <w:r w:rsidR="00FB3400" w:rsidRPr="008B4C78">
        <w:rPr>
          <w:rFonts w:ascii="Roboto" w:hAnsi="Roboto"/>
        </w:rPr>
        <w:t>trois quarts</w:t>
      </w:r>
      <w:r w:rsidRPr="008B4C78">
        <w:rPr>
          <w:rFonts w:ascii="Roboto" w:hAnsi="Roboto"/>
        </w:rPr>
        <w:t xml:space="preserve"> des populations tirent leurs revenus de l'agriculture et qui importe l’essentiel de ses produits de consommation. </w:t>
      </w:r>
    </w:p>
    <w:p w14:paraId="3E44A61A" w14:textId="58AAAE23" w:rsidR="00B123F1" w:rsidRPr="008B4C78" w:rsidRDefault="00B123F1" w:rsidP="00430EBA">
      <w:pPr>
        <w:jc w:val="both"/>
        <w:rPr>
          <w:rFonts w:ascii="Roboto" w:hAnsi="Roboto"/>
        </w:rPr>
      </w:pPr>
      <w:r w:rsidRPr="008B4C78">
        <w:rPr>
          <w:rFonts w:ascii="Roboto" w:hAnsi="Roboto"/>
        </w:rPr>
        <w:t>Par ailleurs, une augmentation du prix du carburant à la pompe est prévisible car la subvention accordée par l’</w:t>
      </w:r>
      <w:r w:rsidR="00B87F7C" w:rsidRPr="008B4C78">
        <w:rPr>
          <w:rFonts w:ascii="Roboto" w:hAnsi="Roboto"/>
        </w:rPr>
        <w:t>État</w:t>
      </w:r>
      <w:r w:rsidRPr="008B4C78">
        <w:rPr>
          <w:rFonts w:ascii="Roboto" w:hAnsi="Roboto"/>
        </w:rPr>
        <w:t xml:space="preserve"> à hauteur de 2 000 GNF/litre ne sera pas tenable à la longue. L’augmentation du prix du carburant aura une incidence sur le coût de transport des hommes et </w:t>
      </w:r>
      <w:r w:rsidR="00B87F7C" w:rsidRPr="008B4C78">
        <w:rPr>
          <w:rFonts w:ascii="Roboto" w:hAnsi="Roboto"/>
        </w:rPr>
        <w:t>des biens</w:t>
      </w:r>
      <w:r w:rsidRPr="008B4C78">
        <w:rPr>
          <w:rFonts w:ascii="Roboto" w:hAnsi="Roboto"/>
        </w:rPr>
        <w:t xml:space="preserve"> ; ce qui aura un sérieux impact sur les prix à la consommation.</w:t>
      </w:r>
    </w:p>
    <w:p w14:paraId="190D935B" w14:textId="50BDA5D0" w:rsidR="00B123F1" w:rsidRPr="008B4C78" w:rsidRDefault="00B123F1" w:rsidP="00430EBA">
      <w:pPr>
        <w:jc w:val="both"/>
        <w:rPr>
          <w:rFonts w:ascii="Roboto" w:hAnsi="Roboto"/>
        </w:rPr>
      </w:pPr>
      <w:r w:rsidRPr="008B4C78">
        <w:rPr>
          <w:rFonts w:ascii="Roboto" w:hAnsi="Roboto"/>
        </w:rPr>
        <w:t xml:space="preserve">Le gouvernement compte s'impliquer davantage dans la production agricole. Il a été instruit à chaque </w:t>
      </w:r>
      <w:r w:rsidR="00FB3400" w:rsidRPr="008B4C78">
        <w:rPr>
          <w:rFonts w:ascii="Roboto" w:hAnsi="Roboto"/>
        </w:rPr>
        <w:t>ministre</w:t>
      </w:r>
      <w:r w:rsidRPr="008B4C78">
        <w:rPr>
          <w:rFonts w:ascii="Roboto" w:hAnsi="Roboto"/>
        </w:rPr>
        <w:t xml:space="preserve"> de la République de mettre en valeur au moins 50 hectares de terre. Les opérateurs privés ont été sensibilisés et se sont engagés à s’investir dans l’agriculture. Pour ce faire, l’</w:t>
      </w:r>
      <w:r w:rsidR="00B87F7C" w:rsidRPr="008B4C78">
        <w:rPr>
          <w:rFonts w:ascii="Roboto" w:hAnsi="Roboto"/>
        </w:rPr>
        <w:t>État</w:t>
      </w:r>
      <w:r w:rsidRPr="008B4C78">
        <w:rPr>
          <w:rFonts w:ascii="Roboto" w:hAnsi="Roboto"/>
        </w:rPr>
        <w:t xml:space="preserve"> a facilité l’accès à la terre à travers des baux.  Des négociations sont en cours pour revoir à la hausse le budget de la campagne agricole en particulier et du ministère de l’agriculture et de l’élevage en général. L’objectif est l’atteinte de l’autosuffisance alimentaire.</w:t>
      </w:r>
    </w:p>
    <w:p w14:paraId="38DAC541" w14:textId="0DD742A9" w:rsidR="00B123F1" w:rsidRPr="008B4C78" w:rsidRDefault="00B123F1" w:rsidP="00430EBA">
      <w:pPr>
        <w:jc w:val="both"/>
        <w:rPr>
          <w:rFonts w:ascii="Roboto" w:hAnsi="Roboto"/>
        </w:rPr>
      </w:pPr>
      <w:r w:rsidRPr="008B4C78">
        <w:rPr>
          <w:rFonts w:ascii="Roboto" w:hAnsi="Roboto"/>
        </w:rPr>
        <w:lastRenderedPageBreak/>
        <w:t xml:space="preserve">A travers le ministère en charge du commerce, le gouvernement a pris une série de mesures pour stabiliser les prix des denrées de </w:t>
      </w:r>
      <w:r w:rsidR="00FB3400" w:rsidRPr="008B4C78">
        <w:rPr>
          <w:rFonts w:ascii="Roboto" w:hAnsi="Roboto"/>
        </w:rPr>
        <w:t>première nécessité</w:t>
      </w:r>
      <w:r w:rsidRPr="008B4C78">
        <w:rPr>
          <w:rFonts w:ascii="Roboto" w:hAnsi="Roboto"/>
        </w:rPr>
        <w:t xml:space="preserve"> et des produits stratégiques, </w:t>
      </w:r>
      <w:r w:rsidR="00FB3400" w:rsidRPr="008B4C78">
        <w:rPr>
          <w:rFonts w:ascii="Roboto" w:hAnsi="Roboto"/>
        </w:rPr>
        <w:t>notamment :</w:t>
      </w:r>
    </w:p>
    <w:p w14:paraId="3BCE151F" w14:textId="14E6DFBD" w:rsidR="00B123F1" w:rsidRPr="008B4C78" w:rsidRDefault="00FB3400" w:rsidP="00FB3400">
      <w:pPr>
        <w:pStyle w:val="ListParagraph"/>
        <w:numPr>
          <w:ilvl w:val="0"/>
          <w:numId w:val="8"/>
        </w:numPr>
        <w:jc w:val="both"/>
        <w:rPr>
          <w:rFonts w:ascii="Roboto" w:hAnsi="Roboto"/>
        </w:rPr>
      </w:pPr>
      <w:r w:rsidRPr="008B4C78">
        <w:rPr>
          <w:rFonts w:ascii="Roboto" w:hAnsi="Roboto"/>
        </w:rPr>
        <w:t>La</w:t>
      </w:r>
      <w:r w:rsidR="00B123F1" w:rsidRPr="008B4C78">
        <w:rPr>
          <w:rFonts w:ascii="Roboto" w:hAnsi="Roboto"/>
        </w:rPr>
        <w:t xml:space="preserve"> mise en place de la Chambre Nationale de Commerce, d'industrie et d'artisanat qui est désormais opérationnelle pour accompagner les mesures de régulation du commerce sur le </w:t>
      </w:r>
      <w:r w:rsidRPr="008B4C78">
        <w:rPr>
          <w:rFonts w:ascii="Roboto" w:hAnsi="Roboto"/>
        </w:rPr>
        <w:t>terrain ;</w:t>
      </w:r>
    </w:p>
    <w:p w14:paraId="6C0D1D2D" w14:textId="682CD658" w:rsidR="00B123F1" w:rsidRPr="008B4C78" w:rsidRDefault="00FB3400" w:rsidP="00FB3400">
      <w:pPr>
        <w:pStyle w:val="ListParagraph"/>
        <w:numPr>
          <w:ilvl w:val="0"/>
          <w:numId w:val="8"/>
        </w:numPr>
        <w:jc w:val="both"/>
        <w:rPr>
          <w:rFonts w:ascii="Roboto" w:hAnsi="Roboto"/>
        </w:rPr>
      </w:pPr>
      <w:r w:rsidRPr="008B4C78">
        <w:rPr>
          <w:rFonts w:ascii="Roboto" w:hAnsi="Roboto"/>
        </w:rPr>
        <w:t>La</w:t>
      </w:r>
      <w:r w:rsidR="00B123F1" w:rsidRPr="008B4C78">
        <w:rPr>
          <w:rFonts w:ascii="Roboto" w:hAnsi="Roboto"/>
        </w:rPr>
        <w:t xml:space="preserve"> définition et l</w:t>
      </w:r>
      <w:r w:rsidR="00156AD0">
        <w:rPr>
          <w:rFonts w:ascii="Roboto" w:hAnsi="Roboto"/>
        </w:rPr>
        <w:t>a</w:t>
      </w:r>
      <w:r w:rsidR="00B123F1" w:rsidRPr="008B4C78">
        <w:rPr>
          <w:rFonts w:ascii="Roboto" w:hAnsi="Roboto"/>
        </w:rPr>
        <w:t xml:space="preserve"> diffusion (presse, affichage) d'un barème de prix des produits de première nécessité, particulièrement pendant le mois de </w:t>
      </w:r>
      <w:r w:rsidRPr="008B4C78">
        <w:rPr>
          <w:rFonts w:ascii="Roboto" w:hAnsi="Roboto"/>
        </w:rPr>
        <w:t>carême ;</w:t>
      </w:r>
    </w:p>
    <w:p w14:paraId="4E253C29" w14:textId="06ACE664" w:rsidR="00B123F1" w:rsidRPr="008B4C78" w:rsidRDefault="00B123F1" w:rsidP="00FB3400">
      <w:pPr>
        <w:pStyle w:val="ListParagraph"/>
        <w:numPr>
          <w:ilvl w:val="0"/>
          <w:numId w:val="8"/>
        </w:numPr>
        <w:jc w:val="both"/>
        <w:rPr>
          <w:rFonts w:ascii="Roboto" w:hAnsi="Roboto"/>
        </w:rPr>
      </w:pPr>
      <w:r w:rsidRPr="008B4C78">
        <w:rPr>
          <w:rFonts w:ascii="Roboto" w:hAnsi="Roboto"/>
        </w:rPr>
        <w:t xml:space="preserve">La généralisation des facilités douanières accordées à tous les opérateurs </w:t>
      </w:r>
      <w:r w:rsidR="00FB3400" w:rsidRPr="008B4C78">
        <w:rPr>
          <w:rFonts w:ascii="Roboto" w:hAnsi="Roboto"/>
        </w:rPr>
        <w:t>économiques ;</w:t>
      </w:r>
    </w:p>
    <w:p w14:paraId="0581D1A1" w14:textId="72093A5A" w:rsidR="00B123F1" w:rsidRPr="008B4C78" w:rsidRDefault="00B123F1" w:rsidP="00FB3400">
      <w:pPr>
        <w:pStyle w:val="ListParagraph"/>
        <w:numPr>
          <w:ilvl w:val="0"/>
          <w:numId w:val="8"/>
        </w:numPr>
        <w:jc w:val="both"/>
        <w:rPr>
          <w:rFonts w:ascii="Roboto" w:hAnsi="Roboto"/>
        </w:rPr>
      </w:pPr>
      <w:r w:rsidRPr="008B4C78">
        <w:rPr>
          <w:rFonts w:ascii="Roboto" w:hAnsi="Roboto"/>
        </w:rPr>
        <w:t xml:space="preserve">La suppression des monopoles dans le </w:t>
      </w:r>
      <w:r w:rsidR="00FB3400" w:rsidRPr="008B4C78">
        <w:rPr>
          <w:rFonts w:ascii="Roboto" w:hAnsi="Roboto"/>
        </w:rPr>
        <w:t>commerce ;</w:t>
      </w:r>
    </w:p>
    <w:p w14:paraId="0AFB946E" w14:textId="4FD33236" w:rsidR="00B123F1" w:rsidRPr="008B4C78" w:rsidRDefault="00FB3400" w:rsidP="00FB3400">
      <w:pPr>
        <w:pStyle w:val="ListParagraph"/>
        <w:numPr>
          <w:ilvl w:val="0"/>
          <w:numId w:val="8"/>
        </w:numPr>
        <w:jc w:val="both"/>
        <w:rPr>
          <w:rFonts w:ascii="Roboto" w:hAnsi="Roboto"/>
        </w:rPr>
      </w:pPr>
      <w:r w:rsidRPr="008B4C78">
        <w:rPr>
          <w:rFonts w:ascii="Roboto" w:hAnsi="Roboto"/>
        </w:rPr>
        <w:t>L’activation</w:t>
      </w:r>
      <w:r w:rsidR="00B123F1" w:rsidRPr="008B4C78">
        <w:rPr>
          <w:rFonts w:ascii="Roboto" w:hAnsi="Roboto"/>
        </w:rPr>
        <w:t xml:space="preserve"> d'un projet d'importation de riz en partenariat avec la BID. Ce projet prévoit l'importation de 50 000 tonnes de riz par trimestre pendant 1 an.</w:t>
      </w:r>
    </w:p>
    <w:p w14:paraId="7079E3ED" w14:textId="4B1C8192" w:rsidR="00B123F1" w:rsidRPr="008B4C78" w:rsidRDefault="00B123F1" w:rsidP="00430EBA">
      <w:pPr>
        <w:jc w:val="both"/>
        <w:rPr>
          <w:rFonts w:ascii="Roboto" w:hAnsi="Roboto"/>
        </w:rPr>
      </w:pPr>
      <w:r w:rsidRPr="008B4C78">
        <w:rPr>
          <w:rFonts w:ascii="Roboto" w:hAnsi="Roboto"/>
        </w:rPr>
        <w:t xml:space="preserve">Pour atténuer les risques humanitaires et renforcer la résilience des systèmes agro-alimentaires sur le moyen et long terme, il est recommandé </w:t>
      </w:r>
      <w:r w:rsidR="00FB3400" w:rsidRPr="008B4C78">
        <w:rPr>
          <w:rFonts w:ascii="Roboto" w:hAnsi="Roboto"/>
        </w:rPr>
        <w:t>de :</w:t>
      </w:r>
    </w:p>
    <w:p w14:paraId="0F29DC22" w14:textId="34508F5F" w:rsidR="00B123F1" w:rsidRPr="008B4C78" w:rsidRDefault="00B123F1" w:rsidP="00FB3400">
      <w:pPr>
        <w:pStyle w:val="ListParagraph"/>
        <w:numPr>
          <w:ilvl w:val="0"/>
          <w:numId w:val="8"/>
        </w:numPr>
        <w:jc w:val="both"/>
        <w:rPr>
          <w:rFonts w:ascii="Roboto" w:hAnsi="Roboto"/>
        </w:rPr>
      </w:pPr>
      <w:r w:rsidRPr="008B4C78">
        <w:rPr>
          <w:rFonts w:ascii="Roboto" w:hAnsi="Roboto"/>
        </w:rPr>
        <w:t>Favoriser l’implantation d’une usine de production des engrais minéraux en Guinée ;</w:t>
      </w:r>
    </w:p>
    <w:p w14:paraId="53EEC085" w14:textId="2611BAEC" w:rsidR="00B123F1" w:rsidRPr="008B4C78" w:rsidRDefault="00B123F1" w:rsidP="00FB3400">
      <w:pPr>
        <w:pStyle w:val="ListParagraph"/>
        <w:numPr>
          <w:ilvl w:val="0"/>
          <w:numId w:val="8"/>
        </w:numPr>
        <w:jc w:val="both"/>
        <w:rPr>
          <w:rFonts w:ascii="Roboto" w:hAnsi="Roboto"/>
        </w:rPr>
      </w:pPr>
      <w:r w:rsidRPr="008B4C78">
        <w:rPr>
          <w:rFonts w:ascii="Roboto" w:hAnsi="Roboto"/>
        </w:rPr>
        <w:t>Intensifier et diversifier la production agricole en vue d'améliorer la sécurité alimentaire ;</w:t>
      </w:r>
    </w:p>
    <w:p w14:paraId="095C82B0" w14:textId="19386D1C" w:rsidR="00B123F1" w:rsidRPr="008B4C78" w:rsidRDefault="00B123F1" w:rsidP="00FB3400">
      <w:pPr>
        <w:pStyle w:val="ListParagraph"/>
        <w:numPr>
          <w:ilvl w:val="0"/>
          <w:numId w:val="8"/>
        </w:numPr>
        <w:jc w:val="both"/>
        <w:rPr>
          <w:rFonts w:ascii="Roboto" w:hAnsi="Roboto"/>
        </w:rPr>
      </w:pPr>
      <w:r w:rsidRPr="008B4C78">
        <w:rPr>
          <w:rFonts w:ascii="Roboto" w:hAnsi="Roboto"/>
        </w:rPr>
        <w:t xml:space="preserve">Renforcer les capacités des services techniques des ministères en charge de l’agriculture, de l’élevage et des pêches et allouer un budget conséquent à ces </w:t>
      </w:r>
      <w:r w:rsidR="00666BE6" w:rsidRPr="008B4C78">
        <w:rPr>
          <w:rFonts w:ascii="Roboto" w:hAnsi="Roboto"/>
        </w:rPr>
        <w:t>ministères ;</w:t>
      </w:r>
    </w:p>
    <w:p w14:paraId="3D0E61A5" w14:textId="696A1DB5" w:rsidR="00B123F1" w:rsidRPr="008B4C78" w:rsidRDefault="00B123F1" w:rsidP="00FB3400">
      <w:pPr>
        <w:pStyle w:val="ListParagraph"/>
        <w:numPr>
          <w:ilvl w:val="0"/>
          <w:numId w:val="8"/>
        </w:numPr>
        <w:jc w:val="both"/>
        <w:rPr>
          <w:rFonts w:ascii="Roboto" w:hAnsi="Roboto"/>
        </w:rPr>
      </w:pPr>
      <w:r w:rsidRPr="008B4C78">
        <w:rPr>
          <w:rFonts w:ascii="Roboto" w:hAnsi="Roboto"/>
        </w:rPr>
        <w:t>Intensifier la sensibilisation des opérateurs privés pour leur implication dans la production agro-</w:t>
      </w:r>
      <w:r w:rsidR="00FB3400" w:rsidRPr="008B4C78">
        <w:rPr>
          <w:rFonts w:ascii="Roboto" w:hAnsi="Roboto"/>
        </w:rPr>
        <w:t>alimentaire ;</w:t>
      </w:r>
    </w:p>
    <w:p w14:paraId="6BC4CA42" w14:textId="32468DAB" w:rsidR="00B123F1" w:rsidRPr="008B4C78" w:rsidRDefault="00B123F1" w:rsidP="00FB3400">
      <w:pPr>
        <w:pStyle w:val="ListParagraph"/>
        <w:numPr>
          <w:ilvl w:val="0"/>
          <w:numId w:val="8"/>
        </w:numPr>
        <w:jc w:val="both"/>
        <w:rPr>
          <w:rFonts w:ascii="Roboto" w:hAnsi="Roboto"/>
        </w:rPr>
      </w:pPr>
      <w:r w:rsidRPr="008B4C78">
        <w:rPr>
          <w:rFonts w:ascii="Roboto" w:hAnsi="Roboto"/>
        </w:rPr>
        <w:t>Constituer un stock de sécurité alimentaire, et</w:t>
      </w:r>
    </w:p>
    <w:p w14:paraId="74CA257D" w14:textId="0DC53546" w:rsidR="00B123F1" w:rsidRPr="008B4C78" w:rsidRDefault="00B123F1" w:rsidP="00430EBA">
      <w:pPr>
        <w:pStyle w:val="ListParagraph"/>
        <w:numPr>
          <w:ilvl w:val="0"/>
          <w:numId w:val="8"/>
        </w:numPr>
        <w:jc w:val="both"/>
        <w:rPr>
          <w:rFonts w:ascii="Roboto" w:hAnsi="Roboto"/>
        </w:rPr>
      </w:pPr>
      <w:r w:rsidRPr="008B4C78">
        <w:rPr>
          <w:rFonts w:ascii="Roboto" w:hAnsi="Roboto"/>
        </w:rPr>
        <w:t>Maintenir la subvention du carburant dans la durée.</w:t>
      </w:r>
    </w:p>
    <w:p w14:paraId="0F76C4D6" w14:textId="5AF8CA1B" w:rsidR="003F6CF3" w:rsidRPr="008B4C78" w:rsidRDefault="00261701" w:rsidP="00CE7DA2">
      <w:pPr>
        <w:pStyle w:val="Heading2"/>
        <w:numPr>
          <w:ilvl w:val="0"/>
          <w:numId w:val="37"/>
        </w:numPr>
        <w:rPr>
          <w:rFonts w:ascii="Roboto" w:hAnsi="Roboto"/>
        </w:rPr>
      </w:pPr>
      <w:bookmarkStart w:id="26" w:name="_Toc141568109"/>
      <w:r>
        <w:rPr>
          <w:rFonts w:ascii="Roboto" w:hAnsi="Roboto"/>
        </w:rPr>
        <w:t>Mesure de remédiation</w:t>
      </w:r>
      <w:bookmarkEnd w:id="26"/>
      <w:r w:rsidR="003F6CF3" w:rsidRPr="008B4C78">
        <w:rPr>
          <w:rFonts w:ascii="Roboto" w:hAnsi="Roboto"/>
        </w:rPr>
        <w:t xml:space="preserve"> </w:t>
      </w:r>
    </w:p>
    <w:p w14:paraId="5A69F9F7" w14:textId="297D204B" w:rsidR="003F6CF3" w:rsidRPr="008B4C78" w:rsidRDefault="003F6CF3" w:rsidP="003F6CF3">
      <w:pPr>
        <w:jc w:val="both"/>
        <w:rPr>
          <w:rFonts w:ascii="Roboto" w:hAnsi="Roboto"/>
        </w:rPr>
      </w:pPr>
      <w:r w:rsidRPr="008B4C78">
        <w:rPr>
          <w:rFonts w:ascii="Roboto" w:hAnsi="Roboto"/>
        </w:rPr>
        <w:t>Il faut mettre en œuvre des stratégies intégrées afin de remédier aux difficultés à court terme tout en jetant les bases d’une plus grande accessibilité physique et économique des denrées alimentaires. Pour remédier au manque de résilience aux changements climatiques, qui sous-tend fortement l’insécurité alimentaire chronique en Guinée, il faudra :</w:t>
      </w:r>
    </w:p>
    <w:p w14:paraId="2EA769B9" w14:textId="560866E9" w:rsidR="003F6CF3" w:rsidRPr="008B4C78" w:rsidRDefault="003F6CF3" w:rsidP="003F6CF3">
      <w:pPr>
        <w:pStyle w:val="ListParagraph"/>
        <w:numPr>
          <w:ilvl w:val="0"/>
          <w:numId w:val="16"/>
        </w:numPr>
        <w:jc w:val="both"/>
        <w:rPr>
          <w:rFonts w:ascii="Roboto" w:hAnsi="Roboto"/>
        </w:rPr>
      </w:pPr>
      <w:r w:rsidRPr="008B4C78">
        <w:rPr>
          <w:rFonts w:ascii="Roboto" w:hAnsi="Roboto"/>
        </w:rPr>
        <w:t>À court terme, dans l’optique d’alléger les tensions immédiates, le pays devrait protéger les personnes les plus vulnérables contre la hausse des prix alimentaires grâce à des mesures budgétaires temporaires et de préférence ciblées. Cependant, ces mesures pourraient être coûteuses et, étant donné l’espace budgétaire restreint, devraient être supprimées progressivement.</w:t>
      </w:r>
    </w:p>
    <w:p w14:paraId="678FB4BF" w14:textId="4D841CA1" w:rsidR="003F6CF3" w:rsidRPr="008B4C78" w:rsidRDefault="003F6CF3" w:rsidP="003F6CF3">
      <w:pPr>
        <w:pStyle w:val="ListParagraph"/>
        <w:numPr>
          <w:ilvl w:val="0"/>
          <w:numId w:val="16"/>
        </w:numPr>
        <w:jc w:val="both"/>
        <w:rPr>
          <w:rFonts w:ascii="Roboto" w:hAnsi="Roboto"/>
        </w:rPr>
      </w:pPr>
      <w:r w:rsidRPr="008B4C78">
        <w:rPr>
          <w:rFonts w:ascii="Roboto" w:hAnsi="Roboto"/>
        </w:rPr>
        <w:t xml:space="preserve">A long terme, il est nécessaire d’avoir une approche innovante du système alimentaire en Guinée. </w:t>
      </w:r>
    </w:p>
    <w:p w14:paraId="0F15FBBA" w14:textId="77777777" w:rsidR="003F6CF3" w:rsidRPr="008B4C78" w:rsidRDefault="003F6CF3" w:rsidP="003F6CF3">
      <w:pPr>
        <w:jc w:val="both"/>
        <w:rPr>
          <w:rFonts w:ascii="Roboto" w:hAnsi="Roboto"/>
        </w:rPr>
      </w:pPr>
      <w:r w:rsidRPr="008B4C78">
        <w:rPr>
          <w:rFonts w:ascii="Roboto" w:hAnsi="Roboto"/>
        </w:rPr>
        <w:t>Compte tenu de l’importance de ce sujet, le Secrétaire Général du Système des Nations des Unies a justement convoqué un sommet mondial du système alimentaire qui a eu lieu au mois de septembre 2021 à New York. Dans le cadre de la préparation du sommet, la République de la Guinée, comme plus de 147 États membres de l'ONU, a organisé, avec l’appui du SNU, des journées de concertations sur les systèmes alimentaires dans l’ensemble du pays et a produit une feuille de route nationale qui a été soumise au secrétariat du Sommet.</w:t>
      </w:r>
    </w:p>
    <w:p w14:paraId="548B6AE9" w14:textId="2BBA6270" w:rsidR="003F6CF3" w:rsidRPr="008B4C78" w:rsidRDefault="003F6CF3" w:rsidP="003F6CF3">
      <w:pPr>
        <w:jc w:val="both"/>
        <w:rPr>
          <w:rFonts w:ascii="Roboto" w:hAnsi="Roboto"/>
        </w:rPr>
      </w:pPr>
      <w:r w:rsidRPr="008B4C78">
        <w:rPr>
          <w:rFonts w:ascii="Roboto" w:hAnsi="Roboto"/>
        </w:rPr>
        <w:lastRenderedPageBreak/>
        <w:t xml:space="preserve">Malgré, ces opportunités et avantages naturels, des contraintes continuent d’impacter les systèmes alimentaires pour l’atteinte </w:t>
      </w:r>
      <w:r w:rsidR="00156AD0">
        <w:rPr>
          <w:rFonts w:ascii="Roboto" w:hAnsi="Roboto"/>
        </w:rPr>
        <w:t>d</w:t>
      </w:r>
      <w:r w:rsidRPr="008B4C78">
        <w:rPr>
          <w:rFonts w:ascii="Roboto" w:hAnsi="Roboto"/>
        </w:rPr>
        <w:t>es ODD sur la sécurité alimentaire.</w:t>
      </w:r>
    </w:p>
    <w:p w14:paraId="541BC972" w14:textId="0BD79995" w:rsidR="003F6CF3" w:rsidRPr="008B4C78" w:rsidRDefault="000A696D" w:rsidP="00386F9F">
      <w:pPr>
        <w:jc w:val="both"/>
        <w:rPr>
          <w:rFonts w:ascii="Roboto" w:hAnsi="Roboto"/>
        </w:rPr>
      </w:pPr>
      <w:r w:rsidRPr="008B4C78">
        <w:rPr>
          <w:rFonts w:ascii="Roboto" w:hAnsi="Roboto"/>
        </w:rPr>
        <w:t>L</w:t>
      </w:r>
      <w:r w:rsidR="003F6CF3" w:rsidRPr="008B4C78">
        <w:rPr>
          <w:rFonts w:ascii="Roboto" w:hAnsi="Roboto"/>
        </w:rPr>
        <w:t xml:space="preserve">’approche </w:t>
      </w:r>
      <w:r w:rsidRPr="008B4C78">
        <w:rPr>
          <w:rFonts w:ascii="Roboto" w:hAnsi="Roboto"/>
        </w:rPr>
        <w:t>adopté</w:t>
      </w:r>
      <w:r w:rsidR="00156AD0">
        <w:rPr>
          <w:rFonts w:ascii="Roboto" w:hAnsi="Roboto"/>
        </w:rPr>
        <w:t>e</w:t>
      </w:r>
      <w:r w:rsidRPr="008B4C78">
        <w:rPr>
          <w:rFonts w:ascii="Roboto" w:hAnsi="Roboto"/>
        </w:rPr>
        <w:t xml:space="preserve"> par le gouvernement va</w:t>
      </w:r>
      <w:r w:rsidR="003F6CF3" w:rsidRPr="008B4C78">
        <w:rPr>
          <w:rFonts w:ascii="Roboto" w:hAnsi="Roboto"/>
        </w:rPr>
        <w:t xml:space="preserve"> </w:t>
      </w:r>
      <w:r w:rsidRPr="008B4C78">
        <w:rPr>
          <w:rFonts w:ascii="Roboto" w:hAnsi="Roboto"/>
        </w:rPr>
        <w:t>permettre de</w:t>
      </w:r>
      <w:r w:rsidR="003F6CF3" w:rsidRPr="008B4C78">
        <w:rPr>
          <w:rFonts w:ascii="Roboto" w:hAnsi="Roboto"/>
        </w:rPr>
        <w:t xml:space="preserve"> prendre en compte de façon coordonnée et transversale tous les segments liés à la transformation, au développement et à la promotion d’un système alimentaire fiable et durable. La réflexion a été organisée selon une approche systémique (de la fourche à la fourchette) à travers les quatre (4) thèmes qui sont :</w:t>
      </w:r>
      <w:r w:rsidRPr="008B4C78">
        <w:rPr>
          <w:rFonts w:ascii="Roboto" w:hAnsi="Roboto"/>
        </w:rPr>
        <w:t xml:space="preserve"> (i) l</w:t>
      </w:r>
      <w:r w:rsidR="003F6CF3" w:rsidRPr="008B4C78">
        <w:rPr>
          <w:rFonts w:ascii="Roboto" w:hAnsi="Roboto"/>
        </w:rPr>
        <w:t>a chaine d’approvisionnement alimentaire (production, transformation, transport, distribution et commercialisation) ;</w:t>
      </w:r>
      <w:r w:rsidRPr="008B4C78">
        <w:rPr>
          <w:rFonts w:ascii="Roboto" w:hAnsi="Roboto"/>
        </w:rPr>
        <w:t xml:space="preserve"> (ii) l</w:t>
      </w:r>
      <w:r w:rsidR="003F6CF3" w:rsidRPr="008B4C78">
        <w:rPr>
          <w:rFonts w:ascii="Roboto" w:hAnsi="Roboto"/>
        </w:rPr>
        <w:t>es contextes qui influencent les régimes alimentaires des personnes (disponibilité, accessibilité et habitude alimentaire</w:t>
      </w:r>
      <w:r w:rsidRPr="008B4C78">
        <w:rPr>
          <w:rFonts w:ascii="Roboto" w:hAnsi="Roboto"/>
        </w:rPr>
        <w:t>) ; (iii) l</w:t>
      </w:r>
      <w:r w:rsidR="003F6CF3" w:rsidRPr="008B4C78">
        <w:rPr>
          <w:rFonts w:ascii="Roboto" w:hAnsi="Roboto"/>
        </w:rPr>
        <w:t>es facteurs qui façonnent les systèmes alimentaires locaux (facteurs biophysiques et environnementaux, facteurs infrastructurels et technologiques)</w:t>
      </w:r>
      <w:r w:rsidRPr="008B4C78">
        <w:rPr>
          <w:rFonts w:ascii="Roboto" w:hAnsi="Roboto"/>
        </w:rPr>
        <w:t> ; (iv) et enfin des actions spécifiques pour renforcer l</w:t>
      </w:r>
      <w:r w:rsidR="003F6CF3" w:rsidRPr="008B4C78">
        <w:rPr>
          <w:rFonts w:ascii="Roboto" w:hAnsi="Roboto"/>
        </w:rPr>
        <w:t>a sécurité alimentaire et la nutrition (économie et impact sur la santé).</w:t>
      </w:r>
    </w:p>
    <w:p w14:paraId="39C8BAF3" w14:textId="285F3E67" w:rsidR="00702C87" w:rsidRPr="008B4C78" w:rsidRDefault="00702C87" w:rsidP="00702C87">
      <w:pPr>
        <w:jc w:val="both"/>
        <w:rPr>
          <w:rFonts w:ascii="Roboto" w:hAnsi="Roboto"/>
        </w:rPr>
      </w:pPr>
      <w:r w:rsidRPr="008B4C78">
        <w:rPr>
          <w:rFonts w:ascii="Roboto" w:hAnsi="Roboto"/>
        </w:rPr>
        <w:t>L’approche préconisée se donne comme défi de changer le paradigme en passant d’une approche productiviste à une approche « Systémique (systèmes alimentaires de la ferme à la fourchette</w:t>
      </w:r>
      <w:proofErr w:type="gramStart"/>
      <w:r w:rsidRPr="008B4C78">
        <w:rPr>
          <w:rFonts w:ascii="Roboto" w:hAnsi="Roboto"/>
        </w:rPr>
        <w:t>)»</w:t>
      </w:r>
      <w:proofErr w:type="gramEnd"/>
      <w:r w:rsidRPr="008B4C78">
        <w:rPr>
          <w:rFonts w:ascii="Roboto" w:hAnsi="Roboto"/>
        </w:rPr>
        <w:t xml:space="preserve"> à travers  les actions prioritaires ci-dessous : </w:t>
      </w:r>
    </w:p>
    <w:p w14:paraId="64B8C482" w14:textId="711A05E0" w:rsidR="00702C87" w:rsidRPr="008B4C78" w:rsidRDefault="00702C87" w:rsidP="00702C87">
      <w:pPr>
        <w:pStyle w:val="ListParagraph"/>
        <w:numPr>
          <w:ilvl w:val="0"/>
          <w:numId w:val="18"/>
        </w:numPr>
        <w:jc w:val="both"/>
        <w:rPr>
          <w:rFonts w:ascii="Roboto" w:hAnsi="Roboto"/>
        </w:rPr>
      </w:pPr>
      <w:r w:rsidRPr="008B4C78">
        <w:rPr>
          <w:rFonts w:ascii="Roboto" w:hAnsi="Roboto"/>
        </w:rPr>
        <w:t xml:space="preserve">Avoir une volonté politique forte – des stratégies à </w:t>
      </w:r>
      <w:r w:rsidR="008F65F5" w:rsidRPr="008B4C78">
        <w:rPr>
          <w:rFonts w:ascii="Roboto" w:hAnsi="Roboto"/>
        </w:rPr>
        <w:t>leurs opérationnalisations</w:t>
      </w:r>
    </w:p>
    <w:p w14:paraId="1F578CF7" w14:textId="3190BA8A" w:rsidR="00702C87" w:rsidRPr="008B4C78" w:rsidRDefault="00702C87" w:rsidP="00702C87">
      <w:pPr>
        <w:pStyle w:val="ListParagraph"/>
        <w:numPr>
          <w:ilvl w:val="0"/>
          <w:numId w:val="18"/>
        </w:numPr>
        <w:jc w:val="both"/>
        <w:rPr>
          <w:rFonts w:ascii="Roboto" w:hAnsi="Roboto"/>
        </w:rPr>
      </w:pPr>
      <w:r w:rsidRPr="008B4C78">
        <w:rPr>
          <w:rFonts w:ascii="Roboto" w:hAnsi="Roboto"/>
        </w:rPr>
        <w:t>Une coordination intersectorielle renforcée entre les différents secteurs concernés (agriculture, santé, nutrition, finances, commerce, etc</w:t>
      </w:r>
      <w:r w:rsidR="00156AD0">
        <w:rPr>
          <w:rFonts w:ascii="Roboto" w:hAnsi="Roboto"/>
        </w:rPr>
        <w:t>.</w:t>
      </w:r>
      <w:r w:rsidRPr="008B4C78">
        <w:rPr>
          <w:rFonts w:ascii="Roboto" w:hAnsi="Roboto"/>
        </w:rPr>
        <w:t>)</w:t>
      </w:r>
    </w:p>
    <w:p w14:paraId="7CC79C1F" w14:textId="0BCFE948" w:rsidR="00702C87" w:rsidRPr="008B4C78" w:rsidRDefault="00702C87" w:rsidP="00702C87">
      <w:pPr>
        <w:pStyle w:val="ListParagraph"/>
        <w:numPr>
          <w:ilvl w:val="0"/>
          <w:numId w:val="18"/>
        </w:numPr>
        <w:jc w:val="both"/>
        <w:rPr>
          <w:rFonts w:ascii="Roboto" w:hAnsi="Roboto"/>
        </w:rPr>
      </w:pPr>
      <w:r w:rsidRPr="008B4C78">
        <w:rPr>
          <w:rFonts w:ascii="Roboto" w:hAnsi="Roboto"/>
        </w:rPr>
        <w:t>Une plus grande cohérence des politiques de développement agricole, articulées aux politiques de lutte contre le changement climatique, de préservation de la biodiversité, de politiques fiscales et d’incitations à l’entreprenariat et à l’investissement étranger</w:t>
      </w:r>
    </w:p>
    <w:p w14:paraId="10BD3A8A" w14:textId="7ED2EAD3" w:rsidR="00702C87" w:rsidRPr="008B4C78" w:rsidRDefault="00702C87" w:rsidP="00702C87">
      <w:pPr>
        <w:pStyle w:val="ListParagraph"/>
        <w:numPr>
          <w:ilvl w:val="0"/>
          <w:numId w:val="18"/>
        </w:numPr>
        <w:jc w:val="both"/>
        <w:rPr>
          <w:rFonts w:ascii="Roboto" w:hAnsi="Roboto"/>
        </w:rPr>
      </w:pPr>
      <w:r w:rsidRPr="008B4C78">
        <w:rPr>
          <w:rFonts w:ascii="Roboto" w:hAnsi="Roboto"/>
        </w:rPr>
        <w:t>Faire d’une pierre deux coups : utiliser l’agriculture pour répondre aux questions d’emploi des jeunes, de prévention de l’extrémisme violent, de préservation de la biodiversité, d’amélioration de la santé maternelle et de l’enfant.</w:t>
      </w:r>
    </w:p>
    <w:p w14:paraId="467B7B8D" w14:textId="5B33E799" w:rsidR="00702C87" w:rsidRPr="008B4C78" w:rsidRDefault="00702C87" w:rsidP="00702C87">
      <w:pPr>
        <w:pStyle w:val="ListParagraph"/>
        <w:numPr>
          <w:ilvl w:val="0"/>
          <w:numId w:val="18"/>
        </w:numPr>
        <w:jc w:val="both"/>
        <w:rPr>
          <w:rFonts w:ascii="Roboto" w:hAnsi="Roboto"/>
        </w:rPr>
      </w:pPr>
      <w:r w:rsidRPr="008B4C78">
        <w:rPr>
          <w:rFonts w:ascii="Roboto" w:hAnsi="Roboto"/>
        </w:rPr>
        <w:t>Effectuer des Réformes stratégiques (ex : foncier pour l’accès des femmes et des jeunes à la terre)</w:t>
      </w:r>
    </w:p>
    <w:p w14:paraId="0A16C2CF" w14:textId="23614AE7" w:rsidR="00D7215F" w:rsidRPr="008F65F5" w:rsidRDefault="00702C87" w:rsidP="008F65F5">
      <w:pPr>
        <w:pStyle w:val="ListParagraph"/>
        <w:numPr>
          <w:ilvl w:val="0"/>
          <w:numId w:val="18"/>
        </w:numPr>
        <w:jc w:val="both"/>
        <w:rPr>
          <w:rFonts w:ascii="Roboto" w:hAnsi="Roboto"/>
        </w:rPr>
      </w:pPr>
      <w:r w:rsidRPr="008B4C78">
        <w:rPr>
          <w:rFonts w:ascii="Roboto" w:hAnsi="Roboto"/>
        </w:rPr>
        <w:t>Consacrer une partie substantielle du budget nécessaire à l’agriculture (</w:t>
      </w:r>
      <w:proofErr w:type="spellStart"/>
      <w:r w:rsidRPr="008B4C78">
        <w:rPr>
          <w:rFonts w:ascii="Roboto" w:hAnsi="Roboto"/>
        </w:rPr>
        <w:t>cf</w:t>
      </w:r>
      <w:proofErr w:type="spellEnd"/>
      <w:r w:rsidRPr="008B4C78">
        <w:rPr>
          <w:rFonts w:ascii="Roboto" w:hAnsi="Roboto"/>
        </w:rPr>
        <w:t xml:space="preserve"> les engagements de </w:t>
      </w:r>
      <w:r w:rsidR="0074261B" w:rsidRPr="008B4C78">
        <w:rPr>
          <w:rFonts w:ascii="Roboto" w:hAnsi="Roboto"/>
        </w:rPr>
        <w:t>Malabo de</w:t>
      </w:r>
      <w:r w:rsidRPr="008B4C78">
        <w:rPr>
          <w:rFonts w:ascii="Roboto" w:hAnsi="Roboto"/>
        </w:rPr>
        <w:t xml:space="preserve"> 2014 où la part de l’investissement public dans l’agriculture doit être supérieur à 10%) mais aussi à la recherche agricole qui est laissée pour compte, empêchant une véritable modernisation de l’agriculture à travers l’innovation technologique et sociale.</w:t>
      </w:r>
    </w:p>
    <w:p w14:paraId="3CAD7A0F" w14:textId="145C0ADA" w:rsidR="00ED5B29" w:rsidRPr="008B4C78" w:rsidRDefault="00A13E41" w:rsidP="007702CE">
      <w:pPr>
        <w:pStyle w:val="Heading1"/>
        <w:numPr>
          <w:ilvl w:val="0"/>
          <w:numId w:val="27"/>
        </w:numPr>
        <w:rPr>
          <w:rFonts w:ascii="Roboto" w:hAnsi="Roboto"/>
        </w:rPr>
      </w:pPr>
      <w:bookmarkStart w:id="27" w:name="_Toc141568110"/>
      <w:r w:rsidRPr="008B4C78">
        <w:rPr>
          <w:rFonts w:ascii="Roboto" w:hAnsi="Roboto"/>
        </w:rPr>
        <w:t>Analyses prospectives en Guinée</w:t>
      </w:r>
      <w:bookmarkEnd w:id="27"/>
      <w:r w:rsidRPr="008B4C78">
        <w:rPr>
          <w:rFonts w:ascii="Roboto" w:hAnsi="Roboto"/>
        </w:rPr>
        <w:t xml:space="preserve"> </w:t>
      </w:r>
    </w:p>
    <w:p w14:paraId="013692CE" w14:textId="550BE1D1" w:rsidR="005F156E" w:rsidRPr="008B4C78" w:rsidRDefault="005F156E" w:rsidP="005F156E">
      <w:pPr>
        <w:rPr>
          <w:rFonts w:ascii="Roboto" w:hAnsi="Roboto"/>
        </w:rPr>
      </w:pPr>
    </w:p>
    <w:p w14:paraId="43E2F1C2" w14:textId="5381301C" w:rsidR="005F156E" w:rsidRPr="008B4C78" w:rsidRDefault="007933A5" w:rsidP="005F156E">
      <w:pPr>
        <w:rPr>
          <w:rFonts w:ascii="Roboto" w:hAnsi="Roboto"/>
        </w:rPr>
      </w:pPr>
      <w:r w:rsidRPr="008B4C78">
        <w:rPr>
          <w:rFonts w:ascii="Roboto" w:hAnsi="Roboto"/>
        </w:rPr>
        <w:t xml:space="preserve">Les Nations Unies en Guinée ont voulu renforcer la capacite d’analyse afin de répondre aux attentes des partenaires nationaux et des populations. </w:t>
      </w:r>
      <w:r w:rsidR="00F7389E" w:rsidRPr="008B4C78">
        <w:rPr>
          <w:rFonts w:ascii="Roboto" w:hAnsi="Roboto"/>
        </w:rPr>
        <w:t>À</w:t>
      </w:r>
      <w:r w:rsidR="00F32139" w:rsidRPr="008B4C78">
        <w:rPr>
          <w:rFonts w:ascii="Roboto" w:hAnsi="Roboto"/>
        </w:rPr>
        <w:t xml:space="preserve"> cet effet, une démarche scientifique et participative a été adoptée en collaboration avec la cellule d’innovation du département des affaires </w:t>
      </w:r>
      <w:r w:rsidR="00E31661" w:rsidRPr="008B4C78">
        <w:rPr>
          <w:rFonts w:ascii="Roboto" w:hAnsi="Roboto"/>
        </w:rPr>
        <w:t>politiques</w:t>
      </w:r>
      <w:r w:rsidR="00F32139" w:rsidRPr="008B4C78">
        <w:rPr>
          <w:rFonts w:ascii="Roboto" w:hAnsi="Roboto"/>
        </w:rPr>
        <w:t xml:space="preserve"> des Nations Unies afin de mettre en place une analyse prospective nationale. </w:t>
      </w:r>
    </w:p>
    <w:p w14:paraId="24A06A53" w14:textId="30C533B1" w:rsidR="00F7389E" w:rsidRPr="00F7389E" w:rsidRDefault="00E31661" w:rsidP="00F7389E">
      <w:pPr>
        <w:rPr>
          <w:rFonts w:ascii="Roboto" w:hAnsi="Roboto"/>
        </w:rPr>
      </w:pPr>
      <w:r w:rsidRPr="008B4C78">
        <w:rPr>
          <w:rFonts w:ascii="Roboto" w:hAnsi="Roboto"/>
        </w:rPr>
        <w:t xml:space="preserve">L’exercice de prospective stratégique en paix, sécurité et développement </w:t>
      </w:r>
      <w:r w:rsidR="00F7389E">
        <w:rPr>
          <w:rFonts w:ascii="Roboto" w:hAnsi="Roboto"/>
        </w:rPr>
        <w:t>a soulevé les différents défis et enjeux en Guinée sous forme d’analyse PESTLE-V. L’</w:t>
      </w:r>
      <w:r w:rsidR="00F7389E" w:rsidRPr="00F7389E">
        <w:rPr>
          <w:rFonts w:ascii="Roboto" w:hAnsi="Roboto"/>
        </w:rPr>
        <w:t xml:space="preserve">analyse approfondie des facteurs critiques qui influencent le développement, la paix et la sécurité de la Guinée, </w:t>
      </w:r>
      <w:r w:rsidR="00F7389E">
        <w:rPr>
          <w:rFonts w:ascii="Roboto" w:hAnsi="Roboto"/>
        </w:rPr>
        <w:t xml:space="preserve">avait </w:t>
      </w:r>
      <w:r w:rsidR="00F7389E" w:rsidRPr="00F7389E">
        <w:rPr>
          <w:rFonts w:ascii="Roboto" w:hAnsi="Roboto"/>
        </w:rPr>
        <w:t>m</w:t>
      </w:r>
      <w:r w:rsidR="00F7389E">
        <w:rPr>
          <w:rFonts w:ascii="Roboto" w:hAnsi="Roboto"/>
        </w:rPr>
        <w:t>is</w:t>
      </w:r>
      <w:r w:rsidR="00F7389E" w:rsidRPr="00F7389E">
        <w:rPr>
          <w:rFonts w:ascii="Roboto" w:hAnsi="Roboto"/>
        </w:rPr>
        <w:t xml:space="preserve"> l'accent sur l'économie. Il est le résultat d'une analyse systémique et systématique </w:t>
      </w:r>
      <w:r w:rsidR="00F7389E" w:rsidRPr="00F7389E">
        <w:rPr>
          <w:rFonts w:ascii="Roboto" w:hAnsi="Roboto"/>
        </w:rPr>
        <w:lastRenderedPageBreak/>
        <w:t xml:space="preserve">de l'environnement et de l'horizon guinéens, basée sur des données documentaires et des entretiens avec le personnel </w:t>
      </w:r>
      <w:r w:rsidR="00F7389E">
        <w:rPr>
          <w:rFonts w:ascii="Roboto" w:hAnsi="Roboto"/>
        </w:rPr>
        <w:t xml:space="preserve">du SNU. L’analyse a déduit les points suivants : </w:t>
      </w:r>
    </w:p>
    <w:p w14:paraId="75829996" w14:textId="4807118F" w:rsidR="00F7389E" w:rsidRPr="00F7389E" w:rsidRDefault="00F7389E" w:rsidP="00F7389E">
      <w:pPr>
        <w:rPr>
          <w:rFonts w:ascii="Roboto" w:hAnsi="Roboto"/>
        </w:rPr>
      </w:pPr>
      <w:r w:rsidRPr="00F7389E">
        <w:rPr>
          <w:rFonts w:ascii="Roboto" w:hAnsi="Roboto"/>
        </w:rPr>
        <w:t xml:space="preserve">1. </w:t>
      </w:r>
      <w:r w:rsidRPr="00F7389E">
        <w:rPr>
          <w:rFonts w:ascii="Roboto" w:hAnsi="Roboto"/>
          <w:b/>
          <w:bCs/>
        </w:rPr>
        <w:t>Politique :</w:t>
      </w:r>
      <w:r w:rsidRPr="00F7389E">
        <w:rPr>
          <w:rFonts w:ascii="Roboto" w:hAnsi="Roboto"/>
        </w:rPr>
        <w:t xml:space="preserve"> Une réconciliation nationale est nécessaire pour surmonter les divisions </w:t>
      </w:r>
      <w:r>
        <w:rPr>
          <w:rFonts w:ascii="Roboto" w:hAnsi="Roboto"/>
        </w:rPr>
        <w:t>et l</w:t>
      </w:r>
      <w:r w:rsidRPr="00F7389E">
        <w:rPr>
          <w:rFonts w:ascii="Roboto" w:hAnsi="Roboto"/>
        </w:rPr>
        <w:t>a bonne gouvernance sont des priorités pour renforcer la confiance dans les institutions publiques.</w:t>
      </w:r>
    </w:p>
    <w:p w14:paraId="10DF6ED4" w14:textId="77777777" w:rsidR="00F7389E" w:rsidRPr="00F7389E" w:rsidRDefault="00F7389E" w:rsidP="00F7389E">
      <w:pPr>
        <w:rPr>
          <w:rFonts w:ascii="Roboto" w:hAnsi="Roboto"/>
        </w:rPr>
      </w:pPr>
      <w:r w:rsidRPr="00F7389E">
        <w:rPr>
          <w:rFonts w:ascii="Roboto" w:hAnsi="Roboto"/>
          <w:b/>
          <w:bCs/>
        </w:rPr>
        <w:t xml:space="preserve">2. Économie : </w:t>
      </w:r>
      <w:r w:rsidRPr="00F7389E">
        <w:rPr>
          <w:rFonts w:ascii="Roboto" w:hAnsi="Roboto"/>
        </w:rPr>
        <w:t>La transformation structurelle et la diversification industrielle, en particulier dans les domaines de l'exploitation minière, de l'agriculture, de l'énergie, de l'économie bleue et des technologies de l'information et de la communication, sont cruciales pour le développement, la paix et la sécurité en Guinée. Malgré des réformes économiques, le pays dépend encore trop des industries primaires et est vulnérable aux crises économiques. Des investissements dans les infrastructures, les PME et la création d'emplois sont nécessaires pour stimuler la croissance économique et réduire le chômage des jeunes et des femmes.</w:t>
      </w:r>
    </w:p>
    <w:p w14:paraId="2609E09A" w14:textId="200E2213" w:rsidR="00F7389E" w:rsidRPr="00F7389E" w:rsidRDefault="00F7389E" w:rsidP="001B43F7">
      <w:pPr>
        <w:rPr>
          <w:rFonts w:ascii="Roboto" w:hAnsi="Roboto"/>
        </w:rPr>
      </w:pPr>
      <w:r w:rsidRPr="001B43F7">
        <w:rPr>
          <w:rFonts w:ascii="Roboto" w:hAnsi="Roboto"/>
          <w:b/>
          <w:bCs/>
        </w:rPr>
        <w:t>3. Social :</w:t>
      </w:r>
      <w:r w:rsidRPr="00F7389E">
        <w:rPr>
          <w:rFonts w:ascii="Roboto" w:hAnsi="Roboto"/>
        </w:rPr>
        <w:t xml:space="preserve"> Les crises sanitaires, la pauvreté, l'inégalité entre les sexes et les résultats scolaires sont des défis sociaux importants. </w:t>
      </w:r>
      <w:r w:rsidR="001B43F7">
        <w:rPr>
          <w:rFonts w:ascii="Roboto" w:hAnsi="Roboto"/>
        </w:rPr>
        <w:t>U</w:t>
      </w:r>
      <w:r w:rsidRPr="00F7389E">
        <w:rPr>
          <w:rFonts w:ascii="Roboto" w:hAnsi="Roboto"/>
        </w:rPr>
        <w:t xml:space="preserve">ne réelle inclusion sociale est nécessaire pour assurer le bien-être de toute la population. </w:t>
      </w:r>
    </w:p>
    <w:p w14:paraId="63FA464A" w14:textId="77777777" w:rsidR="00F7389E" w:rsidRPr="00F7389E" w:rsidRDefault="00F7389E" w:rsidP="00F7389E">
      <w:pPr>
        <w:rPr>
          <w:rFonts w:ascii="Roboto" w:hAnsi="Roboto"/>
        </w:rPr>
      </w:pPr>
      <w:r w:rsidRPr="001B43F7">
        <w:rPr>
          <w:rFonts w:ascii="Roboto" w:hAnsi="Roboto"/>
          <w:b/>
          <w:bCs/>
        </w:rPr>
        <w:t>4. Technologique :</w:t>
      </w:r>
      <w:r w:rsidRPr="00F7389E">
        <w:rPr>
          <w:rFonts w:ascii="Roboto" w:hAnsi="Roboto"/>
        </w:rPr>
        <w:t xml:space="preserve"> Le manque d'infrastructures et de compétences technologiques limite l'innovation et la productivité en Guinée. L'utilisation de la technologie est essentielle pour améliorer les services publics, stimuler les secteurs économiques clés et promouvoir l'inclusion financière. Des investissements dans le développement technologique sont nécessaires pour améliorer la prestation des services et renforcer l'inclusion économique.</w:t>
      </w:r>
    </w:p>
    <w:p w14:paraId="033EA7A1" w14:textId="49FEEE68" w:rsidR="00F7389E" w:rsidRPr="00F7389E" w:rsidRDefault="00F7389E" w:rsidP="00F7389E">
      <w:pPr>
        <w:rPr>
          <w:rFonts w:ascii="Roboto" w:hAnsi="Roboto"/>
        </w:rPr>
      </w:pPr>
      <w:r w:rsidRPr="001B43F7">
        <w:rPr>
          <w:rFonts w:ascii="Roboto" w:hAnsi="Roboto"/>
          <w:b/>
          <w:bCs/>
        </w:rPr>
        <w:t>5. Juridique :</w:t>
      </w:r>
      <w:r w:rsidRPr="00F7389E">
        <w:rPr>
          <w:rFonts w:ascii="Roboto" w:hAnsi="Roboto"/>
        </w:rPr>
        <w:t xml:space="preserve"> Une meilleure application des </w:t>
      </w:r>
      <w:r w:rsidR="001B43F7">
        <w:rPr>
          <w:rFonts w:ascii="Roboto" w:hAnsi="Roboto"/>
        </w:rPr>
        <w:t>lois</w:t>
      </w:r>
      <w:r w:rsidRPr="00F7389E">
        <w:rPr>
          <w:rFonts w:ascii="Roboto" w:hAnsi="Roboto"/>
        </w:rPr>
        <w:t xml:space="preserve"> est nécessaire pour favoriser la croissance économique et le développement. Des cadres juridiques solides doivent être mis en œuvre pour promouvoir la transparence, la responsabilité et la lutte contre la corruption.</w:t>
      </w:r>
    </w:p>
    <w:p w14:paraId="53C58DE6" w14:textId="77777777" w:rsidR="00F7389E" w:rsidRPr="00F7389E" w:rsidRDefault="00F7389E" w:rsidP="00F7389E">
      <w:pPr>
        <w:rPr>
          <w:rFonts w:ascii="Roboto" w:hAnsi="Roboto"/>
        </w:rPr>
      </w:pPr>
      <w:r w:rsidRPr="001B43F7">
        <w:rPr>
          <w:rFonts w:ascii="Roboto" w:hAnsi="Roboto"/>
          <w:b/>
          <w:bCs/>
        </w:rPr>
        <w:t>6. Environnement</w:t>
      </w:r>
      <w:r w:rsidRPr="00F7389E">
        <w:rPr>
          <w:rFonts w:ascii="Roboto" w:hAnsi="Roboto"/>
        </w:rPr>
        <w:t xml:space="preserve"> : La gestion des ressources naturelles et la protection de la biodiversité sont essentielles pour assurer la durabilité environnementale. La Guinée possède d'importantes ressources naturelles, mais leur exploitation doit être équilibrée avec la préservation de l'environnement. La lutte contre le changement climatique et l'adaptation sont également des priorités pour protéger les moyens de subsistance des communautés.</w:t>
      </w:r>
    </w:p>
    <w:p w14:paraId="533C59BA" w14:textId="77777777" w:rsidR="00F7389E" w:rsidRPr="00F7389E" w:rsidRDefault="00F7389E" w:rsidP="00F7389E">
      <w:pPr>
        <w:rPr>
          <w:rFonts w:ascii="Roboto" w:hAnsi="Roboto"/>
        </w:rPr>
      </w:pPr>
      <w:r w:rsidRPr="001B43F7">
        <w:rPr>
          <w:rFonts w:ascii="Roboto" w:hAnsi="Roboto"/>
          <w:b/>
          <w:bCs/>
        </w:rPr>
        <w:t xml:space="preserve">7. Valeurs : </w:t>
      </w:r>
      <w:r w:rsidRPr="00F7389E">
        <w:rPr>
          <w:rFonts w:ascii="Roboto" w:hAnsi="Roboto"/>
        </w:rPr>
        <w:t>La promotion de l'équité, de la diversité, de l'inclusion et de la participation est cruciale pour réaliser le potentiel de la Guinée. Des idéaux démocratiques et des valeurs fondamentales doivent être encouragés pour renforcer la stabilité et le développement durable du pays.</w:t>
      </w:r>
    </w:p>
    <w:p w14:paraId="5AE93D0E" w14:textId="4177BDC4" w:rsidR="001C36B1" w:rsidRDefault="0081070E" w:rsidP="00F868F0">
      <w:pPr>
        <w:rPr>
          <w:rFonts w:ascii="Roboto" w:hAnsi="Roboto"/>
        </w:rPr>
      </w:pPr>
      <w:r>
        <w:rPr>
          <w:rFonts w:ascii="Roboto" w:hAnsi="Roboto"/>
        </w:rPr>
        <w:t xml:space="preserve">Sur la base de cette analyse, un atelier de prospective a été tenu à Conakry en mars 2022 avec des hauts cadres du Gouvernement. Lors de cet atelier </w:t>
      </w:r>
      <w:r w:rsidR="00F868F0">
        <w:rPr>
          <w:rFonts w:ascii="Roboto" w:hAnsi="Roboto"/>
        </w:rPr>
        <w:t>plusieurs f</w:t>
      </w:r>
      <w:r w:rsidR="001C36B1">
        <w:rPr>
          <w:rFonts w:ascii="Roboto" w:hAnsi="Roboto"/>
        </w:rPr>
        <w:t xml:space="preserve">acteurs de changement </w:t>
      </w:r>
      <w:r w:rsidR="00F868F0">
        <w:rPr>
          <w:rFonts w:ascii="Roboto" w:hAnsi="Roboto"/>
        </w:rPr>
        <w:t xml:space="preserve">ont été identifiés, on pourrait citer,  </w:t>
      </w:r>
    </w:p>
    <w:p w14:paraId="6AF019EA" w14:textId="77777777" w:rsidR="00F868F0" w:rsidRPr="00F868F0" w:rsidRDefault="00F868F0" w:rsidP="00F868F0">
      <w:pPr>
        <w:pStyle w:val="ListParagraph"/>
        <w:numPr>
          <w:ilvl w:val="0"/>
          <w:numId w:val="39"/>
        </w:numPr>
        <w:rPr>
          <w:rFonts w:ascii="Roboto" w:hAnsi="Roboto"/>
        </w:rPr>
      </w:pPr>
      <w:r w:rsidRPr="00F868F0">
        <w:rPr>
          <w:rFonts w:ascii="Roboto" w:hAnsi="Roboto"/>
        </w:rPr>
        <w:t xml:space="preserve">Participation inclusive de toutes les franges de la population au pouvoir politique et aux fonctions de l’administration </w:t>
      </w:r>
    </w:p>
    <w:p w14:paraId="181F0BB0" w14:textId="68E9B57B" w:rsidR="00F868F0" w:rsidRPr="00F868F0" w:rsidRDefault="00F868F0" w:rsidP="00F868F0">
      <w:pPr>
        <w:pStyle w:val="ListParagraph"/>
        <w:numPr>
          <w:ilvl w:val="0"/>
          <w:numId w:val="39"/>
        </w:numPr>
        <w:rPr>
          <w:rFonts w:ascii="Roboto" w:hAnsi="Roboto"/>
        </w:rPr>
      </w:pPr>
      <w:r w:rsidRPr="00F868F0">
        <w:rPr>
          <w:rFonts w:ascii="Roboto" w:hAnsi="Roboto"/>
        </w:rPr>
        <w:t xml:space="preserve">Mise en </w:t>
      </w:r>
      <w:r w:rsidR="005C4CF1" w:rsidRPr="00F868F0">
        <w:rPr>
          <w:rFonts w:ascii="Roboto" w:hAnsi="Roboto"/>
        </w:rPr>
        <w:t>œuvre</w:t>
      </w:r>
      <w:r w:rsidRPr="00F868F0">
        <w:rPr>
          <w:rFonts w:ascii="Roboto" w:hAnsi="Roboto"/>
        </w:rPr>
        <w:t xml:space="preserve"> des politiques publiques inclusives visant ou favorisant l’accès équitable des communautés au services sociaux de base </w:t>
      </w:r>
    </w:p>
    <w:p w14:paraId="29B7DE4C" w14:textId="64D4E7FC" w:rsidR="00F868F0" w:rsidRDefault="00F868F0" w:rsidP="00F868F0">
      <w:pPr>
        <w:pStyle w:val="ListParagraph"/>
        <w:numPr>
          <w:ilvl w:val="0"/>
          <w:numId w:val="39"/>
        </w:numPr>
        <w:rPr>
          <w:rFonts w:ascii="Roboto" w:hAnsi="Roboto"/>
        </w:rPr>
      </w:pPr>
      <w:r w:rsidRPr="00F868F0">
        <w:rPr>
          <w:rFonts w:ascii="Roboto" w:hAnsi="Roboto"/>
        </w:rPr>
        <w:t>Rééquilibrage et répartition équitable de la richesse à travers le financement et la promotion des actions et du développement local</w:t>
      </w:r>
    </w:p>
    <w:p w14:paraId="56D49C17" w14:textId="49CC5964" w:rsidR="00F868F0" w:rsidRDefault="00F868F0" w:rsidP="00F868F0">
      <w:pPr>
        <w:pStyle w:val="ListParagraph"/>
        <w:numPr>
          <w:ilvl w:val="0"/>
          <w:numId w:val="39"/>
        </w:numPr>
        <w:rPr>
          <w:rFonts w:ascii="Roboto" w:hAnsi="Roboto"/>
        </w:rPr>
      </w:pPr>
      <w:r w:rsidRPr="0061744B">
        <w:rPr>
          <w:rFonts w:ascii="Roboto" w:hAnsi="Roboto"/>
        </w:rPr>
        <w:t>Chômage des jeunes et la migration irrégulière</w:t>
      </w:r>
      <w:r>
        <w:rPr>
          <w:sz w:val="23"/>
          <w:szCs w:val="23"/>
        </w:rPr>
        <w:t>.</w:t>
      </w:r>
    </w:p>
    <w:p w14:paraId="59B53A01" w14:textId="01ECB528" w:rsidR="00F868F0" w:rsidRDefault="00F868F0" w:rsidP="0061744B">
      <w:pPr>
        <w:pStyle w:val="ListParagraph"/>
        <w:numPr>
          <w:ilvl w:val="0"/>
          <w:numId w:val="39"/>
        </w:numPr>
        <w:rPr>
          <w:rFonts w:ascii="Roboto" w:hAnsi="Roboto"/>
        </w:rPr>
      </w:pPr>
      <w:r w:rsidRPr="00F868F0">
        <w:rPr>
          <w:rFonts w:ascii="Roboto" w:hAnsi="Roboto"/>
        </w:rPr>
        <w:lastRenderedPageBreak/>
        <w:t xml:space="preserve">Rupture du contrat social </w:t>
      </w:r>
    </w:p>
    <w:p w14:paraId="65467FA0" w14:textId="161028B3" w:rsidR="00F868F0" w:rsidRPr="00F868F0" w:rsidRDefault="00F868F0" w:rsidP="00F868F0">
      <w:pPr>
        <w:pStyle w:val="ListParagraph"/>
        <w:numPr>
          <w:ilvl w:val="0"/>
          <w:numId w:val="39"/>
        </w:numPr>
        <w:rPr>
          <w:rFonts w:ascii="Roboto" w:hAnsi="Roboto"/>
        </w:rPr>
      </w:pPr>
      <w:r w:rsidRPr="00F868F0">
        <w:rPr>
          <w:rFonts w:ascii="Roboto" w:hAnsi="Roboto"/>
        </w:rPr>
        <w:t xml:space="preserve">Dégradation poussée et incontrôlée de l’environnement causée par les multiples pressions sur les écosystèmes </w:t>
      </w:r>
    </w:p>
    <w:p w14:paraId="5C9AF850" w14:textId="77777777" w:rsidR="00F868F0" w:rsidRPr="00F868F0" w:rsidRDefault="00F868F0" w:rsidP="00F868F0">
      <w:pPr>
        <w:pStyle w:val="ListParagraph"/>
        <w:numPr>
          <w:ilvl w:val="0"/>
          <w:numId w:val="39"/>
        </w:numPr>
        <w:rPr>
          <w:rFonts w:ascii="Roboto" w:hAnsi="Roboto"/>
        </w:rPr>
      </w:pPr>
      <w:r w:rsidRPr="00F868F0">
        <w:rPr>
          <w:rFonts w:ascii="Roboto" w:hAnsi="Roboto"/>
        </w:rPr>
        <w:t xml:space="preserve">Insuffisance de gestion des ressources naturelles </w:t>
      </w:r>
    </w:p>
    <w:p w14:paraId="4034F113" w14:textId="77777777" w:rsidR="00F868F0" w:rsidRPr="00F868F0" w:rsidRDefault="00F868F0" w:rsidP="00F868F0">
      <w:pPr>
        <w:pStyle w:val="ListParagraph"/>
        <w:numPr>
          <w:ilvl w:val="0"/>
          <w:numId w:val="39"/>
        </w:numPr>
        <w:rPr>
          <w:rFonts w:ascii="Roboto" w:hAnsi="Roboto"/>
        </w:rPr>
      </w:pPr>
      <w:r w:rsidRPr="00F868F0">
        <w:rPr>
          <w:rFonts w:ascii="Roboto" w:hAnsi="Roboto"/>
        </w:rPr>
        <w:t xml:space="preserve">Impact des actions anthropiques sur les ressources et le climat </w:t>
      </w:r>
    </w:p>
    <w:p w14:paraId="4A1141D7" w14:textId="77777777" w:rsidR="00F868F0" w:rsidRPr="00F868F0" w:rsidRDefault="00F868F0" w:rsidP="00F868F0">
      <w:pPr>
        <w:pStyle w:val="ListParagraph"/>
        <w:numPr>
          <w:ilvl w:val="0"/>
          <w:numId w:val="39"/>
        </w:numPr>
        <w:rPr>
          <w:rFonts w:ascii="Roboto" w:hAnsi="Roboto"/>
        </w:rPr>
      </w:pPr>
      <w:r w:rsidRPr="00F868F0">
        <w:rPr>
          <w:rFonts w:ascii="Roboto" w:hAnsi="Roboto"/>
        </w:rPr>
        <w:t xml:space="preserve">Faiblesses des revenus des populations </w:t>
      </w:r>
    </w:p>
    <w:p w14:paraId="1317AA14" w14:textId="62028F56" w:rsidR="00F868F0" w:rsidRPr="00F868F0" w:rsidRDefault="00F868F0" w:rsidP="00F868F0">
      <w:pPr>
        <w:pStyle w:val="ListParagraph"/>
        <w:numPr>
          <w:ilvl w:val="0"/>
          <w:numId w:val="39"/>
        </w:numPr>
        <w:rPr>
          <w:rFonts w:ascii="Roboto" w:hAnsi="Roboto"/>
        </w:rPr>
      </w:pPr>
      <w:r w:rsidRPr="00F868F0">
        <w:rPr>
          <w:rFonts w:ascii="Roboto" w:hAnsi="Roboto"/>
        </w:rPr>
        <w:t xml:space="preserve">Transformation des produits du secteur rural et minier </w:t>
      </w:r>
    </w:p>
    <w:p w14:paraId="0DE473FF" w14:textId="77777777" w:rsidR="00F868F0" w:rsidRPr="00F868F0" w:rsidRDefault="00F868F0" w:rsidP="00F868F0">
      <w:pPr>
        <w:pStyle w:val="ListParagraph"/>
        <w:numPr>
          <w:ilvl w:val="0"/>
          <w:numId w:val="39"/>
        </w:numPr>
        <w:rPr>
          <w:rFonts w:ascii="Roboto" w:hAnsi="Roboto"/>
        </w:rPr>
      </w:pPr>
      <w:r w:rsidRPr="00F868F0">
        <w:rPr>
          <w:rFonts w:ascii="Roboto" w:hAnsi="Roboto"/>
        </w:rPr>
        <w:t xml:space="preserve">Intensification de la production du secteur rural </w:t>
      </w:r>
    </w:p>
    <w:p w14:paraId="1042AFFE" w14:textId="0251BF73" w:rsidR="00F868F0" w:rsidRPr="00F868F0" w:rsidRDefault="00F868F0" w:rsidP="00F868F0">
      <w:pPr>
        <w:pStyle w:val="ListParagraph"/>
        <w:numPr>
          <w:ilvl w:val="0"/>
          <w:numId w:val="39"/>
        </w:numPr>
        <w:rPr>
          <w:rFonts w:ascii="Roboto" w:hAnsi="Roboto"/>
        </w:rPr>
      </w:pPr>
      <w:r w:rsidRPr="00F868F0">
        <w:rPr>
          <w:rFonts w:ascii="Roboto" w:hAnsi="Roboto"/>
        </w:rPr>
        <w:t>Développement de l’</w:t>
      </w:r>
      <w:r w:rsidR="0061744B" w:rsidRPr="00F868F0">
        <w:rPr>
          <w:rFonts w:ascii="Roboto" w:hAnsi="Roboto"/>
        </w:rPr>
        <w:t>Économie</w:t>
      </w:r>
      <w:r w:rsidRPr="00F868F0">
        <w:rPr>
          <w:rFonts w:ascii="Roboto" w:hAnsi="Roboto"/>
        </w:rPr>
        <w:t xml:space="preserve"> verte </w:t>
      </w:r>
    </w:p>
    <w:p w14:paraId="21754E18" w14:textId="69665925" w:rsidR="00F868F0" w:rsidRPr="00F868F0" w:rsidRDefault="00F868F0" w:rsidP="00F868F0">
      <w:pPr>
        <w:pStyle w:val="ListParagraph"/>
        <w:numPr>
          <w:ilvl w:val="0"/>
          <w:numId w:val="39"/>
        </w:numPr>
        <w:rPr>
          <w:rFonts w:ascii="Roboto" w:hAnsi="Roboto"/>
        </w:rPr>
      </w:pPr>
      <w:r w:rsidRPr="00F868F0">
        <w:rPr>
          <w:rFonts w:ascii="Roboto" w:hAnsi="Roboto"/>
        </w:rPr>
        <w:t>Formations professionnelles adaptées aux besoins et NTIC</w:t>
      </w:r>
    </w:p>
    <w:p w14:paraId="20A1CED4" w14:textId="42665AAF" w:rsidR="00F868F0" w:rsidRDefault="00F83658" w:rsidP="00F868F0">
      <w:pPr>
        <w:rPr>
          <w:rFonts w:ascii="Roboto" w:hAnsi="Roboto"/>
        </w:rPr>
      </w:pPr>
      <w:r>
        <w:rPr>
          <w:rFonts w:ascii="Roboto" w:hAnsi="Roboto"/>
        </w:rPr>
        <w:t xml:space="preserve">Et </w:t>
      </w:r>
      <w:r w:rsidR="00F868F0">
        <w:rPr>
          <w:rFonts w:ascii="Roboto" w:hAnsi="Roboto"/>
        </w:rPr>
        <w:t xml:space="preserve">les tendances lourdes </w:t>
      </w:r>
      <w:r w:rsidR="00F868F0">
        <w:rPr>
          <w:rStyle w:val="FootnoteReference"/>
          <w:rFonts w:ascii="Roboto" w:hAnsi="Roboto"/>
        </w:rPr>
        <w:footnoteReference w:id="16"/>
      </w:r>
      <w:r>
        <w:rPr>
          <w:rFonts w:ascii="Roboto" w:hAnsi="Roboto"/>
        </w:rPr>
        <w:t xml:space="preserve"> ainsi que les ruptures</w:t>
      </w:r>
      <w:r>
        <w:rPr>
          <w:rStyle w:val="FootnoteReference"/>
          <w:rFonts w:ascii="Roboto" w:hAnsi="Roboto"/>
        </w:rPr>
        <w:footnoteReference w:id="17"/>
      </w:r>
      <w:r w:rsidR="00F868F0">
        <w:rPr>
          <w:rFonts w:ascii="Roboto" w:hAnsi="Roboto"/>
        </w:rPr>
        <w:t xml:space="preserve"> ont été identifiées </w:t>
      </w:r>
      <w:r>
        <w:rPr>
          <w:rFonts w:ascii="Roboto" w:hAnsi="Roboto"/>
        </w:rPr>
        <w:t xml:space="preserve">pour chaque facteur de changement. Ceci a permis de prioriser les trois facteurs de changement suivants : </w:t>
      </w:r>
    </w:p>
    <w:p w14:paraId="424CD955" w14:textId="72032E45" w:rsidR="00F83658" w:rsidRPr="00F83658" w:rsidRDefault="00F83658" w:rsidP="00F83658">
      <w:pPr>
        <w:pStyle w:val="ListParagraph"/>
        <w:numPr>
          <w:ilvl w:val="0"/>
          <w:numId w:val="40"/>
        </w:numPr>
        <w:rPr>
          <w:rFonts w:ascii="Roboto" w:hAnsi="Roboto"/>
        </w:rPr>
      </w:pPr>
      <w:r w:rsidRPr="00F83658">
        <w:rPr>
          <w:rFonts w:ascii="Roboto" w:hAnsi="Roboto"/>
        </w:rPr>
        <w:t xml:space="preserve">Mise en </w:t>
      </w:r>
      <w:r w:rsidR="005C4CF1" w:rsidRPr="00F83658">
        <w:rPr>
          <w:rFonts w:ascii="Roboto" w:hAnsi="Roboto"/>
        </w:rPr>
        <w:t>œuvre</w:t>
      </w:r>
      <w:r w:rsidRPr="00F83658">
        <w:rPr>
          <w:rFonts w:ascii="Roboto" w:hAnsi="Roboto"/>
        </w:rPr>
        <w:t xml:space="preserve"> des politiques publiques inclusives visant ou favorisant l’accès équitable des communautés au services sociaux de base</w:t>
      </w:r>
    </w:p>
    <w:p w14:paraId="0CC77D88" w14:textId="57F1E29B" w:rsidR="00F83658" w:rsidRPr="00F83658" w:rsidRDefault="00F83658" w:rsidP="00F83658">
      <w:pPr>
        <w:pStyle w:val="ListParagraph"/>
        <w:numPr>
          <w:ilvl w:val="0"/>
          <w:numId w:val="40"/>
        </w:numPr>
        <w:rPr>
          <w:rFonts w:ascii="Roboto" w:hAnsi="Roboto"/>
        </w:rPr>
      </w:pPr>
      <w:r w:rsidRPr="00F83658">
        <w:rPr>
          <w:rFonts w:ascii="Roboto" w:hAnsi="Roboto"/>
        </w:rPr>
        <w:t>Dégradation poussée et incontrôlée de l’environnement causée par les multiples pressions sur les écosystèmes</w:t>
      </w:r>
    </w:p>
    <w:p w14:paraId="6BB1D5D2" w14:textId="52850B2E" w:rsidR="00F83658" w:rsidRPr="00F83658" w:rsidRDefault="00F83658" w:rsidP="00F83658">
      <w:pPr>
        <w:pStyle w:val="ListParagraph"/>
        <w:numPr>
          <w:ilvl w:val="0"/>
          <w:numId w:val="40"/>
        </w:numPr>
        <w:rPr>
          <w:rFonts w:ascii="Roboto" w:hAnsi="Roboto"/>
        </w:rPr>
      </w:pPr>
      <w:r w:rsidRPr="00F83658">
        <w:rPr>
          <w:rFonts w:ascii="Roboto" w:hAnsi="Roboto"/>
        </w:rPr>
        <w:t>Transformation des produits du secteur rural et minier</w:t>
      </w:r>
    </w:p>
    <w:p w14:paraId="13995396" w14:textId="341BA282" w:rsidR="00F7389E" w:rsidRDefault="00F83658" w:rsidP="00F83658">
      <w:pPr>
        <w:rPr>
          <w:rFonts w:ascii="Roboto" w:hAnsi="Roboto"/>
        </w:rPr>
      </w:pPr>
      <w:r>
        <w:rPr>
          <w:rFonts w:ascii="Roboto" w:hAnsi="Roboto"/>
        </w:rPr>
        <w:t xml:space="preserve">Les participants ont considéré qu’une action présente sur ces facteurs favoriserait et renforcerait la trajectoire de la prospérité pour la Guinée. </w:t>
      </w:r>
    </w:p>
    <w:p w14:paraId="3085F4BC" w14:textId="09E1255C" w:rsidR="00F83658" w:rsidRPr="001C36B1" w:rsidRDefault="00F83658" w:rsidP="00F83658">
      <w:pPr>
        <w:rPr>
          <w:rFonts w:ascii="Roboto" w:hAnsi="Roboto"/>
        </w:rPr>
      </w:pPr>
      <w:r>
        <w:rPr>
          <w:rFonts w:ascii="Roboto" w:hAnsi="Roboto"/>
        </w:rPr>
        <w:t xml:space="preserve">Des scenarii ont été définis sur la base de cette analyse, </w:t>
      </w:r>
      <w:r w:rsidR="001C36B1" w:rsidRPr="001C36B1">
        <w:rPr>
          <w:rFonts w:ascii="Roboto" w:hAnsi="Roboto"/>
        </w:rPr>
        <w:t>comme une combinaison des tendances lourdes</w:t>
      </w:r>
      <w:r w:rsidRPr="00F83658">
        <w:rPr>
          <w:rFonts w:ascii="Roboto" w:hAnsi="Roboto"/>
        </w:rPr>
        <w:t xml:space="preserve"> et</w:t>
      </w:r>
      <w:r w:rsidR="001C36B1" w:rsidRPr="001C36B1">
        <w:rPr>
          <w:rFonts w:ascii="Roboto" w:hAnsi="Roboto"/>
        </w:rPr>
        <w:t xml:space="preserve"> des ruptures. </w:t>
      </w:r>
    </w:p>
    <w:p w14:paraId="4FF90479" w14:textId="0F3B42A4" w:rsidR="007244A9" w:rsidRPr="007244A9" w:rsidRDefault="007244A9" w:rsidP="007244A9">
      <w:pPr>
        <w:pStyle w:val="Heading1"/>
        <w:rPr>
          <w:rFonts w:ascii="Roboto" w:hAnsi="Roboto"/>
        </w:rPr>
      </w:pPr>
      <w:bookmarkStart w:id="28" w:name="_Toc141568111"/>
      <w:r>
        <w:rPr>
          <w:rFonts w:ascii="Roboto" w:hAnsi="Roboto"/>
        </w:rPr>
        <w:t>Conclusion :</w:t>
      </w:r>
      <w:bookmarkEnd w:id="28"/>
      <w:r>
        <w:rPr>
          <w:rFonts w:ascii="Roboto" w:hAnsi="Roboto"/>
        </w:rPr>
        <w:t xml:space="preserve"> </w:t>
      </w:r>
    </w:p>
    <w:p w14:paraId="2F545DB1" w14:textId="49BEF718" w:rsidR="007244A9" w:rsidRPr="00874125" w:rsidRDefault="007244A9" w:rsidP="007244A9">
      <w:pPr>
        <w:rPr>
          <w:rFonts w:ascii="Roboto" w:hAnsi="Roboto"/>
        </w:rPr>
      </w:pPr>
      <w:r w:rsidRPr="00874125">
        <w:rPr>
          <w:rFonts w:ascii="Roboto" w:hAnsi="Roboto"/>
        </w:rPr>
        <w:t>La Guinée fait face à des défis importants dans ses domaines de gouvernance politique et d'état de droit, ainsi que dans son économie et sa fragilité sociale. La transition politique, initiée après les événements du 5 septembre 2021, vise à refonder l'État, promouvoir la réconciliation nationale et garantir une représentation féminine. Cependant, des divergences et des tensions persistent concernant le calendrier et la durée de la transition, ainsi que la restriction des libertés civiles.</w:t>
      </w:r>
    </w:p>
    <w:p w14:paraId="266091EC" w14:textId="3E1A3A4C" w:rsidR="007244A9" w:rsidRPr="00874125" w:rsidRDefault="007244A9" w:rsidP="007244A9">
      <w:pPr>
        <w:rPr>
          <w:rFonts w:ascii="Roboto" w:hAnsi="Roboto"/>
        </w:rPr>
      </w:pPr>
      <w:r w:rsidRPr="00874125">
        <w:rPr>
          <w:rFonts w:ascii="Roboto" w:hAnsi="Roboto"/>
        </w:rPr>
        <w:t>Sur le plan économique, la Guinée est impactée par la crise mondiale liée à la guerre en Ukraine, notamment en raison de la hausse des prix des matières premières. Le secteur minier joue un rôle crucial, mais les sanctions économiques affectent les exportations minières du pays. L'inflation et la détérioration de la sécurité alimentaire aggravent la crise économique.</w:t>
      </w:r>
    </w:p>
    <w:p w14:paraId="3EACF8B7" w14:textId="63C1C292" w:rsidR="007244A9" w:rsidRPr="00874125" w:rsidRDefault="007244A9" w:rsidP="007244A9">
      <w:pPr>
        <w:rPr>
          <w:rFonts w:ascii="Roboto" w:hAnsi="Roboto"/>
        </w:rPr>
      </w:pPr>
      <w:r w:rsidRPr="00874125">
        <w:rPr>
          <w:rFonts w:ascii="Roboto" w:hAnsi="Roboto"/>
        </w:rPr>
        <w:t xml:space="preserve">Face à ces défis, le gouvernement de transition a adopté diverses initiatives pour stabiliser l'économie et promouvoir la croissance, notamment à travers le Programme de Référence Intérimaire de la Transition et la politique nationale de développement industriel. Cependant, </w:t>
      </w:r>
      <w:r w:rsidRPr="00874125">
        <w:rPr>
          <w:rFonts w:ascii="Roboto" w:hAnsi="Roboto"/>
        </w:rPr>
        <w:lastRenderedPageBreak/>
        <w:t>des problèmes tels que l'insuffisance des infrastructures et l'instabilité politique entravent la transformation économique.</w:t>
      </w:r>
    </w:p>
    <w:p w14:paraId="620B5838" w14:textId="2F7EEF98" w:rsidR="007244A9" w:rsidRPr="00874125" w:rsidRDefault="007244A9" w:rsidP="007244A9">
      <w:pPr>
        <w:rPr>
          <w:rFonts w:ascii="Roboto" w:hAnsi="Roboto"/>
        </w:rPr>
      </w:pPr>
      <w:r w:rsidRPr="00874125">
        <w:rPr>
          <w:rFonts w:ascii="Roboto" w:hAnsi="Roboto"/>
        </w:rPr>
        <w:t>La fragilité sociale est également préoccupante, avec une crise alimentaire due à la hausse des prix des intrants agricoles et aux effets de la pandémie de COVID-19. Pour faire face à ces défis, des mesures doivent être prises pour favoriser l'implantation d'une usine de production d'engrais, diversifier la production agricole, renforcer les capacités du secteur agricole et protéger les personnes vulnérables.</w:t>
      </w:r>
    </w:p>
    <w:p w14:paraId="2103FF84" w14:textId="4B12E8EF" w:rsidR="007244A9" w:rsidRPr="00874125" w:rsidRDefault="007244A9" w:rsidP="007244A9">
      <w:pPr>
        <w:rPr>
          <w:rFonts w:ascii="Roboto" w:hAnsi="Roboto"/>
        </w:rPr>
      </w:pPr>
      <w:r w:rsidRPr="00874125">
        <w:rPr>
          <w:rFonts w:ascii="Roboto" w:hAnsi="Roboto"/>
        </w:rPr>
        <w:t>Dans une perspective prospective, une analyse PESTLE-V a été réalisée pour identifier les défis et enjeux en Guinée. Des facteurs de changement prioritaires ont été définis, notamment la mise en œuvre de politiques publiques inclusives, la préservation de l'environnement et la transformation du secteur rural et minier. Ces scénarios peuvent contribuer à renforcer la trajectoire de prospérité pour la Guinée.</w:t>
      </w:r>
    </w:p>
    <w:p w14:paraId="6D1B7F62" w14:textId="1B523F12" w:rsidR="007244A9" w:rsidRPr="00874125" w:rsidRDefault="007244A9" w:rsidP="007244A9">
      <w:pPr>
        <w:rPr>
          <w:rFonts w:ascii="Roboto" w:hAnsi="Roboto"/>
        </w:rPr>
      </w:pPr>
      <w:r w:rsidRPr="00874125">
        <w:rPr>
          <w:rFonts w:ascii="Roboto" w:hAnsi="Roboto"/>
        </w:rPr>
        <w:t>Pour relever ces défis, il est essentiel que le gouvernement démontre une volonté politique forte et renforce la coordination intersectorielle. Des cadres juridiques solides doivent être mis en place pour promouvoir la transparence, la responsabilité et la lutte contre la corruption. Des investissements dans les infrastructures, les PME et la recherche agricole sont nécessaires pour stimuler la croissance économique et réduire le chômage des jeunes et des femmes.</w:t>
      </w:r>
    </w:p>
    <w:p w14:paraId="463255BE" w14:textId="3D4A5BD3" w:rsidR="007244A9" w:rsidRPr="00874125" w:rsidRDefault="007244A9" w:rsidP="007244A9">
      <w:pPr>
        <w:rPr>
          <w:rFonts w:ascii="Roboto" w:hAnsi="Roboto"/>
        </w:rPr>
      </w:pPr>
      <w:r w:rsidRPr="00874125">
        <w:rPr>
          <w:rFonts w:ascii="Roboto" w:hAnsi="Roboto"/>
        </w:rPr>
        <w:t>En outre, l'agriculture peut jouer un rôle crucial dans la résolution de problèmes plus larges tels que l'emploi des jeunes, la prévention de l'extrémisme violent et la préservation de la biodiversité. En adoptant une approche systémique et en prenant des mesures concrètes, la Guinée peut espérer renforcer sa sécurité alimentaire et améliorer les conditions de vie de sa population agricole.</w:t>
      </w:r>
    </w:p>
    <w:p w14:paraId="6A9F109D" w14:textId="3E9EAAF7" w:rsidR="00E77E87" w:rsidRPr="00874125" w:rsidRDefault="007244A9" w:rsidP="00874125">
      <w:pPr>
        <w:rPr>
          <w:rFonts w:ascii="Roboto" w:hAnsi="Roboto"/>
        </w:rPr>
      </w:pPr>
      <w:r w:rsidRPr="00874125">
        <w:rPr>
          <w:rFonts w:ascii="Roboto" w:hAnsi="Roboto"/>
        </w:rPr>
        <w:t>En conclusion, la Guinée est confrontée à des défis complexes et interdépendants dans ses domaines politiques, économiques et sociaux. Cependant, avec des initiatives audacieuses, une volonté politique forte et une approche inclusive, le pays peut surmonter ces défis et réaliser un avenir plus stable, prospère et équitable pour ses citoyens.</w:t>
      </w:r>
      <w:r w:rsidR="00874125">
        <w:rPr>
          <w:rFonts w:ascii="Roboto" w:hAnsi="Roboto"/>
        </w:rPr>
        <w:t xml:space="preserve"> Les recommandations et les conclusions des analyses du CCA et de cet addendum ont été un élément clef dans la preparation du cadre de coopération du SNU 2024-2028 en Guinée. </w:t>
      </w:r>
    </w:p>
    <w:sectPr w:rsidR="00E77E87" w:rsidRPr="00874125" w:rsidSect="005D0AED">
      <w:headerReference w:type="default" r:id="rId11"/>
      <w:footerReference w:type="default" r:id="rId12"/>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4194E" w14:textId="77777777" w:rsidR="00A03B96" w:rsidRDefault="00A03B96" w:rsidP="008E7070">
      <w:pPr>
        <w:spacing w:after="0" w:line="240" w:lineRule="auto"/>
      </w:pPr>
      <w:r>
        <w:separator/>
      </w:r>
    </w:p>
  </w:endnote>
  <w:endnote w:type="continuationSeparator" w:id="0">
    <w:p w14:paraId="394A7C84" w14:textId="77777777" w:rsidR="00A03B96" w:rsidRDefault="00A03B96" w:rsidP="008E7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538970"/>
      <w:docPartObj>
        <w:docPartGallery w:val="Page Numbers (Bottom of Page)"/>
        <w:docPartUnique/>
      </w:docPartObj>
    </w:sdtPr>
    <w:sdtEndPr>
      <w:rPr>
        <w:noProof/>
      </w:rPr>
    </w:sdtEndPr>
    <w:sdtContent>
      <w:p w14:paraId="7B4BF3CD" w14:textId="52FD2E32" w:rsidR="00984321" w:rsidRDefault="00984321">
        <w:pPr>
          <w:pStyle w:val="Footer"/>
          <w:jc w:val="right"/>
        </w:pPr>
        <w:r>
          <w:fldChar w:fldCharType="begin"/>
        </w:r>
        <w:r>
          <w:instrText xml:space="preserve"> PAGE   \* MERGEFORMAT </w:instrText>
        </w:r>
        <w:r>
          <w:fldChar w:fldCharType="separate"/>
        </w:r>
        <w:r w:rsidR="00D42A96">
          <w:rPr>
            <w:noProof/>
          </w:rPr>
          <w:t>13</w:t>
        </w:r>
        <w:r>
          <w:rPr>
            <w:noProof/>
          </w:rPr>
          <w:fldChar w:fldCharType="end"/>
        </w:r>
      </w:p>
    </w:sdtContent>
  </w:sdt>
  <w:p w14:paraId="6B07A96B" w14:textId="77777777" w:rsidR="00984321" w:rsidRDefault="00984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A619" w14:textId="77777777" w:rsidR="00A03B96" w:rsidRDefault="00A03B96" w:rsidP="008E7070">
      <w:pPr>
        <w:spacing w:after="0" w:line="240" w:lineRule="auto"/>
      </w:pPr>
      <w:r>
        <w:separator/>
      </w:r>
    </w:p>
  </w:footnote>
  <w:footnote w:type="continuationSeparator" w:id="0">
    <w:p w14:paraId="5B3B94F1" w14:textId="77777777" w:rsidR="00A03B96" w:rsidRDefault="00A03B96" w:rsidP="008E7070">
      <w:pPr>
        <w:spacing w:after="0" w:line="240" w:lineRule="auto"/>
      </w:pPr>
      <w:r>
        <w:continuationSeparator/>
      </w:r>
    </w:p>
  </w:footnote>
  <w:footnote w:id="1">
    <w:p w14:paraId="438A1F25" w14:textId="77777777" w:rsidR="00615FAE" w:rsidRPr="00234783" w:rsidRDefault="00615FAE" w:rsidP="00615FAE">
      <w:pPr>
        <w:pStyle w:val="FootnoteText"/>
        <w:rPr>
          <w:sz w:val="16"/>
          <w:szCs w:val="16"/>
        </w:rPr>
      </w:pPr>
      <w:r w:rsidRPr="00234783">
        <w:rPr>
          <w:rStyle w:val="FootnoteReference"/>
          <w:sz w:val="16"/>
          <w:szCs w:val="16"/>
        </w:rPr>
        <w:footnoteRef/>
      </w:r>
      <w:r w:rsidRPr="00234783">
        <w:rPr>
          <w:sz w:val="16"/>
          <w:szCs w:val="16"/>
        </w:rPr>
        <w:t xml:space="preserve"> PROGRAMME DE RÉFÉRENCE INTÉRIMAIREDE LA TRANSITION 2022-2025</w:t>
      </w:r>
    </w:p>
  </w:footnote>
  <w:footnote w:id="2">
    <w:p w14:paraId="0DB508E4" w14:textId="77777777" w:rsidR="005A35DE" w:rsidRPr="007C150F" w:rsidRDefault="005A35DE" w:rsidP="005A35DE">
      <w:pPr>
        <w:pStyle w:val="FootnoteText"/>
        <w:rPr>
          <w:lang w:val="en-US"/>
        </w:rPr>
      </w:pPr>
      <w:r>
        <w:rPr>
          <w:rStyle w:val="FootnoteReference"/>
        </w:rPr>
        <w:footnoteRef/>
      </w:r>
      <w:r w:rsidRPr="007C150F">
        <w:rPr>
          <w:lang w:val="en-US"/>
        </w:rPr>
        <w:t xml:space="preserve"> World Economic Outlook (October 2022) (imf.org)</w:t>
      </w:r>
    </w:p>
  </w:footnote>
  <w:footnote w:id="3">
    <w:p w14:paraId="7522C540" w14:textId="77777777" w:rsidR="005A35DE" w:rsidRPr="00924982" w:rsidRDefault="005A35DE" w:rsidP="005A35DE">
      <w:pPr>
        <w:pStyle w:val="FootnoteText"/>
        <w:rPr>
          <w:lang w:val="en-US"/>
        </w:rPr>
      </w:pPr>
      <w:r>
        <w:rPr>
          <w:rStyle w:val="FootnoteReference"/>
        </w:rPr>
        <w:footnoteRef/>
      </w:r>
      <w:r w:rsidRPr="00924982">
        <w:rPr>
          <w:lang w:val="en-US"/>
        </w:rPr>
        <w:t xml:space="preserve"> </w:t>
      </w:r>
      <w:hyperlink r:id="rId1" w:history="1">
        <w:r w:rsidRPr="00924982">
          <w:rPr>
            <w:rStyle w:val="Hyperlink"/>
            <w:lang w:val="en-US"/>
          </w:rPr>
          <w:t>World Economic Outlook (October 2022) (imf.org)</w:t>
        </w:r>
      </w:hyperlink>
    </w:p>
  </w:footnote>
  <w:footnote w:id="4">
    <w:p w14:paraId="51F631D1" w14:textId="77777777" w:rsidR="005A35DE" w:rsidRDefault="005A35DE" w:rsidP="005A35DE">
      <w:pPr>
        <w:pStyle w:val="FootnoteText"/>
      </w:pPr>
      <w:r>
        <w:rPr>
          <w:rStyle w:val="FootnoteReference"/>
        </w:rPr>
        <w:footnoteRef/>
      </w:r>
      <w:r>
        <w:t xml:space="preserve"> Données fournies par le Bureau du FMI en Guinée</w:t>
      </w:r>
    </w:p>
  </w:footnote>
  <w:footnote w:id="5">
    <w:p w14:paraId="6CE20BA5" w14:textId="77777777" w:rsidR="005A35DE" w:rsidRDefault="005A35DE" w:rsidP="005A35DE">
      <w:pPr>
        <w:pStyle w:val="FootnoteText"/>
      </w:pPr>
      <w:r>
        <w:rPr>
          <w:rStyle w:val="FootnoteReference"/>
        </w:rPr>
        <w:footnoteRef/>
      </w:r>
      <w:r>
        <w:t xml:space="preserve"> Comptes nationaux définitifs 2019 et provisoires 2020 ; </w:t>
      </w:r>
      <w:r w:rsidRPr="00894AFD">
        <w:t xml:space="preserve">institut national de la statistique de la Guinée </w:t>
      </w:r>
      <w:r>
        <w:t>(IN)S, février 2022</w:t>
      </w:r>
    </w:p>
  </w:footnote>
  <w:footnote w:id="6">
    <w:p w14:paraId="36E5A849" w14:textId="77777777" w:rsidR="005A35DE" w:rsidRDefault="005A35DE" w:rsidP="005A35DE">
      <w:pPr>
        <w:pStyle w:val="FootnoteText"/>
      </w:pPr>
      <w:r>
        <w:rPr>
          <w:rStyle w:val="FootnoteReference"/>
        </w:rPr>
        <w:footnoteRef/>
      </w:r>
      <w:r>
        <w:t xml:space="preserve"> </w:t>
      </w:r>
      <w:r w:rsidRPr="00F05079">
        <w:t>COMMUNIQUÉ DE PRESSE N° 22/460</w:t>
      </w:r>
      <w:r>
        <w:t xml:space="preserve"> du FMI, décembre 2022</w:t>
      </w:r>
    </w:p>
  </w:footnote>
  <w:footnote w:id="7">
    <w:p w14:paraId="2375CF5D" w14:textId="77777777" w:rsidR="005A35DE" w:rsidRDefault="005A35DE" w:rsidP="005A35DE">
      <w:pPr>
        <w:pStyle w:val="FootnoteText"/>
      </w:pPr>
      <w:r>
        <w:rPr>
          <w:rStyle w:val="FootnoteReference"/>
        </w:rPr>
        <w:footnoteRef/>
      </w:r>
      <w:r>
        <w:t xml:space="preserve"> Bulletin sur le commerce extérieur de la Guinée (aout 2022)</w:t>
      </w:r>
      <w:r w:rsidRPr="007F7A5E">
        <w:t xml:space="preserve"> institut national de la statistique</w:t>
      </w:r>
      <w:r>
        <w:t xml:space="preserve"> de la Guinée</w:t>
      </w:r>
    </w:p>
  </w:footnote>
  <w:footnote w:id="8">
    <w:p w14:paraId="79A0EA43" w14:textId="77777777" w:rsidR="005A35DE" w:rsidRDefault="005A35DE" w:rsidP="005A35DE">
      <w:pPr>
        <w:pStyle w:val="FootnoteText"/>
      </w:pPr>
      <w:r>
        <w:rPr>
          <w:rStyle w:val="FootnoteReference"/>
        </w:rPr>
        <w:footnoteRef/>
      </w:r>
      <w:r>
        <w:t xml:space="preserve"> Impact de la crise ukrainienne sur l’économie guinéenne, publication de la Banque Centrale, </w:t>
      </w:r>
      <w:r w:rsidRPr="00B12725">
        <w:t>Mars 2022</w:t>
      </w:r>
    </w:p>
  </w:footnote>
  <w:footnote w:id="9">
    <w:p w14:paraId="2D48177C" w14:textId="77777777" w:rsidR="005A35DE" w:rsidRDefault="005A35DE" w:rsidP="005A35DE">
      <w:pPr>
        <w:pStyle w:val="FootnoteText"/>
      </w:pPr>
      <w:r>
        <w:rPr>
          <w:rStyle w:val="FootnoteReference"/>
        </w:rPr>
        <w:footnoteRef/>
      </w:r>
      <w:r>
        <w:t xml:space="preserve"> </w:t>
      </w:r>
      <w:r w:rsidRPr="00B12725">
        <w:t>Impact de la crise ukrainienne sur l’économie guinéenne, publication de la Banque Centrale, Mars 2022</w:t>
      </w:r>
    </w:p>
  </w:footnote>
  <w:footnote w:id="10">
    <w:p w14:paraId="41B9AF5D" w14:textId="77777777" w:rsidR="005A35DE" w:rsidRDefault="005A35DE" w:rsidP="005A35DE">
      <w:pPr>
        <w:pStyle w:val="FootnoteText"/>
      </w:pPr>
      <w:r>
        <w:rPr>
          <w:rStyle w:val="FootnoteReference"/>
        </w:rPr>
        <w:footnoteRef/>
      </w:r>
      <w:r>
        <w:t>Indice national harmonise des prix à la consommation (INHPC) Guinée– octobre 2022, INS</w:t>
      </w:r>
    </w:p>
    <w:p w14:paraId="0B8948EC" w14:textId="77777777" w:rsidR="005A35DE" w:rsidRDefault="005A35DE" w:rsidP="005A35DE">
      <w:pPr>
        <w:pStyle w:val="FootnoteText"/>
      </w:pPr>
    </w:p>
  </w:footnote>
  <w:footnote w:id="11">
    <w:p w14:paraId="2CBF39D0" w14:textId="77777777" w:rsidR="005A35DE" w:rsidRDefault="005A35DE" w:rsidP="005A35DE">
      <w:pPr>
        <w:pStyle w:val="FootnoteText"/>
      </w:pPr>
      <w:r>
        <w:rPr>
          <w:rStyle w:val="FootnoteReference"/>
        </w:rPr>
        <w:footnoteRef/>
      </w:r>
      <w:r>
        <w:t xml:space="preserve"> Décision du</w:t>
      </w:r>
      <w:r w:rsidRPr="004B7879">
        <w:t xml:space="preserve"> Gouvernement de transition</w:t>
      </w:r>
      <w:r>
        <w:t xml:space="preserve">, </w:t>
      </w:r>
      <w:r w:rsidRPr="004B7879">
        <w:t>31 mai 2022</w:t>
      </w:r>
    </w:p>
  </w:footnote>
  <w:footnote w:id="12">
    <w:p w14:paraId="3F199D41" w14:textId="77777777" w:rsidR="005A35DE" w:rsidRDefault="005A35DE" w:rsidP="005A35DE">
      <w:pPr>
        <w:pStyle w:val="FootnoteText"/>
      </w:pPr>
      <w:r>
        <w:rPr>
          <w:rStyle w:val="FootnoteReference"/>
        </w:rPr>
        <w:footnoteRef/>
      </w:r>
      <w:r>
        <w:t xml:space="preserve"> Évaluation des risques et de l’impact de la crise russo-ukrainienne sur la production agricole dans la région de la CEDEAO principaux résultats, mai 2022</w:t>
      </w:r>
    </w:p>
  </w:footnote>
  <w:footnote w:id="13">
    <w:p w14:paraId="54B2A566" w14:textId="77777777" w:rsidR="005A35DE" w:rsidRDefault="005A35DE" w:rsidP="005A35DE">
      <w:pPr>
        <w:pStyle w:val="FootnoteText"/>
      </w:pPr>
      <w:r>
        <w:rPr>
          <w:rStyle w:val="FootnoteReference"/>
        </w:rPr>
        <w:footnoteRef/>
      </w:r>
      <w:r>
        <w:t xml:space="preserve"> </w:t>
      </w:r>
      <w:r w:rsidRPr="00FD1B08">
        <w:t>2.1.</w:t>
      </w:r>
      <w:r w:rsidRPr="00FD1B08">
        <w:tab/>
        <w:t>Le Programme de Référence Intérimaire de la Transition (PRI) 2022-2025</w:t>
      </w:r>
    </w:p>
  </w:footnote>
  <w:footnote w:id="14">
    <w:p w14:paraId="64800B46" w14:textId="77777777" w:rsidR="005A35DE" w:rsidRDefault="005A35DE" w:rsidP="005A35DE">
      <w:pPr>
        <w:pStyle w:val="FootnoteText"/>
      </w:pPr>
      <w:r>
        <w:rPr>
          <w:rStyle w:val="FootnoteReference"/>
        </w:rPr>
        <w:footnoteRef/>
      </w:r>
      <w:r>
        <w:t xml:space="preserve"> </w:t>
      </w:r>
      <w:hyperlink r:id="rId2" w:history="1">
        <w:r w:rsidRPr="00FC50DF">
          <w:rPr>
            <w:rStyle w:val="Hyperlink"/>
          </w:rPr>
          <w:t>https://www.afdb.org/fr/documents/indice-2022-de-lindustrialisation-en-afrique</w:t>
        </w:r>
      </w:hyperlink>
    </w:p>
    <w:p w14:paraId="1F3D78BD" w14:textId="77777777" w:rsidR="005A35DE" w:rsidRDefault="005A35DE" w:rsidP="005A35DE">
      <w:pPr>
        <w:pStyle w:val="FootnoteText"/>
      </w:pPr>
    </w:p>
  </w:footnote>
  <w:footnote w:id="15">
    <w:p w14:paraId="144DAB40" w14:textId="77777777" w:rsidR="005A35DE" w:rsidRDefault="005A35DE" w:rsidP="005A35DE">
      <w:pPr>
        <w:pStyle w:val="FootnoteText"/>
      </w:pPr>
      <w:r>
        <w:rPr>
          <w:rStyle w:val="FootnoteReference"/>
        </w:rPr>
        <w:footnoteRef/>
      </w:r>
      <w:r>
        <w:t xml:space="preserve"> Étude diagnostique du secteur industriel de la Guinée, ONUDI, mai 2021</w:t>
      </w:r>
    </w:p>
  </w:footnote>
  <w:footnote w:id="16">
    <w:p w14:paraId="7A886005" w14:textId="77777777" w:rsidR="00F868F0" w:rsidRDefault="00F868F0" w:rsidP="00F868F0">
      <w:pPr>
        <w:pStyle w:val="Default"/>
        <w:rPr>
          <w:sz w:val="22"/>
          <w:szCs w:val="22"/>
        </w:rPr>
      </w:pPr>
      <w:r>
        <w:rPr>
          <w:rStyle w:val="FootnoteReference"/>
        </w:rPr>
        <w:footnoteRef/>
      </w:r>
      <w:r>
        <w:t xml:space="preserve"> </w:t>
      </w:r>
      <w:r w:rsidRPr="00AB3ED0">
        <w:rPr>
          <w:rFonts w:ascii="Roboto" w:hAnsi="Roboto"/>
          <w:sz w:val="16"/>
          <w:szCs w:val="16"/>
        </w:rPr>
        <w:t xml:space="preserve">Une tendance lourde est une </w:t>
      </w:r>
      <w:r w:rsidRPr="00AB3ED0">
        <w:rPr>
          <w:rFonts w:ascii="Roboto" w:hAnsi="Roboto"/>
          <w:b/>
          <w:bCs/>
          <w:sz w:val="16"/>
          <w:szCs w:val="16"/>
        </w:rPr>
        <w:t xml:space="preserve">évolution </w:t>
      </w:r>
      <w:r w:rsidRPr="00AB3ED0">
        <w:rPr>
          <w:rFonts w:ascii="Roboto" w:hAnsi="Roboto"/>
          <w:sz w:val="16"/>
          <w:szCs w:val="16"/>
        </w:rPr>
        <w:t xml:space="preserve">qu’on estime </w:t>
      </w:r>
      <w:r w:rsidRPr="00AB3ED0">
        <w:rPr>
          <w:rFonts w:ascii="Roboto" w:hAnsi="Roboto"/>
          <w:b/>
          <w:bCs/>
          <w:sz w:val="16"/>
          <w:szCs w:val="16"/>
        </w:rPr>
        <w:t xml:space="preserve">durable </w:t>
      </w:r>
      <w:r w:rsidRPr="00AB3ED0">
        <w:rPr>
          <w:rFonts w:ascii="Roboto" w:hAnsi="Roboto"/>
          <w:sz w:val="16"/>
          <w:szCs w:val="16"/>
        </w:rPr>
        <w:t xml:space="preserve">à l’horizon de </w:t>
      </w:r>
      <w:r w:rsidRPr="00AB3ED0">
        <w:rPr>
          <w:rFonts w:ascii="Roboto" w:hAnsi="Roboto"/>
          <w:b/>
          <w:bCs/>
          <w:sz w:val="16"/>
          <w:szCs w:val="16"/>
        </w:rPr>
        <w:t>plusieurs année</w:t>
      </w:r>
      <w:r w:rsidRPr="00AB3ED0">
        <w:rPr>
          <w:rFonts w:ascii="Roboto" w:hAnsi="Roboto"/>
          <w:sz w:val="16"/>
          <w:szCs w:val="16"/>
        </w:rPr>
        <w:t xml:space="preserve">s. Il s’agit donc d’un phénomène qui </w:t>
      </w:r>
      <w:proofErr w:type="spellStart"/>
      <w:r w:rsidRPr="00AB3ED0">
        <w:rPr>
          <w:rFonts w:ascii="Roboto" w:hAnsi="Roboto"/>
          <w:sz w:val="16"/>
          <w:szCs w:val="16"/>
        </w:rPr>
        <w:t>à</w:t>
      </w:r>
      <w:proofErr w:type="spellEnd"/>
      <w:r w:rsidRPr="00AB3ED0">
        <w:rPr>
          <w:rFonts w:ascii="Roboto" w:hAnsi="Roboto"/>
          <w:sz w:val="16"/>
          <w:szCs w:val="16"/>
        </w:rPr>
        <w:t xml:space="preserve"> une telle </w:t>
      </w:r>
      <w:r w:rsidRPr="00AB3ED0">
        <w:rPr>
          <w:rFonts w:ascii="Roboto" w:hAnsi="Roboto"/>
          <w:b/>
          <w:bCs/>
          <w:sz w:val="16"/>
          <w:szCs w:val="16"/>
        </w:rPr>
        <w:t xml:space="preserve">inertie </w:t>
      </w:r>
      <w:r w:rsidRPr="00AB3ED0">
        <w:rPr>
          <w:rFonts w:ascii="Roboto" w:hAnsi="Roboto"/>
          <w:sz w:val="16"/>
          <w:szCs w:val="16"/>
        </w:rPr>
        <w:t xml:space="preserve">qu’il ne peut, sauf changement structurel </w:t>
      </w:r>
      <w:r w:rsidRPr="00AB3ED0">
        <w:rPr>
          <w:rFonts w:ascii="Roboto" w:hAnsi="Roboto"/>
          <w:b/>
          <w:bCs/>
          <w:sz w:val="16"/>
          <w:szCs w:val="16"/>
        </w:rPr>
        <w:t>brutal</w:t>
      </w:r>
      <w:r w:rsidRPr="00AB3ED0">
        <w:rPr>
          <w:rFonts w:ascii="Roboto" w:hAnsi="Roboto"/>
          <w:sz w:val="16"/>
          <w:szCs w:val="16"/>
        </w:rPr>
        <w:t>, s’arrêter ou subir une réflexion qu’au bout d’un laps de temps. Exemple : le vieillissement, l’allongement de la durée de vie.</w:t>
      </w:r>
      <w:r>
        <w:rPr>
          <w:sz w:val="22"/>
          <w:szCs w:val="22"/>
        </w:rPr>
        <w:t xml:space="preserve"> </w:t>
      </w:r>
    </w:p>
    <w:p w14:paraId="5CD8AB2E" w14:textId="77777777" w:rsidR="00F868F0" w:rsidRPr="005C4CF1" w:rsidRDefault="00F868F0" w:rsidP="00F868F0">
      <w:pPr>
        <w:pStyle w:val="FootnoteText"/>
      </w:pPr>
    </w:p>
  </w:footnote>
  <w:footnote w:id="17">
    <w:p w14:paraId="61F86B37" w14:textId="1037DAB5" w:rsidR="00F83658" w:rsidRPr="00F83658" w:rsidRDefault="00F83658">
      <w:pPr>
        <w:pStyle w:val="FootnoteText"/>
      </w:pPr>
      <w:r>
        <w:rPr>
          <w:rStyle w:val="FootnoteReference"/>
        </w:rPr>
        <w:footnoteRef/>
      </w:r>
      <w:r>
        <w:t xml:space="preserve"> </w:t>
      </w:r>
      <w:r w:rsidRPr="001C36B1">
        <w:rPr>
          <w:rFonts w:ascii="Roboto" w:hAnsi="Roboto" w:cs="Times New Roman"/>
          <w:color w:val="000000"/>
          <w:sz w:val="16"/>
          <w:szCs w:val="16"/>
        </w:rPr>
        <w:t>Une rupture est une variation affectant une tendance lourde ; événement à l’origine de cette variation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AAB3A" w14:textId="58EE888C" w:rsidR="004E4379" w:rsidRDefault="004E4379">
    <w:pPr>
      <w:pStyle w:val="Header"/>
    </w:pPr>
    <w:r w:rsidRPr="006B19F0">
      <w:rPr>
        <w:rFonts w:ascii="Arial" w:hAnsi="Arial" w:cs="Arial"/>
        <w:noProof/>
        <w:sz w:val="24"/>
        <w:szCs w:val="24"/>
        <w:lang w:val="en-US"/>
      </w:rPr>
      <w:drawing>
        <wp:anchor distT="0" distB="0" distL="114300" distR="114300" simplePos="0" relativeHeight="251659264" behindDoc="0" locked="0" layoutInCell="1" allowOverlap="1" wp14:anchorId="51F93D72" wp14:editId="54CAD331">
          <wp:simplePos x="0" y="0"/>
          <wp:positionH relativeFrom="column">
            <wp:posOffset>1906270</wp:posOffset>
          </wp:positionH>
          <wp:positionV relativeFrom="paragraph">
            <wp:posOffset>-210185</wp:posOffset>
          </wp:positionV>
          <wp:extent cx="1906841" cy="541325"/>
          <wp:effectExtent l="0" t="0" r="0" b="0"/>
          <wp:wrapNone/>
          <wp:docPr id="7" name="Image 10"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6841" cy="541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09C5"/>
    <w:multiLevelType w:val="hybridMultilevel"/>
    <w:tmpl w:val="07CED858"/>
    <w:lvl w:ilvl="0" w:tplc="040C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E5F71"/>
    <w:multiLevelType w:val="hybridMultilevel"/>
    <w:tmpl w:val="6CAEC66C"/>
    <w:lvl w:ilvl="0" w:tplc="5A143A36">
      <w:numFmt w:val="bullet"/>
      <w:lvlText w:val="-"/>
      <w:lvlJc w:val="left"/>
      <w:pPr>
        <w:ind w:left="720" w:hanging="360"/>
      </w:pPr>
      <w:rPr>
        <w:rFonts w:ascii="Arial" w:eastAsiaTheme="minorHAnsi" w:hAnsi="Arial" w:cs="Arial" w:hint="default"/>
        <w:color w:val="0D0D0D" w:themeColor="text1" w:themeTint="F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25029D"/>
    <w:multiLevelType w:val="hybridMultilevel"/>
    <w:tmpl w:val="F036F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20160C"/>
    <w:multiLevelType w:val="hybridMultilevel"/>
    <w:tmpl w:val="02444892"/>
    <w:lvl w:ilvl="0" w:tplc="040C0001">
      <w:start w:val="1"/>
      <w:numFmt w:val="bullet"/>
      <w:lvlText w:val=""/>
      <w:lvlJc w:val="left"/>
      <w:pPr>
        <w:ind w:left="1130" w:hanging="360"/>
      </w:pPr>
      <w:rPr>
        <w:rFonts w:ascii="Symbol" w:hAnsi="Symbol" w:hint="default"/>
      </w:rPr>
    </w:lvl>
    <w:lvl w:ilvl="1" w:tplc="040C0003" w:tentative="1">
      <w:start w:val="1"/>
      <w:numFmt w:val="bullet"/>
      <w:lvlText w:val="o"/>
      <w:lvlJc w:val="left"/>
      <w:pPr>
        <w:ind w:left="1850" w:hanging="360"/>
      </w:pPr>
      <w:rPr>
        <w:rFonts w:ascii="Courier New" w:hAnsi="Courier New" w:cs="Courier New" w:hint="default"/>
      </w:rPr>
    </w:lvl>
    <w:lvl w:ilvl="2" w:tplc="040C0005" w:tentative="1">
      <w:start w:val="1"/>
      <w:numFmt w:val="bullet"/>
      <w:lvlText w:val=""/>
      <w:lvlJc w:val="left"/>
      <w:pPr>
        <w:ind w:left="2570" w:hanging="360"/>
      </w:pPr>
      <w:rPr>
        <w:rFonts w:ascii="Wingdings" w:hAnsi="Wingdings" w:hint="default"/>
      </w:rPr>
    </w:lvl>
    <w:lvl w:ilvl="3" w:tplc="040C0001" w:tentative="1">
      <w:start w:val="1"/>
      <w:numFmt w:val="bullet"/>
      <w:lvlText w:val=""/>
      <w:lvlJc w:val="left"/>
      <w:pPr>
        <w:ind w:left="3290" w:hanging="360"/>
      </w:pPr>
      <w:rPr>
        <w:rFonts w:ascii="Symbol" w:hAnsi="Symbol" w:hint="default"/>
      </w:rPr>
    </w:lvl>
    <w:lvl w:ilvl="4" w:tplc="040C0003" w:tentative="1">
      <w:start w:val="1"/>
      <w:numFmt w:val="bullet"/>
      <w:lvlText w:val="o"/>
      <w:lvlJc w:val="left"/>
      <w:pPr>
        <w:ind w:left="4010" w:hanging="360"/>
      </w:pPr>
      <w:rPr>
        <w:rFonts w:ascii="Courier New" w:hAnsi="Courier New" w:cs="Courier New" w:hint="default"/>
      </w:rPr>
    </w:lvl>
    <w:lvl w:ilvl="5" w:tplc="040C0005" w:tentative="1">
      <w:start w:val="1"/>
      <w:numFmt w:val="bullet"/>
      <w:lvlText w:val=""/>
      <w:lvlJc w:val="left"/>
      <w:pPr>
        <w:ind w:left="4730" w:hanging="360"/>
      </w:pPr>
      <w:rPr>
        <w:rFonts w:ascii="Wingdings" w:hAnsi="Wingdings" w:hint="default"/>
      </w:rPr>
    </w:lvl>
    <w:lvl w:ilvl="6" w:tplc="040C0001" w:tentative="1">
      <w:start w:val="1"/>
      <w:numFmt w:val="bullet"/>
      <w:lvlText w:val=""/>
      <w:lvlJc w:val="left"/>
      <w:pPr>
        <w:ind w:left="5450" w:hanging="360"/>
      </w:pPr>
      <w:rPr>
        <w:rFonts w:ascii="Symbol" w:hAnsi="Symbol" w:hint="default"/>
      </w:rPr>
    </w:lvl>
    <w:lvl w:ilvl="7" w:tplc="040C0003" w:tentative="1">
      <w:start w:val="1"/>
      <w:numFmt w:val="bullet"/>
      <w:lvlText w:val="o"/>
      <w:lvlJc w:val="left"/>
      <w:pPr>
        <w:ind w:left="6170" w:hanging="360"/>
      </w:pPr>
      <w:rPr>
        <w:rFonts w:ascii="Courier New" w:hAnsi="Courier New" w:cs="Courier New" w:hint="default"/>
      </w:rPr>
    </w:lvl>
    <w:lvl w:ilvl="8" w:tplc="040C0005" w:tentative="1">
      <w:start w:val="1"/>
      <w:numFmt w:val="bullet"/>
      <w:lvlText w:val=""/>
      <w:lvlJc w:val="left"/>
      <w:pPr>
        <w:ind w:left="6890" w:hanging="360"/>
      </w:pPr>
      <w:rPr>
        <w:rFonts w:ascii="Wingdings" w:hAnsi="Wingdings" w:hint="default"/>
      </w:rPr>
    </w:lvl>
  </w:abstractNum>
  <w:abstractNum w:abstractNumId="4" w15:restartNumberingAfterBreak="0">
    <w:nsid w:val="12B54FBD"/>
    <w:multiLevelType w:val="hybridMultilevel"/>
    <w:tmpl w:val="73C0ECA4"/>
    <w:lvl w:ilvl="0" w:tplc="5A143A36">
      <w:numFmt w:val="bullet"/>
      <w:lvlText w:val="-"/>
      <w:lvlJc w:val="left"/>
      <w:pPr>
        <w:ind w:left="720" w:hanging="360"/>
      </w:pPr>
      <w:rPr>
        <w:rFonts w:ascii="Arial" w:eastAsiaTheme="minorHAnsi" w:hAnsi="Arial" w:cs="Arial" w:hint="default"/>
        <w:color w:val="0D0D0D" w:themeColor="text1" w:themeTint="F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1B7F05"/>
    <w:multiLevelType w:val="hybridMultilevel"/>
    <w:tmpl w:val="B4D497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86804E9"/>
    <w:multiLevelType w:val="hybridMultilevel"/>
    <w:tmpl w:val="2A929022"/>
    <w:lvl w:ilvl="0" w:tplc="4454DA7A">
      <w:numFmt w:val="bullet"/>
      <w:lvlText w:val="•"/>
      <w:lvlJc w:val="left"/>
      <w:pPr>
        <w:ind w:left="1065" w:hanging="705"/>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A91698F"/>
    <w:multiLevelType w:val="hybridMultilevel"/>
    <w:tmpl w:val="8A1A7B26"/>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00685F"/>
    <w:multiLevelType w:val="hybridMultilevel"/>
    <w:tmpl w:val="AB8234CC"/>
    <w:lvl w:ilvl="0" w:tplc="4454DA7A">
      <w:numFmt w:val="bullet"/>
      <w:lvlText w:val="•"/>
      <w:lvlJc w:val="left"/>
      <w:pPr>
        <w:ind w:left="1065" w:hanging="705"/>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2AC3B25"/>
    <w:multiLevelType w:val="hybridMultilevel"/>
    <w:tmpl w:val="28303A62"/>
    <w:lvl w:ilvl="0" w:tplc="4454DA7A">
      <w:numFmt w:val="bullet"/>
      <w:lvlText w:val="•"/>
      <w:lvlJc w:val="left"/>
      <w:pPr>
        <w:ind w:left="360" w:hanging="360"/>
      </w:pPr>
      <w:rPr>
        <w:rFonts w:ascii="Calibri" w:eastAsiaTheme="minorHAnsi" w:hAnsi="Calibri" w:cs="Calibri" w:hint="default"/>
        <w:color w:val="0D0D0D" w:themeColor="text1" w:themeTint="F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4880D88"/>
    <w:multiLevelType w:val="hybridMultilevel"/>
    <w:tmpl w:val="77CE84B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4E32FF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9FD6F19"/>
    <w:multiLevelType w:val="hybridMultilevel"/>
    <w:tmpl w:val="279AB85A"/>
    <w:lvl w:ilvl="0" w:tplc="B68465DC">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FFA170D"/>
    <w:multiLevelType w:val="hybridMultilevel"/>
    <w:tmpl w:val="504E5A18"/>
    <w:lvl w:ilvl="0" w:tplc="FFFFFFF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51C11ED"/>
    <w:multiLevelType w:val="hybridMultilevel"/>
    <w:tmpl w:val="7C9843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5407483"/>
    <w:multiLevelType w:val="hybridMultilevel"/>
    <w:tmpl w:val="E586CFAC"/>
    <w:lvl w:ilvl="0" w:tplc="040C0013">
      <w:start w:val="1"/>
      <w:numFmt w:val="upperRoman"/>
      <w:lvlText w:val="%1."/>
      <w:lvlJc w:val="righ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5517C2A"/>
    <w:multiLevelType w:val="hybridMultilevel"/>
    <w:tmpl w:val="577E0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6767116"/>
    <w:multiLevelType w:val="hybridMultilevel"/>
    <w:tmpl w:val="BF8E2A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303873"/>
    <w:multiLevelType w:val="hybridMultilevel"/>
    <w:tmpl w:val="C46E4DD0"/>
    <w:lvl w:ilvl="0" w:tplc="4454DA7A">
      <w:numFmt w:val="bullet"/>
      <w:lvlText w:val="•"/>
      <w:lvlJc w:val="left"/>
      <w:pPr>
        <w:ind w:left="1065" w:hanging="705"/>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BD441A1"/>
    <w:multiLevelType w:val="hybridMultilevel"/>
    <w:tmpl w:val="E6C816C2"/>
    <w:lvl w:ilvl="0" w:tplc="4454DA7A">
      <w:numFmt w:val="bullet"/>
      <w:lvlText w:val="•"/>
      <w:lvlJc w:val="left"/>
      <w:pPr>
        <w:ind w:left="1065" w:hanging="705"/>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6D334C"/>
    <w:multiLevelType w:val="hybridMultilevel"/>
    <w:tmpl w:val="C9DA43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9007B2"/>
    <w:multiLevelType w:val="hybridMultilevel"/>
    <w:tmpl w:val="B1D82E00"/>
    <w:lvl w:ilvl="0" w:tplc="5A143A36">
      <w:numFmt w:val="bullet"/>
      <w:lvlText w:val="-"/>
      <w:lvlJc w:val="left"/>
      <w:pPr>
        <w:ind w:left="720" w:hanging="360"/>
      </w:pPr>
      <w:rPr>
        <w:rFonts w:ascii="Arial" w:eastAsiaTheme="minorHAnsi" w:hAnsi="Arial" w:cs="Arial" w:hint="default"/>
        <w:color w:val="0D0D0D" w:themeColor="text1" w:themeTint="F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1FF69C8"/>
    <w:multiLevelType w:val="hybridMultilevel"/>
    <w:tmpl w:val="ED4ADAA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53790FDA"/>
    <w:multiLevelType w:val="multilevel"/>
    <w:tmpl w:val="814C9DEC"/>
    <w:lvl w:ilvl="0">
      <w:start w:val="1"/>
      <w:numFmt w:val="decimal"/>
      <w:lvlText w:val="%1."/>
      <w:lvlJc w:val="left"/>
      <w:pPr>
        <w:ind w:left="720"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4" w15:restartNumberingAfterBreak="0">
    <w:nsid w:val="543120CD"/>
    <w:multiLevelType w:val="hybridMultilevel"/>
    <w:tmpl w:val="29E24780"/>
    <w:lvl w:ilvl="0" w:tplc="5A143A36">
      <w:numFmt w:val="bullet"/>
      <w:lvlText w:val="-"/>
      <w:lvlJc w:val="left"/>
      <w:pPr>
        <w:ind w:left="1080" w:hanging="360"/>
      </w:pPr>
      <w:rPr>
        <w:rFonts w:ascii="Arial" w:eastAsiaTheme="minorHAnsi" w:hAnsi="Arial" w:cs="Arial" w:hint="default"/>
        <w:color w:val="0D0D0D" w:themeColor="text1" w:themeTint="F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56147925"/>
    <w:multiLevelType w:val="multilevel"/>
    <w:tmpl w:val="814C9DEC"/>
    <w:lvl w:ilvl="0">
      <w:start w:val="1"/>
      <w:numFmt w:val="decimal"/>
      <w:lvlText w:val="%1."/>
      <w:lvlJc w:val="left"/>
      <w:pPr>
        <w:ind w:left="720"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6" w15:restartNumberingAfterBreak="0">
    <w:nsid w:val="5A635331"/>
    <w:multiLevelType w:val="hybridMultilevel"/>
    <w:tmpl w:val="07CED85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B907F67"/>
    <w:multiLevelType w:val="hybridMultilevel"/>
    <w:tmpl w:val="CD40C176"/>
    <w:lvl w:ilvl="0" w:tplc="5A143A36">
      <w:numFmt w:val="bullet"/>
      <w:lvlText w:val="-"/>
      <w:lvlJc w:val="left"/>
      <w:pPr>
        <w:ind w:left="720" w:hanging="360"/>
      </w:pPr>
      <w:rPr>
        <w:rFonts w:ascii="Arial" w:eastAsiaTheme="minorHAnsi" w:hAnsi="Arial" w:cs="Arial" w:hint="default"/>
        <w:color w:val="0D0D0D" w:themeColor="text1" w:themeTint="F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D8F6F54"/>
    <w:multiLevelType w:val="hybridMultilevel"/>
    <w:tmpl w:val="8946E3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017D2A"/>
    <w:multiLevelType w:val="hybridMultilevel"/>
    <w:tmpl w:val="2B76D8C4"/>
    <w:lvl w:ilvl="0" w:tplc="040C0013">
      <w:start w:val="1"/>
      <w:numFmt w:val="upperRoman"/>
      <w:lvlText w:val="%1."/>
      <w:lvlJc w:val="righ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42C39D1"/>
    <w:multiLevelType w:val="hybridMultilevel"/>
    <w:tmpl w:val="081C5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84140B"/>
    <w:multiLevelType w:val="hybridMultilevel"/>
    <w:tmpl w:val="408457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7CA74C7"/>
    <w:multiLevelType w:val="hybridMultilevel"/>
    <w:tmpl w:val="81A4F6A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B335654"/>
    <w:multiLevelType w:val="hybridMultilevel"/>
    <w:tmpl w:val="DF7C3B4C"/>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FC64BA7"/>
    <w:multiLevelType w:val="hybridMultilevel"/>
    <w:tmpl w:val="1A103CF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0BD451D"/>
    <w:multiLevelType w:val="hybridMultilevel"/>
    <w:tmpl w:val="6E94AD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4EB2462"/>
    <w:multiLevelType w:val="hybridMultilevel"/>
    <w:tmpl w:val="10B43CF8"/>
    <w:lvl w:ilvl="0" w:tplc="4454DA7A">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8646F5B"/>
    <w:multiLevelType w:val="hybridMultilevel"/>
    <w:tmpl w:val="EAC66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C3725B0"/>
    <w:multiLevelType w:val="hybridMultilevel"/>
    <w:tmpl w:val="1EEEF402"/>
    <w:lvl w:ilvl="0" w:tplc="4454DA7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CC3264F"/>
    <w:multiLevelType w:val="hybridMultilevel"/>
    <w:tmpl w:val="BF8E2A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62874062">
    <w:abstractNumId w:val="10"/>
  </w:num>
  <w:num w:numId="2" w16cid:durableId="478310222">
    <w:abstractNumId w:val="12"/>
  </w:num>
  <w:num w:numId="3" w16cid:durableId="526529856">
    <w:abstractNumId w:val="22"/>
  </w:num>
  <w:num w:numId="4" w16cid:durableId="1277061926">
    <w:abstractNumId w:val="3"/>
  </w:num>
  <w:num w:numId="5" w16cid:durableId="1822232694">
    <w:abstractNumId w:val="15"/>
  </w:num>
  <w:num w:numId="6" w16cid:durableId="2072843103">
    <w:abstractNumId w:val="37"/>
  </w:num>
  <w:num w:numId="7" w16cid:durableId="1448618966">
    <w:abstractNumId w:val="0"/>
  </w:num>
  <w:num w:numId="8" w16cid:durableId="1597446488">
    <w:abstractNumId w:val="27"/>
  </w:num>
  <w:num w:numId="9" w16cid:durableId="1512336361">
    <w:abstractNumId w:val="33"/>
  </w:num>
  <w:num w:numId="10" w16cid:durableId="1281717881">
    <w:abstractNumId w:val="7"/>
  </w:num>
  <w:num w:numId="11" w16cid:durableId="1720472512">
    <w:abstractNumId w:val="2"/>
  </w:num>
  <w:num w:numId="12" w16cid:durableId="1272128401">
    <w:abstractNumId w:val="16"/>
  </w:num>
  <w:num w:numId="13" w16cid:durableId="1945265182">
    <w:abstractNumId w:val="1"/>
  </w:num>
  <w:num w:numId="14" w16cid:durableId="1786734658">
    <w:abstractNumId w:val="4"/>
  </w:num>
  <w:num w:numId="15" w16cid:durableId="1137331875">
    <w:abstractNumId w:val="21"/>
  </w:num>
  <w:num w:numId="16" w16cid:durableId="1158502031">
    <w:abstractNumId w:val="6"/>
  </w:num>
  <w:num w:numId="17" w16cid:durableId="758989351">
    <w:abstractNumId w:val="18"/>
  </w:num>
  <w:num w:numId="18" w16cid:durableId="1874805680">
    <w:abstractNumId w:val="19"/>
  </w:num>
  <w:num w:numId="19" w16cid:durableId="938679757">
    <w:abstractNumId w:val="8"/>
  </w:num>
  <w:num w:numId="20" w16cid:durableId="1705981181">
    <w:abstractNumId w:val="24"/>
  </w:num>
  <w:num w:numId="21" w16cid:durableId="1019309202">
    <w:abstractNumId w:val="9"/>
  </w:num>
  <w:num w:numId="22" w16cid:durableId="1665744725">
    <w:abstractNumId w:val="38"/>
  </w:num>
  <w:num w:numId="23" w16cid:durableId="1092776637">
    <w:abstractNumId w:val="36"/>
  </w:num>
  <w:num w:numId="24" w16cid:durableId="735123794">
    <w:abstractNumId w:val="34"/>
  </w:num>
  <w:num w:numId="25" w16cid:durableId="127020185">
    <w:abstractNumId w:val="29"/>
  </w:num>
  <w:num w:numId="26" w16cid:durableId="390273380">
    <w:abstractNumId w:val="26"/>
  </w:num>
  <w:num w:numId="27" w16cid:durableId="160196990">
    <w:abstractNumId w:val="32"/>
  </w:num>
  <w:num w:numId="28" w16cid:durableId="1270241641">
    <w:abstractNumId w:val="14"/>
  </w:num>
  <w:num w:numId="29" w16cid:durableId="1486435249">
    <w:abstractNumId w:val="17"/>
  </w:num>
  <w:num w:numId="30" w16cid:durableId="1922369345">
    <w:abstractNumId w:val="39"/>
  </w:num>
  <w:num w:numId="31" w16cid:durableId="942344426">
    <w:abstractNumId w:val="30"/>
  </w:num>
  <w:num w:numId="32" w16cid:durableId="1620062116">
    <w:abstractNumId w:val="28"/>
  </w:num>
  <w:num w:numId="33" w16cid:durableId="152795559">
    <w:abstractNumId w:val="20"/>
  </w:num>
  <w:num w:numId="34" w16cid:durableId="649485182">
    <w:abstractNumId w:val="31"/>
  </w:num>
  <w:num w:numId="35" w16cid:durableId="479154059">
    <w:abstractNumId w:val="23"/>
  </w:num>
  <w:num w:numId="36" w16cid:durableId="1536891309">
    <w:abstractNumId w:val="11"/>
  </w:num>
  <w:num w:numId="37" w16cid:durableId="1279337692">
    <w:abstractNumId w:val="13"/>
  </w:num>
  <w:num w:numId="38" w16cid:durableId="704212379">
    <w:abstractNumId w:val="25"/>
  </w:num>
  <w:num w:numId="39" w16cid:durableId="1534146191">
    <w:abstractNumId w:val="35"/>
  </w:num>
  <w:num w:numId="40" w16cid:durableId="913589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SwMDc1Nzc1MDazMDBT0lEKTi0uzszPAymwqAUAQCfg/iwAAAA="/>
  </w:docVars>
  <w:rsids>
    <w:rsidRoot w:val="000F081C"/>
    <w:rsid w:val="00001ECF"/>
    <w:rsid w:val="00001EED"/>
    <w:rsid w:val="00011858"/>
    <w:rsid w:val="00011C9D"/>
    <w:rsid w:val="00014913"/>
    <w:rsid w:val="000320B2"/>
    <w:rsid w:val="000323D0"/>
    <w:rsid w:val="00040057"/>
    <w:rsid w:val="00043256"/>
    <w:rsid w:val="0004335F"/>
    <w:rsid w:val="000568D1"/>
    <w:rsid w:val="00090483"/>
    <w:rsid w:val="00092A17"/>
    <w:rsid w:val="00097C65"/>
    <w:rsid w:val="000A0225"/>
    <w:rsid w:val="000A24D6"/>
    <w:rsid w:val="000A696D"/>
    <w:rsid w:val="000C02A3"/>
    <w:rsid w:val="000C0416"/>
    <w:rsid w:val="000C4375"/>
    <w:rsid w:val="000C5E81"/>
    <w:rsid w:val="000D6BC4"/>
    <w:rsid w:val="000E67B4"/>
    <w:rsid w:val="000F081C"/>
    <w:rsid w:val="000F0D29"/>
    <w:rsid w:val="000F5686"/>
    <w:rsid w:val="001405F0"/>
    <w:rsid w:val="00156AD0"/>
    <w:rsid w:val="0017413B"/>
    <w:rsid w:val="001761A0"/>
    <w:rsid w:val="001A289F"/>
    <w:rsid w:val="001A2E9B"/>
    <w:rsid w:val="001B43F7"/>
    <w:rsid w:val="001C36B1"/>
    <w:rsid w:val="001D499F"/>
    <w:rsid w:val="001D6AAB"/>
    <w:rsid w:val="001E0FE8"/>
    <w:rsid w:val="001F4559"/>
    <w:rsid w:val="001F560D"/>
    <w:rsid w:val="002018FD"/>
    <w:rsid w:val="002148D2"/>
    <w:rsid w:val="002174CC"/>
    <w:rsid w:val="00220145"/>
    <w:rsid w:val="00233D63"/>
    <w:rsid w:val="00234783"/>
    <w:rsid w:val="00240C98"/>
    <w:rsid w:val="002433EB"/>
    <w:rsid w:val="00245641"/>
    <w:rsid w:val="00261701"/>
    <w:rsid w:val="00266F0F"/>
    <w:rsid w:val="00270F85"/>
    <w:rsid w:val="00275355"/>
    <w:rsid w:val="00281D21"/>
    <w:rsid w:val="00282FC4"/>
    <w:rsid w:val="00286221"/>
    <w:rsid w:val="002935E2"/>
    <w:rsid w:val="00295C66"/>
    <w:rsid w:val="00295DE3"/>
    <w:rsid w:val="002A3C38"/>
    <w:rsid w:val="002B53CC"/>
    <w:rsid w:val="002B6D86"/>
    <w:rsid w:val="002C0CD7"/>
    <w:rsid w:val="002D00EF"/>
    <w:rsid w:val="002E1F8B"/>
    <w:rsid w:val="002E48BC"/>
    <w:rsid w:val="002E6D03"/>
    <w:rsid w:val="002F1630"/>
    <w:rsid w:val="003020C9"/>
    <w:rsid w:val="00313E1E"/>
    <w:rsid w:val="00316802"/>
    <w:rsid w:val="00316DA1"/>
    <w:rsid w:val="00320441"/>
    <w:rsid w:val="00322E55"/>
    <w:rsid w:val="00322E5B"/>
    <w:rsid w:val="00334604"/>
    <w:rsid w:val="00341F9F"/>
    <w:rsid w:val="003422E0"/>
    <w:rsid w:val="003435D0"/>
    <w:rsid w:val="00344942"/>
    <w:rsid w:val="00357325"/>
    <w:rsid w:val="00375A6D"/>
    <w:rsid w:val="00380918"/>
    <w:rsid w:val="00386F9F"/>
    <w:rsid w:val="003A76E3"/>
    <w:rsid w:val="003B2B20"/>
    <w:rsid w:val="003B3B8C"/>
    <w:rsid w:val="003B53EA"/>
    <w:rsid w:val="003C7373"/>
    <w:rsid w:val="003D24A2"/>
    <w:rsid w:val="003E18F5"/>
    <w:rsid w:val="003E29DE"/>
    <w:rsid w:val="003E38F2"/>
    <w:rsid w:val="003E5910"/>
    <w:rsid w:val="003F0523"/>
    <w:rsid w:val="003F6CF3"/>
    <w:rsid w:val="003F76D2"/>
    <w:rsid w:val="00427634"/>
    <w:rsid w:val="00430EBA"/>
    <w:rsid w:val="00437127"/>
    <w:rsid w:val="00442C2B"/>
    <w:rsid w:val="004455C8"/>
    <w:rsid w:val="00447302"/>
    <w:rsid w:val="00464111"/>
    <w:rsid w:val="004651F9"/>
    <w:rsid w:val="00477BD1"/>
    <w:rsid w:val="004868AB"/>
    <w:rsid w:val="00486F34"/>
    <w:rsid w:val="004A2B5F"/>
    <w:rsid w:val="004A7787"/>
    <w:rsid w:val="004C3B5E"/>
    <w:rsid w:val="004C7FBC"/>
    <w:rsid w:val="004D1409"/>
    <w:rsid w:val="004E1140"/>
    <w:rsid w:val="004E4379"/>
    <w:rsid w:val="004F2980"/>
    <w:rsid w:val="004F6FC1"/>
    <w:rsid w:val="00503B61"/>
    <w:rsid w:val="00504117"/>
    <w:rsid w:val="005139DD"/>
    <w:rsid w:val="00515004"/>
    <w:rsid w:val="00523DE9"/>
    <w:rsid w:val="00537D37"/>
    <w:rsid w:val="00552A96"/>
    <w:rsid w:val="0057288F"/>
    <w:rsid w:val="0057777F"/>
    <w:rsid w:val="00580A25"/>
    <w:rsid w:val="005A35DE"/>
    <w:rsid w:val="005B02E6"/>
    <w:rsid w:val="005B5EF3"/>
    <w:rsid w:val="005C3E0C"/>
    <w:rsid w:val="005C4CF1"/>
    <w:rsid w:val="005D0AED"/>
    <w:rsid w:val="005E4B8D"/>
    <w:rsid w:val="005F156E"/>
    <w:rsid w:val="005F5854"/>
    <w:rsid w:val="005F6A8E"/>
    <w:rsid w:val="005F73B2"/>
    <w:rsid w:val="00606F17"/>
    <w:rsid w:val="0061016E"/>
    <w:rsid w:val="00615FAE"/>
    <w:rsid w:val="006167A7"/>
    <w:rsid w:val="0061744B"/>
    <w:rsid w:val="00620550"/>
    <w:rsid w:val="0062613E"/>
    <w:rsid w:val="00627D0A"/>
    <w:rsid w:val="00630F79"/>
    <w:rsid w:val="00632F6E"/>
    <w:rsid w:val="0063654C"/>
    <w:rsid w:val="00642F6E"/>
    <w:rsid w:val="00644BD7"/>
    <w:rsid w:val="00645A46"/>
    <w:rsid w:val="006517AB"/>
    <w:rsid w:val="00661585"/>
    <w:rsid w:val="00661C79"/>
    <w:rsid w:val="00663CB1"/>
    <w:rsid w:val="00666BE6"/>
    <w:rsid w:val="00670552"/>
    <w:rsid w:val="0068116C"/>
    <w:rsid w:val="00685318"/>
    <w:rsid w:val="00692A75"/>
    <w:rsid w:val="00692B69"/>
    <w:rsid w:val="006943CC"/>
    <w:rsid w:val="006945C6"/>
    <w:rsid w:val="006A3028"/>
    <w:rsid w:val="006B0453"/>
    <w:rsid w:val="006B12E8"/>
    <w:rsid w:val="006C085B"/>
    <w:rsid w:val="006C321D"/>
    <w:rsid w:val="006F1644"/>
    <w:rsid w:val="006F2D6D"/>
    <w:rsid w:val="006F314F"/>
    <w:rsid w:val="006F6446"/>
    <w:rsid w:val="006F6824"/>
    <w:rsid w:val="00702C87"/>
    <w:rsid w:val="00703C84"/>
    <w:rsid w:val="00711F83"/>
    <w:rsid w:val="00717A61"/>
    <w:rsid w:val="007244A9"/>
    <w:rsid w:val="00724550"/>
    <w:rsid w:val="00730C6E"/>
    <w:rsid w:val="00740B83"/>
    <w:rsid w:val="00740ED5"/>
    <w:rsid w:val="0074261B"/>
    <w:rsid w:val="00743C1D"/>
    <w:rsid w:val="00747D8D"/>
    <w:rsid w:val="0075000D"/>
    <w:rsid w:val="00760A4E"/>
    <w:rsid w:val="0076350C"/>
    <w:rsid w:val="007702CE"/>
    <w:rsid w:val="0077221F"/>
    <w:rsid w:val="007923DF"/>
    <w:rsid w:val="007933A5"/>
    <w:rsid w:val="007A30E1"/>
    <w:rsid w:val="007A53DC"/>
    <w:rsid w:val="007A59A7"/>
    <w:rsid w:val="007C00D2"/>
    <w:rsid w:val="007C02A9"/>
    <w:rsid w:val="007C1990"/>
    <w:rsid w:val="007C2B39"/>
    <w:rsid w:val="007D11E6"/>
    <w:rsid w:val="007D571E"/>
    <w:rsid w:val="007D7192"/>
    <w:rsid w:val="007D7722"/>
    <w:rsid w:val="007E5377"/>
    <w:rsid w:val="007F0652"/>
    <w:rsid w:val="007F203D"/>
    <w:rsid w:val="007F38AC"/>
    <w:rsid w:val="007F67B3"/>
    <w:rsid w:val="00802BD2"/>
    <w:rsid w:val="008057B5"/>
    <w:rsid w:val="0081070E"/>
    <w:rsid w:val="00830D5B"/>
    <w:rsid w:val="0084069E"/>
    <w:rsid w:val="0085025C"/>
    <w:rsid w:val="008526A7"/>
    <w:rsid w:val="00861D86"/>
    <w:rsid w:val="00866B43"/>
    <w:rsid w:val="008720AF"/>
    <w:rsid w:val="00874125"/>
    <w:rsid w:val="00881DF6"/>
    <w:rsid w:val="0089268F"/>
    <w:rsid w:val="008A605A"/>
    <w:rsid w:val="008B4C78"/>
    <w:rsid w:val="008B4E95"/>
    <w:rsid w:val="008B6E63"/>
    <w:rsid w:val="008C63DF"/>
    <w:rsid w:val="008D32FB"/>
    <w:rsid w:val="008E68C1"/>
    <w:rsid w:val="008E7070"/>
    <w:rsid w:val="008F1ED2"/>
    <w:rsid w:val="008F65F5"/>
    <w:rsid w:val="00901C6F"/>
    <w:rsid w:val="00913F2E"/>
    <w:rsid w:val="00924ECA"/>
    <w:rsid w:val="009310B3"/>
    <w:rsid w:val="009444F1"/>
    <w:rsid w:val="00944558"/>
    <w:rsid w:val="00945409"/>
    <w:rsid w:val="009659BD"/>
    <w:rsid w:val="00981E72"/>
    <w:rsid w:val="00984321"/>
    <w:rsid w:val="009869FC"/>
    <w:rsid w:val="00987AFF"/>
    <w:rsid w:val="00993F54"/>
    <w:rsid w:val="009A171F"/>
    <w:rsid w:val="009C331C"/>
    <w:rsid w:val="009C6708"/>
    <w:rsid w:val="009D65E9"/>
    <w:rsid w:val="009E35EE"/>
    <w:rsid w:val="009E3A01"/>
    <w:rsid w:val="009E52E9"/>
    <w:rsid w:val="009F057C"/>
    <w:rsid w:val="009F0CBA"/>
    <w:rsid w:val="00A03B96"/>
    <w:rsid w:val="00A1000D"/>
    <w:rsid w:val="00A13E41"/>
    <w:rsid w:val="00A142D6"/>
    <w:rsid w:val="00A20A79"/>
    <w:rsid w:val="00A21733"/>
    <w:rsid w:val="00A24DD5"/>
    <w:rsid w:val="00A24FEA"/>
    <w:rsid w:val="00A30E4B"/>
    <w:rsid w:val="00A31157"/>
    <w:rsid w:val="00A8668E"/>
    <w:rsid w:val="00A90FE9"/>
    <w:rsid w:val="00AA1838"/>
    <w:rsid w:val="00AA2BAE"/>
    <w:rsid w:val="00AA72AF"/>
    <w:rsid w:val="00AB2D77"/>
    <w:rsid w:val="00AB3ED0"/>
    <w:rsid w:val="00AB5097"/>
    <w:rsid w:val="00AC709C"/>
    <w:rsid w:val="00AD021A"/>
    <w:rsid w:val="00AD27DA"/>
    <w:rsid w:val="00AD3B07"/>
    <w:rsid w:val="00AE16E6"/>
    <w:rsid w:val="00AE73E3"/>
    <w:rsid w:val="00AE759F"/>
    <w:rsid w:val="00B05369"/>
    <w:rsid w:val="00B123F1"/>
    <w:rsid w:val="00B13EC7"/>
    <w:rsid w:val="00B21A5B"/>
    <w:rsid w:val="00B27A51"/>
    <w:rsid w:val="00B42F56"/>
    <w:rsid w:val="00B43E19"/>
    <w:rsid w:val="00B64098"/>
    <w:rsid w:val="00B673C6"/>
    <w:rsid w:val="00B715DE"/>
    <w:rsid w:val="00B7365F"/>
    <w:rsid w:val="00B87F7C"/>
    <w:rsid w:val="00B937CF"/>
    <w:rsid w:val="00B96107"/>
    <w:rsid w:val="00BB43EE"/>
    <w:rsid w:val="00BD542A"/>
    <w:rsid w:val="00BE176E"/>
    <w:rsid w:val="00BE3262"/>
    <w:rsid w:val="00BE4615"/>
    <w:rsid w:val="00BE77A7"/>
    <w:rsid w:val="00BF05BE"/>
    <w:rsid w:val="00C02BF2"/>
    <w:rsid w:val="00C042E6"/>
    <w:rsid w:val="00C06958"/>
    <w:rsid w:val="00C25BB5"/>
    <w:rsid w:val="00C27F68"/>
    <w:rsid w:val="00C43AAD"/>
    <w:rsid w:val="00C51AED"/>
    <w:rsid w:val="00C8771F"/>
    <w:rsid w:val="00C94C35"/>
    <w:rsid w:val="00CA07B5"/>
    <w:rsid w:val="00CB1976"/>
    <w:rsid w:val="00CC797F"/>
    <w:rsid w:val="00CD3B33"/>
    <w:rsid w:val="00CE7DA2"/>
    <w:rsid w:val="00CF1DEC"/>
    <w:rsid w:val="00CF20FE"/>
    <w:rsid w:val="00D03B22"/>
    <w:rsid w:val="00D0541B"/>
    <w:rsid w:val="00D3584B"/>
    <w:rsid w:val="00D36C47"/>
    <w:rsid w:val="00D42A96"/>
    <w:rsid w:val="00D4380A"/>
    <w:rsid w:val="00D45A4A"/>
    <w:rsid w:val="00D54802"/>
    <w:rsid w:val="00D6037A"/>
    <w:rsid w:val="00D7215F"/>
    <w:rsid w:val="00D72C7E"/>
    <w:rsid w:val="00DB2A67"/>
    <w:rsid w:val="00DC0619"/>
    <w:rsid w:val="00DC1412"/>
    <w:rsid w:val="00DC7E33"/>
    <w:rsid w:val="00DD4444"/>
    <w:rsid w:val="00DD5786"/>
    <w:rsid w:val="00DD6F46"/>
    <w:rsid w:val="00DF00D6"/>
    <w:rsid w:val="00DF3140"/>
    <w:rsid w:val="00DF3315"/>
    <w:rsid w:val="00E11FDC"/>
    <w:rsid w:val="00E16EDB"/>
    <w:rsid w:val="00E21097"/>
    <w:rsid w:val="00E22E50"/>
    <w:rsid w:val="00E31661"/>
    <w:rsid w:val="00E32421"/>
    <w:rsid w:val="00E42710"/>
    <w:rsid w:val="00E457CE"/>
    <w:rsid w:val="00E517B2"/>
    <w:rsid w:val="00E524BE"/>
    <w:rsid w:val="00E54B73"/>
    <w:rsid w:val="00E77E87"/>
    <w:rsid w:val="00E85EFF"/>
    <w:rsid w:val="00E915B9"/>
    <w:rsid w:val="00EA1091"/>
    <w:rsid w:val="00EA1EBB"/>
    <w:rsid w:val="00EB1DA3"/>
    <w:rsid w:val="00ED5B29"/>
    <w:rsid w:val="00EE5253"/>
    <w:rsid w:val="00EE5AE4"/>
    <w:rsid w:val="00EE6250"/>
    <w:rsid w:val="00EE6353"/>
    <w:rsid w:val="00F02795"/>
    <w:rsid w:val="00F13BF8"/>
    <w:rsid w:val="00F201E4"/>
    <w:rsid w:val="00F21E24"/>
    <w:rsid w:val="00F32139"/>
    <w:rsid w:val="00F43ECA"/>
    <w:rsid w:val="00F5634C"/>
    <w:rsid w:val="00F615D4"/>
    <w:rsid w:val="00F649ED"/>
    <w:rsid w:val="00F65519"/>
    <w:rsid w:val="00F7389E"/>
    <w:rsid w:val="00F747AB"/>
    <w:rsid w:val="00F83658"/>
    <w:rsid w:val="00F868F0"/>
    <w:rsid w:val="00F87E9D"/>
    <w:rsid w:val="00F95C6B"/>
    <w:rsid w:val="00FA00B0"/>
    <w:rsid w:val="00FA165A"/>
    <w:rsid w:val="00FA43F9"/>
    <w:rsid w:val="00FA5973"/>
    <w:rsid w:val="00FB3400"/>
    <w:rsid w:val="00FC3EAF"/>
    <w:rsid w:val="00FD2067"/>
    <w:rsid w:val="00FD4371"/>
    <w:rsid w:val="00FD51B4"/>
    <w:rsid w:val="00FE3BA4"/>
    <w:rsid w:val="759D462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0BEC8"/>
  <w15:docId w15:val="{693D297F-11F8-4398-A50A-25C664BF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4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1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3E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053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e couleur - Accent 11,References,Bullet List,FooterText,List Paragraph1,Colorful List Accent 1,numbered,Paragraphe de liste1,列出段落,列出段落1,Bulletr List Paragraph,List Paragraph2,List Paragraph21,Párrafo de lista1,リスト段落1,Plan"/>
    <w:basedOn w:val="Normal"/>
    <w:link w:val="ListParagraphChar"/>
    <w:uiPriority w:val="34"/>
    <w:qFormat/>
    <w:rsid w:val="002C0CD7"/>
    <w:pPr>
      <w:ind w:left="720"/>
      <w:contextualSpacing/>
    </w:pPr>
  </w:style>
  <w:style w:type="character" w:styleId="Hyperlink">
    <w:name w:val="Hyperlink"/>
    <w:basedOn w:val="DefaultParagraphFont"/>
    <w:uiPriority w:val="99"/>
    <w:unhideWhenUsed/>
    <w:rsid w:val="008E7070"/>
    <w:rPr>
      <w:color w:val="0563C1" w:themeColor="hyperlink"/>
      <w:u w:val="single"/>
    </w:rPr>
  </w:style>
  <w:style w:type="paragraph" w:styleId="FootnoteText">
    <w:name w:val="footnote text"/>
    <w:aliases w:val="ft,ADB,single space"/>
    <w:basedOn w:val="Normal"/>
    <w:link w:val="FootnoteTextChar"/>
    <w:uiPriority w:val="99"/>
    <w:unhideWhenUsed/>
    <w:rsid w:val="008E7070"/>
    <w:pPr>
      <w:spacing w:after="0" w:line="240" w:lineRule="auto"/>
    </w:pPr>
    <w:rPr>
      <w:sz w:val="20"/>
      <w:szCs w:val="20"/>
    </w:rPr>
  </w:style>
  <w:style w:type="character" w:customStyle="1" w:styleId="FootnoteTextChar">
    <w:name w:val="Footnote Text Char"/>
    <w:aliases w:val="ft Char,ADB Char,single space Char"/>
    <w:basedOn w:val="DefaultParagraphFont"/>
    <w:link w:val="FootnoteText"/>
    <w:uiPriority w:val="99"/>
    <w:rsid w:val="008E7070"/>
    <w:rPr>
      <w:sz w:val="20"/>
      <w:szCs w:val="20"/>
    </w:rPr>
  </w:style>
  <w:style w:type="character" w:styleId="FootnoteReference">
    <w:name w:val="footnote reference"/>
    <w:basedOn w:val="DefaultParagraphFont"/>
    <w:uiPriority w:val="99"/>
    <w:unhideWhenUsed/>
    <w:rsid w:val="008E7070"/>
    <w:rPr>
      <w:vertAlign w:val="superscript"/>
    </w:rPr>
  </w:style>
  <w:style w:type="character" w:customStyle="1" w:styleId="UnresolvedMention1">
    <w:name w:val="Unresolved Mention1"/>
    <w:basedOn w:val="DefaultParagraphFont"/>
    <w:uiPriority w:val="99"/>
    <w:semiHidden/>
    <w:unhideWhenUsed/>
    <w:rsid w:val="00234783"/>
    <w:rPr>
      <w:color w:val="605E5C"/>
      <w:shd w:val="clear" w:color="auto" w:fill="E1DFDD"/>
    </w:rPr>
  </w:style>
  <w:style w:type="character" w:customStyle="1" w:styleId="Heading2Char">
    <w:name w:val="Heading 2 Char"/>
    <w:basedOn w:val="DefaultParagraphFont"/>
    <w:link w:val="Heading2"/>
    <w:uiPriority w:val="9"/>
    <w:rsid w:val="007D11E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454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5409"/>
    <w:pPr>
      <w:outlineLvl w:val="9"/>
    </w:pPr>
    <w:rPr>
      <w:lang w:val="en-US"/>
    </w:rPr>
  </w:style>
  <w:style w:type="paragraph" w:styleId="TOC2">
    <w:name w:val="toc 2"/>
    <w:basedOn w:val="Normal"/>
    <w:next w:val="Normal"/>
    <w:autoRedefine/>
    <w:uiPriority w:val="39"/>
    <w:unhideWhenUsed/>
    <w:rsid w:val="00874125"/>
    <w:pPr>
      <w:tabs>
        <w:tab w:val="left" w:pos="660"/>
        <w:tab w:val="right" w:leader="dot" w:pos="9016"/>
      </w:tabs>
      <w:spacing w:after="100"/>
      <w:ind w:left="220"/>
    </w:pPr>
  </w:style>
  <w:style w:type="character" w:customStyle="1" w:styleId="ListParagraphChar">
    <w:name w:val="List Paragraph Char"/>
    <w:aliases w:val="Bullets Char,Liste couleur - Accent 11 Char,References Char,Bullet List Char,FooterText Char,List Paragraph1 Char,Colorful List Accent 1 Char,numbered Char,Paragraphe de liste1 Char,列出段落 Char,列出段落1 Char,Bulletr List Paragraph Char"/>
    <w:basedOn w:val="DefaultParagraphFont"/>
    <w:link w:val="ListParagraph"/>
    <w:uiPriority w:val="34"/>
    <w:qFormat/>
    <w:locked/>
    <w:rsid w:val="00C25BB5"/>
  </w:style>
  <w:style w:type="paragraph" w:customStyle="1" w:styleId="pf0">
    <w:name w:val="pf0"/>
    <w:basedOn w:val="Normal"/>
    <w:rsid w:val="00C25B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C25BB5"/>
    <w:rPr>
      <w:rFonts w:ascii="Segoe UI" w:hAnsi="Segoe UI" w:cs="Segoe UI" w:hint="default"/>
      <w:sz w:val="18"/>
      <w:szCs w:val="18"/>
    </w:rPr>
  </w:style>
  <w:style w:type="character" w:customStyle="1" w:styleId="cf11">
    <w:name w:val="cf11"/>
    <w:basedOn w:val="DefaultParagraphFont"/>
    <w:rsid w:val="00C25BB5"/>
    <w:rPr>
      <w:rFonts w:ascii="Segoe UI" w:hAnsi="Segoe UI" w:cs="Segoe UI" w:hint="default"/>
      <w:b/>
      <w:bCs/>
      <w:sz w:val="18"/>
      <w:szCs w:val="18"/>
    </w:rPr>
  </w:style>
  <w:style w:type="paragraph" w:styleId="Header">
    <w:name w:val="header"/>
    <w:basedOn w:val="Normal"/>
    <w:link w:val="HeaderChar"/>
    <w:uiPriority w:val="99"/>
    <w:unhideWhenUsed/>
    <w:rsid w:val="00984321"/>
    <w:pPr>
      <w:tabs>
        <w:tab w:val="center" w:pos="4536"/>
        <w:tab w:val="right" w:pos="9072"/>
      </w:tabs>
      <w:spacing w:after="0" w:line="240" w:lineRule="auto"/>
    </w:pPr>
  </w:style>
  <w:style w:type="character" w:customStyle="1" w:styleId="HeaderChar">
    <w:name w:val="Header Char"/>
    <w:basedOn w:val="DefaultParagraphFont"/>
    <w:link w:val="Header"/>
    <w:uiPriority w:val="99"/>
    <w:rsid w:val="00984321"/>
  </w:style>
  <w:style w:type="paragraph" w:styleId="Footer">
    <w:name w:val="footer"/>
    <w:basedOn w:val="Normal"/>
    <w:link w:val="FooterChar"/>
    <w:uiPriority w:val="99"/>
    <w:unhideWhenUsed/>
    <w:rsid w:val="00984321"/>
    <w:pPr>
      <w:tabs>
        <w:tab w:val="center" w:pos="4536"/>
        <w:tab w:val="right" w:pos="9072"/>
      </w:tabs>
      <w:spacing w:after="0" w:line="240" w:lineRule="auto"/>
    </w:pPr>
  </w:style>
  <w:style w:type="character" w:customStyle="1" w:styleId="FooterChar">
    <w:name w:val="Footer Char"/>
    <w:basedOn w:val="DefaultParagraphFont"/>
    <w:link w:val="Footer"/>
    <w:uiPriority w:val="99"/>
    <w:rsid w:val="00984321"/>
  </w:style>
  <w:style w:type="character" w:customStyle="1" w:styleId="normaltextrun">
    <w:name w:val="normaltextrun"/>
    <w:basedOn w:val="DefaultParagraphFont"/>
    <w:rsid w:val="006945C6"/>
  </w:style>
  <w:style w:type="paragraph" w:styleId="Revision">
    <w:name w:val="Revision"/>
    <w:hidden/>
    <w:uiPriority w:val="99"/>
    <w:semiHidden/>
    <w:rsid w:val="00AD27DA"/>
    <w:pPr>
      <w:spacing w:after="0" w:line="240" w:lineRule="auto"/>
    </w:pPr>
  </w:style>
  <w:style w:type="character" w:customStyle="1" w:styleId="markedcontent">
    <w:name w:val="markedcontent"/>
    <w:basedOn w:val="DefaultParagraphFont"/>
    <w:rsid w:val="00802BD2"/>
  </w:style>
  <w:style w:type="paragraph" w:styleId="TOC1">
    <w:name w:val="toc 1"/>
    <w:basedOn w:val="Normal"/>
    <w:next w:val="Normal"/>
    <w:autoRedefine/>
    <w:uiPriority w:val="39"/>
    <w:unhideWhenUsed/>
    <w:rsid w:val="006F6824"/>
    <w:pPr>
      <w:spacing w:after="100"/>
    </w:pPr>
  </w:style>
  <w:style w:type="character" w:customStyle="1" w:styleId="Heading3Char">
    <w:name w:val="Heading 3 Char"/>
    <w:basedOn w:val="DefaultParagraphFont"/>
    <w:link w:val="Heading3"/>
    <w:uiPriority w:val="9"/>
    <w:rsid w:val="00B13EC7"/>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B43E19"/>
    <w:rPr>
      <w:sz w:val="16"/>
      <w:szCs w:val="16"/>
    </w:rPr>
  </w:style>
  <w:style w:type="paragraph" w:styleId="CommentText">
    <w:name w:val="annotation text"/>
    <w:basedOn w:val="Normal"/>
    <w:link w:val="CommentTextChar"/>
    <w:uiPriority w:val="99"/>
    <w:semiHidden/>
    <w:unhideWhenUsed/>
    <w:rsid w:val="00B43E19"/>
    <w:pPr>
      <w:spacing w:line="240" w:lineRule="auto"/>
    </w:pPr>
    <w:rPr>
      <w:sz w:val="20"/>
      <w:szCs w:val="20"/>
    </w:rPr>
  </w:style>
  <w:style w:type="character" w:customStyle="1" w:styleId="CommentTextChar">
    <w:name w:val="Comment Text Char"/>
    <w:basedOn w:val="DefaultParagraphFont"/>
    <w:link w:val="CommentText"/>
    <w:uiPriority w:val="99"/>
    <w:semiHidden/>
    <w:rsid w:val="00B43E19"/>
    <w:rPr>
      <w:sz w:val="20"/>
      <w:szCs w:val="20"/>
    </w:rPr>
  </w:style>
  <w:style w:type="paragraph" w:styleId="CommentSubject">
    <w:name w:val="annotation subject"/>
    <w:basedOn w:val="CommentText"/>
    <w:next w:val="CommentText"/>
    <w:link w:val="CommentSubjectChar"/>
    <w:uiPriority w:val="99"/>
    <w:semiHidden/>
    <w:unhideWhenUsed/>
    <w:rsid w:val="00B43E19"/>
    <w:rPr>
      <w:b/>
      <w:bCs/>
    </w:rPr>
  </w:style>
  <w:style w:type="character" w:customStyle="1" w:styleId="CommentSubjectChar">
    <w:name w:val="Comment Subject Char"/>
    <w:basedOn w:val="CommentTextChar"/>
    <w:link w:val="CommentSubject"/>
    <w:uiPriority w:val="99"/>
    <w:semiHidden/>
    <w:rsid w:val="00B43E19"/>
    <w:rPr>
      <w:b/>
      <w:bCs/>
      <w:sz w:val="20"/>
      <w:szCs w:val="20"/>
    </w:rPr>
  </w:style>
  <w:style w:type="paragraph" w:styleId="TOC3">
    <w:name w:val="toc 3"/>
    <w:basedOn w:val="Normal"/>
    <w:next w:val="Normal"/>
    <w:autoRedefine/>
    <w:uiPriority w:val="39"/>
    <w:unhideWhenUsed/>
    <w:rsid w:val="006F2D6D"/>
    <w:pPr>
      <w:spacing w:after="100"/>
      <w:ind w:left="440"/>
    </w:pPr>
  </w:style>
  <w:style w:type="paragraph" w:styleId="Title">
    <w:name w:val="Title"/>
    <w:basedOn w:val="Normal"/>
    <w:next w:val="Normal"/>
    <w:link w:val="TitleChar"/>
    <w:uiPriority w:val="10"/>
    <w:qFormat/>
    <w:rsid w:val="00E54B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B73"/>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B05369"/>
    <w:rPr>
      <w:rFonts w:asciiTheme="majorHAnsi" w:eastAsiaTheme="majorEastAsia" w:hAnsiTheme="majorHAnsi" w:cstheme="majorBidi"/>
      <w:i/>
      <w:iCs/>
      <w:color w:val="2F5496" w:themeColor="accent1" w:themeShade="BF"/>
    </w:rPr>
  </w:style>
  <w:style w:type="paragraph" w:customStyle="1" w:styleId="Default">
    <w:name w:val="Default"/>
    <w:rsid w:val="00AB3ED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50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afdb.org/fr/documents/indice-2022-de-lindustrialisation-en-afrique" TargetMode="External"/><Relationship Id="rId1" Type="http://schemas.openxmlformats.org/officeDocument/2006/relationships/hyperlink" Target="https://www.imf.org/external/datamapper/datasets/WE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Feuil1!$B$4</c:f>
              <c:strCache>
                <c:ptCount val="1"/>
                <c:pt idx="0">
                  <c:v>Croissance du PIB réel en %</c:v>
                </c:pt>
              </c:strCache>
            </c:strRef>
          </c:tx>
          <c:spPr>
            <a:solidFill>
              <a:schemeClr val="accent3"/>
            </a:solidFill>
            <a:ln>
              <a:noFill/>
            </a:ln>
            <a:effectLst/>
          </c:spPr>
          <c:invertIfNegative val="0"/>
          <c:cat>
            <c:strRef>
              <c:f>Feuil1!$C$3:$H$3</c:f>
              <c:strCache>
                <c:ptCount val="5"/>
                <c:pt idx="0">
                  <c:v>2019</c:v>
                </c:pt>
                <c:pt idx="1">
                  <c:v>2020</c:v>
                </c:pt>
                <c:pt idx="2">
                  <c:v>2021</c:v>
                </c:pt>
                <c:pt idx="3">
                  <c:v>2022*</c:v>
                </c:pt>
                <c:pt idx="4">
                  <c:v>2023*</c:v>
                </c:pt>
              </c:strCache>
            </c:strRef>
          </c:cat>
          <c:val>
            <c:numRef>
              <c:f>Feuil1!$C$4:$H$4</c:f>
              <c:numCache>
                <c:formatCode>General</c:formatCode>
                <c:ptCount val="6"/>
                <c:pt idx="0">
                  <c:v>5.6</c:v>
                </c:pt>
                <c:pt idx="1">
                  <c:v>4.9000000000000004</c:v>
                </c:pt>
                <c:pt idx="2">
                  <c:v>3.8</c:v>
                </c:pt>
                <c:pt idx="3">
                  <c:v>4.5999999999999996</c:v>
                </c:pt>
                <c:pt idx="4">
                  <c:v>5.0999999999999996</c:v>
                </c:pt>
              </c:numCache>
            </c:numRef>
          </c:val>
          <c:extLst>
            <c:ext xmlns:c16="http://schemas.microsoft.com/office/drawing/2014/chart" uri="{C3380CC4-5D6E-409C-BE32-E72D297353CC}">
              <c16:uniqueId val="{00000000-0EB1-47F1-AFB6-99309271C0DC}"/>
            </c:ext>
          </c:extLst>
        </c:ser>
        <c:dLbls>
          <c:showLegendKey val="0"/>
          <c:showVal val="0"/>
          <c:showCatName val="0"/>
          <c:showSerName val="0"/>
          <c:showPercent val="0"/>
          <c:showBubbleSize val="0"/>
        </c:dLbls>
        <c:gapWidth val="219"/>
        <c:overlap val="-27"/>
        <c:axId val="684167632"/>
        <c:axId val="684167952"/>
      </c:barChart>
      <c:catAx>
        <c:axId val="68416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84167952"/>
        <c:crosses val="autoZero"/>
        <c:auto val="1"/>
        <c:lblAlgn val="ctr"/>
        <c:lblOffset val="100"/>
        <c:noMultiLvlLbl val="0"/>
      </c:catAx>
      <c:valAx>
        <c:axId val="684167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841676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fr-F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Prix à </a:t>
            </a:r>
            <a:r>
              <a:rPr lang="en-US">
                <a:latin typeface="+mn-lt"/>
              </a:rPr>
              <a:t>la Consommation % en Guin</a:t>
            </a:r>
            <a:r>
              <a:rPr lang="en-US">
                <a:latin typeface="+mn-lt"/>
                <a:ea typeface="Roboto" panose="02000000000000000000" pitchFamily="2" charset="0"/>
                <a:cs typeface="Roboto" panose="02000000000000000000" pitchFamily="2" charset="0"/>
              </a:rPr>
              <a:t>ée</a:t>
            </a:r>
            <a:endParaRPr lang="en-US">
              <a:latin typeface="+mn-l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Feuil1!$B$9</c:f>
              <c:strCache>
                <c:ptCount val="1"/>
                <c:pt idx="0">
                  <c:v>Prix à la Consommation %</c:v>
                </c:pt>
              </c:strCache>
            </c:strRef>
          </c:tx>
          <c:spPr>
            <a:solidFill>
              <a:schemeClr val="accent3">
                <a:shade val="76000"/>
              </a:schemeClr>
            </a:solidFill>
            <a:ln>
              <a:noFill/>
            </a:ln>
            <a:effectLst/>
          </c:spPr>
          <c:invertIfNegative val="0"/>
          <c:cat>
            <c:strRef>
              <c:f>Feuil1!$C$8:$G$8</c:f>
              <c:strCache>
                <c:ptCount val="5"/>
                <c:pt idx="0">
                  <c:v>2019</c:v>
                </c:pt>
                <c:pt idx="1">
                  <c:v>2020</c:v>
                </c:pt>
                <c:pt idx="2">
                  <c:v>2021</c:v>
                </c:pt>
                <c:pt idx="3">
                  <c:v>2022*</c:v>
                </c:pt>
                <c:pt idx="4">
                  <c:v>2023*</c:v>
                </c:pt>
              </c:strCache>
            </c:strRef>
          </c:cat>
          <c:val>
            <c:numRef>
              <c:f>Feuil1!$C$9:$G$9</c:f>
              <c:numCache>
                <c:formatCode>General</c:formatCode>
                <c:ptCount val="5"/>
                <c:pt idx="0">
                  <c:v>9.5</c:v>
                </c:pt>
                <c:pt idx="1">
                  <c:v>10.6</c:v>
                </c:pt>
                <c:pt idx="2">
                  <c:v>12.6</c:v>
                </c:pt>
                <c:pt idx="3">
                  <c:v>12.7</c:v>
                </c:pt>
                <c:pt idx="4">
                  <c:v>12.2</c:v>
                </c:pt>
              </c:numCache>
            </c:numRef>
          </c:val>
          <c:extLst>
            <c:ext xmlns:c16="http://schemas.microsoft.com/office/drawing/2014/chart" uri="{C3380CC4-5D6E-409C-BE32-E72D297353CC}">
              <c16:uniqueId val="{00000000-05C3-4AF5-AC23-5E467E140418}"/>
            </c:ext>
          </c:extLst>
        </c:ser>
        <c:dLbls>
          <c:showLegendKey val="0"/>
          <c:showVal val="0"/>
          <c:showCatName val="0"/>
          <c:showSerName val="0"/>
          <c:showPercent val="0"/>
          <c:showBubbleSize val="0"/>
        </c:dLbls>
        <c:gapWidth val="219"/>
        <c:overlap val="-27"/>
        <c:axId val="658346168"/>
        <c:axId val="658342968"/>
        <c:extLst>
          <c:ext xmlns:c15="http://schemas.microsoft.com/office/drawing/2012/chart" uri="{02D57815-91ED-43cb-92C2-25804820EDAC}">
            <c15:filteredBarSeries>
              <c15:ser>
                <c:idx val="1"/>
                <c:order val="1"/>
                <c:tx>
                  <c:strRef>
                    <c:extLst>
                      <c:ext uri="{02D57815-91ED-43cb-92C2-25804820EDAC}">
                        <c15:formulaRef>
                          <c15:sqref>Feuil1!$B$10</c15:sqref>
                        </c15:formulaRef>
                      </c:ext>
                    </c:extLst>
                    <c:strCache>
                      <c:ptCount val="1"/>
                    </c:strCache>
                  </c:strRef>
                </c:tx>
                <c:spPr>
                  <a:solidFill>
                    <a:schemeClr val="accent3">
                      <a:tint val="77000"/>
                    </a:schemeClr>
                  </a:solidFill>
                  <a:ln>
                    <a:noFill/>
                  </a:ln>
                  <a:effectLst/>
                </c:spPr>
                <c:invertIfNegative val="0"/>
                <c:cat>
                  <c:strRef>
                    <c:extLst>
                      <c:ext uri="{02D57815-91ED-43cb-92C2-25804820EDAC}">
                        <c15:formulaRef>
                          <c15:sqref>Feuil1!$C$8:$G$8</c15:sqref>
                        </c15:formulaRef>
                      </c:ext>
                    </c:extLst>
                    <c:strCache>
                      <c:ptCount val="5"/>
                      <c:pt idx="0">
                        <c:v>2019</c:v>
                      </c:pt>
                      <c:pt idx="1">
                        <c:v>2020</c:v>
                      </c:pt>
                      <c:pt idx="2">
                        <c:v>2021</c:v>
                      </c:pt>
                      <c:pt idx="3">
                        <c:v>2022*</c:v>
                      </c:pt>
                      <c:pt idx="4">
                        <c:v>2023*</c:v>
                      </c:pt>
                    </c:strCache>
                  </c:strRef>
                </c:cat>
                <c:val>
                  <c:numRef>
                    <c:extLst>
                      <c:ext uri="{02D57815-91ED-43cb-92C2-25804820EDAC}">
                        <c15:formulaRef>
                          <c15:sqref>Feuil1!$C$10:$G$10</c15:sqref>
                        </c15:formulaRef>
                      </c:ext>
                    </c:extLst>
                    <c:numCache>
                      <c:formatCode>General</c:formatCode>
                      <c:ptCount val="5"/>
                    </c:numCache>
                  </c:numRef>
                </c:val>
                <c:extLst>
                  <c:ext xmlns:c16="http://schemas.microsoft.com/office/drawing/2014/chart" uri="{C3380CC4-5D6E-409C-BE32-E72D297353CC}">
                    <c16:uniqueId val="{00000001-05C3-4AF5-AC23-5E467E140418}"/>
                  </c:ext>
                </c:extLst>
              </c15:ser>
            </c15:filteredBarSeries>
          </c:ext>
        </c:extLst>
      </c:barChart>
      <c:catAx>
        <c:axId val="658346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58342968"/>
        <c:crosses val="autoZero"/>
        <c:auto val="1"/>
        <c:lblAlgn val="ctr"/>
        <c:lblOffset val="100"/>
        <c:noMultiLvlLbl val="0"/>
      </c:catAx>
      <c:valAx>
        <c:axId val="658342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583461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fr-F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A43FD-317C-408C-8094-B8E2FE35C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8201</Words>
  <Characters>45106</Characters>
  <Application>Microsoft Office Word</Application>
  <DocSecurity>0</DocSecurity>
  <Lines>375</Lines>
  <Paragraphs>106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Ismael</dc:creator>
  <cp:keywords/>
  <dc:description/>
  <cp:lastModifiedBy>Mouna El Jaouhari</cp:lastModifiedBy>
  <cp:revision>3</cp:revision>
  <cp:lastPrinted>2023-06-12T12:03:00Z</cp:lastPrinted>
  <dcterms:created xsi:type="dcterms:W3CDTF">2023-07-29T23:07:00Z</dcterms:created>
  <dcterms:modified xsi:type="dcterms:W3CDTF">2023-07-29T23:07:00Z</dcterms:modified>
</cp:coreProperties>
</file>