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E8A30" w14:textId="77777777" w:rsidR="00BB534D" w:rsidRDefault="00BB534D" w:rsidP="009C4A99">
      <w:pPr>
        <w:pStyle w:val="Title"/>
        <w:pBdr>
          <w:top w:val="nil"/>
          <w:left w:val="nil"/>
          <w:bottom w:val="nil"/>
          <w:right w:val="nil"/>
          <w:between w:val="nil"/>
        </w:pBdr>
        <w:jc w:val="right"/>
        <w:rPr>
          <w:b w:val="0"/>
          <w:color w:val="039BE5"/>
          <w:sz w:val="56"/>
          <w:szCs w:val="56"/>
        </w:rPr>
      </w:pPr>
      <w:bookmarkStart w:id="0" w:name="_aczyuw2yex2w" w:colFirst="0" w:colLast="0"/>
      <w:bookmarkEnd w:id="0"/>
    </w:p>
    <w:p w14:paraId="05AE8A31" w14:textId="77777777" w:rsidR="00BB534D" w:rsidRDefault="00B842B1">
      <w:pPr>
        <w:pStyle w:val="Title"/>
        <w:pBdr>
          <w:top w:val="nil"/>
          <w:left w:val="nil"/>
          <w:bottom w:val="nil"/>
          <w:right w:val="nil"/>
          <w:between w:val="nil"/>
        </w:pBdr>
      </w:pPr>
      <w:bookmarkStart w:id="1" w:name="_kbrmf36c9tae" w:colFirst="0" w:colLast="0"/>
      <w:bookmarkEnd w:id="1"/>
      <w:r>
        <w:rPr>
          <w:b w:val="0"/>
          <w:noProof/>
          <w:color w:val="039BE5"/>
          <w:sz w:val="56"/>
          <w:szCs w:val="56"/>
        </w:rPr>
        <w:drawing>
          <wp:inline distT="114300" distB="114300" distL="114300" distR="114300" wp14:anchorId="05AE8D35" wp14:editId="05AE8D36">
            <wp:extent cx="3552753" cy="757238"/>
            <wp:effectExtent l="0" t="0" r="0" b="0"/>
            <wp:docPr id="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3552753" cy="757238"/>
                    </a:xfrm>
                    <a:prstGeom prst="rect">
                      <a:avLst/>
                    </a:prstGeom>
                    <a:ln/>
                  </pic:spPr>
                </pic:pic>
              </a:graphicData>
            </a:graphic>
          </wp:inline>
        </w:drawing>
      </w:r>
      <w:r>
        <w:br/>
      </w:r>
      <w:proofErr w:type="spellStart"/>
      <w:r>
        <w:rPr>
          <w:sz w:val="70"/>
          <w:szCs w:val="70"/>
        </w:rPr>
        <w:t>Common</w:t>
      </w:r>
      <w:proofErr w:type="spellEnd"/>
      <w:r>
        <w:rPr>
          <w:sz w:val="70"/>
          <w:szCs w:val="70"/>
        </w:rPr>
        <w:t xml:space="preserve"> Country </w:t>
      </w:r>
      <w:proofErr w:type="spellStart"/>
      <w:r>
        <w:rPr>
          <w:sz w:val="70"/>
          <w:szCs w:val="70"/>
        </w:rPr>
        <w:t>Analysis</w:t>
      </w:r>
      <w:proofErr w:type="spellEnd"/>
      <w:r>
        <w:rPr>
          <w:sz w:val="70"/>
          <w:szCs w:val="70"/>
        </w:rPr>
        <w:t xml:space="preserve"> 2022</w:t>
      </w:r>
    </w:p>
    <w:p w14:paraId="05AE8A32" w14:textId="77777777" w:rsidR="00BB534D" w:rsidRDefault="00B842B1">
      <w:pPr>
        <w:pBdr>
          <w:top w:val="nil"/>
          <w:left w:val="nil"/>
          <w:bottom w:val="nil"/>
          <w:right w:val="nil"/>
          <w:between w:val="nil"/>
        </w:pBdr>
        <w:spacing w:after="3600" w:line="240" w:lineRule="auto"/>
        <w:rPr>
          <w:sz w:val="72"/>
          <w:szCs w:val="72"/>
        </w:rPr>
      </w:pPr>
      <w:r>
        <w:rPr>
          <w:noProof/>
          <w:color w:val="666666"/>
          <w:sz w:val="20"/>
          <w:szCs w:val="20"/>
        </w:rPr>
        <w:drawing>
          <wp:inline distT="114300" distB="114300" distL="114300" distR="114300" wp14:anchorId="05AE8D37" wp14:editId="05AE8D38">
            <wp:extent cx="447675" cy="57150"/>
            <wp:effectExtent l="0" t="0" r="0" b="0"/>
            <wp:docPr id="6" name="image2.png" descr="línea corta"/>
            <wp:cNvGraphicFramePr/>
            <a:graphic xmlns:a="http://schemas.openxmlformats.org/drawingml/2006/main">
              <a:graphicData uri="http://schemas.openxmlformats.org/drawingml/2006/picture">
                <pic:pic xmlns:pic="http://schemas.openxmlformats.org/drawingml/2006/picture">
                  <pic:nvPicPr>
                    <pic:cNvPr id="0" name="image2.png" descr="línea corta"/>
                    <pic:cNvPicPr preferRelativeResize="0"/>
                  </pic:nvPicPr>
                  <pic:blipFill>
                    <a:blip r:embed="rId8"/>
                    <a:srcRect/>
                    <a:stretch>
                      <a:fillRect/>
                    </a:stretch>
                  </pic:blipFill>
                  <pic:spPr>
                    <a:xfrm>
                      <a:off x="0" y="0"/>
                      <a:ext cx="447675" cy="57150"/>
                    </a:xfrm>
                    <a:prstGeom prst="rect">
                      <a:avLst/>
                    </a:prstGeom>
                    <a:ln/>
                  </pic:spPr>
                </pic:pic>
              </a:graphicData>
            </a:graphic>
          </wp:inline>
        </w:drawing>
      </w:r>
    </w:p>
    <w:p w14:paraId="05AE8A33" w14:textId="77777777" w:rsidR="00BB534D" w:rsidRDefault="00B842B1">
      <w:pPr>
        <w:pBdr>
          <w:top w:val="nil"/>
          <w:left w:val="nil"/>
          <w:bottom w:val="nil"/>
          <w:right w:val="nil"/>
          <w:between w:val="nil"/>
        </w:pBdr>
        <w:rPr>
          <w:color w:val="666666"/>
          <w:sz w:val="32"/>
          <w:szCs w:val="32"/>
        </w:rPr>
      </w:pPr>
      <w:r>
        <w:rPr>
          <w:sz w:val="32"/>
          <w:szCs w:val="32"/>
        </w:rPr>
        <w:br/>
      </w:r>
      <w:r>
        <w:rPr>
          <w:color w:val="666666"/>
          <w:sz w:val="32"/>
          <w:szCs w:val="32"/>
        </w:rPr>
        <w:t>Enero del 2022</w:t>
      </w:r>
    </w:p>
    <w:p w14:paraId="05AE8A34" w14:textId="77777777" w:rsidR="00BB534D" w:rsidRDefault="00BB534D">
      <w:pPr>
        <w:pBdr>
          <w:top w:val="nil"/>
          <w:left w:val="nil"/>
          <w:bottom w:val="nil"/>
          <w:right w:val="nil"/>
          <w:between w:val="nil"/>
        </w:pBdr>
      </w:pPr>
    </w:p>
    <w:p w14:paraId="05AE8A35" w14:textId="77777777" w:rsidR="00BB534D" w:rsidRDefault="00BB534D">
      <w:pPr>
        <w:pBdr>
          <w:top w:val="nil"/>
          <w:left w:val="nil"/>
          <w:bottom w:val="nil"/>
          <w:right w:val="nil"/>
          <w:between w:val="nil"/>
        </w:pBdr>
        <w:rPr>
          <w:sz w:val="24"/>
          <w:szCs w:val="24"/>
        </w:rPr>
      </w:pPr>
    </w:p>
    <w:p w14:paraId="05AE8A36" w14:textId="77777777" w:rsidR="00BB534D" w:rsidRDefault="00B842B1">
      <w:pPr>
        <w:pBdr>
          <w:top w:val="nil"/>
          <w:left w:val="nil"/>
          <w:bottom w:val="nil"/>
          <w:right w:val="nil"/>
          <w:between w:val="nil"/>
        </w:pBdr>
        <w:rPr>
          <w:b/>
          <w:sz w:val="24"/>
          <w:szCs w:val="24"/>
        </w:rPr>
      </w:pPr>
      <w:r>
        <w:rPr>
          <w:b/>
          <w:sz w:val="24"/>
          <w:szCs w:val="24"/>
        </w:rPr>
        <w:lastRenderedPageBreak/>
        <w:t xml:space="preserve">Introducción </w:t>
      </w:r>
    </w:p>
    <w:p w14:paraId="05AE8A37" w14:textId="77777777" w:rsidR="00BB534D" w:rsidRDefault="00B842B1">
      <w:pPr>
        <w:pBdr>
          <w:top w:val="nil"/>
          <w:left w:val="nil"/>
          <w:bottom w:val="nil"/>
          <w:right w:val="nil"/>
          <w:between w:val="nil"/>
        </w:pBdr>
        <w:jc w:val="both"/>
        <w:rPr>
          <w:sz w:val="24"/>
          <w:szCs w:val="24"/>
        </w:rPr>
      </w:pPr>
      <w:r>
        <w:rPr>
          <w:sz w:val="24"/>
          <w:szCs w:val="24"/>
        </w:rPr>
        <w:t xml:space="preserve">El </w:t>
      </w:r>
      <w:proofErr w:type="spellStart"/>
      <w:r>
        <w:rPr>
          <w:i/>
          <w:sz w:val="24"/>
          <w:szCs w:val="24"/>
        </w:rPr>
        <w:t>Common</w:t>
      </w:r>
      <w:proofErr w:type="spellEnd"/>
      <w:r>
        <w:rPr>
          <w:i/>
          <w:sz w:val="24"/>
          <w:szCs w:val="24"/>
        </w:rPr>
        <w:t xml:space="preserve"> Country </w:t>
      </w:r>
      <w:proofErr w:type="spellStart"/>
      <w:r>
        <w:rPr>
          <w:i/>
          <w:sz w:val="24"/>
          <w:szCs w:val="24"/>
        </w:rPr>
        <w:t>Analysis</w:t>
      </w:r>
      <w:proofErr w:type="spellEnd"/>
      <w:r>
        <w:rPr>
          <w:i/>
          <w:sz w:val="24"/>
          <w:szCs w:val="24"/>
        </w:rPr>
        <w:t xml:space="preserve"> (CCA)</w:t>
      </w:r>
      <w:r>
        <w:rPr>
          <w:sz w:val="24"/>
          <w:szCs w:val="24"/>
        </w:rPr>
        <w:t xml:space="preserve"> es un documento basado en evidencia donde el equipo del Sistema de Naciones Unidas, en este caso de Costa Rica, lleva a cabo un desarrollo analítico del estado del país en ciertas áreas específicas, las cuales son claves para alcanzar las metas de Naciones Unidas en el desarrollo humano sostenible. </w:t>
      </w:r>
    </w:p>
    <w:p w14:paraId="05AE8A38" w14:textId="77777777" w:rsidR="00BB534D" w:rsidRDefault="00B842B1">
      <w:pPr>
        <w:pBdr>
          <w:top w:val="nil"/>
          <w:left w:val="nil"/>
          <w:bottom w:val="nil"/>
          <w:right w:val="nil"/>
          <w:between w:val="nil"/>
        </w:pBdr>
        <w:jc w:val="both"/>
        <w:rPr>
          <w:sz w:val="24"/>
          <w:szCs w:val="24"/>
        </w:rPr>
      </w:pPr>
      <w:r>
        <w:rPr>
          <w:sz w:val="24"/>
          <w:szCs w:val="24"/>
        </w:rPr>
        <w:t xml:space="preserve">Fundado en la consigna y el compromiso de </w:t>
      </w:r>
      <w:proofErr w:type="spellStart"/>
      <w:r>
        <w:rPr>
          <w:i/>
          <w:sz w:val="24"/>
          <w:szCs w:val="24"/>
        </w:rPr>
        <w:t>Leave</w:t>
      </w:r>
      <w:proofErr w:type="spellEnd"/>
      <w:r>
        <w:rPr>
          <w:i/>
          <w:sz w:val="24"/>
          <w:szCs w:val="24"/>
        </w:rPr>
        <w:t xml:space="preserve"> No </w:t>
      </w:r>
      <w:proofErr w:type="spellStart"/>
      <w:r>
        <w:rPr>
          <w:i/>
          <w:sz w:val="24"/>
          <w:szCs w:val="24"/>
        </w:rPr>
        <w:t>One</w:t>
      </w:r>
      <w:proofErr w:type="spellEnd"/>
      <w:r>
        <w:rPr>
          <w:i/>
          <w:sz w:val="24"/>
          <w:szCs w:val="24"/>
        </w:rPr>
        <w:t xml:space="preserve"> </w:t>
      </w:r>
      <w:proofErr w:type="spellStart"/>
      <w:r>
        <w:rPr>
          <w:i/>
          <w:sz w:val="24"/>
          <w:szCs w:val="24"/>
        </w:rPr>
        <w:t>Behind</w:t>
      </w:r>
      <w:proofErr w:type="spellEnd"/>
      <w:r>
        <w:rPr>
          <w:sz w:val="24"/>
          <w:szCs w:val="24"/>
        </w:rPr>
        <w:t xml:space="preserve"> (LNOB), el CCA busca establecer puntualmente aquellos avances que ha tenido el país para dirigirse hacia la Agenda 2030. Sin embargo, uno de sus principales aportes es que establece claramente dónde están los desafíos y necesidades nacionales, lo cual es fundamental en la búsqueda del máximo potencial de los Objetivos de Desarrollo Sostenible y sus beneficios.</w:t>
      </w:r>
    </w:p>
    <w:p w14:paraId="05AE8A39" w14:textId="77777777" w:rsidR="00BB534D" w:rsidRDefault="00B842B1">
      <w:pPr>
        <w:pBdr>
          <w:top w:val="nil"/>
          <w:left w:val="nil"/>
          <w:bottom w:val="nil"/>
          <w:right w:val="nil"/>
          <w:between w:val="nil"/>
        </w:pBdr>
        <w:jc w:val="both"/>
        <w:rPr>
          <w:sz w:val="24"/>
          <w:szCs w:val="24"/>
        </w:rPr>
      </w:pPr>
      <w:r>
        <w:rPr>
          <w:sz w:val="24"/>
          <w:szCs w:val="24"/>
        </w:rPr>
        <w:t>El CCA se construye desde la exploración e identificación de datos en 5 principales áreas, que son las que organizan este documento: (1) Transformación Económica, (2) Inclusión Social, (3) Ambiente y Cambio Climático, (4) Gobernanza y Capacidad Institucional y (5) Prevención y colaboración entre pilares: humanitario, desarrollo y paz; además se añade un capítulo específico sobre el tema del financiamiento para el desarrollo. De la mano con estos datos el análisis se nutre también de información obtenida a partir del trabajo realizado por Naciones Unidas en el país y las diferentes investigaciones generadas desde el sistema.</w:t>
      </w:r>
    </w:p>
    <w:p w14:paraId="05AE8A3A" w14:textId="77777777" w:rsidR="00BB534D" w:rsidRDefault="00B842B1">
      <w:pPr>
        <w:pBdr>
          <w:top w:val="nil"/>
          <w:left w:val="nil"/>
          <w:bottom w:val="nil"/>
          <w:right w:val="nil"/>
          <w:between w:val="nil"/>
        </w:pBdr>
        <w:jc w:val="both"/>
        <w:rPr>
          <w:sz w:val="24"/>
          <w:szCs w:val="24"/>
        </w:rPr>
      </w:pPr>
      <w:r>
        <w:rPr>
          <w:sz w:val="24"/>
          <w:szCs w:val="24"/>
        </w:rPr>
        <w:t xml:space="preserve">La elaboración del CCA se llevó a cabo por el equipo </w:t>
      </w:r>
      <w:proofErr w:type="spellStart"/>
      <w:r>
        <w:rPr>
          <w:sz w:val="24"/>
          <w:szCs w:val="24"/>
        </w:rPr>
        <w:t>interagencial</w:t>
      </w:r>
      <w:proofErr w:type="spellEnd"/>
      <w:r>
        <w:rPr>
          <w:sz w:val="24"/>
          <w:szCs w:val="24"/>
        </w:rPr>
        <w:t>, donde algunas de ellas lideraron los capítulos, según sus temas de mayor experiencia. Mientras que desde la Oficina de la Coordinadora Residente (OCR) se gestionaron las versiones actualizadas y finales de los documentos, tratando de buscar siempre un análisis riguroso y sustantivo que cumpla con los objetivos propuestos al inicio del proceso de construcción.</w:t>
      </w:r>
    </w:p>
    <w:p w14:paraId="05AE8A3B" w14:textId="77777777" w:rsidR="00BB534D" w:rsidRDefault="00B842B1">
      <w:pPr>
        <w:pBdr>
          <w:top w:val="nil"/>
          <w:left w:val="nil"/>
          <w:bottom w:val="nil"/>
          <w:right w:val="nil"/>
          <w:between w:val="nil"/>
        </w:pBdr>
        <w:jc w:val="both"/>
        <w:rPr>
          <w:sz w:val="24"/>
          <w:szCs w:val="24"/>
        </w:rPr>
      </w:pPr>
      <w:r>
        <w:rPr>
          <w:sz w:val="24"/>
          <w:szCs w:val="24"/>
        </w:rPr>
        <w:t xml:space="preserve">El presente análisis también sienta las bases para el próximo </w:t>
      </w:r>
      <w:proofErr w:type="spellStart"/>
      <w:r>
        <w:rPr>
          <w:i/>
          <w:sz w:val="24"/>
          <w:szCs w:val="24"/>
        </w:rPr>
        <w:t>UN’s</w:t>
      </w:r>
      <w:proofErr w:type="spellEnd"/>
      <w:r>
        <w:rPr>
          <w:i/>
          <w:sz w:val="24"/>
          <w:szCs w:val="24"/>
        </w:rPr>
        <w:t xml:space="preserve"> </w:t>
      </w:r>
      <w:proofErr w:type="spellStart"/>
      <w:r>
        <w:rPr>
          <w:i/>
          <w:sz w:val="24"/>
          <w:szCs w:val="24"/>
        </w:rPr>
        <w:t>Sustainable</w:t>
      </w:r>
      <w:proofErr w:type="spellEnd"/>
      <w:r>
        <w:rPr>
          <w:i/>
          <w:sz w:val="24"/>
          <w:szCs w:val="24"/>
        </w:rPr>
        <w:t xml:space="preserve"> </w:t>
      </w:r>
      <w:proofErr w:type="spellStart"/>
      <w:r>
        <w:rPr>
          <w:i/>
          <w:sz w:val="24"/>
          <w:szCs w:val="24"/>
        </w:rPr>
        <w:t>Development</w:t>
      </w:r>
      <w:proofErr w:type="spellEnd"/>
      <w:r>
        <w:rPr>
          <w:i/>
          <w:sz w:val="24"/>
          <w:szCs w:val="24"/>
        </w:rPr>
        <w:t xml:space="preserve"> </w:t>
      </w:r>
      <w:proofErr w:type="spellStart"/>
      <w:r>
        <w:rPr>
          <w:i/>
          <w:sz w:val="24"/>
          <w:szCs w:val="24"/>
        </w:rPr>
        <w:t>Cooperation</w:t>
      </w:r>
      <w:proofErr w:type="spellEnd"/>
      <w:r>
        <w:rPr>
          <w:i/>
          <w:sz w:val="24"/>
          <w:szCs w:val="24"/>
        </w:rPr>
        <w:t xml:space="preserve"> Framework (UNSDCF)</w:t>
      </w:r>
      <w:r>
        <w:rPr>
          <w:sz w:val="24"/>
          <w:szCs w:val="24"/>
        </w:rPr>
        <w:t xml:space="preserve"> en Costa Rica. Es bajo los resultados obtenidos en este documento que se generarán acuerdos y negociaciones muy significativas para la relación de colaboración histórica que ha tenido este país con el sistema.</w:t>
      </w:r>
    </w:p>
    <w:p w14:paraId="05AE8A3C" w14:textId="77777777" w:rsidR="00BB534D" w:rsidRDefault="00B842B1">
      <w:pPr>
        <w:pBdr>
          <w:top w:val="nil"/>
          <w:left w:val="nil"/>
          <w:bottom w:val="nil"/>
          <w:right w:val="nil"/>
          <w:between w:val="nil"/>
        </w:pBdr>
        <w:jc w:val="both"/>
        <w:rPr>
          <w:sz w:val="24"/>
          <w:szCs w:val="24"/>
        </w:rPr>
      </w:pPr>
      <w:r>
        <w:rPr>
          <w:sz w:val="24"/>
          <w:szCs w:val="24"/>
        </w:rPr>
        <w:t xml:space="preserve">Este </w:t>
      </w:r>
      <w:proofErr w:type="gramStart"/>
      <w:r>
        <w:rPr>
          <w:sz w:val="24"/>
          <w:szCs w:val="24"/>
        </w:rPr>
        <w:t>CCA  y</w:t>
      </w:r>
      <w:proofErr w:type="gramEnd"/>
      <w:r>
        <w:rPr>
          <w:sz w:val="24"/>
          <w:szCs w:val="24"/>
        </w:rPr>
        <w:t xml:space="preserve"> el próximo </w:t>
      </w:r>
      <w:proofErr w:type="spellStart"/>
      <w:r>
        <w:rPr>
          <w:sz w:val="24"/>
          <w:szCs w:val="24"/>
        </w:rPr>
        <w:t>Cooperation</w:t>
      </w:r>
      <w:proofErr w:type="spellEnd"/>
      <w:r>
        <w:rPr>
          <w:sz w:val="24"/>
          <w:szCs w:val="24"/>
        </w:rPr>
        <w:t xml:space="preserve"> Framework surgen en un momento muy crítico de Costa Rica, y el mundo, los efectos de la pandemia por el COVID-19 han construido nuevas desigualdades y han ensanchado las ya existentes. El estado del país exige grandes acciones y visiones de futuro más ambiciosas, para esto es necesario que el CCA responda de la misma forma incluyendo datos actualizados, desagregados y en los casos en donde corresponda hacer mención del estado pre y post pandemia. </w:t>
      </w:r>
    </w:p>
    <w:p w14:paraId="05AE8A3D" w14:textId="77777777" w:rsidR="00BB534D" w:rsidRDefault="00B842B1">
      <w:pPr>
        <w:pBdr>
          <w:top w:val="nil"/>
          <w:left w:val="nil"/>
          <w:bottom w:val="nil"/>
          <w:right w:val="nil"/>
          <w:between w:val="nil"/>
        </w:pBdr>
        <w:jc w:val="both"/>
        <w:rPr>
          <w:sz w:val="24"/>
          <w:szCs w:val="24"/>
        </w:rPr>
      </w:pPr>
      <w:r>
        <w:rPr>
          <w:sz w:val="24"/>
          <w:szCs w:val="24"/>
        </w:rPr>
        <w:t xml:space="preserve">Para finalizar, en el año 2022 Costa Rica inicia un nuevo periodo de gobierno, finalizando la gestión Alvarado Quesada. Es aún más importante que el </w:t>
      </w:r>
      <w:proofErr w:type="spellStart"/>
      <w:r>
        <w:rPr>
          <w:sz w:val="24"/>
          <w:szCs w:val="24"/>
        </w:rPr>
        <w:t>Common</w:t>
      </w:r>
      <w:proofErr w:type="spellEnd"/>
      <w:r>
        <w:rPr>
          <w:sz w:val="24"/>
          <w:szCs w:val="24"/>
        </w:rPr>
        <w:t xml:space="preserve"> Country </w:t>
      </w:r>
      <w:proofErr w:type="spellStart"/>
      <w:r>
        <w:rPr>
          <w:sz w:val="24"/>
          <w:szCs w:val="24"/>
        </w:rPr>
        <w:t>Analysis</w:t>
      </w:r>
      <w:proofErr w:type="spellEnd"/>
      <w:r>
        <w:rPr>
          <w:sz w:val="24"/>
          <w:szCs w:val="24"/>
        </w:rPr>
        <w:t xml:space="preserve"> sea un documento analítico de calidad, con contenido preciso que brinde insumos significativos para la nueva administración, que toma el país en un momento de muchas complejidades y desafíos. </w:t>
      </w:r>
    </w:p>
    <w:p w14:paraId="05AE8A3E" w14:textId="77777777" w:rsidR="00BB534D" w:rsidRDefault="00BB534D">
      <w:pPr>
        <w:pBdr>
          <w:top w:val="nil"/>
          <w:left w:val="nil"/>
          <w:bottom w:val="nil"/>
          <w:right w:val="nil"/>
          <w:between w:val="nil"/>
        </w:pBdr>
        <w:rPr>
          <w:sz w:val="24"/>
          <w:szCs w:val="24"/>
        </w:rPr>
      </w:pPr>
    </w:p>
    <w:p w14:paraId="05AE8A3F" w14:textId="77777777" w:rsidR="00BB534D" w:rsidRDefault="00BB534D">
      <w:pPr>
        <w:pBdr>
          <w:top w:val="nil"/>
          <w:left w:val="nil"/>
          <w:bottom w:val="nil"/>
          <w:right w:val="nil"/>
          <w:between w:val="nil"/>
        </w:pBdr>
        <w:rPr>
          <w:sz w:val="24"/>
          <w:szCs w:val="24"/>
        </w:rPr>
      </w:pPr>
    </w:p>
    <w:p w14:paraId="05AE8A40" w14:textId="77777777" w:rsidR="00BB534D" w:rsidRDefault="00BB534D">
      <w:pPr>
        <w:pBdr>
          <w:top w:val="nil"/>
          <w:left w:val="nil"/>
          <w:bottom w:val="nil"/>
          <w:right w:val="nil"/>
          <w:between w:val="nil"/>
        </w:pBdr>
        <w:rPr>
          <w:sz w:val="24"/>
          <w:szCs w:val="24"/>
        </w:rPr>
      </w:pPr>
    </w:p>
    <w:p w14:paraId="05AE8A41" w14:textId="77777777" w:rsidR="00BB534D" w:rsidRDefault="00BB534D">
      <w:pPr>
        <w:pBdr>
          <w:top w:val="nil"/>
          <w:left w:val="nil"/>
          <w:bottom w:val="nil"/>
          <w:right w:val="nil"/>
          <w:between w:val="nil"/>
        </w:pBdr>
        <w:rPr>
          <w:sz w:val="24"/>
          <w:szCs w:val="24"/>
        </w:rPr>
      </w:pPr>
    </w:p>
    <w:p w14:paraId="05AE8A42" w14:textId="77777777" w:rsidR="00BB534D" w:rsidRDefault="00BB534D">
      <w:pPr>
        <w:pBdr>
          <w:top w:val="nil"/>
          <w:left w:val="nil"/>
          <w:bottom w:val="nil"/>
          <w:right w:val="nil"/>
          <w:between w:val="nil"/>
        </w:pBdr>
        <w:rPr>
          <w:sz w:val="24"/>
          <w:szCs w:val="24"/>
        </w:rPr>
      </w:pPr>
    </w:p>
    <w:p w14:paraId="05AE8A43" w14:textId="77777777" w:rsidR="00BB534D" w:rsidRDefault="00BB534D">
      <w:pPr>
        <w:pBdr>
          <w:top w:val="nil"/>
          <w:left w:val="nil"/>
          <w:bottom w:val="nil"/>
          <w:right w:val="nil"/>
          <w:between w:val="nil"/>
        </w:pBdr>
        <w:rPr>
          <w:sz w:val="24"/>
          <w:szCs w:val="24"/>
        </w:rPr>
      </w:pPr>
    </w:p>
    <w:p w14:paraId="05AE8A44" w14:textId="77777777" w:rsidR="00BB534D" w:rsidRDefault="00BB534D">
      <w:pPr>
        <w:pBdr>
          <w:top w:val="nil"/>
          <w:left w:val="nil"/>
          <w:bottom w:val="nil"/>
          <w:right w:val="nil"/>
          <w:between w:val="nil"/>
        </w:pBdr>
        <w:rPr>
          <w:sz w:val="24"/>
          <w:szCs w:val="24"/>
        </w:rPr>
      </w:pPr>
    </w:p>
    <w:p w14:paraId="05AE8A45" w14:textId="77777777" w:rsidR="00BB534D" w:rsidRDefault="00BB534D">
      <w:pPr>
        <w:pBdr>
          <w:top w:val="nil"/>
          <w:left w:val="nil"/>
          <w:bottom w:val="nil"/>
          <w:right w:val="nil"/>
          <w:between w:val="nil"/>
        </w:pBdr>
        <w:rPr>
          <w:sz w:val="24"/>
          <w:szCs w:val="24"/>
        </w:rPr>
      </w:pPr>
    </w:p>
    <w:p w14:paraId="05AE8A46" w14:textId="77777777" w:rsidR="00BB534D" w:rsidRDefault="00BB534D">
      <w:pPr>
        <w:pBdr>
          <w:top w:val="nil"/>
          <w:left w:val="nil"/>
          <w:bottom w:val="nil"/>
          <w:right w:val="nil"/>
          <w:between w:val="nil"/>
        </w:pBdr>
        <w:rPr>
          <w:sz w:val="24"/>
          <w:szCs w:val="24"/>
        </w:rPr>
      </w:pPr>
    </w:p>
    <w:p w14:paraId="05AE8A47" w14:textId="77777777" w:rsidR="00BB534D" w:rsidRDefault="00BB534D">
      <w:pPr>
        <w:pBdr>
          <w:top w:val="nil"/>
          <w:left w:val="nil"/>
          <w:bottom w:val="nil"/>
          <w:right w:val="nil"/>
          <w:between w:val="nil"/>
        </w:pBdr>
        <w:rPr>
          <w:sz w:val="24"/>
          <w:szCs w:val="24"/>
        </w:rPr>
      </w:pPr>
    </w:p>
    <w:p w14:paraId="05AE8A48" w14:textId="77777777" w:rsidR="00BB534D" w:rsidRDefault="00BB534D">
      <w:pPr>
        <w:pBdr>
          <w:top w:val="nil"/>
          <w:left w:val="nil"/>
          <w:bottom w:val="nil"/>
          <w:right w:val="nil"/>
          <w:between w:val="nil"/>
        </w:pBdr>
        <w:rPr>
          <w:sz w:val="24"/>
          <w:szCs w:val="24"/>
        </w:rPr>
      </w:pPr>
    </w:p>
    <w:p w14:paraId="05AE8A49" w14:textId="77777777" w:rsidR="00BB534D" w:rsidRDefault="00BB534D">
      <w:pPr>
        <w:pBdr>
          <w:top w:val="nil"/>
          <w:left w:val="nil"/>
          <w:bottom w:val="nil"/>
          <w:right w:val="nil"/>
          <w:between w:val="nil"/>
        </w:pBdr>
        <w:rPr>
          <w:sz w:val="24"/>
          <w:szCs w:val="24"/>
        </w:rPr>
      </w:pPr>
    </w:p>
    <w:p w14:paraId="05AE8A4A" w14:textId="77777777" w:rsidR="00BB534D" w:rsidRDefault="00BB534D">
      <w:pPr>
        <w:pBdr>
          <w:top w:val="nil"/>
          <w:left w:val="nil"/>
          <w:bottom w:val="nil"/>
          <w:right w:val="nil"/>
          <w:between w:val="nil"/>
        </w:pBdr>
        <w:rPr>
          <w:sz w:val="24"/>
          <w:szCs w:val="24"/>
        </w:rPr>
      </w:pPr>
    </w:p>
    <w:p w14:paraId="05AE8A4B" w14:textId="77777777" w:rsidR="00BB534D" w:rsidRDefault="00BB534D">
      <w:pPr>
        <w:pBdr>
          <w:top w:val="nil"/>
          <w:left w:val="nil"/>
          <w:bottom w:val="nil"/>
          <w:right w:val="nil"/>
          <w:between w:val="nil"/>
        </w:pBdr>
        <w:rPr>
          <w:sz w:val="24"/>
          <w:szCs w:val="24"/>
        </w:rPr>
      </w:pPr>
    </w:p>
    <w:p w14:paraId="05AE8A4C" w14:textId="77777777" w:rsidR="00BB534D" w:rsidRDefault="00BB534D">
      <w:pPr>
        <w:pBdr>
          <w:top w:val="nil"/>
          <w:left w:val="nil"/>
          <w:bottom w:val="nil"/>
          <w:right w:val="nil"/>
          <w:between w:val="nil"/>
        </w:pBdr>
        <w:rPr>
          <w:sz w:val="24"/>
          <w:szCs w:val="24"/>
        </w:rPr>
      </w:pPr>
    </w:p>
    <w:p w14:paraId="05AE8A4D" w14:textId="77777777" w:rsidR="00BB534D" w:rsidRDefault="00BB534D">
      <w:pPr>
        <w:pBdr>
          <w:top w:val="nil"/>
          <w:left w:val="nil"/>
          <w:bottom w:val="nil"/>
          <w:right w:val="nil"/>
          <w:between w:val="nil"/>
        </w:pBdr>
        <w:rPr>
          <w:sz w:val="24"/>
          <w:szCs w:val="24"/>
        </w:rPr>
      </w:pPr>
    </w:p>
    <w:p w14:paraId="05AE8A4E" w14:textId="77777777" w:rsidR="00BB534D" w:rsidRDefault="00B842B1">
      <w:pPr>
        <w:pBdr>
          <w:top w:val="nil"/>
          <w:left w:val="nil"/>
          <w:bottom w:val="nil"/>
          <w:right w:val="nil"/>
          <w:between w:val="nil"/>
        </w:pBdr>
        <w:rPr>
          <w:b/>
          <w:color w:val="039BE5"/>
          <w:sz w:val="24"/>
          <w:szCs w:val="24"/>
        </w:rPr>
      </w:pPr>
      <w:r>
        <w:rPr>
          <w:b/>
          <w:color w:val="039BE5"/>
          <w:sz w:val="24"/>
          <w:szCs w:val="24"/>
        </w:rPr>
        <w:t>CAPÍTULO I: Transformación Económica</w:t>
      </w:r>
    </w:p>
    <w:p w14:paraId="05AE8A4F" w14:textId="77777777" w:rsidR="00BB534D" w:rsidRDefault="00BB534D">
      <w:pPr>
        <w:spacing w:before="0" w:line="240" w:lineRule="auto"/>
        <w:jc w:val="both"/>
        <w:rPr>
          <w:rFonts w:ascii="Arial" w:eastAsia="Arial" w:hAnsi="Arial" w:cs="Arial"/>
        </w:rPr>
      </w:pPr>
    </w:p>
    <w:p w14:paraId="05AE8A50" w14:textId="77777777" w:rsidR="00BB534D" w:rsidRDefault="00B842B1">
      <w:pPr>
        <w:spacing w:before="0" w:line="240" w:lineRule="auto"/>
        <w:jc w:val="both"/>
        <w:rPr>
          <w:sz w:val="24"/>
          <w:szCs w:val="24"/>
        </w:rPr>
      </w:pPr>
      <w:r>
        <w:rPr>
          <w:sz w:val="24"/>
          <w:szCs w:val="24"/>
        </w:rPr>
        <w:t>Los cambios tecnológicos, climáticos, demográficos, la globalización, así como la información veraz, son fuerzas transformadoras de las sociedades, las economías y el mundo del trabajo, que si no son debidamente encauzadas y gobernadas pueden ampliar las desigualdades.</w:t>
      </w:r>
    </w:p>
    <w:p w14:paraId="05AE8A51" w14:textId="77777777" w:rsidR="00BB534D" w:rsidRDefault="00BB534D">
      <w:pPr>
        <w:spacing w:before="0" w:line="240" w:lineRule="auto"/>
        <w:jc w:val="both"/>
        <w:rPr>
          <w:sz w:val="24"/>
          <w:szCs w:val="24"/>
        </w:rPr>
      </w:pPr>
    </w:p>
    <w:p w14:paraId="05AE8A52" w14:textId="77777777" w:rsidR="00BB534D" w:rsidRDefault="00B842B1">
      <w:pPr>
        <w:spacing w:before="0" w:line="240" w:lineRule="auto"/>
        <w:jc w:val="both"/>
        <w:rPr>
          <w:sz w:val="24"/>
          <w:szCs w:val="24"/>
        </w:rPr>
      </w:pPr>
      <w:r>
        <w:rPr>
          <w:sz w:val="24"/>
          <w:szCs w:val="24"/>
        </w:rPr>
        <w:t>El crecimiento promedio de los países de América Latina y el Caribe entre 2010 y 2019 fue de 2.1% y el crecimiento per cápita promedio del 1%. Ambos indicadores ya mostraban, previo al COVID-19, crecimientos insuficientes para mejorar las condiciones de vida de todas las personas en nuestra región</w:t>
      </w:r>
      <w:r>
        <w:rPr>
          <w:sz w:val="24"/>
          <w:szCs w:val="24"/>
          <w:vertAlign w:val="superscript"/>
        </w:rPr>
        <w:footnoteReference w:id="1"/>
      </w:r>
      <w:r>
        <w:rPr>
          <w:sz w:val="24"/>
          <w:szCs w:val="24"/>
        </w:rPr>
        <w:t>. Las políticas de redistribución han jugado un rol clave en la reducción de la pobreza, al complementar el crecimiento económico en períodos de bonanza y evitar aumentos de la pobreza y deterioros distributivos en la mayoría de los países en contextos de desaceleración económica.</w:t>
      </w:r>
      <w:r>
        <w:rPr>
          <w:sz w:val="24"/>
          <w:szCs w:val="24"/>
          <w:vertAlign w:val="superscript"/>
        </w:rPr>
        <w:footnoteReference w:id="2"/>
      </w:r>
    </w:p>
    <w:p w14:paraId="05AE8A53" w14:textId="77777777" w:rsidR="00BB534D" w:rsidRDefault="00BB534D">
      <w:pPr>
        <w:spacing w:before="0" w:line="240" w:lineRule="auto"/>
        <w:jc w:val="both"/>
        <w:rPr>
          <w:sz w:val="24"/>
          <w:szCs w:val="24"/>
        </w:rPr>
      </w:pPr>
    </w:p>
    <w:p w14:paraId="05AE8A54" w14:textId="77777777" w:rsidR="00BB534D" w:rsidRDefault="00B842B1">
      <w:pPr>
        <w:spacing w:before="0" w:line="240" w:lineRule="auto"/>
        <w:jc w:val="both"/>
        <w:rPr>
          <w:sz w:val="24"/>
          <w:szCs w:val="24"/>
        </w:rPr>
      </w:pPr>
      <w:r>
        <w:rPr>
          <w:sz w:val="24"/>
          <w:szCs w:val="24"/>
        </w:rPr>
        <w:t xml:space="preserve">Asimismo, cambios fundamentales de largo plazo están operando (tanto endógenos como exógenos), los cuales son condicionantes sustantivos al propósito de una transformación económica inclusiva y sostenible y al fomento de transiciones justas, entre estos: </w:t>
      </w:r>
    </w:p>
    <w:p w14:paraId="05AE8A55" w14:textId="77777777" w:rsidR="00BB534D" w:rsidRDefault="00BB534D">
      <w:pPr>
        <w:spacing w:before="0" w:line="240" w:lineRule="auto"/>
        <w:jc w:val="both"/>
        <w:rPr>
          <w:sz w:val="24"/>
          <w:szCs w:val="24"/>
        </w:rPr>
      </w:pPr>
    </w:p>
    <w:p w14:paraId="05AE8A56" w14:textId="77777777" w:rsidR="00BB534D" w:rsidRDefault="00B842B1">
      <w:pPr>
        <w:numPr>
          <w:ilvl w:val="0"/>
          <w:numId w:val="7"/>
        </w:numPr>
        <w:spacing w:before="0" w:line="240" w:lineRule="auto"/>
        <w:jc w:val="both"/>
        <w:rPr>
          <w:rFonts w:ascii="Arial" w:eastAsia="Arial" w:hAnsi="Arial" w:cs="Arial"/>
          <w:sz w:val="24"/>
          <w:szCs w:val="24"/>
        </w:rPr>
      </w:pPr>
      <w:r>
        <w:rPr>
          <w:b/>
          <w:i/>
          <w:sz w:val="24"/>
          <w:szCs w:val="24"/>
        </w:rPr>
        <w:t>Las tendencias demográficas:</w:t>
      </w:r>
      <w:r>
        <w:rPr>
          <w:sz w:val="24"/>
          <w:szCs w:val="24"/>
        </w:rPr>
        <w:t xml:space="preserve"> En la actualidad, Costa Rica está inmersa en un proceso de plena transición demográfica que se caracteriza por tasas global de fecundidad (TGF) aún más bajas que las previstas (en 2020 fue de 1,4 hijas o hijos por mujer, que era mucho menor a la proyección esperada por INEC de 1,7 para el 2025)</w:t>
      </w:r>
      <w:r>
        <w:rPr>
          <w:sz w:val="24"/>
          <w:szCs w:val="24"/>
          <w:vertAlign w:val="superscript"/>
        </w:rPr>
        <w:footnoteReference w:id="3"/>
      </w:r>
      <w:r>
        <w:rPr>
          <w:sz w:val="24"/>
          <w:szCs w:val="24"/>
          <w:vertAlign w:val="superscript"/>
        </w:rPr>
        <w:footnoteReference w:id="4"/>
      </w:r>
      <w:r>
        <w:rPr>
          <w:sz w:val="24"/>
          <w:szCs w:val="24"/>
        </w:rPr>
        <w:t>. No obstante, las tasas específicas de fecundidad (TEF) por grupo de edad y zona geográfica, presenta variaciones importantes entre cantones, así, por ejemplo, los nacimientos en adolescentes de 15 a 19 años en Dota fueron de 75,7 por cada mil habitantes, mientras que en Flores es de 10,1 nacimientos)</w:t>
      </w:r>
      <w:r>
        <w:rPr>
          <w:sz w:val="24"/>
          <w:szCs w:val="24"/>
          <w:vertAlign w:val="superscript"/>
        </w:rPr>
        <w:footnoteReference w:id="5"/>
      </w:r>
      <w:r>
        <w:rPr>
          <w:sz w:val="24"/>
          <w:szCs w:val="24"/>
        </w:rPr>
        <w:t>.  Si bien, Costa Rica presenta una tasa de mortalidad infantil prevenible que es una de las más bajas de la Región, lo cierto es que a lo largo de los últimos 10 años ha habido variaciones, siendo el valor más alto de 9,5 en 2010 y el más bajo 7,7 en 2015</w:t>
      </w:r>
      <w:r>
        <w:rPr>
          <w:sz w:val="24"/>
          <w:szCs w:val="24"/>
          <w:vertAlign w:val="superscript"/>
        </w:rPr>
        <w:footnoteReference w:id="6"/>
      </w:r>
      <w:r>
        <w:rPr>
          <w:sz w:val="24"/>
          <w:szCs w:val="24"/>
        </w:rPr>
        <w:t xml:space="preserve">. El país se acerca de manera importante al logro de </w:t>
      </w:r>
      <w:proofErr w:type="gramStart"/>
      <w:r>
        <w:rPr>
          <w:sz w:val="24"/>
          <w:szCs w:val="24"/>
        </w:rPr>
        <w:t>cero mortalidad materna prevenible</w:t>
      </w:r>
      <w:proofErr w:type="gramEnd"/>
      <w:r>
        <w:rPr>
          <w:sz w:val="24"/>
          <w:szCs w:val="24"/>
        </w:rPr>
        <w:t>, sin embargo, la variación de los datos muestran que se trata de un logro frágil, por ejemplo, la razón de mortalidad materna en el 2020 alcanzó el 3,44 por cada 10.000 nacimiento, siendo el valor más alto de la última década</w:t>
      </w:r>
      <w:r>
        <w:rPr>
          <w:sz w:val="24"/>
          <w:szCs w:val="24"/>
          <w:vertAlign w:val="superscript"/>
        </w:rPr>
        <w:footnoteReference w:id="7"/>
      </w:r>
      <w:r>
        <w:rPr>
          <w:sz w:val="24"/>
          <w:szCs w:val="24"/>
        </w:rPr>
        <w:t xml:space="preserve">; lo que podría continuar en aumento si no se toman las medidas correspondientes. </w:t>
      </w:r>
    </w:p>
    <w:p w14:paraId="05AE8A57" w14:textId="77777777" w:rsidR="00BB534D" w:rsidRDefault="00BB534D">
      <w:pPr>
        <w:spacing w:before="0" w:line="240" w:lineRule="auto"/>
        <w:ind w:left="720"/>
        <w:jc w:val="both"/>
        <w:rPr>
          <w:sz w:val="24"/>
          <w:szCs w:val="24"/>
        </w:rPr>
      </w:pPr>
    </w:p>
    <w:p w14:paraId="05AE8A58" w14:textId="77777777" w:rsidR="00BB534D" w:rsidRDefault="00B842B1">
      <w:pPr>
        <w:spacing w:before="0" w:line="240" w:lineRule="auto"/>
        <w:ind w:left="720"/>
        <w:jc w:val="both"/>
        <w:rPr>
          <w:sz w:val="24"/>
          <w:szCs w:val="24"/>
        </w:rPr>
      </w:pPr>
      <w:r>
        <w:rPr>
          <w:sz w:val="24"/>
          <w:szCs w:val="24"/>
        </w:rPr>
        <w:t>Las tasas de fecundidad bajas y el aumento en la esperanza de vida al nacer resulta en un envejecimiento de la población. El “bono demográfico”, entendido como el período durante el cual la proporción de personas en edad de trabajar es relativamente elevada respecto al resto de la población, está llegando a su fin, lo que significa un aumento en la relación entre la población en edad dependiente respecto a la población en edad de trabajar (productores potenciales), con implicaciones muy importantes para el crecimiento económico, el trabajo de cuidados y los sistemas públicos de pensiones y salud, entre otras. Tomando en cuenta los niveles educativos de las mujeres, el país podría apostar a beneficiarse del bono de género, aumentando su participación digna y decente en el mercado laboral.</w:t>
      </w:r>
    </w:p>
    <w:p w14:paraId="05AE8A59" w14:textId="77777777" w:rsidR="00BB534D" w:rsidRDefault="00BB534D">
      <w:pPr>
        <w:spacing w:before="0" w:line="240" w:lineRule="auto"/>
        <w:ind w:left="720"/>
        <w:jc w:val="both"/>
        <w:rPr>
          <w:sz w:val="24"/>
          <w:szCs w:val="24"/>
        </w:rPr>
      </w:pPr>
    </w:p>
    <w:p w14:paraId="05AE8A5A" w14:textId="77777777" w:rsidR="00BB534D" w:rsidRDefault="00B842B1">
      <w:pPr>
        <w:numPr>
          <w:ilvl w:val="0"/>
          <w:numId w:val="7"/>
        </w:numPr>
        <w:spacing w:before="0" w:line="240" w:lineRule="auto"/>
        <w:jc w:val="both"/>
        <w:rPr>
          <w:rFonts w:ascii="Calibri" w:eastAsia="Calibri" w:hAnsi="Calibri" w:cs="Calibri"/>
          <w:sz w:val="24"/>
          <w:szCs w:val="24"/>
        </w:rPr>
      </w:pPr>
      <w:r>
        <w:rPr>
          <w:b/>
          <w:i/>
          <w:sz w:val="24"/>
          <w:szCs w:val="24"/>
        </w:rPr>
        <w:t>El cambio tecnológico.</w:t>
      </w:r>
      <w:r>
        <w:rPr>
          <w:sz w:val="24"/>
          <w:szCs w:val="24"/>
        </w:rPr>
        <w:t xml:space="preserve"> La revolución digital (también conocida como 4ª revolución industrial) se asocia con la informatización y digitalización de la producción, y con la generación, integración y análisis de una gran cantidad de datos a lo largo del proceso de producción de bienes y servicios, facilitados fundamentalmente por internet y el desarrollo de la inteligencia artificial</w:t>
      </w:r>
      <w:r>
        <w:rPr>
          <w:sz w:val="24"/>
          <w:szCs w:val="24"/>
          <w:vertAlign w:val="superscript"/>
        </w:rPr>
        <w:footnoteReference w:id="8"/>
      </w:r>
      <w:r>
        <w:rPr>
          <w:sz w:val="24"/>
          <w:szCs w:val="24"/>
        </w:rPr>
        <w:t>. Se estima que la automatización pone en peligro un porcentaje importante de las ocupaciones actuales, 68% para Costa Rica</w:t>
      </w:r>
      <w:r>
        <w:rPr>
          <w:sz w:val="24"/>
          <w:szCs w:val="24"/>
          <w:vertAlign w:val="superscript"/>
        </w:rPr>
        <w:footnoteReference w:id="9"/>
      </w:r>
      <w:r>
        <w:rPr>
          <w:sz w:val="24"/>
          <w:szCs w:val="24"/>
        </w:rPr>
        <w:t>, sin embargo, se espera que en el largo plazo contribuya a la creación de nuevos empleos. Uno de los mayores impactos de la tecnología en el empleo es la precarización más que la pérdida de empleos, como ocurre con el caso de empresas como Uber. La pandemia de COVID-19 ha puesto de relieve la importancia del acceso a medios de comunicación digitales en muchos campos, entre ellos el de la salud, cultura y las artes, y el comercio electrónico de pequeños productores, especialmente de alimentos.</w:t>
      </w:r>
    </w:p>
    <w:p w14:paraId="05AE8A5B" w14:textId="77777777" w:rsidR="00BB534D" w:rsidRDefault="00B842B1">
      <w:pPr>
        <w:spacing w:before="0" w:line="240" w:lineRule="auto"/>
        <w:ind w:left="720"/>
        <w:jc w:val="both"/>
        <w:rPr>
          <w:sz w:val="24"/>
          <w:szCs w:val="24"/>
        </w:rPr>
      </w:pPr>
      <w:r>
        <w:rPr>
          <w:sz w:val="24"/>
          <w:szCs w:val="24"/>
        </w:rPr>
        <w:t>No todas las actividades económicas o personas trabajadoras tienen acceso a la tecnología necesaria o pueden transformar sus operaciones para apoyarse en procesos de digitalización o virtualización</w:t>
      </w:r>
      <w:r>
        <w:rPr>
          <w:sz w:val="24"/>
          <w:szCs w:val="24"/>
          <w:vertAlign w:val="superscript"/>
        </w:rPr>
        <w:footnoteReference w:id="10"/>
      </w:r>
      <w:r>
        <w:rPr>
          <w:sz w:val="24"/>
          <w:szCs w:val="24"/>
        </w:rPr>
        <w:t>. Aunque se ha avanzado en la reducción de las brechas al acceso de Tecnologías de la Información y la Comunicación (</w:t>
      </w:r>
      <w:proofErr w:type="spellStart"/>
      <w:r>
        <w:rPr>
          <w:sz w:val="24"/>
          <w:szCs w:val="24"/>
        </w:rPr>
        <w:t>TICs</w:t>
      </w:r>
      <w:proofErr w:type="spellEnd"/>
      <w:r>
        <w:rPr>
          <w:sz w:val="24"/>
          <w:szCs w:val="24"/>
        </w:rPr>
        <w:t>), el acceso a una computadora tanto en la población urbana como en la rural sigue siendo un reto, ya que solo el 48.2% de la población cuenta con una en casa</w:t>
      </w:r>
      <w:r>
        <w:rPr>
          <w:sz w:val="24"/>
          <w:szCs w:val="24"/>
          <w:vertAlign w:val="superscript"/>
        </w:rPr>
        <w:footnoteReference w:id="11"/>
      </w:r>
      <w:r>
        <w:rPr>
          <w:sz w:val="24"/>
          <w:szCs w:val="24"/>
          <w:vertAlign w:val="superscript"/>
        </w:rPr>
        <w:t xml:space="preserve">. </w:t>
      </w:r>
      <w:r>
        <w:rPr>
          <w:sz w:val="24"/>
          <w:szCs w:val="24"/>
        </w:rPr>
        <w:t>La brecha es aún mayor si la medimos en términos de acceso a banda ancha. Así mismo, las mujeres enfrentan una brecha persistente en el acceso y uso de la tecnología, lo que puede ampliar las brechas de género económicas ya observadas.</w:t>
      </w:r>
    </w:p>
    <w:p w14:paraId="05AE8A5C" w14:textId="77777777" w:rsidR="00BB534D" w:rsidRDefault="00BB534D">
      <w:pPr>
        <w:spacing w:before="0" w:line="240" w:lineRule="auto"/>
        <w:ind w:left="720"/>
        <w:jc w:val="both"/>
        <w:rPr>
          <w:sz w:val="24"/>
          <w:szCs w:val="24"/>
        </w:rPr>
      </w:pPr>
    </w:p>
    <w:p w14:paraId="05AE8A5D" w14:textId="77777777" w:rsidR="00BB534D" w:rsidRDefault="00B842B1">
      <w:pPr>
        <w:numPr>
          <w:ilvl w:val="0"/>
          <w:numId w:val="7"/>
        </w:numPr>
        <w:spacing w:before="0" w:line="240" w:lineRule="auto"/>
        <w:jc w:val="both"/>
        <w:rPr>
          <w:rFonts w:ascii="Calibri" w:eastAsia="Calibri" w:hAnsi="Calibri" w:cs="Calibri"/>
          <w:sz w:val="24"/>
          <w:szCs w:val="24"/>
        </w:rPr>
      </w:pPr>
      <w:r>
        <w:rPr>
          <w:b/>
          <w:i/>
          <w:sz w:val="24"/>
          <w:szCs w:val="24"/>
        </w:rPr>
        <w:t>El cambio climático.</w:t>
      </w:r>
      <w:r>
        <w:rPr>
          <w:sz w:val="24"/>
          <w:szCs w:val="24"/>
        </w:rPr>
        <w:t xml:space="preserve"> La ecologización de las economías también genera fuertes repercusiones en los empleos que se estima crearán millones de puestos de trabajo con la adopción de prácticas sostenibles y tecnologías limpias</w:t>
      </w:r>
      <w:r>
        <w:rPr>
          <w:sz w:val="24"/>
          <w:szCs w:val="24"/>
          <w:vertAlign w:val="superscript"/>
        </w:rPr>
        <w:footnoteReference w:id="12"/>
      </w:r>
      <w:r>
        <w:rPr>
          <w:sz w:val="24"/>
          <w:szCs w:val="24"/>
        </w:rPr>
        <w:t xml:space="preserve">. En cambio, otros puestos de trabajo desaparecerán cuando los países vayan reduciendo progresivamente sus industrias basadas en los combustibles fósiles y en el uso intensivo de los recursos. El efecto neto esperado sobre los empleos como consecuencia de una economía </w:t>
      </w:r>
      <w:proofErr w:type="gramStart"/>
      <w:r>
        <w:rPr>
          <w:sz w:val="24"/>
          <w:szCs w:val="24"/>
        </w:rPr>
        <w:t>descarbonizada,</w:t>
      </w:r>
      <w:proofErr w:type="gramEnd"/>
      <w:r>
        <w:rPr>
          <w:sz w:val="24"/>
          <w:szCs w:val="24"/>
        </w:rPr>
        <w:t xml:space="preserve"> será positivo.</w:t>
      </w:r>
      <w:r>
        <w:rPr>
          <w:sz w:val="24"/>
          <w:szCs w:val="24"/>
          <w:vertAlign w:val="superscript"/>
        </w:rPr>
        <w:footnoteReference w:id="13"/>
      </w:r>
      <w:r>
        <w:rPr>
          <w:sz w:val="24"/>
          <w:szCs w:val="24"/>
        </w:rPr>
        <w:t xml:space="preserve"> Las oportunidades y liderazgo de Costa Rica en el tema del cambio climático, aun siendo un país vulnerable a sequías e inundaciones, son muchas. La visión del Plan de Descarbonización, en el que se aspira a tener una economía emisiones </w:t>
      </w:r>
      <w:proofErr w:type="spellStart"/>
      <w:r>
        <w:rPr>
          <w:sz w:val="24"/>
          <w:szCs w:val="24"/>
        </w:rPr>
        <w:t>zero</w:t>
      </w:r>
      <w:proofErr w:type="spellEnd"/>
      <w:r>
        <w:rPr>
          <w:sz w:val="24"/>
          <w:szCs w:val="24"/>
        </w:rPr>
        <w:t xml:space="preserve"> neto, resiliente y equitativa, ubica al país en la dirección correcta hacia los cambios en el largo plazo que beneficien a todos los agentes económicos de todos los sectores, pero a la vez requiere de alianzas dentro de las mismas instituciones públicas, asociaciones público-privadas y alianzas público-privadas para el desarrollo.</w:t>
      </w:r>
    </w:p>
    <w:p w14:paraId="05AE8A5E" w14:textId="77777777" w:rsidR="00BB534D" w:rsidRDefault="00BB534D">
      <w:pPr>
        <w:spacing w:before="0" w:line="240" w:lineRule="auto"/>
        <w:jc w:val="both"/>
        <w:rPr>
          <w:sz w:val="24"/>
          <w:szCs w:val="24"/>
        </w:rPr>
      </w:pPr>
    </w:p>
    <w:p w14:paraId="05AE8A5F" w14:textId="77777777" w:rsidR="00BB534D" w:rsidRDefault="00B842B1">
      <w:pPr>
        <w:spacing w:before="0" w:line="240" w:lineRule="auto"/>
        <w:jc w:val="both"/>
        <w:rPr>
          <w:sz w:val="24"/>
          <w:szCs w:val="24"/>
        </w:rPr>
      </w:pPr>
      <w:r>
        <w:rPr>
          <w:sz w:val="24"/>
          <w:szCs w:val="24"/>
        </w:rPr>
        <w:t>Las mega tendencias y sus impactos socioeconómicos y laborales potenciales, así como los problemas emergentes como la pandemia de COVID-19, complementan y refuerzan los desafíos estructurales en materia de desarrollo humano en Costa Rica, una estructura productiva heterogénea y con fuerte concentración territorial; la poca conexión entre el crecimiento económico y la generación de empleo productivo y trabajo decente; la fuerte recarga del trabajo de cuidados en las mujeres, mayoritariamente no remunerado e invisibilizado; las fallas del mercado laboral (desempleo y subempleo elevados, informalidad, brechas de género, etc.), obstaculizan superar los rezagos en materia de pobreza o contener la creciente desigualdad.</w:t>
      </w:r>
    </w:p>
    <w:p w14:paraId="05AE8A60" w14:textId="77777777" w:rsidR="00BB534D" w:rsidRDefault="00BB534D">
      <w:pPr>
        <w:spacing w:before="0" w:line="240" w:lineRule="auto"/>
        <w:jc w:val="both"/>
        <w:rPr>
          <w:sz w:val="24"/>
          <w:szCs w:val="24"/>
        </w:rPr>
      </w:pPr>
    </w:p>
    <w:p w14:paraId="05AE8A61" w14:textId="77777777" w:rsidR="00BB534D" w:rsidRDefault="00B842B1">
      <w:pPr>
        <w:spacing w:before="0" w:line="240" w:lineRule="auto"/>
        <w:jc w:val="both"/>
        <w:rPr>
          <w:sz w:val="24"/>
          <w:szCs w:val="24"/>
        </w:rPr>
      </w:pPr>
      <w:r>
        <w:rPr>
          <w:sz w:val="24"/>
          <w:szCs w:val="24"/>
        </w:rPr>
        <w:t xml:space="preserve">Paliar los serios efectos de la crisis actual y evitar que el país caiga en una crisis sistémica, requiere atender adecuadamente la situación actual y sus implicaciones, así como de una fuerte mirada en los rezagos de larga data en el estilo de desarrollo nacional, que restringen una mayor conexión entre el crecimiento económico y la generación de empleos, las oportunidades de transformación productiva hacia una economía más verde con enfoque circular, la incorporación adecuada de la transformación digital y la economía de los cuidados en el tejido productivo. Cambiar esta situación demanda políticas de desarrollo productivo en el marco de una agenda de reconstrucción en favor del desarrollo humano, inclusivo, sostenible y con trabajo decente para todas las personas, de acuerdo con lo establecido en la Agenda 2030 de los Objetivos de Desarrollo Sostenible (ODS), especialmente el ODS </w:t>
      </w:r>
      <w:proofErr w:type="spellStart"/>
      <w:r>
        <w:rPr>
          <w:sz w:val="24"/>
          <w:szCs w:val="24"/>
        </w:rPr>
        <w:t>nº</w:t>
      </w:r>
      <w:proofErr w:type="spellEnd"/>
      <w:r>
        <w:rPr>
          <w:sz w:val="24"/>
          <w:szCs w:val="24"/>
        </w:rPr>
        <w:t xml:space="preserve"> 8 - Promover el crecimiento económico inclusivo y sostenible, el empleo y el trabajo decente para todos.</w:t>
      </w:r>
    </w:p>
    <w:p w14:paraId="05AE8A62" w14:textId="77777777" w:rsidR="00BB534D" w:rsidRDefault="00BB534D">
      <w:pPr>
        <w:spacing w:before="0" w:line="240" w:lineRule="auto"/>
        <w:jc w:val="both"/>
        <w:rPr>
          <w:sz w:val="24"/>
          <w:szCs w:val="24"/>
        </w:rPr>
      </w:pPr>
    </w:p>
    <w:p w14:paraId="05AE8A63" w14:textId="77777777" w:rsidR="00BB534D" w:rsidRDefault="00B842B1">
      <w:pPr>
        <w:spacing w:before="0" w:line="240" w:lineRule="auto"/>
        <w:jc w:val="both"/>
        <w:rPr>
          <w:sz w:val="24"/>
          <w:szCs w:val="24"/>
        </w:rPr>
      </w:pPr>
      <w:r>
        <w:rPr>
          <w:sz w:val="24"/>
          <w:szCs w:val="24"/>
        </w:rPr>
        <w:t xml:space="preserve">La crisis generada por la pandemia del </w:t>
      </w:r>
      <w:proofErr w:type="spellStart"/>
      <w:r>
        <w:rPr>
          <w:sz w:val="24"/>
          <w:szCs w:val="24"/>
        </w:rPr>
        <w:t>Sars-Cov</w:t>
      </w:r>
      <w:proofErr w:type="spellEnd"/>
      <w:r>
        <w:rPr>
          <w:sz w:val="24"/>
          <w:szCs w:val="24"/>
        </w:rPr>
        <w:t xml:space="preserve"> 2/COVID-19 amplifica los problemas estructurales y amenaza seriamente la sostenibilidad del desarrollo humano en Costa Rica. Por ello, resulta fundamental promover políticas de desarrollo productivo en el marco de una agenda de reconstrucción en favor del desarrollo humano, inclusivo, igualador, sostenible y con trabajo decente para todas las personas.</w:t>
      </w:r>
    </w:p>
    <w:p w14:paraId="05AE8A64" w14:textId="77777777" w:rsidR="00BB534D" w:rsidRDefault="00BB534D">
      <w:pPr>
        <w:spacing w:before="0" w:line="240" w:lineRule="auto"/>
        <w:jc w:val="both"/>
        <w:rPr>
          <w:sz w:val="24"/>
          <w:szCs w:val="24"/>
        </w:rPr>
      </w:pPr>
    </w:p>
    <w:p w14:paraId="05AE8A65" w14:textId="77777777" w:rsidR="00BB534D" w:rsidRDefault="00B842B1">
      <w:pPr>
        <w:spacing w:before="0" w:line="240" w:lineRule="auto"/>
        <w:jc w:val="both"/>
        <w:rPr>
          <w:sz w:val="24"/>
          <w:szCs w:val="24"/>
        </w:rPr>
      </w:pPr>
      <w:r>
        <w:rPr>
          <w:sz w:val="24"/>
          <w:szCs w:val="24"/>
        </w:rPr>
        <w:t xml:space="preserve">Por tanto, el capítulo aborda el desafío de la transformación económica a través de dos ejes principales: transformación económica (desarrollo inclusivo, sostenible y con trabajo decente) y la dinámica del empleo, respectivamente. Al igual que los apartados siguientes, la lectura de éstos se proyecta hacia el futuro, incluyendo los principales retos o desafíos que presenta el país en cada uno de ellos, de forma que permita puntualizar un poco más hacia dónde se deben dirigir los esfuerzos comunes. </w:t>
      </w:r>
    </w:p>
    <w:p w14:paraId="05AE8A66" w14:textId="77777777" w:rsidR="00BB534D" w:rsidRDefault="00B842B1">
      <w:pPr>
        <w:pStyle w:val="Heading2"/>
        <w:spacing w:before="240" w:after="120" w:line="240" w:lineRule="auto"/>
        <w:jc w:val="both"/>
        <w:rPr>
          <w:color w:val="4A86E8"/>
          <w:sz w:val="24"/>
          <w:szCs w:val="24"/>
        </w:rPr>
      </w:pPr>
      <w:r>
        <w:rPr>
          <w:color w:val="4A86E8"/>
          <w:sz w:val="24"/>
          <w:szCs w:val="24"/>
        </w:rPr>
        <w:t>1.1 Transformación Económica: retos y avances hacia un desarrollo inclusivo, igualador, sostenible y con trabajo decente para todas las personas.</w:t>
      </w:r>
    </w:p>
    <w:p w14:paraId="05AE8A67" w14:textId="77777777" w:rsidR="00BB534D" w:rsidRDefault="00BB534D">
      <w:pPr>
        <w:spacing w:before="0" w:line="240" w:lineRule="auto"/>
        <w:jc w:val="both"/>
        <w:rPr>
          <w:sz w:val="24"/>
          <w:szCs w:val="24"/>
        </w:rPr>
      </w:pPr>
    </w:p>
    <w:p w14:paraId="05AE8A68" w14:textId="77777777" w:rsidR="00BB534D" w:rsidRDefault="00B842B1">
      <w:pPr>
        <w:spacing w:before="0" w:line="240" w:lineRule="auto"/>
        <w:jc w:val="both"/>
        <w:rPr>
          <w:sz w:val="24"/>
          <w:szCs w:val="24"/>
        </w:rPr>
      </w:pPr>
      <w:r>
        <w:rPr>
          <w:sz w:val="24"/>
          <w:szCs w:val="24"/>
        </w:rPr>
        <w:t>Las políticas de transformación y diversificación productiva o de desarrollo productivo (PDP) son esenciales para responder constructivamente a los desafíos contemporáneos para el desarrollo sostenible, en términos de creación de empleos y reducción de la pobreza, de participación en las transformaciones tecnológicas y las cadenas globales de valor, así como en la promoción eficiente de medidas para mitigar y adaptarse al cambio climático e impulsar economías más verdes. Al mismo que, la adecuada política fiscal, con políticas tributarias inclusivas que incorporen sistemas tributarios progresivos (a mayor ingreso o patrimonio, mayor carga tributaria) con equilibrios adecuados entre impuestos a la renta y al consumo direccionados a reducir la desigualdad así como orientaciones claves, tales como mayores impuestos a alimentos no saludables y el mejor uso de impuestos ambientales</w:t>
      </w:r>
      <w:r>
        <w:rPr>
          <w:sz w:val="24"/>
          <w:szCs w:val="24"/>
          <w:vertAlign w:val="superscript"/>
        </w:rPr>
        <w:footnoteReference w:id="14"/>
      </w:r>
      <w:r>
        <w:rPr>
          <w:sz w:val="24"/>
          <w:szCs w:val="24"/>
        </w:rPr>
        <w:t>, permitirían generar un efecto redistributivo y fortalecer el financiamiento para los programas sociales y productivos necesarios para el cumplimiento de los derechos humanos de la población. La política educativa, esencial para garantizar la inclusión de una mayor cantidad de personas en empleos de calidad, reducir la pobreza y la desigualdad, así como generar capacidades en las personas que contribuyen a su desarrollo personal y el desarrollo humano sostenible del país.</w:t>
      </w:r>
    </w:p>
    <w:p w14:paraId="05AE8A69" w14:textId="77777777" w:rsidR="00BB534D" w:rsidRDefault="00BB534D">
      <w:pPr>
        <w:spacing w:before="0" w:line="240" w:lineRule="auto"/>
        <w:jc w:val="both"/>
        <w:rPr>
          <w:sz w:val="24"/>
          <w:szCs w:val="24"/>
        </w:rPr>
      </w:pPr>
    </w:p>
    <w:p w14:paraId="05AE8A6A" w14:textId="77777777" w:rsidR="00BB534D" w:rsidRDefault="00B842B1">
      <w:pPr>
        <w:spacing w:before="0" w:line="240" w:lineRule="auto"/>
        <w:jc w:val="both"/>
        <w:rPr>
          <w:sz w:val="24"/>
          <w:szCs w:val="24"/>
        </w:rPr>
      </w:pPr>
      <w:r>
        <w:rPr>
          <w:sz w:val="24"/>
          <w:szCs w:val="24"/>
        </w:rPr>
        <w:t xml:space="preserve">Luego de la crisis económica de principios de la década de los años ochenta del siglo pasado, Costa Rica inició la implementación de una serie de reformas que llevaron al establecimiento de un nuevo modelo económico, que se fue moldeando en el tiempo en consonancia con las tendencias internacionales dominantes. </w:t>
      </w:r>
    </w:p>
    <w:p w14:paraId="05AE8A6B" w14:textId="77777777" w:rsidR="00BB534D" w:rsidRDefault="00BB534D">
      <w:pPr>
        <w:spacing w:before="0" w:line="240" w:lineRule="auto"/>
        <w:jc w:val="both"/>
        <w:rPr>
          <w:sz w:val="24"/>
          <w:szCs w:val="24"/>
        </w:rPr>
      </w:pPr>
    </w:p>
    <w:p w14:paraId="05AE8A6C" w14:textId="77777777" w:rsidR="00BB534D" w:rsidRDefault="00B842B1">
      <w:pPr>
        <w:spacing w:before="0" w:line="240" w:lineRule="auto"/>
        <w:jc w:val="both"/>
        <w:rPr>
          <w:sz w:val="24"/>
          <w:szCs w:val="24"/>
        </w:rPr>
      </w:pPr>
      <w:r>
        <w:rPr>
          <w:sz w:val="24"/>
          <w:szCs w:val="24"/>
        </w:rPr>
        <w:t>Las principales características de este nuevo modelo económico son la liberalización de la balanza de pagos (promoción de exportaciones, desgravación arancelaria, proliferación de acuerdos comerciales, la liberalización de la cuenta de capitales y, en años más recientes, liberalización del tipo de cambio); la reforma financiera, que amplió la participación de la banca privada en el sistema financiero así como la supervisión general del sistema; la reforma laboral hacia la desregulación y la flexibilización traducida en reducción de derechos laborales y debilitamiento de la negociación colectiva, y la reforma del Estado, que si bien ha mostrado pocos avances, destaca la ruptura de los monopolios estatales en las telecomunicaciones y los seguros.</w:t>
      </w:r>
      <w:r>
        <w:rPr>
          <w:sz w:val="24"/>
          <w:szCs w:val="24"/>
          <w:vertAlign w:val="superscript"/>
        </w:rPr>
        <w:footnoteReference w:id="15"/>
      </w:r>
    </w:p>
    <w:p w14:paraId="05AE8A6D" w14:textId="77777777" w:rsidR="00BB534D" w:rsidRDefault="00BB534D">
      <w:pPr>
        <w:spacing w:before="0" w:line="240" w:lineRule="auto"/>
        <w:jc w:val="both"/>
        <w:rPr>
          <w:sz w:val="24"/>
          <w:szCs w:val="24"/>
        </w:rPr>
      </w:pPr>
    </w:p>
    <w:p w14:paraId="05AE8A6E" w14:textId="77777777" w:rsidR="00BB534D" w:rsidRDefault="00B842B1">
      <w:pPr>
        <w:spacing w:before="0" w:line="240" w:lineRule="auto"/>
        <w:jc w:val="both"/>
        <w:rPr>
          <w:sz w:val="24"/>
          <w:szCs w:val="24"/>
        </w:rPr>
      </w:pPr>
      <w:r>
        <w:rPr>
          <w:sz w:val="24"/>
          <w:szCs w:val="24"/>
        </w:rPr>
        <w:t>En un período de 50 años, entre 1950 y 2000, Costa Rica sufrió un profundo cambio en su estructura productiva: mientras en 1950 la producción agropecuaria representaba un 30% de la producción nacional y absorbía un 55% del empleo total, en el año 2000 la misma actividad económica representó apenas un 10% de la producción total y ocupaba un 20% del total de personas empleadas; en cambio, en el mismo período la producción de servicios pasó de representar un 50% a un 61% de la producción nacional, y de un 29% a un 56% de la ocupación total.</w:t>
      </w:r>
      <w:r>
        <w:rPr>
          <w:sz w:val="24"/>
          <w:szCs w:val="24"/>
          <w:vertAlign w:val="superscript"/>
        </w:rPr>
        <w:footnoteReference w:id="16"/>
      </w:r>
      <w:r>
        <w:rPr>
          <w:sz w:val="24"/>
          <w:szCs w:val="24"/>
        </w:rPr>
        <w:t xml:space="preserve"> </w:t>
      </w:r>
    </w:p>
    <w:p w14:paraId="05AE8A6F" w14:textId="77777777" w:rsidR="00BB534D" w:rsidRDefault="00BB534D">
      <w:pPr>
        <w:spacing w:before="0" w:line="240" w:lineRule="auto"/>
        <w:jc w:val="both"/>
        <w:rPr>
          <w:sz w:val="24"/>
          <w:szCs w:val="24"/>
        </w:rPr>
      </w:pPr>
    </w:p>
    <w:p w14:paraId="05AE8A70" w14:textId="77777777" w:rsidR="00BB534D" w:rsidRDefault="00B842B1">
      <w:pPr>
        <w:spacing w:before="0" w:line="240" w:lineRule="auto"/>
        <w:jc w:val="both"/>
        <w:rPr>
          <w:sz w:val="24"/>
          <w:szCs w:val="24"/>
        </w:rPr>
      </w:pPr>
      <w:r>
        <w:rPr>
          <w:sz w:val="24"/>
          <w:szCs w:val="24"/>
        </w:rPr>
        <w:t xml:space="preserve">El ritmo de crecimiento de la economía costarricense ha venido mostrando una tendencia decreciente desde inicios de los noventa, lo que refleja un modelo de desarrollo que requiere de cambios. El promedio anual de crecimiento del PIB, según cifras del BCCR, pasó de 5.4% entre 1992-1999 a 4.3% entre 2000 y 2009, 3.8% entre 2010 y 2019, -4,1% en 2020 y 5,4% en 2021.  Ya para 2019 se observó la tasa crecimiento del PIB (2,3%) la más baja de las dos últimas décadas (con excepción de la registrada durante la crisis de 2008-2009), previo a la pandemia. </w:t>
      </w:r>
    </w:p>
    <w:p w14:paraId="05AE8A71" w14:textId="77777777" w:rsidR="00BB534D" w:rsidRDefault="00BB534D">
      <w:pPr>
        <w:spacing w:before="0" w:line="240" w:lineRule="auto"/>
        <w:jc w:val="both"/>
        <w:rPr>
          <w:sz w:val="24"/>
          <w:szCs w:val="24"/>
        </w:rPr>
      </w:pPr>
    </w:p>
    <w:p w14:paraId="05AE8A72" w14:textId="77777777" w:rsidR="00BB534D" w:rsidRDefault="00B842B1">
      <w:pPr>
        <w:spacing w:before="0" w:line="240" w:lineRule="auto"/>
        <w:jc w:val="both"/>
        <w:rPr>
          <w:sz w:val="24"/>
          <w:szCs w:val="24"/>
        </w:rPr>
      </w:pPr>
      <w:r>
        <w:rPr>
          <w:sz w:val="24"/>
          <w:szCs w:val="24"/>
        </w:rPr>
        <w:t xml:space="preserve">Si bien en términos agregados la economía costarricense creció en promedio 3.9% en los últimos 20 años (2000-2019), a nivel de actividad económica, podemos encontrar comportamientos heterogéneos. Por ejemplo, el sector de “información y telecomunicaciones” ha sido el más dinámico en el período (13,8%), incremento que se relaciona con la expansión de las tecnologías de información y comunicación, que en el caso costarricense se vio favorecido con la apertura del monopolio de las telecomunicaciones (2008). Las segundas actividades con mayor crecimiento en el </w:t>
      </w:r>
      <w:proofErr w:type="gramStart"/>
      <w:r>
        <w:rPr>
          <w:sz w:val="24"/>
          <w:szCs w:val="24"/>
        </w:rPr>
        <w:t>período,</w:t>
      </w:r>
      <w:proofErr w:type="gramEnd"/>
      <w:r>
        <w:rPr>
          <w:sz w:val="24"/>
          <w:szCs w:val="24"/>
        </w:rPr>
        <w:t xml:space="preserve"> han sido las “actividades financieras y de seguros” y las “actividades profesionales, científicas, técnicas, administrativas y de apoyo”, con 9,2% y 8,7%, respectivamente, como promedio anual entre 2000-2019. En este caso, las primeras responden al proceso de fortalecimiento del sistema financiero y los seguros, y las segundas a la expansión de las actividades de exportación de servicios. Luego siguen “transporte y almacenamiento” y “actividades alojamiento y servicios de comida”, cada una con un crecimiento promedio de 4,3% anual. El incremento en las actividades de almacenamiento se relaciona con el aumento en el comercio exterior del país, mientras que las actividades de alojamiento y comida con el fuerte crecimiento del turismo receptivo en el país.</w:t>
      </w:r>
      <w:r>
        <w:rPr>
          <w:sz w:val="24"/>
          <w:szCs w:val="24"/>
          <w:vertAlign w:val="superscript"/>
        </w:rPr>
        <w:footnoteReference w:id="17"/>
      </w:r>
      <w:r>
        <w:rPr>
          <w:sz w:val="24"/>
          <w:szCs w:val="24"/>
        </w:rPr>
        <w:t xml:space="preserve"> </w:t>
      </w:r>
    </w:p>
    <w:p w14:paraId="05AE8A73" w14:textId="77777777" w:rsidR="00BB534D" w:rsidRDefault="00BB534D">
      <w:pPr>
        <w:spacing w:before="0" w:line="240" w:lineRule="auto"/>
        <w:jc w:val="both"/>
        <w:rPr>
          <w:sz w:val="24"/>
          <w:szCs w:val="24"/>
        </w:rPr>
      </w:pPr>
    </w:p>
    <w:p w14:paraId="05AE8A74" w14:textId="77777777" w:rsidR="00BB534D" w:rsidRDefault="00B842B1">
      <w:pPr>
        <w:spacing w:before="0" w:line="240" w:lineRule="auto"/>
        <w:jc w:val="both"/>
        <w:rPr>
          <w:sz w:val="24"/>
          <w:szCs w:val="24"/>
        </w:rPr>
      </w:pPr>
      <w:r>
        <w:rPr>
          <w:sz w:val="24"/>
          <w:szCs w:val="24"/>
        </w:rPr>
        <w:t xml:space="preserve"> La estructura productiva costarricense se caracteriza por una alta dependencia económica de las otras regiones respecto de la gran área metropolitana (GAM). La mayoría de los flujos o transacciones en todo el territorio nacional ocurren desde o hacia esa región: la región central es vendedora neta hacia el resto de la nación, mientras que las demás regiones tienen un perfil de compradoras netas. Por tanto, si excluyéramos la región Central-GAM, la estructura productiva restante sería una red pequeña, con una poca cantidad de conexiones, un débil tejido de transacciones entre las otras regiones, impidiendo un mayor impulso al desarrollo humano regional</w:t>
      </w:r>
      <w:r>
        <w:rPr>
          <w:sz w:val="24"/>
          <w:szCs w:val="24"/>
          <w:vertAlign w:val="superscript"/>
        </w:rPr>
        <w:footnoteReference w:id="18"/>
      </w:r>
      <w:r>
        <w:rPr>
          <w:sz w:val="24"/>
          <w:szCs w:val="24"/>
        </w:rPr>
        <w:t>.</w:t>
      </w:r>
    </w:p>
    <w:p w14:paraId="05AE8A75" w14:textId="77777777" w:rsidR="00BB534D" w:rsidRDefault="00BB534D">
      <w:pPr>
        <w:spacing w:before="0" w:line="240" w:lineRule="auto"/>
        <w:jc w:val="both"/>
        <w:rPr>
          <w:sz w:val="24"/>
          <w:szCs w:val="24"/>
        </w:rPr>
      </w:pPr>
    </w:p>
    <w:p w14:paraId="05AE8A76" w14:textId="77777777" w:rsidR="00BB534D" w:rsidRDefault="00B842B1">
      <w:pPr>
        <w:spacing w:before="0" w:line="240" w:lineRule="auto"/>
        <w:jc w:val="both"/>
        <w:rPr>
          <w:sz w:val="24"/>
          <w:szCs w:val="24"/>
        </w:rPr>
      </w:pPr>
      <w:r>
        <w:rPr>
          <w:sz w:val="24"/>
          <w:szCs w:val="24"/>
        </w:rPr>
        <w:t>La política explícita de crecimiento económico, vía la atracción de inversión extranjera directa (IED) en el marco de los regímenes de zonas francas, la expansión de las exportaciones de bienes y servicios, la estabilidad de los precios apoyada por un buen manejo de política monetaria, los esfuerzos recientes por aumentar los ingresos y consolidar el gasto, han sido motores de crecimiento. Sin embargo, existen también riesgos en materia de crecimiento futuro, si se prevén menores inversiones y menor nivel de protección social.</w:t>
      </w:r>
    </w:p>
    <w:p w14:paraId="05AE8A77" w14:textId="77777777" w:rsidR="00BB534D" w:rsidRDefault="00BB534D">
      <w:pPr>
        <w:spacing w:before="0" w:line="240" w:lineRule="auto"/>
        <w:jc w:val="both"/>
        <w:rPr>
          <w:sz w:val="24"/>
          <w:szCs w:val="24"/>
        </w:rPr>
      </w:pPr>
    </w:p>
    <w:p w14:paraId="05AE8A78" w14:textId="77777777" w:rsidR="00BB534D" w:rsidRDefault="00B842B1">
      <w:pPr>
        <w:spacing w:before="0" w:line="240" w:lineRule="auto"/>
        <w:jc w:val="both"/>
        <w:rPr>
          <w:sz w:val="24"/>
          <w:szCs w:val="24"/>
        </w:rPr>
      </w:pPr>
      <w:r>
        <w:rPr>
          <w:sz w:val="24"/>
          <w:szCs w:val="24"/>
        </w:rPr>
        <w:t xml:space="preserve">Particularmente en la infraestructura de transporte, los cuellos de botella son grandes, lo cual no solamente obstaculiza la productividad, sino que también tiene un impacto negativo en el medio ambiente y en el desarrollo regional. La red de carreteras es extensa, pero con una calidad deficiente, debido a una gestión, planificación y ejecución deficientes. El entorno institucional complejo continúa obstaculizando el desarrollo de la infraestructura y de acuerdo con especialistas en la materia, para lograr avances debería existir un organismo coordinador que asuma la responsabilidad de ejecutar el análisis de costo-beneficio para todos los proyectos. Además, se mantiene bajo el nivel de oportunidades para la asociatividad </w:t>
      </w:r>
      <w:proofErr w:type="gramStart"/>
      <w:r>
        <w:rPr>
          <w:sz w:val="24"/>
          <w:szCs w:val="24"/>
        </w:rPr>
        <w:t>público privada</w:t>
      </w:r>
      <w:proofErr w:type="gramEnd"/>
      <w:r>
        <w:rPr>
          <w:sz w:val="24"/>
          <w:szCs w:val="24"/>
        </w:rPr>
        <w:t xml:space="preserve"> a través de alianzas público-privadas (</w:t>
      </w:r>
      <w:proofErr w:type="spellStart"/>
      <w:r>
        <w:rPr>
          <w:sz w:val="24"/>
          <w:szCs w:val="24"/>
        </w:rPr>
        <w:t>APPs</w:t>
      </w:r>
      <w:proofErr w:type="spellEnd"/>
      <w:r>
        <w:rPr>
          <w:sz w:val="24"/>
          <w:szCs w:val="24"/>
        </w:rPr>
        <w:t>) y alianzas público privadas para el desarrollo (</w:t>
      </w:r>
      <w:proofErr w:type="spellStart"/>
      <w:r>
        <w:rPr>
          <w:sz w:val="24"/>
          <w:szCs w:val="24"/>
        </w:rPr>
        <w:t>APPDs</w:t>
      </w:r>
      <w:proofErr w:type="spellEnd"/>
      <w:r>
        <w:rPr>
          <w:sz w:val="24"/>
          <w:szCs w:val="24"/>
        </w:rPr>
        <w:t>)</w:t>
      </w:r>
      <w:r>
        <w:rPr>
          <w:sz w:val="24"/>
          <w:szCs w:val="24"/>
          <w:vertAlign w:val="superscript"/>
        </w:rPr>
        <w:footnoteReference w:id="19"/>
      </w:r>
      <w:r>
        <w:rPr>
          <w:sz w:val="24"/>
          <w:szCs w:val="24"/>
        </w:rPr>
        <w:t>.</w:t>
      </w:r>
    </w:p>
    <w:p w14:paraId="05AE8A79" w14:textId="77777777" w:rsidR="00BB534D" w:rsidRDefault="00BB534D">
      <w:pPr>
        <w:spacing w:before="0" w:line="240" w:lineRule="auto"/>
        <w:jc w:val="both"/>
        <w:rPr>
          <w:sz w:val="24"/>
          <w:szCs w:val="24"/>
        </w:rPr>
      </w:pPr>
    </w:p>
    <w:p w14:paraId="05AE8A7A" w14:textId="77777777" w:rsidR="00BB534D" w:rsidRDefault="00B842B1">
      <w:pPr>
        <w:spacing w:before="0" w:line="240" w:lineRule="auto"/>
        <w:jc w:val="both"/>
        <w:rPr>
          <w:sz w:val="24"/>
          <w:szCs w:val="24"/>
        </w:rPr>
      </w:pPr>
      <w:r>
        <w:rPr>
          <w:sz w:val="24"/>
          <w:szCs w:val="24"/>
        </w:rPr>
        <w:t>En la actualidad, en materia de bienes, 10 productos concentran el 59% de las exportaciones 47% de las exportaciones de bienes: (dispositivos médicos, banano y piña). No obstante, Costa Rica posee una economía con una fuerte diversificación productiva, contando con un índice de complejidad económica de 0.27, que ubica al país en la posición 53 de 137 países (2018)</w:t>
      </w:r>
      <w:r>
        <w:rPr>
          <w:sz w:val="24"/>
          <w:szCs w:val="24"/>
          <w:vertAlign w:val="superscript"/>
        </w:rPr>
        <w:footnoteReference w:id="20"/>
      </w:r>
      <w:r>
        <w:rPr>
          <w:sz w:val="24"/>
          <w:szCs w:val="24"/>
        </w:rPr>
        <w:t xml:space="preserve">.  </w:t>
      </w:r>
    </w:p>
    <w:p w14:paraId="05AE8A7B" w14:textId="77777777" w:rsidR="00BB534D" w:rsidRDefault="00BB534D">
      <w:pPr>
        <w:spacing w:before="0" w:line="240" w:lineRule="auto"/>
        <w:jc w:val="both"/>
        <w:rPr>
          <w:sz w:val="24"/>
          <w:szCs w:val="24"/>
        </w:rPr>
      </w:pPr>
    </w:p>
    <w:p w14:paraId="05AE8A7C" w14:textId="77777777" w:rsidR="00BB534D" w:rsidRDefault="00B842B1">
      <w:pPr>
        <w:spacing w:before="0" w:line="240" w:lineRule="auto"/>
        <w:jc w:val="both"/>
        <w:rPr>
          <w:sz w:val="24"/>
          <w:szCs w:val="24"/>
        </w:rPr>
      </w:pPr>
      <w:r>
        <w:rPr>
          <w:sz w:val="24"/>
          <w:szCs w:val="24"/>
        </w:rPr>
        <w:t>Costa Rica se caracterizó durante muchos años por mostrar una de las distribuciones del ingreso con menor concentración a nivel latinoamericano; sin embargo, la situación comenzó a cambiar hacia finales de la década de los años noventa del siglo pasado, cuando como resultado de una serie de factores entre los que destacan la implementación del nuevo modelo económico con productividades por trabajador aún por debajo de los demás países de la OCDE y debilidades en los sistemas educativos, de salud, entre otros, la desigualdad comenzó a aumentar. En los últimos diez años, el coeficiente de Gini de la distribución personal del ingreso per cápita muestra fluctuaciones, pero ha tendido a aumentar pasando de un valor de 0.507 en 2010 a 0.519 en 2020.</w:t>
      </w:r>
      <w:r>
        <w:rPr>
          <w:sz w:val="24"/>
          <w:szCs w:val="24"/>
          <w:vertAlign w:val="superscript"/>
        </w:rPr>
        <w:footnoteReference w:id="21"/>
      </w:r>
    </w:p>
    <w:p w14:paraId="05AE8A7D" w14:textId="77777777" w:rsidR="00BB534D" w:rsidRDefault="00BB534D">
      <w:pPr>
        <w:spacing w:before="0" w:line="240" w:lineRule="auto"/>
        <w:jc w:val="both"/>
        <w:rPr>
          <w:sz w:val="24"/>
          <w:szCs w:val="24"/>
        </w:rPr>
      </w:pPr>
    </w:p>
    <w:p w14:paraId="05AE8A7E" w14:textId="77777777" w:rsidR="00BB534D" w:rsidRDefault="00B842B1">
      <w:pPr>
        <w:spacing w:before="0" w:line="240" w:lineRule="auto"/>
        <w:jc w:val="both"/>
        <w:rPr>
          <w:sz w:val="24"/>
          <w:szCs w:val="24"/>
        </w:rPr>
      </w:pPr>
      <w:r>
        <w:rPr>
          <w:sz w:val="24"/>
          <w:szCs w:val="24"/>
        </w:rPr>
        <w:t xml:space="preserve">Las mujeres además continúan experimentando desigualdades amplias en el mercado laboral, reflejadas en menores tasas de participación laboral (46% en 2020, menor en 6 p.p. respecto a 2019, CEPAL) –la tasa de participación laboral femenina en Costa Rica (44,6%) es una de las más bajas de los países de América Latina–, y tasas de desempleo, subempleo e informalidad más altas. Además, se enfrentan a desigualdades en las remuneraciones y a limitaciones para acceder a puestos con niveles altos de toma de decisión y en ciertas ocupaciones (segregación vertical y horizontal del trabajo). Lo cual limita de manera importante la posibilidad de que el país aproveche el bono de género. Esta preocupación fue expresada por el Comité de Derechos económicos, sociales y </w:t>
      </w:r>
      <w:proofErr w:type="gramStart"/>
      <w:r>
        <w:rPr>
          <w:sz w:val="24"/>
          <w:szCs w:val="24"/>
        </w:rPr>
        <w:t>culturales  señalando</w:t>
      </w:r>
      <w:proofErr w:type="gramEnd"/>
      <w:r>
        <w:rPr>
          <w:sz w:val="24"/>
          <w:szCs w:val="24"/>
        </w:rPr>
        <w:t xml:space="preserve"> además la persistente segregación horizontal y vertical en el ámbito laboral y la significativa brecha salarial entre hombres y mujeres. Recomendó adoptar las medidas necesarias para aumentar la tasa de participación laboral de las mujeres y eliminar la persistente brecha salarial por razón de </w:t>
      </w:r>
      <w:proofErr w:type="gramStart"/>
      <w:r>
        <w:rPr>
          <w:sz w:val="24"/>
          <w:szCs w:val="24"/>
        </w:rPr>
        <w:t>sexo ,</w:t>
      </w:r>
      <w:proofErr w:type="gramEnd"/>
      <w:r>
        <w:rPr>
          <w:sz w:val="24"/>
          <w:szCs w:val="24"/>
        </w:rPr>
        <w:t xml:space="preserve"> combatiendo la segregación vertical y horizontal en el empleo, que hace que las mujeres ocupen puestos de trabajo mal remunerados y tropiecen con obstáculos para acceder a las oportunidades de carrera en las mismas condiciones que los hombres</w:t>
      </w:r>
      <w:r>
        <w:rPr>
          <w:sz w:val="24"/>
          <w:szCs w:val="24"/>
          <w:vertAlign w:val="superscript"/>
        </w:rPr>
        <w:footnoteReference w:id="22"/>
      </w:r>
      <w:r>
        <w:rPr>
          <w:sz w:val="24"/>
          <w:szCs w:val="24"/>
        </w:rPr>
        <w:t>. </w:t>
      </w:r>
    </w:p>
    <w:p w14:paraId="05AE8A7F" w14:textId="77777777" w:rsidR="00BB534D" w:rsidRDefault="00BB534D">
      <w:pPr>
        <w:spacing w:before="0" w:line="240" w:lineRule="auto"/>
        <w:jc w:val="both"/>
        <w:rPr>
          <w:sz w:val="24"/>
          <w:szCs w:val="24"/>
        </w:rPr>
      </w:pPr>
    </w:p>
    <w:p w14:paraId="05AE8A80" w14:textId="77777777" w:rsidR="00BB534D" w:rsidRDefault="00B842B1">
      <w:pPr>
        <w:spacing w:before="0" w:line="240" w:lineRule="auto"/>
        <w:jc w:val="both"/>
        <w:rPr>
          <w:sz w:val="24"/>
          <w:szCs w:val="24"/>
        </w:rPr>
      </w:pPr>
      <w:r>
        <w:rPr>
          <w:sz w:val="24"/>
          <w:szCs w:val="24"/>
        </w:rPr>
        <w:t xml:space="preserve">Según la Encuesta Nacional de Uso del Tiempo 2017 del INEC, las mujeres dedican una mayor cantidad de tiempo social promedio semanal al trabajo doméstico y de cuidados no remunerado, con 35:49 horas, mientras que los hombres destinan 13:42 horas. De acuerdo con la estimación del BCCR de valor del trabajo doméstico y de cuidados no remunerado para el año 2017, este representa 25,3% del PIB con un valor de 8,3 billones de colones.  De este total, las mujeres aportan 18,0%, que equivale a 5,9 billones de colones – aporte que ha sido históricamente menospreciado y no visibilizado y lo continúa siendo. </w:t>
      </w:r>
    </w:p>
    <w:p w14:paraId="05AE8A81" w14:textId="77777777" w:rsidR="00BB534D" w:rsidRDefault="00B842B1">
      <w:pPr>
        <w:spacing w:before="0" w:line="240" w:lineRule="auto"/>
        <w:jc w:val="both"/>
        <w:rPr>
          <w:sz w:val="24"/>
          <w:szCs w:val="24"/>
        </w:rPr>
      </w:pPr>
      <w:r>
        <w:rPr>
          <w:sz w:val="24"/>
          <w:szCs w:val="24"/>
        </w:rPr>
        <w:t>Al respecto, el Estado de la Nación</w:t>
      </w:r>
      <w:r>
        <w:rPr>
          <w:sz w:val="24"/>
          <w:szCs w:val="24"/>
          <w:vertAlign w:val="superscript"/>
        </w:rPr>
        <w:footnoteReference w:id="23"/>
      </w:r>
      <w:r>
        <w:rPr>
          <w:sz w:val="24"/>
          <w:szCs w:val="24"/>
        </w:rPr>
        <w:t xml:space="preserve"> expresa, que como consecuencia del mal desempeño del mercado de trabajo y de la elevada desigualdad que se evidencia entre los diferentes estratos sociales, el aporte que realiza la inversión social para equilibrar esta situación ha sido, con los años, cada vez mayor. Las transferencias focalizadas del Estado en dinero y en especie tienen una gran importancia en el ingreso de los hogares. Asimismo, de las contribuciones en dinero, las pensiones no contributivas son las que individualmente reducen más la pobreza, seguidas por las becas para estudio.</w:t>
      </w:r>
    </w:p>
    <w:p w14:paraId="05AE8A82" w14:textId="77777777" w:rsidR="00BB534D" w:rsidRDefault="00BB534D">
      <w:pPr>
        <w:spacing w:before="0" w:line="240" w:lineRule="auto"/>
        <w:jc w:val="both"/>
        <w:rPr>
          <w:sz w:val="24"/>
          <w:szCs w:val="24"/>
        </w:rPr>
      </w:pPr>
    </w:p>
    <w:p w14:paraId="05AE8A83" w14:textId="77777777" w:rsidR="00BB534D" w:rsidRDefault="00B842B1">
      <w:pPr>
        <w:spacing w:before="0" w:line="240" w:lineRule="auto"/>
        <w:jc w:val="both"/>
        <w:rPr>
          <w:sz w:val="24"/>
          <w:szCs w:val="24"/>
        </w:rPr>
      </w:pPr>
      <w:r>
        <w:rPr>
          <w:sz w:val="24"/>
          <w:szCs w:val="24"/>
        </w:rPr>
        <w:t>La incidencia de la pobreza por ingresos en los hogares costarricenses en los años 2000-2019 se ha ubicado en alrededor de 20% +/- 1.5 p.p. y en 6% +/- 1 punto porcentual en el caso de la pobreza extrema</w:t>
      </w:r>
      <w:r>
        <w:rPr>
          <w:sz w:val="24"/>
          <w:szCs w:val="24"/>
          <w:vertAlign w:val="superscript"/>
        </w:rPr>
        <w:footnoteReference w:id="24"/>
      </w:r>
      <w:r>
        <w:rPr>
          <w:sz w:val="24"/>
          <w:szCs w:val="24"/>
        </w:rPr>
        <w:t>. Un reciente estudio muestra que entre los años 1994-2006, hubo un estancamiento de la incidencia de la pobreza, definida como porcentaje de hogares pobres con respecto al total de hogares del país. Mientras que para el período 2006-2017, no solo disminuye la incidencia de la pobreza, sino que también se reducen la pobreza extrema y la proporción de hogares vulnerables, con lo que se inicia un período de reducción sostenida de la pobreza</w:t>
      </w:r>
      <w:r>
        <w:rPr>
          <w:sz w:val="24"/>
          <w:szCs w:val="24"/>
          <w:vertAlign w:val="superscript"/>
        </w:rPr>
        <w:footnoteReference w:id="25"/>
      </w:r>
      <w:r>
        <w:rPr>
          <w:sz w:val="24"/>
          <w:szCs w:val="24"/>
        </w:rPr>
        <w:t>.</w:t>
      </w:r>
    </w:p>
    <w:p w14:paraId="05AE8A84" w14:textId="77777777" w:rsidR="00BB534D" w:rsidRDefault="00BB534D">
      <w:pPr>
        <w:spacing w:before="0" w:line="240" w:lineRule="auto"/>
        <w:jc w:val="both"/>
        <w:rPr>
          <w:sz w:val="24"/>
          <w:szCs w:val="24"/>
        </w:rPr>
      </w:pPr>
    </w:p>
    <w:p w14:paraId="05AE8A85" w14:textId="77777777" w:rsidR="00BB534D" w:rsidRDefault="00B842B1">
      <w:pPr>
        <w:spacing w:before="0" w:line="240" w:lineRule="auto"/>
        <w:jc w:val="both"/>
        <w:rPr>
          <w:sz w:val="24"/>
          <w:szCs w:val="24"/>
        </w:rPr>
      </w:pPr>
      <w:r>
        <w:rPr>
          <w:sz w:val="24"/>
          <w:szCs w:val="24"/>
        </w:rPr>
        <w:t>La ENAHO 2020, señala que el porcentaje de hogares en pobreza por su nivel de ingresos alcanzó el 26,2 %, esto equivale a 419 783 hogares, cerca de 83 888 más que el año anterior, lo cual corresponde a un aumento de 5,2 p.p. en el porcentaje de hogares pobres respecto al 2019. La encuesta refleja el efecto de la pandemia en el nivel de pobreza de los hogares, que fue refrenada en parte, por el aumento en las transferencias, tanto públicas como privadas (ayudas en especie como víveres, alimentos, pago de servicios, entre otros, así como contribuciones monetarias) que recibieron los hogares; y que de no haberse generado este tipo de aporte adicional, la incidencia de pobreza hubiera aumentado entre 4 p.p. y 6 p.p. más respecto al observado (según el ámbito nacional o zona). La pobreza urbana en julio del 2020 fue mayor (19.5%), a la rural (18.2%), y la distancia en pobreza extrema entre el ámbito urbano y el rural se redujo del 20.1% en julio del 2019, a 7.3% en julio del 2020 (en virtud de que la pobreza extrema urbana creció 27.6% y la rural en 5.9%, en ambos casos de julio 2019 a julio 2020), la crisis sanitaria golpeó con mayor fuerza en ámbitos urbanos.</w:t>
      </w:r>
    </w:p>
    <w:p w14:paraId="05AE8A86" w14:textId="77777777" w:rsidR="00BB534D" w:rsidRDefault="00BB534D">
      <w:pPr>
        <w:spacing w:before="0" w:line="240" w:lineRule="auto"/>
        <w:jc w:val="both"/>
        <w:rPr>
          <w:sz w:val="24"/>
          <w:szCs w:val="24"/>
        </w:rPr>
      </w:pPr>
    </w:p>
    <w:p w14:paraId="05AE8A87" w14:textId="77777777" w:rsidR="00BB534D" w:rsidRDefault="00B842B1">
      <w:pPr>
        <w:spacing w:before="0" w:line="240" w:lineRule="auto"/>
        <w:jc w:val="both"/>
        <w:rPr>
          <w:sz w:val="24"/>
          <w:szCs w:val="24"/>
        </w:rPr>
      </w:pPr>
      <w:r>
        <w:rPr>
          <w:sz w:val="24"/>
          <w:szCs w:val="24"/>
        </w:rPr>
        <w:t xml:space="preserve">La ENAHO 2021 muestra una recuperación parcial de los niveles de pobreza por ingresos, al disminuir </w:t>
      </w:r>
      <w:proofErr w:type="spellStart"/>
      <w:r>
        <w:rPr>
          <w:sz w:val="24"/>
          <w:szCs w:val="24"/>
        </w:rPr>
        <w:t>a</w:t>
      </w:r>
      <w:proofErr w:type="spellEnd"/>
      <w:r>
        <w:rPr>
          <w:sz w:val="24"/>
          <w:szCs w:val="24"/>
        </w:rPr>
        <w:t xml:space="preserve"> incidencia de la pobreza al 23% de los hogares y la pobreza extrema a 6,3%. Estos porcentajes son todavía superiores a los niveles previos a la pandemia. Llama la atención además que la incidencia de la pobreza en zonas rurales muestra un aumento leve, aunque no significativo: la pobreza total aumentó de 25,5% a 26,3% y la pobreza extrema de 7,3% a 8,3%. Por regiones de planificación, la pobreza disminuyó significativamente en la región Central, Chorotega y Pacifico Central, mientras que aumentó en la Huetar Norte, Huetar Caribe y Brunca, pasando esta última a ser la región con mayor nivel de pobreza por ingresos con un 33,5%.</w:t>
      </w:r>
      <w:r>
        <w:rPr>
          <w:sz w:val="24"/>
          <w:szCs w:val="24"/>
          <w:vertAlign w:val="superscript"/>
        </w:rPr>
        <w:footnoteReference w:id="26"/>
      </w:r>
      <w:r>
        <w:rPr>
          <w:sz w:val="24"/>
          <w:szCs w:val="24"/>
        </w:rPr>
        <w:t xml:space="preserve"> </w:t>
      </w:r>
    </w:p>
    <w:p w14:paraId="05AE8A88" w14:textId="77777777" w:rsidR="00BB534D" w:rsidRDefault="00BB534D">
      <w:pPr>
        <w:spacing w:before="0" w:line="240" w:lineRule="auto"/>
        <w:jc w:val="both"/>
        <w:rPr>
          <w:sz w:val="24"/>
          <w:szCs w:val="24"/>
        </w:rPr>
      </w:pPr>
    </w:p>
    <w:p w14:paraId="05AE8A89" w14:textId="77777777" w:rsidR="00BB534D" w:rsidRDefault="00B842B1">
      <w:pPr>
        <w:spacing w:before="0" w:line="240" w:lineRule="auto"/>
        <w:ind w:left="1701"/>
        <w:jc w:val="both"/>
        <w:rPr>
          <w:i/>
          <w:sz w:val="24"/>
          <w:szCs w:val="24"/>
        </w:rPr>
      </w:pPr>
      <w:r>
        <w:rPr>
          <w:i/>
          <w:sz w:val="24"/>
          <w:szCs w:val="24"/>
        </w:rPr>
        <w:t>La pobreza por ingresos no afecta a toda la población por igual: las mujeres, las personas menores de edad y los hogares con jefatura femenina tienen una mayor incidencia.</w:t>
      </w:r>
    </w:p>
    <w:p w14:paraId="05AE8A8A" w14:textId="77777777" w:rsidR="00BB534D" w:rsidRDefault="00BB534D">
      <w:pPr>
        <w:spacing w:before="0" w:line="240" w:lineRule="auto"/>
        <w:jc w:val="both"/>
        <w:rPr>
          <w:sz w:val="24"/>
          <w:szCs w:val="24"/>
        </w:rPr>
      </w:pPr>
    </w:p>
    <w:p w14:paraId="05AE8A8B" w14:textId="77777777" w:rsidR="00BB534D" w:rsidRDefault="00B842B1">
      <w:pPr>
        <w:spacing w:before="0" w:line="240" w:lineRule="auto"/>
        <w:jc w:val="both"/>
        <w:rPr>
          <w:sz w:val="24"/>
          <w:szCs w:val="24"/>
        </w:rPr>
      </w:pPr>
      <w:r>
        <w:rPr>
          <w:sz w:val="24"/>
          <w:szCs w:val="24"/>
        </w:rPr>
        <w:t>Es importante mencionar que la incidencia de pobreza multidimensional, cuya medición incluye variables que están más directamente ligadas a los resultados de la política social, ha mostrado una clara tendencia a la disminución entre 2010 y 2019, pasando de 25,9% a 16,6%, y se ha mantenido en un nivel similar, 16,1% y 16,4% en 2020 y 2021, respectivamente.</w:t>
      </w:r>
      <w:r>
        <w:rPr>
          <w:sz w:val="24"/>
          <w:szCs w:val="24"/>
          <w:vertAlign w:val="superscript"/>
        </w:rPr>
        <w:footnoteReference w:id="27"/>
      </w:r>
    </w:p>
    <w:p w14:paraId="05AE8A8C" w14:textId="77777777" w:rsidR="00BB534D" w:rsidRDefault="00BB534D">
      <w:pPr>
        <w:spacing w:before="0" w:line="240" w:lineRule="auto"/>
        <w:jc w:val="both"/>
        <w:rPr>
          <w:sz w:val="24"/>
          <w:szCs w:val="24"/>
        </w:rPr>
      </w:pPr>
    </w:p>
    <w:p w14:paraId="05AE8A8D" w14:textId="77777777" w:rsidR="00BB534D" w:rsidRDefault="00B842B1">
      <w:pPr>
        <w:spacing w:before="0" w:line="240" w:lineRule="auto"/>
        <w:jc w:val="both"/>
        <w:rPr>
          <w:sz w:val="24"/>
          <w:szCs w:val="24"/>
        </w:rPr>
      </w:pPr>
      <w:r>
        <w:rPr>
          <w:sz w:val="24"/>
          <w:szCs w:val="24"/>
        </w:rPr>
        <w:t>El porcentaje de hogares en pobreza extrema es de 7,0 %, aumentó 1,2 pp. respecto a la estimación del año 2019, cuando se ubicó en 5,8 %, lo que en términos absolutos equivale a 19 445 hogares más en pobreza extrema, pasando de 93 542 hogares en esta condición en el 2019 a 112 987 en el 2020.</w:t>
      </w:r>
      <w:r>
        <w:rPr>
          <w:sz w:val="24"/>
          <w:szCs w:val="24"/>
          <w:vertAlign w:val="superscript"/>
        </w:rPr>
        <w:footnoteReference w:id="28"/>
      </w:r>
      <w:r>
        <w:rPr>
          <w:sz w:val="24"/>
          <w:szCs w:val="24"/>
        </w:rPr>
        <w:t xml:space="preserve"> </w:t>
      </w:r>
    </w:p>
    <w:p w14:paraId="05AE8A8E" w14:textId="77777777" w:rsidR="00BB534D" w:rsidRDefault="00BB534D">
      <w:pPr>
        <w:spacing w:before="0" w:line="240" w:lineRule="auto"/>
        <w:jc w:val="both"/>
        <w:rPr>
          <w:sz w:val="24"/>
          <w:szCs w:val="24"/>
        </w:rPr>
      </w:pPr>
    </w:p>
    <w:p w14:paraId="05AE8A8F" w14:textId="77777777" w:rsidR="00BB534D" w:rsidRDefault="00B842B1">
      <w:pPr>
        <w:spacing w:before="0" w:line="276" w:lineRule="auto"/>
        <w:jc w:val="both"/>
        <w:rPr>
          <w:sz w:val="24"/>
          <w:szCs w:val="24"/>
        </w:rPr>
      </w:pPr>
      <w:r>
        <w:rPr>
          <w:sz w:val="24"/>
          <w:szCs w:val="24"/>
        </w:rPr>
        <w:t xml:space="preserve">El impacto económico de la crisis COVID-19 ha sido alarmante. Las proyecciones recientes de crecimiento de la economía son más alentadoras, según el Banco Central de Costa Rica (BCCR), será de un 5.4% para 2021 y 4.5% para 2022, justificadas en el mayor fortalecimiento de la actividad económica nacional donde la mayoría de las actividades han sobrepasado el nivel que tenían antes de la pandemia. Por su parte, algunas empresas han sido cautas en recuperar sus niveles de empleo </w:t>
      </w:r>
      <w:proofErr w:type="spellStart"/>
      <w:r>
        <w:rPr>
          <w:sz w:val="24"/>
          <w:szCs w:val="24"/>
        </w:rPr>
        <w:t>pre-pandemia</w:t>
      </w:r>
      <w:proofErr w:type="spellEnd"/>
      <w:r>
        <w:rPr>
          <w:sz w:val="24"/>
          <w:szCs w:val="24"/>
        </w:rPr>
        <w:t>, y han ajustado sus actividades a formas de producción menos intensivas en el uso del factor trabajo. La obligación del país de cumplir con los derechos económicos y sociales, incluso en tiempos de crisis, son derechos que deben priorizarse ante el uso de recursos escasos.  </w:t>
      </w:r>
    </w:p>
    <w:p w14:paraId="05AE8A90" w14:textId="77777777" w:rsidR="00BB534D" w:rsidRDefault="00BB534D">
      <w:pPr>
        <w:spacing w:before="0" w:line="276" w:lineRule="auto"/>
        <w:jc w:val="both"/>
        <w:rPr>
          <w:sz w:val="24"/>
          <w:szCs w:val="24"/>
        </w:rPr>
      </w:pPr>
    </w:p>
    <w:p w14:paraId="05AE8A91" w14:textId="77777777" w:rsidR="00BB534D" w:rsidRDefault="00B842B1">
      <w:pPr>
        <w:spacing w:before="0" w:line="276" w:lineRule="auto"/>
        <w:jc w:val="both"/>
        <w:rPr>
          <w:sz w:val="24"/>
          <w:szCs w:val="24"/>
        </w:rPr>
      </w:pPr>
      <w:r>
        <w:rPr>
          <w:sz w:val="24"/>
          <w:szCs w:val="24"/>
        </w:rPr>
        <w:t xml:space="preserve">Como resultado de la recesión económica y el costo fiscal de las medidas de contención del COVID-19, noviembre 2021, el déficit fiscal </w:t>
      </w:r>
      <w:r>
        <w:rPr>
          <w:rFonts w:ascii="Arial" w:eastAsia="Arial" w:hAnsi="Arial" w:cs="Arial"/>
          <w:sz w:val="24"/>
          <w:szCs w:val="24"/>
        </w:rPr>
        <w:t xml:space="preserve">cerró en 4.29% del PIB (7,43% mismo período año anterior), reflejando una evolución favorable como consecuencia de mayor recaudación impositiva, la contracción del gasto primario y el traslado de recursos de </w:t>
      </w:r>
      <w:proofErr w:type="spellStart"/>
      <w:r>
        <w:rPr>
          <w:rFonts w:ascii="Arial" w:eastAsia="Arial" w:hAnsi="Arial" w:cs="Arial"/>
          <w:sz w:val="24"/>
          <w:szCs w:val="24"/>
        </w:rPr>
        <w:t>superávit</w:t>
      </w:r>
      <w:proofErr w:type="spellEnd"/>
      <w:r>
        <w:rPr>
          <w:rFonts w:ascii="Arial" w:eastAsia="Arial" w:hAnsi="Arial" w:cs="Arial"/>
          <w:sz w:val="24"/>
          <w:szCs w:val="24"/>
        </w:rPr>
        <w:t xml:space="preserve"> libres de algunas entidades </w:t>
      </w:r>
      <w:proofErr w:type="spellStart"/>
      <w:r>
        <w:rPr>
          <w:rFonts w:ascii="Arial" w:eastAsia="Arial" w:hAnsi="Arial" w:cs="Arial"/>
          <w:sz w:val="24"/>
          <w:szCs w:val="24"/>
        </w:rPr>
        <w:t>publicas</w:t>
      </w:r>
      <w:proofErr w:type="spellEnd"/>
      <w:r>
        <w:rPr>
          <w:rFonts w:ascii="Arial" w:eastAsia="Arial" w:hAnsi="Arial" w:cs="Arial"/>
          <w:sz w:val="24"/>
          <w:szCs w:val="24"/>
        </w:rPr>
        <w:t>.</w:t>
      </w:r>
    </w:p>
    <w:p w14:paraId="05AE8A92" w14:textId="77777777" w:rsidR="00BB534D" w:rsidRDefault="00BB534D">
      <w:pPr>
        <w:spacing w:before="0" w:line="240" w:lineRule="auto"/>
        <w:jc w:val="both"/>
        <w:rPr>
          <w:sz w:val="24"/>
          <w:szCs w:val="24"/>
        </w:rPr>
      </w:pPr>
    </w:p>
    <w:p w14:paraId="05AE8A93" w14:textId="77777777" w:rsidR="00BB534D" w:rsidRDefault="00B842B1">
      <w:pPr>
        <w:spacing w:before="0" w:line="240" w:lineRule="auto"/>
        <w:jc w:val="both"/>
        <w:rPr>
          <w:sz w:val="24"/>
          <w:szCs w:val="24"/>
        </w:rPr>
      </w:pPr>
      <w:r>
        <w:rPr>
          <w:sz w:val="24"/>
          <w:szCs w:val="24"/>
        </w:rPr>
        <w:t>La combinación de altos déficits fiscales y amortizaciones (sobre todo de deuda interna) llevaron la necesidad de financiamiento del Gobierno Central en 2021 hasta un 9,5% internamente y un 2,6% externamente (8,6% y 2,6% respectivamente en 2020). Para 2022 se estima que las necesidades de endeudamiento se reduzcan 1,8 p.p. Por otro lado, el perfil de vencimiento de la deuda pública, esencialmente de deuda interna, es de alrededor de US $11 mil millones entre 2022-2024, lo que dificulta aún más el panorama fiscal del país.</w:t>
      </w:r>
    </w:p>
    <w:p w14:paraId="05AE8A94" w14:textId="77777777" w:rsidR="00BB534D" w:rsidRDefault="00BB534D">
      <w:pPr>
        <w:spacing w:before="0" w:line="240" w:lineRule="auto"/>
        <w:jc w:val="both"/>
        <w:rPr>
          <w:sz w:val="24"/>
          <w:szCs w:val="24"/>
        </w:rPr>
      </w:pPr>
    </w:p>
    <w:p w14:paraId="05AE8A95" w14:textId="77777777" w:rsidR="00BB534D" w:rsidRDefault="00B842B1">
      <w:pPr>
        <w:spacing w:before="0" w:line="240" w:lineRule="auto"/>
        <w:jc w:val="both"/>
        <w:rPr>
          <w:sz w:val="24"/>
          <w:szCs w:val="24"/>
        </w:rPr>
      </w:pPr>
      <w:r>
        <w:rPr>
          <w:sz w:val="24"/>
          <w:szCs w:val="24"/>
        </w:rPr>
        <w:t>Desde hace décadas, Costa Rica ha adoptado firmemente la conservación como un pilar del desarrollo sostenible. El área cubierta por bosques que había caído a sólo el 26% del territorio en la década de 1980, se ha recuperado desde entonces a más del 50%</w:t>
      </w:r>
      <w:r>
        <w:rPr>
          <w:sz w:val="24"/>
          <w:szCs w:val="24"/>
          <w:vertAlign w:val="superscript"/>
        </w:rPr>
        <w:footnoteReference w:id="29"/>
      </w:r>
      <w:r>
        <w:rPr>
          <w:sz w:val="24"/>
          <w:szCs w:val="24"/>
        </w:rPr>
        <w:t>. Este éxito se debe a una combinación de fuertes políticas e incentivos para la conservación, así como políticas efectivas y sostenibles para la agricultura, el turismo y la energía. Para el 2050, Costa Rica tiene la intención de contar con una economía descarbonizada, ambientalmente sostenible, socialmente inclusiva y diversificada en torno a su modelo de crecimiento. Sin embargo, resulta imprescindible trabajar más allá de la conservación, específicamente sobre las principales debilidades y amenazas ambientales para el crecimiento verde, tales como el manejo de residuos, exposición y vulnerabilidad a eventos climáticos, escasez de agua, transporte público, tratamiento de aguas residuales y uso excesivo de agroquímicos, entre los principales</w:t>
      </w:r>
      <w:r>
        <w:rPr>
          <w:sz w:val="24"/>
          <w:szCs w:val="24"/>
          <w:vertAlign w:val="superscript"/>
        </w:rPr>
        <w:footnoteReference w:id="30"/>
      </w:r>
    </w:p>
    <w:p w14:paraId="05AE8A96" w14:textId="77777777" w:rsidR="00BB534D" w:rsidRDefault="00BB534D">
      <w:pPr>
        <w:spacing w:before="0" w:line="240" w:lineRule="auto"/>
        <w:jc w:val="both"/>
        <w:rPr>
          <w:sz w:val="24"/>
          <w:szCs w:val="24"/>
        </w:rPr>
      </w:pPr>
    </w:p>
    <w:p w14:paraId="05AE8A97" w14:textId="77777777" w:rsidR="00BB534D" w:rsidRDefault="00B842B1">
      <w:pPr>
        <w:spacing w:before="0" w:line="240" w:lineRule="auto"/>
        <w:jc w:val="both"/>
        <w:rPr>
          <w:sz w:val="24"/>
          <w:szCs w:val="24"/>
        </w:rPr>
      </w:pPr>
      <w:r>
        <w:rPr>
          <w:sz w:val="24"/>
          <w:szCs w:val="24"/>
        </w:rPr>
        <w:t>Para que la crisis actual no se agrave aún más y se torne una crisis sistémica, es imperativo abordar la situación actual y sus implicaciones, pero también es esencial afrontar los rezagos del modelo de desarrollo implantado en los últimos años, como por ejemplo promover una mayor conexión entre el crecimiento económico y la generación de empleos, una transformación productiva hacia una economía más verde, la incorporación adecuada de la transformación digital, la reducción de brechas de género, la economía de los cuidados, y para ello es fundamental contar con políticas de desarrollo productivo en el marco de una agenda de reconstrucción en favor del desarrollo humano, inclusivo, igualador, sostenible y con trabajo decente para todos y todas.</w:t>
      </w:r>
    </w:p>
    <w:p w14:paraId="05AE8A98" w14:textId="77777777" w:rsidR="00BB534D" w:rsidRDefault="00BB534D">
      <w:pPr>
        <w:spacing w:before="0" w:line="240" w:lineRule="auto"/>
        <w:jc w:val="both"/>
        <w:rPr>
          <w:sz w:val="24"/>
          <w:szCs w:val="24"/>
        </w:rPr>
      </w:pPr>
    </w:p>
    <w:p w14:paraId="05AE8A99" w14:textId="77777777" w:rsidR="00BB534D" w:rsidRDefault="00B842B1">
      <w:pPr>
        <w:pStyle w:val="Heading2"/>
        <w:spacing w:before="240" w:line="240" w:lineRule="auto"/>
        <w:jc w:val="both"/>
        <w:rPr>
          <w:color w:val="4A86E8"/>
          <w:sz w:val="24"/>
          <w:szCs w:val="24"/>
        </w:rPr>
      </w:pPr>
      <w:r>
        <w:rPr>
          <w:color w:val="4A86E8"/>
          <w:sz w:val="24"/>
          <w:szCs w:val="24"/>
        </w:rPr>
        <w:t>1.2. Dinámica del Empleo.</w:t>
      </w:r>
    </w:p>
    <w:p w14:paraId="05AE8A9A" w14:textId="77777777" w:rsidR="00BB534D" w:rsidRDefault="00BB534D">
      <w:pPr>
        <w:spacing w:before="0" w:line="240" w:lineRule="auto"/>
        <w:jc w:val="both"/>
        <w:rPr>
          <w:sz w:val="24"/>
          <w:szCs w:val="24"/>
        </w:rPr>
      </w:pPr>
    </w:p>
    <w:p w14:paraId="05AE8A9B" w14:textId="77777777" w:rsidR="00BB534D" w:rsidRDefault="00B842B1">
      <w:pPr>
        <w:spacing w:before="0" w:line="240" w:lineRule="auto"/>
        <w:jc w:val="both"/>
        <w:rPr>
          <w:sz w:val="24"/>
          <w:szCs w:val="24"/>
        </w:rPr>
      </w:pPr>
      <w:r>
        <w:rPr>
          <w:sz w:val="24"/>
          <w:szCs w:val="24"/>
        </w:rPr>
        <w:t>En años recientes, la progresiva transformación de la estructura productiva costarricense ha generado cambios notables en la composición de la ocupación sectorial, en especial la expansión del empleo en el sector de los servicios. Según estimaciones recientes hechas por Sauma (2019), con base en Encuestas de Hogares del INEC de diferentes años,</w:t>
      </w:r>
      <w:r>
        <w:rPr>
          <w:sz w:val="24"/>
          <w:szCs w:val="24"/>
          <w:vertAlign w:val="superscript"/>
        </w:rPr>
        <w:footnoteReference w:id="31"/>
      </w:r>
      <w:r>
        <w:rPr>
          <w:sz w:val="24"/>
          <w:szCs w:val="24"/>
        </w:rPr>
        <w:t xml:space="preserve"> en 2001 el 15,3% de las personas ocupadas lo estaban en el sector primario, un 23,4% en el secundario y un 60,9% en el terciario, cifras que varían a 13,4%, 19,5% y 66,9% respectivamente en 2012, y a 10,8%, 18,0% y 71,1%, respectivamente, en 2018. Si bien tanto para los hombres como para las mujeres el sector terciario es el más importante desde el punto de vista de la ocupación, hay diferencias de magnitud. Así, mientras en el 2018 el 61,3% de los hombres se ocupaban en este, para las mujeres la cifra fue de 85,9%. En ese mismo año, la ocupación en el sector primario fue de 15,4% para los hombres, respecto a 3,7% para las mujeres, porcentaje este último que ha sido bastante estable a lo largo del período considerado. En el sector secundario, las cifras para el 2018 fueron 23,1% y 10,2%, respectivamente. </w:t>
      </w:r>
    </w:p>
    <w:p w14:paraId="05AE8A9C" w14:textId="77777777" w:rsidR="00BB534D" w:rsidRDefault="00BB534D">
      <w:pPr>
        <w:spacing w:before="0" w:line="240" w:lineRule="auto"/>
        <w:jc w:val="both"/>
        <w:rPr>
          <w:sz w:val="24"/>
          <w:szCs w:val="24"/>
        </w:rPr>
      </w:pPr>
    </w:p>
    <w:p w14:paraId="05AE8A9D" w14:textId="77777777" w:rsidR="00BB534D" w:rsidRDefault="00B842B1">
      <w:pPr>
        <w:spacing w:before="0" w:line="240" w:lineRule="auto"/>
        <w:jc w:val="both"/>
        <w:rPr>
          <w:sz w:val="24"/>
          <w:szCs w:val="24"/>
        </w:rPr>
      </w:pPr>
      <w:r>
        <w:rPr>
          <w:sz w:val="24"/>
          <w:szCs w:val="24"/>
        </w:rPr>
        <w:t xml:space="preserve">Costa Rica, al igual que el resto de los países de América Latina y el Caribe, atraviesa una crisis económica y social sin precedentes, no sólo por su magnitud sino también por su complejidad y extensión. Lo anterior se ha manifestado en impactos inéditos en el mercado de trabajo, a través de la pérdida neta de empleo y de las horas trabajadas, del deterioro de la calidad de los puestos de trabajo y de la reducción de los ingresos de las y los trabajadores y de los hogares. </w:t>
      </w:r>
    </w:p>
    <w:p w14:paraId="05AE8A9E" w14:textId="77777777" w:rsidR="00BB534D" w:rsidRDefault="00BB534D">
      <w:pPr>
        <w:spacing w:before="0" w:line="240" w:lineRule="auto"/>
        <w:jc w:val="both"/>
        <w:rPr>
          <w:sz w:val="24"/>
          <w:szCs w:val="24"/>
        </w:rPr>
      </w:pPr>
    </w:p>
    <w:p w14:paraId="05AE8A9F" w14:textId="77777777" w:rsidR="00BB534D" w:rsidRDefault="00B842B1">
      <w:pPr>
        <w:spacing w:before="0" w:line="240" w:lineRule="auto"/>
        <w:jc w:val="both"/>
        <w:rPr>
          <w:sz w:val="24"/>
          <w:szCs w:val="24"/>
        </w:rPr>
      </w:pPr>
      <w:r>
        <w:rPr>
          <w:sz w:val="24"/>
          <w:szCs w:val="24"/>
        </w:rPr>
        <w:t xml:space="preserve">Consecuentemente con lo anterior, después de haber sido relativamente estable durante el período 2013-2016, la tasa de desempleo en Costa Rica observó una importante volatilidad desde el II trimestre de 2017 y aumentó bruscamente, desde un 8.7% en el segundo trimestre de 2018 hasta 12.4% en el cuarto trimestre de 2019. En este último trimestre, la tasa de desempleo de las mujeres (16.7%) ya sobrepasaba en casi 7 p.p. la tasa de desocupación de los hombres (9.6%), brecha que en los últimos años ha crecido de manera importante. </w:t>
      </w:r>
    </w:p>
    <w:p w14:paraId="05AE8AA0" w14:textId="77777777" w:rsidR="00BB534D" w:rsidRDefault="00BB534D">
      <w:pPr>
        <w:spacing w:before="0" w:line="240" w:lineRule="auto"/>
        <w:jc w:val="both"/>
        <w:rPr>
          <w:sz w:val="24"/>
          <w:szCs w:val="24"/>
        </w:rPr>
      </w:pPr>
    </w:p>
    <w:p w14:paraId="05AE8AA1" w14:textId="77777777" w:rsidR="00BB534D" w:rsidRDefault="00B842B1">
      <w:pPr>
        <w:spacing w:before="0" w:line="240" w:lineRule="auto"/>
        <w:jc w:val="both"/>
        <w:rPr>
          <w:sz w:val="24"/>
          <w:szCs w:val="24"/>
        </w:rPr>
      </w:pPr>
      <w:r>
        <w:rPr>
          <w:sz w:val="24"/>
          <w:szCs w:val="24"/>
        </w:rPr>
        <w:t xml:space="preserve">El desempleo de las mujeres ha crecido también en términos absolutos, llegando a máximos históricos de 167,103 mujeres desempleadas de forma abierta a finales de 2019. Por otro lado, el 49.2% del total de mujeres en edad de trabajar se encuentran fuera del mercado laboral, una proporción que se ha reducido de forma importante desde 2018 (casi 10 </w:t>
      </w:r>
      <w:proofErr w:type="spellStart"/>
      <w:r>
        <w:rPr>
          <w:sz w:val="24"/>
          <w:szCs w:val="24"/>
        </w:rPr>
        <w:t>pp</w:t>
      </w:r>
      <w:proofErr w:type="spellEnd"/>
      <w:r>
        <w:rPr>
          <w:sz w:val="24"/>
          <w:szCs w:val="24"/>
        </w:rPr>
        <w:t xml:space="preserve">), llegando alcanzar niveles solo observados en 2012. Este incremento sustantivo de la participación de las mujeres en el mercado laboral se dio en un momento que no se presentó una ampliación de la cantidad de trabajo disponible, por lo que la tasa de desempleo y la ocupación femenina en la economía informal aumentaron, lo cual además evidencia la persistencia de desigualdades el mercado laboral.  </w:t>
      </w:r>
    </w:p>
    <w:p w14:paraId="05AE8AA2" w14:textId="77777777" w:rsidR="00BB534D" w:rsidRDefault="00BB534D">
      <w:pPr>
        <w:spacing w:before="0" w:line="240" w:lineRule="auto"/>
        <w:jc w:val="both"/>
        <w:rPr>
          <w:sz w:val="24"/>
          <w:szCs w:val="24"/>
        </w:rPr>
      </w:pPr>
    </w:p>
    <w:p w14:paraId="05AE8AA3" w14:textId="77777777" w:rsidR="00BB534D" w:rsidRDefault="00B842B1">
      <w:pPr>
        <w:spacing w:before="0" w:line="240" w:lineRule="auto"/>
        <w:jc w:val="both"/>
        <w:rPr>
          <w:sz w:val="24"/>
          <w:szCs w:val="24"/>
        </w:rPr>
      </w:pPr>
      <w:r>
        <w:rPr>
          <w:sz w:val="24"/>
          <w:szCs w:val="24"/>
        </w:rPr>
        <w:t>La adopción de medidas necesarias para encarar las bajas tasas de participación de las mujeres y el incremento de la brecha salarial entre hombres y mujeres han sido recomendadas en el Informe del Grupo de Trabajo sobre el Examen Periódico Universal.</w:t>
      </w:r>
      <w:r>
        <w:rPr>
          <w:sz w:val="24"/>
          <w:szCs w:val="24"/>
          <w:vertAlign w:val="superscript"/>
        </w:rPr>
        <w:footnoteReference w:id="32"/>
      </w:r>
      <w:r>
        <w:rPr>
          <w:sz w:val="24"/>
          <w:szCs w:val="24"/>
        </w:rPr>
        <w:t xml:space="preserve"> El Comité de la CEDAW también ha expresado preocupación sobre la persistencia de estereotipos de género discriminatorios, la persistencia de la segregación profesional y la concentración de mujeres en empleos poco remunerados, las elevadas tasas de desempleo y empleo por cuenta propia entre las mujeres, y la excesiva representación de las mujeres en el sector informal.</w:t>
      </w:r>
      <w:r>
        <w:rPr>
          <w:sz w:val="24"/>
          <w:szCs w:val="24"/>
          <w:vertAlign w:val="superscript"/>
        </w:rPr>
        <w:footnoteReference w:id="33"/>
      </w:r>
    </w:p>
    <w:p w14:paraId="05AE8AA4" w14:textId="77777777" w:rsidR="00BB534D" w:rsidRDefault="00BB534D">
      <w:pPr>
        <w:spacing w:before="0" w:line="240" w:lineRule="auto"/>
        <w:jc w:val="both"/>
        <w:rPr>
          <w:sz w:val="24"/>
          <w:szCs w:val="24"/>
        </w:rPr>
      </w:pPr>
    </w:p>
    <w:p w14:paraId="05AE8AA5" w14:textId="77777777" w:rsidR="00BB534D" w:rsidRDefault="00B842B1">
      <w:pPr>
        <w:spacing w:before="0" w:line="240" w:lineRule="auto"/>
        <w:jc w:val="both"/>
        <w:rPr>
          <w:sz w:val="24"/>
          <w:szCs w:val="24"/>
        </w:rPr>
      </w:pPr>
      <w:r>
        <w:rPr>
          <w:sz w:val="24"/>
          <w:szCs w:val="24"/>
        </w:rPr>
        <w:t>Según datos de la ECE del INEC, las personas jóvenes (15 a 24 años), por su parte, registraron en el trimestre de setiembre, octubre, noviembre 2021, una tasa de desempleo de 35.8%, comparada con una tasa de desempleo de 11,0% para las personas de 25 años más; al igual que en el caso de hombres y mujeres, la brecha en el desempleo entre jóvenes y adultos es considerablemente importante. Adicionalmente, hay una proporción importante de las personas jóvenes entre 15 y 24 años que no trabaja de manera remunerada ni estudia (20,7% para 2020, OCDE), lo que se corresponde aproximadamente con166 mil personas de ese grupo de la población. La exclusión de las personas jóvenes del mercado laboral o el estancamiento en empleos de baja productividad son barreras para su acceso a derechos y al bienestar. Lo mismo sucede con las disparidades de género en materia laboral, que se traducen en importantes pérdidas para el país</w:t>
      </w:r>
      <w:r>
        <w:rPr>
          <w:sz w:val="24"/>
          <w:szCs w:val="24"/>
          <w:vertAlign w:val="superscript"/>
        </w:rPr>
        <w:footnoteReference w:id="34"/>
      </w:r>
      <w:r>
        <w:rPr>
          <w:sz w:val="24"/>
          <w:szCs w:val="24"/>
        </w:rPr>
        <w:t>.</w:t>
      </w:r>
    </w:p>
    <w:p w14:paraId="05AE8AA6" w14:textId="77777777" w:rsidR="00BB534D" w:rsidRDefault="00BB534D">
      <w:pPr>
        <w:spacing w:before="0" w:line="240" w:lineRule="auto"/>
        <w:jc w:val="both"/>
        <w:rPr>
          <w:sz w:val="24"/>
          <w:szCs w:val="24"/>
        </w:rPr>
      </w:pPr>
    </w:p>
    <w:p w14:paraId="05AE8AA7" w14:textId="77777777" w:rsidR="00BB534D" w:rsidRDefault="00B842B1">
      <w:pPr>
        <w:spacing w:before="0" w:line="240" w:lineRule="auto"/>
        <w:jc w:val="both"/>
        <w:rPr>
          <w:color w:val="FF0000"/>
          <w:sz w:val="24"/>
          <w:szCs w:val="24"/>
        </w:rPr>
      </w:pPr>
      <w:r>
        <w:rPr>
          <w:sz w:val="24"/>
          <w:szCs w:val="24"/>
        </w:rPr>
        <w:t>La insuficiente generación de puestos de trabajo se ha reflejado en el tamaño de la población ocupada con empleo informal respecto al total de la ocupación, para el III trimestre 2021, con cifras del INEC, cerca de la mitad de la población ocupada (44.2%), es decir, casi un millón de personas se encuentra en empleo informal. Para finales de 2019, previo a la pandemia, la tasa de informalidad llegó a ser de 46.5%, deteniendo la tendencia creciente a la informalización de la ocupación observada en años anteriores, la cual aumentó en cerca de 11 puntos porcentuales en 8 años, desde una tasa del 35.7% en el IV trimestre de 2011. El máximo histórico se alcanzó en el I trimestre de 2020 (47.1%).</w:t>
      </w:r>
    </w:p>
    <w:p w14:paraId="05AE8AA8" w14:textId="77777777" w:rsidR="00BB534D" w:rsidRDefault="00BB534D">
      <w:pPr>
        <w:spacing w:before="0" w:line="240" w:lineRule="auto"/>
        <w:jc w:val="both"/>
        <w:rPr>
          <w:sz w:val="24"/>
          <w:szCs w:val="24"/>
        </w:rPr>
      </w:pPr>
    </w:p>
    <w:p w14:paraId="05AE8AA9" w14:textId="77777777" w:rsidR="00BB534D" w:rsidRDefault="00B842B1">
      <w:pPr>
        <w:spacing w:before="0" w:line="240" w:lineRule="auto"/>
        <w:jc w:val="both"/>
        <w:rPr>
          <w:sz w:val="24"/>
          <w:szCs w:val="24"/>
          <w:shd w:val="clear" w:color="auto" w:fill="FF9900"/>
        </w:rPr>
      </w:pPr>
      <w:r>
        <w:rPr>
          <w:sz w:val="24"/>
          <w:szCs w:val="24"/>
        </w:rPr>
        <w:t>En cuanto a la estructura e incidencia del empleo informal entre hombres y mujeres, podemos apreciar claras diferencias. Del total de población con empleo informal los hombres representan cerca del 60% y las mujeres el 40% al cierre de 2019. Lo anterior guarda estrecha relación con la estructura de la ocupación total, en la que los hombres representan también una proporción mayor que las mujeres. Sin embargo, al analizar la incidencia de la informalidad dentro de cada uno de los grupos poblacionales, observamos como en el caso de las mujeres, la incidencia es mayor que la de los hombres (48.4% vs 45.3% respectivamente).</w:t>
      </w:r>
    </w:p>
    <w:p w14:paraId="05AE8AAA" w14:textId="77777777" w:rsidR="00BB534D" w:rsidRDefault="00BB534D">
      <w:pPr>
        <w:spacing w:before="0" w:line="240" w:lineRule="auto"/>
        <w:jc w:val="both"/>
        <w:rPr>
          <w:sz w:val="24"/>
          <w:szCs w:val="24"/>
        </w:rPr>
      </w:pPr>
    </w:p>
    <w:p w14:paraId="05AE8AAB" w14:textId="77777777" w:rsidR="00BB534D" w:rsidRDefault="00B842B1">
      <w:pPr>
        <w:spacing w:before="0" w:line="240" w:lineRule="auto"/>
        <w:jc w:val="both"/>
        <w:rPr>
          <w:sz w:val="24"/>
          <w:szCs w:val="24"/>
        </w:rPr>
      </w:pPr>
      <w:r>
        <w:rPr>
          <w:sz w:val="24"/>
          <w:szCs w:val="24"/>
        </w:rPr>
        <w:t xml:space="preserve">Las estadísticas oficiales del segundo trimestre de 2020 dan cuenta del impacto en el mercado de trabajo originado por la crisis económica antes descrita en el marco de la pandemia de la COVID-19. Según la Encuesta Continua de Empleo (ECE) del INEC, el impacto más fuerte en el mercado de trabajo en 2020 fue en el segundo trimestre, en el que el total de población ocupada se contrajo significativamente en 20.1% respecto al mismo trimestre de 2019. Como consecuencia de esta estrepitosa caída, la cantidad de personas ocupadas entre en IV trimestre 2019 y el trimestre de mayo-junio-julio 2021, la tasa de ocupación total cayó en 11.9 p.p., para situarse en su punto histórico más bajo (43,1%) desde que se realiza la ECE (2010). El impacto en la tasa de ocupación masculina y femenina fue similar, una caída en 12.7 p.p. y 11.2 p.p. respectivamente, para ubicar dicho indicador en 55.1% para los hombres y 31,1% para las mujeres. </w:t>
      </w:r>
    </w:p>
    <w:p w14:paraId="05AE8AAC" w14:textId="77777777" w:rsidR="00BB534D" w:rsidRDefault="00BB534D">
      <w:pPr>
        <w:spacing w:before="0" w:line="240" w:lineRule="auto"/>
        <w:jc w:val="both"/>
        <w:rPr>
          <w:sz w:val="24"/>
          <w:szCs w:val="24"/>
        </w:rPr>
      </w:pPr>
    </w:p>
    <w:p w14:paraId="05AE8AAD" w14:textId="77777777" w:rsidR="00BB534D" w:rsidRDefault="00B842B1">
      <w:pPr>
        <w:spacing w:before="0" w:line="240" w:lineRule="auto"/>
        <w:jc w:val="both"/>
        <w:rPr>
          <w:sz w:val="24"/>
          <w:szCs w:val="24"/>
        </w:rPr>
      </w:pPr>
      <w:r>
        <w:rPr>
          <w:sz w:val="24"/>
          <w:szCs w:val="24"/>
        </w:rPr>
        <w:t xml:space="preserve">Las cinco ramas de actividad económica más afectadas por la pérdida de ocupación concentran más del 53% de la ocupación femenina.  En el caso de los hombres, ha sido el sector de construcción el que refleja la mayor pérdida de empleo masculino en el segundo trimestre del 2020, con 54.5 mil ocupados menos y una caída porcentual del 35.2% respecto del mismo período del año anterior. En este caso, también los números de hombres ocupados en la construcción al inicio del 2021 (I trimestre) siguen siendo menores al del primer trimestre de 2020 (6 mil ocupados menos). </w:t>
      </w:r>
    </w:p>
    <w:p w14:paraId="05AE8AAE" w14:textId="77777777" w:rsidR="00BB534D" w:rsidRDefault="00BB534D">
      <w:pPr>
        <w:spacing w:before="0" w:line="240" w:lineRule="auto"/>
        <w:jc w:val="both"/>
        <w:rPr>
          <w:sz w:val="24"/>
          <w:szCs w:val="24"/>
        </w:rPr>
      </w:pPr>
    </w:p>
    <w:p w14:paraId="05AE8AAF" w14:textId="77777777" w:rsidR="00BB534D" w:rsidRDefault="00B842B1">
      <w:pPr>
        <w:spacing w:before="0" w:line="240" w:lineRule="auto"/>
        <w:jc w:val="both"/>
        <w:rPr>
          <w:sz w:val="24"/>
          <w:szCs w:val="24"/>
        </w:rPr>
      </w:pPr>
      <w:r>
        <w:rPr>
          <w:sz w:val="24"/>
          <w:szCs w:val="24"/>
        </w:rPr>
        <w:t xml:space="preserve">Adicionalmente, tanto la caída absoluta como relativa de la ocupación ha sido sustancialmente mayor entre las y los trabajadores con empleo informal y dentro de estas personas particularmente las mujeres. Siete de cada diez empleos perdidos en el segundo trimestre de 2020 fueron informales. En total en ese trimestre se perdieron más de 317 mil empleos informales (con respecto del mismo periodo de 2019), de los cuales cerca de 187 mil fueron de mujeres, lo que les significó una pérdida de casi el 45% de los empleos, el doble que lo registrado por los hombres el (22%). Cabe mencionar que a partir de julio-agosto-setiembre 2020 la tasa de ocupación comienza a recuperarse, hasta llegar a ser un 51,3% en setiembre-octubre-noviembre 2021, aún sin alcanzar los niveles </w:t>
      </w:r>
      <w:proofErr w:type="spellStart"/>
      <w:r>
        <w:rPr>
          <w:sz w:val="24"/>
          <w:szCs w:val="24"/>
        </w:rPr>
        <w:t>pre-pandemia</w:t>
      </w:r>
      <w:proofErr w:type="spellEnd"/>
      <w:r>
        <w:rPr>
          <w:sz w:val="24"/>
          <w:szCs w:val="24"/>
        </w:rPr>
        <w:t>.</w:t>
      </w:r>
    </w:p>
    <w:p w14:paraId="05AE8AB0" w14:textId="77777777" w:rsidR="00BB534D" w:rsidRDefault="00BB534D">
      <w:pPr>
        <w:spacing w:before="0" w:line="240" w:lineRule="auto"/>
        <w:jc w:val="both"/>
        <w:rPr>
          <w:sz w:val="24"/>
          <w:szCs w:val="24"/>
        </w:rPr>
      </w:pPr>
    </w:p>
    <w:p w14:paraId="05AE8AB1" w14:textId="77777777" w:rsidR="00BB534D" w:rsidRDefault="00B842B1">
      <w:pPr>
        <w:pStyle w:val="Heading3"/>
        <w:spacing w:before="320" w:after="80" w:line="276" w:lineRule="auto"/>
        <w:jc w:val="both"/>
        <w:rPr>
          <w:color w:val="000000"/>
        </w:rPr>
      </w:pPr>
      <w:r>
        <w:rPr>
          <w:color w:val="000000"/>
        </w:rPr>
        <w:t>Entre los impactos desproporcionado sobre las mujeres está el aumento en el trabajo de cuidados no remunerado al presentarse cierres de centros educativos y reducción</w:t>
      </w:r>
      <w:r>
        <w:rPr>
          <w:i/>
          <w:color w:val="4A86E8"/>
        </w:rPr>
        <w:t xml:space="preserve"> </w:t>
      </w:r>
      <w:r>
        <w:rPr>
          <w:color w:val="000000"/>
        </w:rPr>
        <w:t>de opciones de servicios de cuidados. Además, la tasa de desempleo femenina llegó a alcanzar un 30,4% en abril-mayo-junio 2020 (un aumento de 13,7 p.p. respecto al último trimestre 2019), mientras que la tasa de desempleo masculina se estimó en 20% (un aumento de 10,4 p.p.). También es importante mencionar que hubo una salida importante de mujeres de la fuerza laboral: al segundo trimestre de 2020 la fuerza de trabajo femenina decreció en 110 mil personas, mientras que la masculina disminuyó en 72 mil personas (INEC, ECE II-2020).</w:t>
      </w:r>
    </w:p>
    <w:p w14:paraId="05AE8AB2" w14:textId="77777777" w:rsidR="00BB534D" w:rsidRDefault="00B842B1">
      <w:pPr>
        <w:pStyle w:val="Heading3"/>
        <w:spacing w:before="320" w:after="80" w:line="240" w:lineRule="auto"/>
        <w:jc w:val="both"/>
        <w:rPr>
          <w:i/>
          <w:color w:val="4A86E8"/>
        </w:rPr>
      </w:pPr>
      <w:r>
        <w:rPr>
          <w:i/>
          <w:color w:val="4A86E8"/>
        </w:rPr>
        <w:t>Mirando hacia el futuro</w:t>
      </w:r>
    </w:p>
    <w:p w14:paraId="05AE8AB3" w14:textId="77777777" w:rsidR="00BB534D" w:rsidRDefault="00BB534D">
      <w:pPr>
        <w:spacing w:before="0" w:line="240" w:lineRule="auto"/>
        <w:jc w:val="both"/>
        <w:rPr>
          <w:sz w:val="24"/>
          <w:szCs w:val="24"/>
        </w:rPr>
      </w:pPr>
    </w:p>
    <w:p w14:paraId="05AE8AB4" w14:textId="77777777" w:rsidR="00BB534D" w:rsidRDefault="00B842B1">
      <w:pPr>
        <w:numPr>
          <w:ilvl w:val="0"/>
          <w:numId w:val="15"/>
        </w:numPr>
        <w:spacing w:before="0" w:line="240" w:lineRule="auto"/>
        <w:jc w:val="both"/>
        <w:rPr>
          <w:sz w:val="24"/>
          <w:szCs w:val="24"/>
        </w:rPr>
      </w:pPr>
      <w:r>
        <w:rPr>
          <w:sz w:val="24"/>
          <w:szCs w:val="24"/>
        </w:rPr>
        <w:t xml:space="preserve">Algunos de los indicadores disponibles, como el Atlas de Desarrollo Humano cantonal, el Índice de Gestión Municipal, así como el Índice de Bienestar de la Niñez y Adolescencia Cantonal, reflejan la disparidad existente entre algunas de las regiones de Costa Rica, </w:t>
      </w:r>
      <w:proofErr w:type="spellStart"/>
      <w:r>
        <w:rPr>
          <w:sz w:val="24"/>
          <w:szCs w:val="24"/>
        </w:rPr>
        <w:t>sobretodo</w:t>
      </w:r>
      <w:proofErr w:type="spellEnd"/>
      <w:r>
        <w:rPr>
          <w:sz w:val="24"/>
          <w:szCs w:val="24"/>
        </w:rPr>
        <w:t xml:space="preserve"> en cantones fronterizos y rurales. Los retos son muchos, por lo que enfocarse en el desarrollo de políticas sociales y económicas inclusivas es de trascendental importancia, considerando las diferencias territoriales, la atención a las causas de la desigualdad local, priorizando las zonas fronterizas, costeras y rurales, la atención a aspectos ambientales que reduzcan la vulnerabilidad y la necesidad de un enfoque económico de desarrollo que atienda factores de exclusión y desigualdad. </w:t>
      </w:r>
    </w:p>
    <w:p w14:paraId="05AE8AB5" w14:textId="77777777" w:rsidR="00BB534D" w:rsidRDefault="00B842B1">
      <w:pPr>
        <w:spacing w:before="0" w:line="240" w:lineRule="auto"/>
        <w:ind w:left="720"/>
        <w:jc w:val="both"/>
        <w:rPr>
          <w:sz w:val="24"/>
          <w:szCs w:val="24"/>
        </w:rPr>
      </w:pPr>
      <w:r>
        <w:rPr>
          <w:sz w:val="24"/>
          <w:szCs w:val="24"/>
        </w:rPr>
        <w:t>Un ejemplo de esta heterogeneidad se presenta en los pueblos indígenas, cuyos modelos económicos se encuentran hoy en un proceso importante de reconocimiento por el Estado respecto a los ya establecidos.</w:t>
      </w:r>
      <w:r>
        <w:rPr>
          <w:sz w:val="24"/>
          <w:szCs w:val="24"/>
          <w:vertAlign w:val="superscript"/>
        </w:rPr>
        <w:footnoteReference w:id="35"/>
      </w:r>
      <w:r>
        <w:rPr>
          <w:sz w:val="24"/>
          <w:szCs w:val="24"/>
        </w:rPr>
        <w:t xml:space="preserve"> Esto representa un reto institucional de poder involucrarse en los distintos sistemas de mercado existentes y de poder potencializarlos para mayor reconocimiento nacional.</w:t>
      </w:r>
    </w:p>
    <w:p w14:paraId="05AE8AB6" w14:textId="77777777" w:rsidR="00BB534D" w:rsidRDefault="00BB534D">
      <w:pPr>
        <w:spacing w:before="0" w:line="276" w:lineRule="auto"/>
        <w:ind w:left="720"/>
        <w:rPr>
          <w:sz w:val="24"/>
          <w:szCs w:val="24"/>
        </w:rPr>
      </w:pPr>
    </w:p>
    <w:p w14:paraId="05AE8AB7" w14:textId="77777777" w:rsidR="00BB534D" w:rsidRDefault="00B842B1">
      <w:pPr>
        <w:numPr>
          <w:ilvl w:val="0"/>
          <w:numId w:val="15"/>
        </w:numPr>
        <w:spacing w:before="0" w:line="240" w:lineRule="auto"/>
        <w:jc w:val="both"/>
        <w:rPr>
          <w:sz w:val="24"/>
          <w:szCs w:val="24"/>
        </w:rPr>
      </w:pPr>
      <w:r>
        <w:rPr>
          <w:sz w:val="24"/>
          <w:szCs w:val="24"/>
        </w:rPr>
        <w:t xml:space="preserve">Es necesario promover acciones para reducir las brechas y desigualdades que enfrentan las mujeres en el mercado laboral y en el desarrollo de emprendimientos exitosos, lo cual incluye modificar legislación y normas discriminatorias, promover que el sector privado implemente acciones a favor de la igualdad de género, impulsar la inclusión digital y financiera de las mujeres, promover procesos de compras públicas y privadas sensibles al género y realizar acciones para reconocer, redistribuir y reducir el trabajo de cuidados, entre otras. </w:t>
      </w:r>
    </w:p>
    <w:p w14:paraId="05AE8AB8" w14:textId="77777777" w:rsidR="00BB534D" w:rsidRDefault="00B842B1">
      <w:pPr>
        <w:spacing w:before="0" w:line="240" w:lineRule="auto"/>
        <w:ind w:left="720"/>
        <w:jc w:val="both"/>
        <w:rPr>
          <w:sz w:val="24"/>
          <w:szCs w:val="24"/>
        </w:rPr>
      </w:pPr>
      <w:r>
        <w:rPr>
          <w:sz w:val="24"/>
          <w:szCs w:val="24"/>
        </w:rPr>
        <w:t>Como menciona un documento reciente de ONU Mujeres y CEPAL sobre la importancia de construir sistemas integrales de cuidados en el proceso de recuperación de la pandemia del COVID-19, el rol de cuidadoras “naturales” que las sociedades asignan casi en exclusividad a mujeres y niñas, genera una sobrecarga de trabajo. ¨Esto limita sus oportunidades y elecciones, socavando sus derechos y convirtiéndose en un obstáculo fundamental para la igualdad de género y el empoderamiento y la autonomía de las mujeres¨.</w:t>
      </w:r>
      <w:r>
        <w:rPr>
          <w:sz w:val="24"/>
          <w:szCs w:val="24"/>
          <w:vertAlign w:val="superscript"/>
        </w:rPr>
        <w:footnoteReference w:id="36"/>
      </w:r>
    </w:p>
    <w:p w14:paraId="05AE8AB9" w14:textId="77777777" w:rsidR="00BB534D" w:rsidRDefault="00BB534D">
      <w:pPr>
        <w:spacing w:before="0" w:line="240" w:lineRule="auto"/>
        <w:jc w:val="both"/>
        <w:rPr>
          <w:sz w:val="24"/>
          <w:szCs w:val="24"/>
        </w:rPr>
      </w:pPr>
    </w:p>
    <w:p w14:paraId="05AE8ABA" w14:textId="77777777" w:rsidR="00BB534D" w:rsidRDefault="00B842B1">
      <w:pPr>
        <w:numPr>
          <w:ilvl w:val="0"/>
          <w:numId w:val="15"/>
        </w:numPr>
        <w:spacing w:before="0" w:line="240" w:lineRule="auto"/>
        <w:jc w:val="both"/>
        <w:rPr>
          <w:rFonts w:ascii="Calibri" w:eastAsia="Calibri" w:hAnsi="Calibri" w:cs="Calibri"/>
          <w:sz w:val="24"/>
          <w:szCs w:val="24"/>
        </w:rPr>
      </w:pPr>
      <w:r>
        <w:rPr>
          <w:sz w:val="24"/>
          <w:szCs w:val="24"/>
        </w:rPr>
        <w:t xml:space="preserve">La crisis sanitaria y socioeconómica generada por la pandemia de la COVID19 expone con especial crudeza los problemas estructurales en materia de desarrollo humano en Costa Rica. </w:t>
      </w:r>
      <w:r>
        <w:rPr>
          <w:sz w:val="24"/>
          <w:szCs w:val="24"/>
          <w:highlight w:val="white"/>
        </w:rPr>
        <w:t>La distribución del valor generado en la economía, entre el factor trabajo y el capital, dada la existencia de la informalidad en las empresas, de empleos precarios con salarios que no alcanzan el salario mínimo y prestaciones bajas o inexistentes, explican en buena medida la creciente desigualdad social y la dificultad en reducir la pobreza, especialmente en grupos en condición de vulnerabilidad como las personas migrantes,</w:t>
      </w:r>
      <w:r>
        <w:rPr>
          <w:sz w:val="24"/>
          <w:szCs w:val="24"/>
          <w:highlight w:val="white"/>
          <w:vertAlign w:val="superscript"/>
        </w:rPr>
        <w:footnoteReference w:id="37"/>
      </w:r>
      <w:r>
        <w:rPr>
          <w:sz w:val="24"/>
          <w:szCs w:val="24"/>
          <w:highlight w:val="white"/>
        </w:rPr>
        <w:t xml:space="preserve"> indígenas, personas con discapacidad y afrodescendientes</w:t>
      </w:r>
    </w:p>
    <w:p w14:paraId="05AE8ABB" w14:textId="77777777" w:rsidR="00BB534D" w:rsidRDefault="00BB534D">
      <w:pPr>
        <w:spacing w:before="0" w:line="240" w:lineRule="auto"/>
        <w:jc w:val="both"/>
        <w:rPr>
          <w:sz w:val="24"/>
          <w:szCs w:val="24"/>
          <w:highlight w:val="white"/>
        </w:rPr>
      </w:pPr>
    </w:p>
    <w:p w14:paraId="05AE8ABC" w14:textId="77777777" w:rsidR="00BB534D" w:rsidRDefault="00B842B1">
      <w:pPr>
        <w:numPr>
          <w:ilvl w:val="0"/>
          <w:numId w:val="15"/>
        </w:numPr>
        <w:spacing w:before="0" w:line="240" w:lineRule="auto"/>
        <w:jc w:val="both"/>
        <w:rPr>
          <w:sz w:val="24"/>
          <w:szCs w:val="24"/>
        </w:rPr>
      </w:pPr>
      <w:r>
        <w:rPr>
          <w:sz w:val="24"/>
          <w:szCs w:val="24"/>
        </w:rPr>
        <w:t>Reforzar el compromiso con el uso sostenible de los recursos naturales y la preservación de la biodiversidad en paisajes productivos rurales, urbanos y marino-costeros, con una perspectiva interseccional de género, debe ser la base para aspirar a mejores condiciones en términos de crecimiento y empleo.</w:t>
      </w:r>
    </w:p>
    <w:p w14:paraId="05AE8ABD" w14:textId="77777777" w:rsidR="00BB534D" w:rsidRDefault="00BB534D">
      <w:pPr>
        <w:spacing w:before="0" w:line="240" w:lineRule="auto"/>
        <w:jc w:val="both"/>
        <w:rPr>
          <w:sz w:val="24"/>
          <w:szCs w:val="24"/>
          <w:highlight w:val="white"/>
        </w:rPr>
      </w:pPr>
    </w:p>
    <w:p w14:paraId="05AE8ABE" w14:textId="77777777" w:rsidR="00BB534D" w:rsidRDefault="00B842B1">
      <w:pPr>
        <w:numPr>
          <w:ilvl w:val="0"/>
          <w:numId w:val="15"/>
        </w:numPr>
        <w:spacing w:before="0" w:line="240" w:lineRule="auto"/>
        <w:jc w:val="both"/>
        <w:rPr>
          <w:sz w:val="24"/>
          <w:szCs w:val="24"/>
        </w:rPr>
      </w:pPr>
      <w:r>
        <w:rPr>
          <w:sz w:val="24"/>
          <w:szCs w:val="24"/>
        </w:rPr>
        <w:t>Para ello, Costa Rica aspira a consolidar una estrategia de transición hacia una economía verde</w:t>
      </w:r>
      <w:r>
        <w:rPr>
          <w:sz w:val="24"/>
          <w:szCs w:val="24"/>
          <w:vertAlign w:val="superscript"/>
        </w:rPr>
        <w:footnoteReference w:id="38"/>
      </w:r>
      <w:r>
        <w:rPr>
          <w:sz w:val="24"/>
          <w:szCs w:val="24"/>
        </w:rPr>
        <w:t xml:space="preserve"> e inclusiva que promueva la implementación de soluciones basadas en la naturaleza con igualdad de género e integre la dimensión social y económica como una fórmula innovadora para una mejor recuperación posterior a la crisis del COVID-19. La determinación de avanzar hacia esa nueva economía más verde e inclusiva se ve reflejada en los principales instrumentos de planificación del desarrollo nacional, como el Plan Estratégico Nacional, el Plan Nacional de Descarbonización y la Estrategia Nacional de Bioeconomía.</w:t>
      </w:r>
    </w:p>
    <w:p w14:paraId="05AE8ABF" w14:textId="77777777" w:rsidR="00BB534D" w:rsidRDefault="00BB534D">
      <w:pPr>
        <w:spacing w:before="0" w:line="240" w:lineRule="auto"/>
        <w:jc w:val="both"/>
        <w:rPr>
          <w:sz w:val="24"/>
          <w:szCs w:val="24"/>
        </w:rPr>
      </w:pPr>
    </w:p>
    <w:p w14:paraId="05AE8AC0" w14:textId="77777777" w:rsidR="00BB534D" w:rsidRDefault="00B842B1">
      <w:pPr>
        <w:numPr>
          <w:ilvl w:val="0"/>
          <w:numId w:val="15"/>
        </w:numPr>
        <w:spacing w:before="0" w:line="240" w:lineRule="auto"/>
        <w:jc w:val="both"/>
        <w:rPr>
          <w:rFonts w:ascii="Calibri" w:eastAsia="Calibri" w:hAnsi="Calibri" w:cs="Calibri"/>
          <w:sz w:val="24"/>
          <w:szCs w:val="24"/>
        </w:rPr>
      </w:pPr>
      <w:r>
        <w:rPr>
          <w:sz w:val="24"/>
          <w:szCs w:val="24"/>
        </w:rPr>
        <w:t>Para que la crisis actual no se agrave aún más y se torne una crisis sistémica, es imperativo abordar la situación actual y sus implicaciones, pero también es esencial afrontar los rezagos de larga data en el estilo de desarrollo nacional, como por ejemplo promover una mayor conexión entre el crecimiento económico y la generación de empleos, mayor conexión entre el crecimiento exportador y el crecimiento de la actividad económica, una transformación productiva hacia una economía más verde, la incorporación adecuada de la transformación digital, la reducción de brechas de género, la economía de los cuidados, y para ello es fundamental contar con políticas de desarrollo productivo en el marco de una agenda de reconstrucción en favor del desarrollo humano, inclusivo, sostenible y con trabajo decente para todas las personas.</w:t>
      </w:r>
    </w:p>
    <w:p w14:paraId="05AE8AC1" w14:textId="77777777" w:rsidR="00BB534D" w:rsidRDefault="00BB534D">
      <w:pPr>
        <w:spacing w:before="0" w:line="240" w:lineRule="auto"/>
        <w:ind w:left="720"/>
        <w:jc w:val="both"/>
        <w:rPr>
          <w:sz w:val="24"/>
          <w:szCs w:val="24"/>
        </w:rPr>
      </w:pPr>
    </w:p>
    <w:p w14:paraId="05AE8AC2" w14:textId="77777777" w:rsidR="00BB534D" w:rsidRDefault="00B842B1">
      <w:pPr>
        <w:numPr>
          <w:ilvl w:val="0"/>
          <w:numId w:val="15"/>
        </w:numPr>
        <w:spacing w:before="0" w:line="240" w:lineRule="auto"/>
        <w:jc w:val="both"/>
        <w:rPr>
          <w:sz w:val="24"/>
          <w:szCs w:val="24"/>
        </w:rPr>
      </w:pPr>
      <w:r>
        <w:rPr>
          <w:sz w:val="24"/>
          <w:szCs w:val="24"/>
        </w:rPr>
        <w:t xml:space="preserve">El alto nivel de empleo informal afecta directamente al sistema de protección social y la cobertura de servicios de salud y por lo tanto a la sostenibilidad del Seguro Social, uno de los pilares fundamentales de la democracia costarricense. Al respecto, es necesario mencionar que algunos sectores como el artístico y cultural, se encuentran, de manera general, en una situación de vulnerabilidad social y económica debido a una prevalencia histórica del trabajo informal en el sector. En el sector cultural son comunes las relaciones laborales basadas en tiempos indeterminados, empleos interrumpidos, contrataciones por tiempo limitado, horarios flexibles e ingresos inconstantes, lo que dificulta el acceso de las personas trabajadoras de la cultura a la seguridad social y compromete su estabilidad económica. </w:t>
      </w:r>
    </w:p>
    <w:p w14:paraId="05AE8AC3" w14:textId="77777777" w:rsidR="00BB534D" w:rsidRDefault="00BB534D">
      <w:pPr>
        <w:spacing w:before="0" w:line="240" w:lineRule="auto"/>
        <w:ind w:left="720"/>
        <w:jc w:val="both"/>
        <w:rPr>
          <w:sz w:val="24"/>
          <w:szCs w:val="24"/>
        </w:rPr>
      </w:pPr>
    </w:p>
    <w:p w14:paraId="05AE8AC4" w14:textId="77777777" w:rsidR="00BB534D" w:rsidRDefault="00B842B1">
      <w:pPr>
        <w:numPr>
          <w:ilvl w:val="0"/>
          <w:numId w:val="15"/>
        </w:numPr>
        <w:spacing w:before="0" w:line="240" w:lineRule="auto"/>
        <w:jc w:val="both"/>
        <w:rPr>
          <w:sz w:val="24"/>
          <w:szCs w:val="24"/>
        </w:rPr>
      </w:pPr>
      <w:r>
        <w:rPr>
          <w:sz w:val="24"/>
          <w:szCs w:val="24"/>
        </w:rPr>
        <w:t xml:space="preserve">La crisis económica derivada de la COVID-19 está repercutiendo adversamente en el mercado de trabajo costarricense en tres dimensiones: 1) la cantidad de empleo disponible, 2) la calidad del trabajo y, 3) los efectos en los grupos específicos en condición de vulnerabilidad frente a las consecuencias adversas en el mercado laboral. El efecto lejos de ser homogéneo entre sectores económicos y grupos poblacionales está siendo particularmente profundo entre las poblaciones en mayor situación de vulnerabilidad: las mujeres y las personas trabajadoras con empleo informal. </w:t>
      </w:r>
    </w:p>
    <w:p w14:paraId="05AE8AC5" w14:textId="77777777" w:rsidR="00BB534D" w:rsidRDefault="00BB534D">
      <w:pPr>
        <w:spacing w:before="0" w:line="240" w:lineRule="auto"/>
        <w:ind w:left="720"/>
        <w:jc w:val="both"/>
        <w:rPr>
          <w:sz w:val="24"/>
          <w:szCs w:val="24"/>
        </w:rPr>
      </w:pPr>
    </w:p>
    <w:p w14:paraId="05AE8AC6" w14:textId="77777777" w:rsidR="00BB534D" w:rsidRDefault="00B842B1">
      <w:pPr>
        <w:numPr>
          <w:ilvl w:val="0"/>
          <w:numId w:val="15"/>
        </w:numPr>
        <w:spacing w:before="0" w:line="240" w:lineRule="auto"/>
        <w:jc w:val="both"/>
        <w:rPr>
          <w:sz w:val="24"/>
          <w:szCs w:val="24"/>
        </w:rPr>
      </w:pPr>
      <w:r>
        <w:rPr>
          <w:sz w:val="24"/>
          <w:szCs w:val="24"/>
        </w:rPr>
        <w:t xml:space="preserve">En los procesos de transformación económica, los mercados de trabajo deberían jugar un rol central como transmisores de los beneficios del crecimiento económico y la mejora de la productividad hacia el progreso social. Pero ello no sucede de forma automática. Para procurar una transformación económica inclusiva, sostenible y rica en empleo decente, es imprescindible abordar las disparidades de género, territoriales, intersectoriales también presente en el mercado de trabajo. Para ello, son indispensables instituciones del mercado de trabajo sólidas y políticas de empleo (entre ellas el desarrollo de las competencias laborales) integradas y articuladas con las políticas de desarrollo y transformación productiva, con enfoque en la desconcentración productiva y su diversificación territorial.  </w:t>
      </w:r>
    </w:p>
    <w:p w14:paraId="05AE8AC7" w14:textId="77777777" w:rsidR="00BB534D" w:rsidRDefault="00BB534D">
      <w:pPr>
        <w:pBdr>
          <w:top w:val="nil"/>
          <w:left w:val="nil"/>
          <w:bottom w:val="nil"/>
          <w:right w:val="nil"/>
          <w:between w:val="nil"/>
        </w:pBdr>
        <w:rPr>
          <w:sz w:val="24"/>
          <w:szCs w:val="24"/>
        </w:rPr>
      </w:pPr>
    </w:p>
    <w:p w14:paraId="05AE8AC8" w14:textId="77777777" w:rsidR="00BB534D" w:rsidRDefault="00BB534D">
      <w:pPr>
        <w:pBdr>
          <w:top w:val="nil"/>
          <w:left w:val="nil"/>
          <w:bottom w:val="nil"/>
          <w:right w:val="nil"/>
          <w:between w:val="nil"/>
        </w:pBdr>
      </w:pPr>
    </w:p>
    <w:p w14:paraId="05AE8AC9" w14:textId="77777777" w:rsidR="00BB534D" w:rsidRDefault="00BB534D">
      <w:pPr>
        <w:pBdr>
          <w:top w:val="nil"/>
          <w:left w:val="nil"/>
          <w:bottom w:val="nil"/>
          <w:right w:val="nil"/>
          <w:between w:val="nil"/>
        </w:pBdr>
      </w:pPr>
    </w:p>
    <w:p w14:paraId="05AE8ACA" w14:textId="77777777" w:rsidR="00BB534D" w:rsidRDefault="00BB534D">
      <w:pPr>
        <w:pBdr>
          <w:top w:val="nil"/>
          <w:left w:val="nil"/>
          <w:bottom w:val="nil"/>
          <w:right w:val="nil"/>
          <w:between w:val="nil"/>
        </w:pBdr>
      </w:pPr>
    </w:p>
    <w:p w14:paraId="05AE8ACB" w14:textId="77777777" w:rsidR="00BB534D" w:rsidRDefault="00BB534D">
      <w:pPr>
        <w:pBdr>
          <w:top w:val="nil"/>
          <w:left w:val="nil"/>
          <w:bottom w:val="nil"/>
          <w:right w:val="nil"/>
          <w:between w:val="nil"/>
        </w:pBdr>
      </w:pPr>
    </w:p>
    <w:p w14:paraId="05AE8ACC" w14:textId="77777777" w:rsidR="00BB534D" w:rsidRDefault="00BB534D">
      <w:pPr>
        <w:pBdr>
          <w:top w:val="nil"/>
          <w:left w:val="nil"/>
          <w:bottom w:val="nil"/>
          <w:right w:val="nil"/>
          <w:between w:val="nil"/>
        </w:pBdr>
      </w:pPr>
    </w:p>
    <w:p w14:paraId="05AE8ACD" w14:textId="77777777" w:rsidR="00BB534D" w:rsidRDefault="00BB534D">
      <w:pPr>
        <w:pBdr>
          <w:top w:val="nil"/>
          <w:left w:val="nil"/>
          <w:bottom w:val="nil"/>
          <w:right w:val="nil"/>
          <w:between w:val="nil"/>
        </w:pBdr>
      </w:pPr>
    </w:p>
    <w:p w14:paraId="05AE8ACE" w14:textId="77777777" w:rsidR="00BB534D" w:rsidRDefault="00BB534D">
      <w:pPr>
        <w:pBdr>
          <w:top w:val="nil"/>
          <w:left w:val="nil"/>
          <w:bottom w:val="nil"/>
          <w:right w:val="nil"/>
          <w:between w:val="nil"/>
        </w:pBdr>
      </w:pPr>
    </w:p>
    <w:p w14:paraId="05AE8ACF" w14:textId="77777777" w:rsidR="00BB534D" w:rsidRDefault="00BB534D">
      <w:pPr>
        <w:pBdr>
          <w:top w:val="nil"/>
          <w:left w:val="nil"/>
          <w:bottom w:val="nil"/>
          <w:right w:val="nil"/>
          <w:between w:val="nil"/>
        </w:pBdr>
      </w:pPr>
    </w:p>
    <w:p w14:paraId="05AE8AD0" w14:textId="77777777" w:rsidR="00BB534D" w:rsidRDefault="00BB534D">
      <w:pPr>
        <w:pBdr>
          <w:top w:val="nil"/>
          <w:left w:val="nil"/>
          <w:bottom w:val="nil"/>
          <w:right w:val="nil"/>
          <w:between w:val="nil"/>
        </w:pBdr>
      </w:pPr>
    </w:p>
    <w:p w14:paraId="05AE8AD1" w14:textId="77777777" w:rsidR="00BB534D" w:rsidRDefault="00BB534D">
      <w:pPr>
        <w:pBdr>
          <w:top w:val="nil"/>
          <w:left w:val="nil"/>
          <w:bottom w:val="nil"/>
          <w:right w:val="nil"/>
          <w:between w:val="nil"/>
        </w:pBdr>
      </w:pPr>
    </w:p>
    <w:p w14:paraId="05AE8AD2" w14:textId="77777777" w:rsidR="00BB534D" w:rsidRDefault="00B842B1">
      <w:pPr>
        <w:pBdr>
          <w:top w:val="nil"/>
          <w:left w:val="nil"/>
          <w:bottom w:val="nil"/>
          <w:right w:val="nil"/>
          <w:between w:val="nil"/>
        </w:pBdr>
        <w:rPr>
          <w:b/>
          <w:color w:val="039BE5"/>
          <w:sz w:val="24"/>
          <w:szCs w:val="24"/>
        </w:rPr>
      </w:pPr>
      <w:r>
        <w:rPr>
          <w:b/>
          <w:color w:val="039BE5"/>
          <w:sz w:val="24"/>
          <w:szCs w:val="24"/>
        </w:rPr>
        <w:t xml:space="preserve">CAPÍTULO II: Inclusión Social </w:t>
      </w:r>
    </w:p>
    <w:p w14:paraId="05AE8AD3" w14:textId="77777777" w:rsidR="00BB534D" w:rsidRDefault="00BB534D">
      <w:pPr>
        <w:spacing w:before="0" w:line="240" w:lineRule="auto"/>
        <w:jc w:val="both"/>
        <w:rPr>
          <w:rFonts w:ascii="Arial" w:eastAsia="Arial" w:hAnsi="Arial" w:cs="Arial"/>
        </w:rPr>
      </w:pPr>
    </w:p>
    <w:p w14:paraId="05AE8AD4" w14:textId="77777777" w:rsidR="00BB534D" w:rsidRDefault="00B842B1">
      <w:pPr>
        <w:spacing w:before="0" w:line="240" w:lineRule="auto"/>
        <w:jc w:val="both"/>
        <w:rPr>
          <w:sz w:val="24"/>
          <w:szCs w:val="24"/>
        </w:rPr>
      </w:pPr>
      <w:r>
        <w:rPr>
          <w:sz w:val="24"/>
          <w:szCs w:val="24"/>
        </w:rPr>
        <w:t xml:space="preserve">Costa Rica es un país de ingreso medio alto con avances importantes en el área del desarrollo humano, como resultado de los programas de protección social universales y focalizados, pero enfrentando un proceso acelerado de aumento de la desigualdad, acrecentado, como menciona el capítulo anterior, con el impacto socioeconómico de la pandemia por COVID-19. En 2019 e inicios de 2020, el doble golpe de una insolvencia fiscal del Gobierno Central y la desaceleración de la economía, que menoscaba la recaudación tributaria y las contribuciones a la seguridad social, erosionaron las fuentes de financiamiento de muchas de las áreas clave del desarrollo humano inclusivo. Estos eventos y sus consecuencias mermaron la posibilidad de promover el desarrollo humano de largo plazo para contener los efectos negativos que podrían derivarse de algún </w:t>
      </w:r>
      <w:r>
        <w:rPr>
          <w:i/>
          <w:sz w:val="24"/>
          <w:szCs w:val="24"/>
        </w:rPr>
        <w:t>shock</w:t>
      </w:r>
      <w:r>
        <w:rPr>
          <w:sz w:val="24"/>
          <w:szCs w:val="24"/>
        </w:rPr>
        <w:t>, como evidentemente ha sido la pandemia</w:t>
      </w:r>
      <w:r>
        <w:rPr>
          <w:sz w:val="24"/>
          <w:szCs w:val="24"/>
          <w:vertAlign w:val="superscript"/>
        </w:rPr>
        <w:footnoteReference w:id="39"/>
      </w:r>
      <w:r>
        <w:rPr>
          <w:sz w:val="24"/>
          <w:szCs w:val="24"/>
        </w:rPr>
        <w:t>.</w:t>
      </w:r>
    </w:p>
    <w:p w14:paraId="05AE8AD5" w14:textId="77777777" w:rsidR="00BB534D" w:rsidRDefault="00BB534D">
      <w:pPr>
        <w:spacing w:before="0" w:line="240" w:lineRule="auto"/>
        <w:jc w:val="both"/>
        <w:rPr>
          <w:sz w:val="24"/>
          <w:szCs w:val="24"/>
        </w:rPr>
      </w:pPr>
    </w:p>
    <w:p w14:paraId="05AE8AD6" w14:textId="77777777" w:rsidR="00BB534D" w:rsidRDefault="00B842B1">
      <w:pPr>
        <w:spacing w:before="0" w:line="240" w:lineRule="auto"/>
        <w:jc w:val="both"/>
        <w:rPr>
          <w:sz w:val="24"/>
          <w:szCs w:val="24"/>
        </w:rPr>
      </w:pPr>
      <w:r>
        <w:rPr>
          <w:sz w:val="24"/>
          <w:szCs w:val="24"/>
        </w:rPr>
        <w:t xml:space="preserve">Los retos para alcanzar un desarrollo humano igualitario que conlleve la inclusión social son muchos, así como para el goce de derechos de ciertos grupos de población, como las personas adultas mayores, personas con discapacidad, las afrodescendientes, los pueblos indígenas, las personas refugiadas y migrantes y las LGTBIQ+, que requieren de la intervención del Estado para garantizar su ejercicio en áreas como la salud, la educación, la cultura, arte, recreación, e infraestructura; son análisis que se reflejan en este capítulo.  </w:t>
      </w:r>
    </w:p>
    <w:p w14:paraId="05AE8AD7" w14:textId="77777777" w:rsidR="00BB534D" w:rsidRDefault="00B842B1">
      <w:pPr>
        <w:pStyle w:val="Heading2"/>
        <w:spacing w:before="360" w:after="120" w:line="240" w:lineRule="auto"/>
        <w:rPr>
          <w:color w:val="4A86E8"/>
          <w:sz w:val="24"/>
          <w:szCs w:val="24"/>
        </w:rPr>
      </w:pPr>
      <w:bookmarkStart w:id="2" w:name="_kg17j4nu45p5" w:colFirst="0" w:colLast="0"/>
      <w:bookmarkEnd w:id="2"/>
      <w:r>
        <w:rPr>
          <w:color w:val="4A86E8"/>
          <w:sz w:val="24"/>
          <w:szCs w:val="24"/>
        </w:rPr>
        <w:t>2.1. Salud</w:t>
      </w:r>
    </w:p>
    <w:p w14:paraId="05AE8AD8" w14:textId="77777777" w:rsidR="00BB534D" w:rsidRDefault="00B842B1">
      <w:pPr>
        <w:spacing w:before="0" w:after="160" w:line="240" w:lineRule="auto"/>
        <w:jc w:val="both"/>
        <w:rPr>
          <w:sz w:val="24"/>
          <w:szCs w:val="24"/>
        </w:rPr>
      </w:pPr>
      <w:r>
        <w:rPr>
          <w:sz w:val="24"/>
          <w:szCs w:val="24"/>
        </w:rPr>
        <w:t>Entender el concepto de salud desde la inclusión social va mucho más allá del binomio salud – enfermedad, se debe asimilar la manera en que diferentes determinantes como: el sistema nacional de salud, el entorno, la economía, la biología, la participación social, entre otros se interrelacionan para responder a las necesidades en salud de la población. En costa Rica, la pandemia por SARS-CoV-2 ha agudizado problemáticas en el sistema de salud ya reconocidas desde hace algunos años, sin embargo; esto abre un espacio de oportunidad para reflexionar y analizar la necesidad de intervenir en aristas como la gobernanza del sistema de salud y el acceso real y de calidad de los servicios, por ejemplo.</w:t>
      </w:r>
    </w:p>
    <w:p w14:paraId="05AE8AD9" w14:textId="77777777" w:rsidR="00BB534D" w:rsidRDefault="00B842B1">
      <w:pPr>
        <w:spacing w:before="0" w:after="160" w:line="240" w:lineRule="auto"/>
        <w:jc w:val="both"/>
        <w:rPr>
          <w:sz w:val="24"/>
          <w:szCs w:val="24"/>
        </w:rPr>
      </w:pPr>
      <w:r>
        <w:rPr>
          <w:sz w:val="24"/>
          <w:szCs w:val="24"/>
        </w:rPr>
        <w:t xml:space="preserve">Se considera entonces que, la salud y la inclusión social son conceptos intrínsecamente asociados e interdependientes. El sistema de salud nacional, a través de la atención primaria, es parte integral del desarrollo social y económico de la sociedad costarricense, y requiere del empoderamiento y la participación comunitaria para garantizar un desarrollo equitativo. Si bien su cobertura es casi universal, poblaciones específicas afrontan limitaciones para acceder a los servicios de salud, como las que están en situación de pobreza, personas desempleadas o con empleo informal, personas que trabajan en la informalidad, personas migrantes y solicitantes de refugio, los pueblos y personas indígenas, afrodescendientes y con discapacidad. Los comités de tratados y del EPU han señalado brechas en el acceso a la salud que persisten en el país. </w:t>
      </w:r>
    </w:p>
    <w:p w14:paraId="05AE8ADA" w14:textId="77777777" w:rsidR="00BB534D" w:rsidRDefault="00B842B1">
      <w:pPr>
        <w:spacing w:before="0" w:after="160" w:line="240" w:lineRule="auto"/>
        <w:jc w:val="both"/>
        <w:rPr>
          <w:sz w:val="24"/>
          <w:szCs w:val="24"/>
        </w:rPr>
      </w:pPr>
      <w:r>
        <w:rPr>
          <w:sz w:val="24"/>
          <w:szCs w:val="24"/>
        </w:rPr>
        <w:t xml:space="preserve">En junio de 2020, la OPS/OMS reportó que los servicios de prevención y tratamiento de las enfermedades no transmisibles se han visto gravemente afectados desde el comienzo de la pandemia de COVID-19 en la región de las Américas. Dicha afectación profundiza las barreras de acceso a grupos vulnerables y de mayor exclusión social. Se reportan disrupciones importantes debido a falta de concurrencia de personas usuarias, dificultades de acceso y compleja disponibilidad de personal de salud. </w:t>
      </w:r>
    </w:p>
    <w:p w14:paraId="05AE8ADB" w14:textId="77777777" w:rsidR="00BB534D" w:rsidRDefault="00B842B1">
      <w:pPr>
        <w:spacing w:before="0" w:after="160" w:line="240" w:lineRule="auto"/>
        <w:jc w:val="both"/>
        <w:rPr>
          <w:sz w:val="24"/>
          <w:szCs w:val="24"/>
          <w:vertAlign w:val="superscript"/>
        </w:rPr>
      </w:pPr>
      <w:r>
        <w:rPr>
          <w:sz w:val="24"/>
          <w:szCs w:val="24"/>
        </w:rPr>
        <w:t>Se puede señalar que se han realizado esfuerzos para integrar el concepto de salud intercultural en los servicios de salud, buscando respetar la cosmovisión de los territorios y siendo más pertinentes y oportunos de la cosmovisión en zonas indígenas para la población, como, por ejemplo, el Área de Salud en Coto Brus. Sin embargo,  la mayoría de las zonas indígenas sigue con la utilización de un modelo de atención y organización de servicios de salud occidental, por lo que existe una carencia de servicios con enfoque de prevención, prácticas curativas y medicamentos pertinentes culturalmente, esto se suma a los cuellos de botella ligados con la falta de una intermediación cultural por  el idioma, dificultad de acceso debido a una distancia geográfica, así como aspectos, migratorios ligados a poblaciones indígenas fronterizas y transfronterizas migrantes, tal es el caso de la población Ngäbe Buglé.</w:t>
      </w:r>
      <w:r>
        <w:rPr>
          <w:sz w:val="24"/>
          <w:szCs w:val="24"/>
          <w:vertAlign w:val="superscript"/>
        </w:rPr>
        <w:footnoteReference w:id="40"/>
      </w:r>
      <w:r>
        <w:rPr>
          <w:sz w:val="24"/>
          <w:szCs w:val="24"/>
        </w:rPr>
        <w:t xml:space="preserve"> Este modelo excluye a las personas y pone en peligro metas, como las alcanzadas, sobre muertes maternas e infantiles.</w:t>
      </w:r>
    </w:p>
    <w:p w14:paraId="05AE8ADC" w14:textId="77777777" w:rsidR="00BB534D" w:rsidRDefault="00B842B1">
      <w:pPr>
        <w:spacing w:before="0" w:after="160" w:line="240" w:lineRule="auto"/>
        <w:jc w:val="both"/>
        <w:rPr>
          <w:sz w:val="24"/>
          <w:szCs w:val="24"/>
        </w:rPr>
      </w:pPr>
      <w:r>
        <w:rPr>
          <w:sz w:val="24"/>
          <w:szCs w:val="24"/>
        </w:rPr>
        <w:t>Según la Encuesta Nacional de Discapacidad</w:t>
      </w:r>
      <w:r>
        <w:rPr>
          <w:sz w:val="24"/>
          <w:szCs w:val="24"/>
          <w:vertAlign w:val="superscript"/>
        </w:rPr>
        <w:footnoteReference w:id="41"/>
      </w:r>
      <w:r>
        <w:rPr>
          <w:sz w:val="24"/>
          <w:szCs w:val="24"/>
        </w:rPr>
        <w:t xml:space="preserve">, el 18,2 % de las personas de 18 años y </w:t>
      </w:r>
      <w:proofErr w:type="gramStart"/>
      <w:r>
        <w:rPr>
          <w:sz w:val="24"/>
          <w:szCs w:val="24"/>
        </w:rPr>
        <w:t>más  se</w:t>
      </w:r>
      <w:proofErr w:type="gramEnd"/>
      <w:r>
        <w:rPr>
          <w:sz w:val="24"/>
          <w:szCs w:val="24"/>
        </w:rPr>
        <w:t xml:space="preserve"> encuentra en  situación  de  discapacidad, es  decir,  alrededor  de 670.640 personas. El 69.3% de las personas con discapacidad mayores de 18 años, tiene una condición de salud diagnosticada. En estudios cualitativos realizados con mujeres con discapacidad</w:t>
      </w:r>
      <w:r>
        <w:rPr>
          <w:sz w:val="24"/>
          <w:szCs w:val="24"/>
          <w:vertAlign w:val="superscript"/>
        </w:rPr>
        <w:footnoteReference w:id="42"/>
      </w:r>
      <w:r>
        <w:rPr>
          <w:sz w:val="24"/>
          <w:szCs w:val="24"/>
        </w:rPr>
        <w:t>, han señalado que la falta de accesibilidad de los servicios de salud, la atención deshumanizada y el estigma son parte de las brechas que afectan a esta población. El 32.3% de las personas con discapacidad son mayores de 65 años (ENADIS), lo cual revela la intersección entre discapacidad y envejecimiento y la necesidad de contar con servicios de salud pertinentes y desde un enfoque de derechos humanos.</w:t>
      </w:r>
    </w:p>
    <w:p w14:paraId="05AE8ADD" w14:textId="77777777" w:rsidR="00BB534D" w:rsidRDefault="00B842B1">
      <w:pPr>
        <w:spacing w:before="0" w:after="160" w:line="240" w:lineRule="auto"/>
        <w:jc w:val="both"/>
        <w:rPr>
          <w:sz w:val="24"/>
          <w:szCs w:val="24"/>
        </w:rPr>
      </w:pPr>
      <w:r>
        <w:rPr>
          <w:sz w:val="24"/>
          <w:szCs w:val="24"/>
        </w:rPr>
        <w:t xml:space="preserve">Al Comité sobre los derechos de </w:t>
      </w:r>
      <w:proofErr w:type="gramStart"/>
      <w:r>
        <w:rPr>
          <w:sz w:val="24"/>
          <w:szCs w:val="24"/>
        </w:rPr>
        <w:t>las  personas</w:t>
      </w:r>
      <w:proofErr w:type="gramEnd"/>
      <w:r>
        <w:rPr>
          <w:sz w:val="24"/>
          <w:szCs w:val="24"/>
        </w:rPr>
        <w:t xml:space="preserve"> con Discapacidad le preocupan los pocos avances para garantizar la plena accesibilidad a los servicios de salud —generales y especializados— para personas con discapacidad que se refleja en la escasez de equipo médico, instalaciones y mobiliario inadecuado, la no disponibilidad de intérpretes de LESCO y la carencia de información oportuna y accesible. Igualmente, le preocupa la poca inclusión de personas con discapacidad en políticas, programas y servicios de salud sexual y reproductiva, incluyendo los relacionados con el VIH/SIDA, que afecta desproporcionadamente a mujeres y niñas con discapacidad. El Comité lamenta que no se hayan establecido mecanismos para asegurar que todos los servicios prestados cuenten con el consentimiento libre e informado de las personas con discapacidad (CRPD/C/CRI/1, para 49).</w:t>
      </w:r>
    </w:p>
    <w:p w14:paraId="05AE8ADE" w14:textId="77777777" w:rsidR="00BB534D" w:rsidRDefault="00B842B1">
      <w:pPr>
        <w:spacing w:before="0" w:after="160" w:line="240" w:lineRule="auto"/>
        <w:jc w:val="both"/>
        <w:rPr>
          <w:sz w:val="24"/>
          <w:szCs w:val="24"/>
        </w:rPr>
      </w:pPr>
      <w:r>
        <w:rPr>
          <w:sz w:val="24"/>
          <w:szCs w:val="24"/>
        </w:rPr>
        <w:t xml:space="preserve">El Plan Nacional de Salud para Personas Afrodescendientes (2018-2021), indica como una de las brechas que el 18.7% de las personas afrodescendientes no están aseguradas, frente al 13.8% de la población no afrodescendiente. </w:t>
      </w:r>
    </w:p>
    <w:p w14:paraId="05AE8ADF" w14:textId="77777777" w:rsidR="00BB534D" w:rsidRDefault="00B842B1">
      <w:pPr>
        <w:spacing w:before="0" w:after="160" w:line="240" w:lineRule="auto"/>
        <w:jc w:val="both"/>
        <w:rPr>
          <w:sz w:val="24"/>
          <w:szCs w:val="24"/>
        </w:rPr>
      </w:pPr>
      <w:r>
        <w:rPr>
          <w:sz w:val="24"/>
          <w:szCs w:val="24"/>
        </w:rPr>
        <w:t>Los efectos de la pandemia han puesto de manifiesto y exacerbado las desigualdades sociales a nivel global y nacional, afectando en mayor medida a los grupos mencionados. La respuesta del Estado costarricense ante la pandemia ha sido procurar la atención médica gratuita a toda persona sin ningún tipo de discriminación, por ejemplo, sin importar su condición migratoria</w:t>
      </w:r>
      <w:r>
        <w:rPr>
          <w:sz w:val="24"/>
          <w:szCs w:val="24"/>
          <w:vertAlign w:val="superscript"/>
        </w:rPr>
        <w:footnoteReference w:id="43"/>
      </w:r>
      <w:r>
        <w:rPr>
          <w:sz w:val="24"/>
          <w:szCs w:val="24"/>
        </w:rPr>
        <w:t>. No obstante, persisten las barreras que impiden a esta población acceder a los servicios de salud, tales como procesos administrativos, desconocimiento por parte del personal, barreras idiomáticas, culturales, geográficas y actitudinales</w:t>
      </w:r>
      <w:r>
        <w:rPr>
          <w:sz w:val="24"/>
          <w:szCs w:val="24"/>
          <w:vertAlign w:val="superscript"/>
        </w:rPr>
        <w:footnoteReference w:id="44"/>
      </w:r>
      <w:r>
        <w:rPr>
          <w:sz w:val="24"/>
          <w:szCs w:val="24"/>
        </w:rPr>
        <w:t>.</w:t>
      </w:r>
    </w:p>
    <w:p w14:paraId="05AE8AE0" w14:textId="77777777" w:rsidR="00BB534D" w:rsidRDefault="00B842B1">
      <w:pPr>
        <w:spacing w:before="0" w:after="160" w:line="240" w:lineRule="auto"/>
        <w:jc w:val="both"/>
        <w:rPr>
          <w:sz w:val="24"/>
          <w:szCs w:val="24"/>
        </w:rPr>
      </w:pPr>
      <w:r>
        <w:rPr>
          <w:sz w:val="24"/>
          <w:szCs w:val="24"/>
        </w:rPr>
        <w:t xml:space="preserve">Las personas migrantes y en situación de refugio, han visto mermado su aseguramiento médico por la propia vulnerabilidad socioeconómica impuesta por la pandemia sumado al deterioro de las condiciones de empleo formal y a la alta tasa de informalidad laboral. Datos del ACNUR revelan que, en julio y agosto del 2020, 1 de cada 2 hogares de personas en situación de refugio, requirieron servicios médicos desde el comienzo de la pandemia por COVID-19. Pese al requerimiento del servicio, más del 40% de éstos experimentaron limitaciones en el acceso debido a la falta de aseguramiento al sistema nacional de salud, de estas familias el 40% corresponde a jefas de hogar de nacionalidad venezolana y el 50% de otras nacionalidades (incluyendo nicaragüenses). </w:t>
      </w:r>
    </w:p>
    <w:p w14:paraId="05AE8AE1" w14:textId="77777777" w:rsidR="00BB534D" w:rsidRDefault="00B842B1">
      <w:pPr>
        <w:spacing w:before="0" w:after="160" w:line="240" w:lineRule="auto"/>
        <w:jc w:val="both"/>
        <w:rPr>
          <w:sz w:val="24"/>
          <w:szCs w:val="24"/>
        </w:rPr>
      </w:pPr>
      <w:r>
        <w:rPr>
          <w:sz w:val="24"/>
          <w:szCs w:val="24"/>
        </w:rPr>
        <w:t>A pesar de los avances en salud sexual y reproductiva, se presentan brechas de acceso a estos servicios por parte de las mujeres, particularmente para las que no tienen acceso a la seguridad social como las desempleadas, las personas migrantes en condición irregular, entre otras, como ha sido señalado ampliamente en el EPU, el Comité DESC y el Comité para la eliminación de la discriminación contra la mujer (CEDAW)</w:t>
      </w:r>
      <w:r>
        <w:rPr>
          <w:sz w:val="24"/>
          <w:szCs w:val="24"/>
          <w:vertAlign w:val="superscript"/>
        </w:rPr>
        <w:footnoteReference w:id="45"/>
      </w:r>
      <w:r>
        <w:rPr>
          <w:sz w:val="24"/>
          <w:szCs w:val="24"/>
        </w:rPr>
        <w:t xml:space="preserve">. Además, la población no tiene acceso a una canasta completa de anticonceptivos modernos, por ejemplo, el condón femenino (que requiere mayor divulgación para conocer su uso) y el implante subdérmico (disponible solo para mujeres menores de 20 años), -A esto se suma la necesidad de un mayor empoderamiento de las mujeres para conocer y escoger el anticonceptivo más adecuado. Asimismo, un estudio realizado por UNFPA y OPS/OMS (2021) reveló la disminución en el consumo de métodos anticonceptivos dispensados por la Caja Costarricense de Seguro Social, debido principalmente a un menor acceso a los centros de salud por diferentes factores, como el temor al contagio, las dificultades de las mujeres para salir de sus casas por el cuido o las tutorías virtuales de hijas e hijos, la situación económica, la virtualización de las consultas, entre otros. En el sector privado, el acceso a estos métodos anticonceptivos disminuyó a la situación de hace más de cinco años, a causa del impacto económico provocado por la pandemia. El promover ejercicios de universalidad para la prevención, atención y seguimiento de aspectos de SSR para las mujeres </w:t>
      </w:r>
      <w:proofErr w:type="spellStart"/>
      <w:r>
        <w:rPr>
          <w:sz w:val="24"/>
          <w:szCs w:val="24"/>
        </w:rPr>
        <w:t>vulnerabilizadas</w:t>
      </w:r>
      <w:proofErr w:type="spellEnd"/>
      <w:r>
        <w:rPr>
          <w:sz w:val="24"/>
          <w:szCs w:val="24"/>
        </w:rPr>
        <w:t xml:space="preserve"> podría ser una acción transitoria hacia la universalización definitiva.</w:t>
      </w:r>
    </w:p>
    <w:p w14:paraId="05AE8AE2" w14:textId="77777777" w:rsidR="00BB534D" w:rsidRDefault="00B842B1">
      <w:pPr>
        <w:spacing w:before="0" w:after="160" w:line="240" w:lineRule="auto"/>
        <w:jc w:val="both"/>
        <w:rPr>
          <w:sz w:val="24"/>
          <w:szCs w:val="24"/>
        </w:rPr>
      </w:pPr>
      <w:r>
        <w:rPr>
          <w:sz w:val="24"/>
          <w:szCs w:val="24"/>
        </w:rPr>
        <w:t>En población adolescente se pueden identificar algunas situaciones en las que el país necesita avanzar. En primer lugar, el reto de continuar la disminución de nacimientos en adolescentes. Según datos del INEC</w:t>
      </w:r>
      <w:r>
        <w:rPr>
          <w:sz w:val="24"/>
          <w:szCs w:val="24"/>
          <w:vertAlign w:val="superscript"/>
        </w:rPr>
        <w:footnoteReference w:id="46"/>
      </w:r>
      <w:r>
        <w:rPr>
          <w:sz w:val="24"/>
          <w:szCs w:val="24"/>
        </w:rPr>
        <w:t xml:space="preserve">, la tasa de nacimientos en adolescentes entre 15 y 19 años fue en el 2015 de 55.9 por cada mil adolescentes de esas edades en el país; para el año 2020, esa tasa bajó a 31.8. No obstante, las tasas de cantones fronterizos, costeros y rurales muestran las desigualdades territoriales existentes. Para el año 2019, los cantones de Dota en San José, Liberia en Guanacaste y Los Chiles en Alajuela, superan los 52 nacimientos por cada 1000 adolescentes. Otros cantones como Carrillo y Abangares en Guanacaste, Parrita y Osa en Puntarenas y Guatuso en Alajuela, superaron los 55 nacimientos por cada 1000 adolescentes. El embarazo en esta etapa perpetúa la transmisión intergeneracional de la pobreza, el no acceso a la educación y al trabajo decente, en muchos casos está asociada con situaciones de violencia sexual, de relaciones impropias y otras formas de violencias. A pesar de existir numerosas normas jurídicas y políticas y programas dirigidos a esta población, los esfuerzos son insuficientes. </w:t>
      </w:r>
    </w:p>
    <w:p w14:paraId="05AE8AE3" w14:textId="77777777" w:rsidR="00BB534D" w:rsidRDefault="00B842B1">
      <w:pPr>
        <w:spacing w:before="0" w:after="160" w:line="240" w:lineRule="auto"/>
        <w:jc w:val="both"/>
        <w:rPr>
          <w:sz w:val="24"/>
          <w:szCs w:val="24"/>
          <w:highlight w:val="yellow"/>
        </w:rPr>
      </w:pPr>
      <w:r>
        <w:rPr>
          <w:sz w:val="24"/>
          <w:szCs w:val="24"/>
        </w:rPr>
        <w:t>En segundo lugar, el abordaje integral en la prevención del suicidio y mejora de la salud mental en general. El suicidio en la adolescencia representa la tercera causa de muerte entre las personas de 15 a 19 años, tasa que en las comunidades indígenas se cuadruplica. Al respecto, las últimas dos encuestas del Consejo de la Persona Joven (2013 y 2018) son contundentes al mostrar que un 10% de las personas jóvenes han sentido deseos de quitarse la vida y 6% lo han intentado. Las medidas de confinamiento, aislamiento social, pérdida de empleos y muertes de amistades y parientes producto del COVID-19 ha exacerbado los casos y riesgos sobre la salud mental de toda la población, con especial énfasis en niños, niñas y jóvenes al estar aún más expuestos. En tercer lugar, persiste el reto de contar con servicios de salud sexual y reproductiva universales, que sean inclusivos y adaptados culturalmente para personas con discapacidad, indígenas, migrantes y población afrodescendiente</w:t>
      </w:r>
      <w:r>
        <w:rPr>
          <w:sz w:val="24"/>
          <w:szCs w:val="24"/>
          <w:vertAlign w:val="superscript"/>
        </w:rPr>
        <w:footnoteReference w:id="47"/>
      </w:r>
      <w:r>
        <w:rPr>
          <w:sz w:val="24"/>
          <w:szCs w:val="24"/>
        </w:rPr>
        <w:t>.</w:t>
      </w:r>
      <w:r>
        <w:rPr>
          <w:color w:val="FF0000"/>
          <w:sz w:val="24"/>
          <w:szCs w:val="24"/>
        </w:rPr>
        <w:t xml:space="preserve"> </w:t>
      </w:r>
      <w:r>
        <w:rPr>
          <w:sz w:val="24"/>
          <w:szCs w:val="24"/>
        </w:rPr>
        <w:t xml:space="preserve">Finalmente, persiste el reto de garantizar una educación integral en sexualidad que esté disponible para todas las personas adolescentes del país y que cuente con personal capacitado para su adecuado desarrollo. </w:t>
      </w:r>
    </w:p>
    <w:p w14:paraId="05AE8AE4" w14:textId="77777777" w:rsidR="00BB534D" w:rsidRDefault="00B842B1">
      <w:pPr>
        <w:spacing w:before="0" w:after="160" w:line="240" w:lineRule="auto"/>
        <w:jc w:val="both"/>
        <w:rPr>
          <w:sz w:val="24"/>
          <w:szCs w:val="24"/>
          <w:highlight w:val="yellow"/>
        </w:rPr>
      </w:pPr>
      <w:r>
        <w:rPr>
          <w:sz w:val="24"/>
          <w:szCs w:val="24"/>
        </w:rPr>
        <w:t xml:space="preserve">Otros retos son los vinculados a la población del sistema penitenciario. Según la Defensoría de los Habitantes, en el año 2019, el hacinamiento en el sistema penitenciario alcanzó el 31.6%, porcentaje que inclusive en uno de los centros de detención superó el 91%. En este contexto, y aún con el esfuerzo de medidas que se tomaron ante la situación de emergencia por COVID-19, por medio del “Plan de Contingencia para Mitigar las Consecuencias de un Brote de COVID-19 en Centros Penitenciarios”, es necesario llamar la atención sobre la necesidad de implementar medidas alternativas a la privación de libertad, como parte de una política criminal integral, para disminuir los índices de sobrepoblación que afectan gravemente diversas variables como el acceso a la salud. </w:t>
      </w:r>
    </w:p>
    <w:p w14:paraId="05AE8AE5" w14:textId="77777777" w:rsidR="00BB534D" w:rsidRDefault="00B842B1">
      <w:pPr>
        <w:spacing w:before="0" w:line="240" w:lineRule="auto"/>
        <w:jc w:val="both"/>
        <w:rPr>
          <w:sz w:val="24"/>
          <w:szCs w:val="24"/>
        </w:rPr>
      </w:pPr>
      <w:r>
        <w:rPr>
          <w:sz w:val="24"/>
          <w:szCs w:val="24"/>
        </w:rPr>
        <w:t xml:space="preserve">El sobrepeso y la obesidad se han convertido en un problema de salud pública cada vez más relevante, dado que en las últimas décadas los índices han aumentado rápida y constantemente.  Actualmente existe un 60% de incidencia en adultos, mientras que un tercio de los niños mayores de seis años ya sufre este problema. En las personas mayores de 45 años el valor se incrementa al 75%, lo cual es el triple de los niveles medidos en 1982. En Costa Rica los problemas en </w:t>
      </w:r>
      <w:proofErr w:type="gramStart"/>
      <w:r>
        <w:rPr>
          <w:sz w:val="24"/>
          <w:szCs w:val="24"/>
        </w:rPr>
        <w:t>los niños y niñas</w:t>
      </w:r>
      <w:proofErr w:type="gramEnd"/>
      <w:r>
        <w:rPr>
          <w:sz w:val="24"/>
          <w:szCs w:val="24"/>
        </w:rPr>
        <w:t xml:space="preserve"> en edad escolar por déficit nutricional han ido disminuyendo, mientras que por exceso de peso han ido aumentando. El aumento del sobrepeso y obesidad en el país ha sido progresivo al aumentar del 21% en la Encuesta Nacional de Nutrición del 2008 al 34% con el Censo Escolar Peso-Talla del 2016. La disminución de los niveles de desnutrición va del 6.2% en la Encuesta Nacional de Nutrición del 2008 al 1.8% en el Censo Escolar Peso-Talla (2016), lo cual sugiere que las estrategias de salud pública han sido efectivas para combatir la </w:t>
      </w:r>
      <w:proofErr w:type="gramStart"/>
      <w:r>
        <w:rPr>
          <w:sz w:val="24"/>
          <w:szCs w:val="24"/>
        </w:rPr>
        <w:t>desnutrición</w:t>
      </w:r>
      <w:proofErr w:type="gramEnd"/>
      <w:r>
        <w:rPr>
          <w:sz w:val="24"/>
          <w:szCs w:val="24"/>
        </w:rPr>
        <w:t xml:space="preserve"> pero no así contra el sobrepeso y obesidad, siendo los estratos de la población con menor nivel educativo y socioeconómico las más afectadas. También ligado a la malnutrición, es importante notar que el 16% de </w:t>
      </w:r>
      <w:proofErr w:type="gramStart"/>
      <w:r>
        <w:rPr>
          <w:sz w:val="24"/>
          <w:szCs w:val="24"/>
        </w:rPr>
        <w:t>las niñas y niños</w:t>
      </w:r>
      <w:proofErr w:type="gramEnd"/>
      <w:r>
        <w:rPr>
          <w:sz w:val="24"/>
          <w:szCs w:val="24"/>
        </w:rPr>
        <w:t xml:space="preserve"> estudiantes de escuelas ubicadas en zonas indígenas fueron identificados con baja talla, mientras que la prevalencia a nivel nacional es del 3,6%.</w:t>
      </w:r>
    </w:p>
    <w:p w14:paraId="05AE8AE6" w14:textId="77777777" w:rsidR="00BB534D" w:rsidRDefault="00BB534D">
      <w:pPr>
        <w:spacing w:before="0" w:line="240" w:lineRule="auto"/>
        <w:jc w:val="both"/>
        <w:rPr>
          <w:sz w:val="24"/>
          <w:szCs w:val="24"/>
        </w:rPr>
      </w:pPr>
    </w:p>
    <w:p w14:paraId="05AE8AE7" w14:textId="77777777" w:rsidR="00BB534D" w:rsidRDefault="00B842B1">
      <w:pPr>
        <w:spacing w:before="0" w:line="240" w:lineRule="auto"/>
        <w:jc w:val="both"/>
        <w:rPr>
          <w:color w:val="4A86E8"/>
          <w:sz w:val="24"/>
          <w:szCs w:val="24"/>
        </w:rPr>
      </w:pPr>
      <w:r>
        <w:rPr>
          <w:color w:val="4A86E8"/>
          <w:sz w:val="24"/>
          <w:szCs w:val="24"/>
        </w:rPr>
        <w:t>2.2. Educación</w:t>
      </w:r>
    </w:p>
    <w:p w14:paraId="05AE8AE8" w14:textId="77777777" w:rsidR="00BB534D" w:rsidRDefault="00B842B1">
      <w:pPr>
        <w:spacing w:before="0" w:after="160" w:line="240" w:lineRule="auto"/>
        <w:jc w:val="both"/>
        <w:rPr>
          <w:sz w:val="24"/>
          <w:szCs w:val="24"/>
        </w:rPr>
      </w:pPr>
      <w:r>
        <w:rPr>
          <w:sz w:val="24"/>
          <w:szCs w:val="24"/>
        </w:rPr>
        <w:t xml:space="preserve">La educación en Costa Rica tiene un presupuesto cercano al 8% del PIB, siendo uno de los países que más invierte en la región y en el mundo. Esta inversión sostenida ha permitido que el país sea considerado uno de los referentes en materia del cumplimiento del derecho a la educación en la región, en tanto inclusión, equidad e innovación. Sin embargo, el país tiene desafíos cuyo abordaje es fundamental para fortalecer y ampliar los logros alcanzados. </w:t>
      </w:r>
    </w:p>
    <w:p w14:paraId="05AE8AE9" w14:textId="77777777" w:rsidR="00BB534D" w:rsidRDefault="00B842B1">
      <w:pPr>
        <w:spacing w:before="0" w:after="160" w:line="240" w:lineRule="auto"/>
        <w:jc w:val="both"/>
        <w:rPr>
          <w:sz w:val="24"/>
          <w:szCs w:val="24"/>
        </w:rPr>
      </w:pPr>
      <w:r>
        <w:rPr>
          <w:sz w:val="24"/>
          <w:szCs w:val="24"/>
        </w:rPr>
        <w:t xml:space="preserve">Los resultados del Estudio Regional Comparativo y Explicativo, ERCE 2019, dados a conocer el 30 de noviembre de 2021, por el Laboratorio Latinoamericano de Evaluación de la Calidad de la Educación (LLECE), de la Oficina Regional de Educación para América Latina y el Caribe (OREALC/UNESCO Santiago), revelaron que Costa Rica continúa situándose por sobre la media regional en todas las áreas de aprendizajes evaluadas en niños y niñas de tercer y sexto grado de América Latina: lectura, escritura, matemáticas y ciencias. Sin embargo, los datos alertan sobre la falta de avances en logros de aprendizajes, debido a que no hay cambios respecto del anterior estudio, el TERCE 2013, con excepción del área de Matemáticas en tercer grado donde hay una disminución en los logros de los aprendizajes. Respecto a las diferencias de género, Costa Rica presenta brechas a favor de las niñas en Lectura, en tercer y sexto grado, lo que es tendencia en la región, y a favor de los niños en Matemática en ambos grados evaluados. En Ciencias no se observaron diferencias significativas. </w:t>
      </w:r>
    </w:p>
    <w:p w14:paraId="05AE8AEA" w14:textId="77777777" w:rsidR="00BB534D" w:rsidRDefault="00B842B1">
      <w:pPr>
        <w:spacing w:before="0" w:after="160" w:line="240" w:lineRule="auto"/>
        <w:jc w:val="both"/>
        <w:rPr>
          <w:sz w:val="24"/>
          <w:szCs w:val="24"/>
        </w:rPr>
      </w:pPr>
      <w:r>
        <w:rPr>
          <w:sz w:val="24"/>
          <w:szCs w:val="24"/>
        </w:rPr>
        <w:t>Con relación a las características de las escuelas, el estudio ERCE 2019 establece que en Costa Rica cerca del 40% de la variabilidad de los logros de aprendizaje se relaciona con el nivel socioeconómico de las y los estudiantes.</w:t>
      </w:r>
    </w:p>
    <w:p w14:paraId="05AE8AEB" w14:textId="77777777" w:rsidR="00BB534D" w:rsidRDefault="00B842B1">
      <w:pPr>
        <w:spacing w:before="0" w:after="160" w:line="240" w:lineRule="auto"/>
        <w:jc w:val="both"/>
        <w:rPr>
          <w:sz w:val="24"/>
          <w:szCs w:val="24"/>
        </w:rPr>
      </w:pPr>
      <w:r>
        <w:rPr>
          <w:sz w:val="24"/>
          <w:szCs w:val="24"/>
        </w:rPr>
        <w:t>En este mismo sentido, y en el nivel secundario, el indicador “sin logro de bachillerato” afecta al 27% de los hogares pobres. Según la Encuesta Mujeres, Niñez y Adolescencia</w:t>
      </w:r>
      <w:r>
        <w:rPr>
          <w:sz w:val="24"/>
          <w:szCs w:val="24"/>
          <w:vertAlign w:val="superscript"/>
        </w:rPr>
        <w:footnoteReference w:id="48"/>
      </w:r>
      <w:r>
        <w:rPr>
          <w:sz w:val="24"/>
          <w:szCs w:val="24"/>
        </w:rPr>
        <w:t xml:space="preserve">, la tasa neta de asistencia a la escuela para la primera infancia es de un 44%. El porcentaje de niños(as) de 36-59 meses que asisten a educación para la primera infancia en el quintil de mayor riqueza es de 52% en comparación con un 41% en el quintil de menor riqueza. Al respecto, es importante señalar que tanto en el EPU como el Comité DESC han realizado observaciones en el sentido del limitado acceso que existe a la educación preescolar, particularmente para </w:t>
      </w:r>
      <w:proofErr w:type="gramStart"/>
      <w:r>
        <w:rPr>
          <w:sz w:val="24"/>
          <w:szCs w:val="24"/>
        </w:rPr>
        <w:t>los niños y niñas</w:t>
      </w:r>
      <w:proofErr w:type="gramEnd"/>
      <w:r>
        <w:rPr>
          <w:sz w:val="24"/>
          <w:szCs w:val="24"/>
        </w:rPr>
        <w:t xml:space="preserve"> pertenecientes a familias en condiciones socioeconómicas desfavorables en aquellas comunidades donde no se brinda el servicio por parte del centro educativo. </w:t>
      </w:r>
    </w:p>
    <w:p w14:paraId="05AE8AEC" w14:textId="77777777" w:rsidR="00BB534D" w:rsidRDefault="00B842B1">
      <w:pPr>
        <w:spacing w:before="0" w:after="160" w:line="240" w:lineRule="auto"/>
        <w:jc w:val="both"/>
        <w:rPr>
          <w:sz w:val="24"/>
          <w:szCs w:val="24"/>
        </w:rPr>
      </w:pPr>
      <w:r>
        <w:rPr>
          <w:sz w:val="24"/>
          <w:szCs w:val="24"/>
        </w:rPr>
        <w:t xml:space="preserve">Asimismo, preocupan los elevados porcentajes de abandono escolar y repetición en la educación secundaria y la información que da cuenta de la baja calidad de la educación con problemas que se arrastran desde la educación primaria, debido en parte a la ausencia de infraestructura adecuada y de </w:t>
      </w:r>
      <w:proofErr w:type="gramStart"/>
      <w:r>
        <w:rPr>
          <w:sz w:val="24"/>
          <w:szCs w:val="24"/>
        </w:rPr>
        <w:t>maestras y maestros</w:t>
      </w:r>
      <w:proofErr w:type="gramEnd"/>
      <w:r>
        <w:rPr>
          <w:sz w:val="24"/>
          <w:szCs w:val="24"/>
        </w:rPr>
        <w:t xml:space="preserve"> calificados. y particularmente en las zonas rurales y remotas. </w:t>
      </w:r>
      <w:proofErr w:type="gramStart"/>
      <w:r>
        <w:rPr>
          <w:sz w:val="24"/>
          <w:szCs w:val="24"/>
        </w:rPr>
        <w:t>Al día de hoy</w:t>
      </w:r>
      <w:proofErr w:type="gramEnd"/>
      <w:r>
        <w:rPr>
          <w:sz w:val="24"/>
          <w:szCs w:val="24"/>
        </w:rPr>
        <w:t xml:space="preserve">, menos de la mitad de los niños y niñas que ingresan al sistema educativo público terminan graduándose de secundaria. </w:t>
      </w:r>
    </w:p>
    <w:p w14:paraId="05AE8AED" w14:textId="77777777" w:rsidR="00BB534D" w:rsidRDefault="00B842B1">
      <w:pPr>
        <w:spacing w:before="0" w:after="160" w:line="240" w:lineRule="auto"/>
        <w:jc w:val="both"/>
        <w:rPr>
          <w:sz w:val="24"/>
          <w:szCs w:val="24"/>
        </w:rPr>
      </w:pPr>
      <w:r>
        <w:rPr>
          <w:sz w:val="24"/>
          <w:szCs w:val="24"/>
        </w:rPr>
        <w:t xml:space="preserve">Durante emergencias por terremotos, inundaciones, deslizamientos, entre otros, los centros educativos son ampliamente utilizados como albergues, lo cual repercute directamente sobre el derecho a la educación de los niños, niñas y adolescentes, ya que normalmente son muchas las semanas, o a veces hasta meses, que los centros educativos vuelven a estar acondicionados para que las y los estudiantes retomen sus procesos educativos. </w:t>
      </w:r>
    </w:p>
    <w:p w14:paraId="05AE8AEE" w14:textId="77777777" w:rsidR="00BB534D" w:rsidRDefault="00B842B1">
      <w:pPr>
        <w:spacing w:before="0" w:after="240" w:line="240" w:lineRule="auto"/>
        <w:jc w:val="both"/>
        <w:rPr>
          <w:sz w:val="24"/>
          <w:szCs w:val="24"/>
        </w:rPr>
      </w:pPr>
      <w:r>
        <w:rPr>
          <w:sz w:val="24"/>
          <w:szCs w:val="24"/>
        </w:rPr>
        <w:t xml:space="preserve">El rendimiento educativo de las personas adolescentes más vulnerables pone de manifiesto los retos existentes en la consecución del objetivo de la inclusión educativa plena. Según un estudio realizado en el 2016, por ejemplo, </w:t>
      </w:r>
      <w:proofErr w:type="gramStart"/>
      <w:r>
        <w:rPr>
          <w:sz w:val="24"/>
          <w:szCs w:val="24"/>
        </w:rPr>
        <w:t>los niños y las niñas</w:t>
      </w:r>
      <w:proofErr w:type="gramEnd"/>
      <w:r>
        <w:rPr>
          <w:sz w:val="24"/>
          <w:szCs w:val="24"/>
        </w:rPr>
        <w:t xml:space="preserve"> migrantes o indígenas tenían el doble de probabilidades de no ser escolarizados, el 24% y el 20% respectivamente; mientras que los niños y niñas no migrantes o no indígenas el 12% para ambos. Las personas afrodescendientes, jóvenes, migrantes, refugiadas y mujeres, resaltan la necesidad de promover una mayor participación en todos los niveles de la educación, incluida la promoción y acceso a carreras STEAM, para asegurar mayores oportunidades de inclusión laboral.  Para las personas indígenas destacan, además, la falta de acceso a educación de calidad con un enfoque intercultural</w:t>
      </w:r>
      <w:r>
        <w:rPr>
          <w:sz w:val="24"/>
          <w:szCs w:val="24"/>
          <w:vertAlign w:val="superscript"/>
        </w:rPr>
        <w:footnoteReference w:id="49"/>
      </w:r>
      <w:r>
        <w:rPr>
          <w:sz w:val="24"/>
          <w:szCs w:val="24"/>
        </w:rPr>
        <w:t>.</w:t>
      </w:r>
    </w:p>
    <w:p w14:paraId="05AE8AEF" w14:textId="77777777" w:rsidR="00BB534D" w:rsidRDefault="00B842B1">
      <w:pPr>
        <w:spacing w:before="0" w:after="240" w:line="240" w:lineRule="auto"/>
        <w:jc w:val="both"/>
        <w:rPr>
          <w:sz w:val="24"/>
          <w:szCs w:val="24"/>
        </w:rPr>
      </w:pPr>
      <w:r>
        <w:rPr>
          <w:sz w:val="24"/>
          <w:szCs w:val="24"/>
        </w:rPr>
        <w:t xml:space="preserve">Desde hace cuatro décadas, la cobertura y calidad de la educación secundaria, experimenta un sistemático fenómeno de rezago y exclusión educativa que ha sido difícil reducir, a pesar de que las medidas implementadas han logrado algún éxito. La evidencia indica que, en el 2017, el 43.3% de las personas adolescentes no completaron la educación secundaria debido a las tasas elevadas de abandono escolar y de repetición. </w:t>
      </w:r>
    </w:p>
    <w:p w14:paraId="05AE8AF0" w14:textId="77777777" w:rsidR="00BB534D" w:rsidRDefault="00B842B1">
      <w:pPr>
        <w:spacing w:before="0" w:line="240" w:lineRule="auto"/>
        <w:jc w:val="both"/>
        <w:rPr>
          <w:sz w:val="24"/>
          <w:szCs w:val="24"/>
        </w:rPr>
      </w:pPr>
      <w:r>
        <w:rPr>
          <w:sz w:val="24"/>
          <w:szCs w:val="24"/>
        </w:rPr>
        <w:t xml:space="preserve">Aunado a lo anterior, el año 2018 se vio marcado por una huelga docente de 89 días la cual trajo grandes consecuencias como pérdida de lecciones y 35% del curso lectivo perdido, 943,000 niñas y niños afectados; 62% de comedores y becas interrumpidas; 24% de hogares con gastos adicionales en alimentación; 18% de interrupción en Avancemos y FONABE; 90% de hogares tuvo que invertir en tutorías y de una muestra de 719 hogares, 74% con infantes afectados, 3/4 con algún infante sin ir a clases y 21% de alza de la mala percepción sobre educadores y docentes. </w:t>
      </w:r>
    </w:p>
    <w:p w14:paraId="05AE8AF1" w14:textId="77777777" w:rsidR="00BB534D" w:rsidRDefault="00BB534D">
      <w:pPr>
        <w:spacing w:before="0" w:line="240" w:lineRule="auto"/>
        <w:jc w:val="both"/>
        <w:rPr>
          <w:sz w:val="24"/>
          <w:szCs w:val="24"/>
        </w:rPr>
      </w:pPr>
    </w:p>
    <w:p w14:paraId="05AE8AF2" w14:textId="77777777" w:rsidR="00BB534D" w:rsidRDefault="00B842B1">
      <w:pPr>
        <w:spacing w:before="0" w:after="240" w:line="240" w:lineRule="auto"/>
        <w:jc w:val="both"/>
        <w:rPr>
          <w:sz w:val="24"/>
          <w:szCs w:val="24"/>
        </w:rPr>
      </w:pPr>
      <w:r>
        <w:rPr>
          <w:sz w:val="24"/>
          <w:szCs w:val="24"/>
        </w:rPr>
        <w:t>En el año 2019 el cuerpo docente presentó huelgas intermitentes que continuaron con la afectación a estudiantes y quedó marcado un rezago importante en los logros educativos. En el caso de las adolescentes madres de 14 años o menos, el 27.9% reportan ser administradoras del hogar y no estudiantes, cifra que aumenta a 37.8% en Limón y a 43.8% en Alajuela. Para las adolescentes madres entre 15 y 19 años se da la misma situación en ambas provincias, con un promedio nacional de 44% de adolescentes madres que reportan ser estudiantes y un 52% ser administradoras del hogar, siendo nuevamente las provincias de Limón (60.3%) y Alajuela (61.6%) las que presentan porcentajes más altos de no estudio</w:t>
      </w:r>
      <w:r>
        <w:rPr>
          <w:sz w:val="24"/>
          <w:szCs w:val="24"/>
          <w:vertAlign w:val="superscript"/>
        </w:rPr>
        <w:footnoteReference w:id="50"/>
      </w:r>
      <w:r>
        <w:rPr>
          <w:sz w:val="24"/>
          <w:szCs w:val="24"/>
        </w:rPr>
        <w:t xml:space="preserve">. Además, debido a la pandemia por COVID-19, el Programa de Estudios Afectividad y Sexualidad Integral dejó de implementarse, a pesar del posible impacto favorable que había tenido en la disminución de los embarazos en niñas y adolescentes, por lo que urge continuar con su ejecución para no retroceder en los logros alcanzados. </w:t>
      </w:r>
    </w:p>
    <w:p w14:paraId="05AE8AF3" w14:textId="77777777" w:rsidR="00BB534D" w:rsidRDefault="00B842B1">
      <w:pPr>
        <w:spacing w:before="0" w:line="240" w:lineRule="auto"/>
        <w:jc w:val="both"/>
        <w:rPr>
          <w:color w:val="333333"/>
          <w:sz w:val="24"/>
          <w:szCs w:val="24"/>
        </w:rPr>
      </w:pPr>
      <w:r>
        <w:rPr>
          <w:color w:val="333333"/>
          <w:sz w:val="24"/>
          <w:szCs w:val="24"/>
        </w:rPr>
        <w:t>La llegada de la COVID-19 al país en el año 2020, supuso el cierre los centros educativos y se suspendieron las clases presenciales hasta el 2021, cuando el retorno fue acompañado por el establecimiento de un sistema híbrido – que combina clases presenciales y en línea- que continuará como una nueva característica de los procesos de enseñanza y aprendizaje en un contexto de emergencia. Esto muestra que, de no abordarse efectivamente en el corto plazo, la brecha digital impactará de forma cada vez masiva en el acceso y ejercicio del derecho a la educación de todas y todos, convirtiendo esta problemática en una condición estructural de exclusión educativa, y por tanto social, económica y política.</w:t>
      </w:r>
    </w:p>
    <w:p w14:paraId="05AE8AF4" w14:textId="77777777" w:rsidR="00BB534D" w:rsidRDefault="00BB534D">
      <w:pPr>
        <w:spacing w:before="0" w:line="240" w:lineRule="auto"/>
        <w:jc w:val="both"/>
        <w:rPr>
          <w:sz w:val="24"/>
          <w:szCs w:val="24"/>
        </w:rPr>
      </w:pPr>
    </w:p>
    <w:p w14:paraId="05AE8AF5" w14:textId="77777777" w:rsidR="00BB534D" w:rsidRDefault="00B842B1">
      <w:pPr>
        <w:spacing w:before="0" w:line="240" w:lineRule="auto"/>
        <w:jc w:val="both"/>
        <w:rPr>
          <w:color w:val="333333"/>
          <w:sz w:val="24"/>
          <w:szCs w:val="24"/>
        </w:rPr>
      </w:pPr>
      <w:r>
        <w:rPr>
          <w:color w:val="333333"/>
          <w:sz w:val="24"/>
          <w:szCs w:val="24"/>
        </w:rPr>
        <w:t xml:space="preserve">Durante la pandemia, cerca de 535.000 estudiantes no tuvieron condiciones adecuadas de conectividad y acceso a recursos tecnológicos: 281.000 tenían acceso a recursos tecnológicos, pero no conectividad a internet, y 254.000 restantes no contaban con ninguna de las dos condiciones (MEP, 2021). La brecha digital se manifiesta en los hogares con menos ingresos y en los territorios con menor desarrollo. Según datos de la </w:t>
      </w:r>
      <w:proofErr w:type="spellStart"/>
      <w:r>
        <w:rPr>
          <w:color w:val="333333"/>
          <w:sz w:val="24"/>
          <w:szCs w:val="24"/>
        </w:rPr>
        <w:t>Enaho</w:t>
      </w:r>
      <w:proofErr w:type="spellEnd"/>
      <w:r>
        <w:rPr>
          <w:color w:val="333333"/>
          <w:sz w:val="24"/>
          <w:szCs w:val="24"/>
        </w:rPr>
        <w:t>, en 2020, mientras que cerca del 78% de la población estudiantil en edades de 5 a 18 años pertenecientes al quintil de mayor ingreso</w:t>
      </w:r>
    </w:p>
    <w:p w14:paraId="05AE8AF6" w14:textId="77777777" w:rsidR="00BB534D" w:rsidRDefault="00BB534D">
      <w:pPr>
        <w:spacing w:before="0" w:line="240" w:lineRule="auto"/>
        <w:jc w:val="both"/>
        <w:rPr>
          <w:color w:val="333333"/>
          <w:sz w:val="24"/>
          <w:szCs w:val="24"/>
        </w:rPr>
      </w:pPr>
    </w:p>
    <w:p w14:paraId="05AE8AF7" w14:textId="77777777" w:rsidR="00BB534D" w:rsidRDefault="00B842B1">
      <w:pPr>
        <w:spacing w:before="0" w:after="240" w:line="240" w:lineRule="auto"/>
        <w:jc w:val="both"/>
        <w:rPr>
          <w:sz w:val="24"/>
          <w:szCs w:val="24"/>
        </w:rPr>
      </w:pPr>
      <w:r>
        <w:rPr>
          <w:sz w:val="24"/>
          <w:szCs w:val="24"/>
        </w:rPr>
        <w:t xml:space="preserve">En el 2020, de 1,178,825 estudiantes matriculados, 20 843 estaban inactivos y 22,340 estudiantes no presentan reportes de avance. De los 1,135,522 estudiantes que se encuentran reportados como activos, el 63% presentaron problemas de acceso a dispositivos digitales y/o internet, lo que genera problemas para el desarrollo de aprendizajes y el rendimiento educativo en general”. Algunas de las falencias detectadas en el proceso son: a) la falta de disponibilidad de dispositivos electrónicos, b) la no disponibilidad de internet en los hogares, incluyendo los docentes, c) falta de conocimiento en el manejo de herramientas virtuales para el personal docente y estudiantil, d) un desarrollo curricular que se tuvo que adaptar de manera repentina a la virtualidad y, e) la falta de una plataforma de seguimiento tanto para el rendimiento como acompañamiento en los procesos de formación de los estudiantes. </w:t>
      </w:r>
    </w:p>
    <w:p w14:paraId="05AE8AF8" w14:textId="77777777" w:rsidR="00BB534D" w:rsidRDefault="00B842B1">
      <w:pPr>
        <w:spacing w:before="0" w:after="240" w:line="240" w:lineRule="auto"/>
        <w:jc w:val="both"/>
        <w:rPr>
          <w:sz w:val="24"/>
          <w:szCs w:val="24"/>
        </w:rPr>
      </w:pPr>
      <w:r>
        <w:rPr>
          <w:sz w:val="24"/>
          <w:szCs w:val="24"/>
        </w:rPr>
        <w:t xml:space="preserve">Basados en datos de la ENAHO 2020, se estima una diferencia de casi 4 años de escolaridad promedio entre las personas de 15 años y más que están en situación de pobreza en comparación con los que no son pobres. Otra brecha igualmente importante se nota en la no asistencia a educación regular de las personas entre 13 y 17 </w:t>
      </w:r>
      <w:proofErr w:type="gramStart"/>
      <w:r>
        <w:rPr>
          <w:sz w:val="24"/>
          <w:szCs w:val="24"/>
        </w:rPr>
        <w:t>años de edad</w:t>
      </w:r>
      <w:proofErr w:type="gramEnd"/>
      <w:r>
        <w:rPr>
          <w:sz w:val="24"/>
          <w:szCs w:val="24"/>
        </w:rPr>
        <w:t>, la cual en los hogares pobres corresponde al 10,1 %, mientras que en los no pobres es de 4,1 %. En materia de rezago escolar, el porcentaje se estima en 30,0 % para personas entre 7 y 17 años en situación de pobreza, mientras que para los no pobres en este mismo grupo de edad es de 10,2 %. A pesar de que las mujeres reportan más años de educación, eso no necesariamente se ve reflejado en mejores oportunidades laborales ni en mayores tasas de participación laboral.</w:t>
      </w:r>
    </w:p>
    <w:p w14:paraId="05AE8AF9" w14:textId="77777777" w:rsidR="00BB534D" w:rsidRDefault="00B842B1">
      <w:pPr>
        <w:spacing w:before="0" w:after="240" w:line="240" w:lineRule="auto"/>
        <w:jc w:val="both"/>
        <w:rPr>
          <w:sz w:val="24"/>
          <w:szCs w:val="24"/>
        </w:rPr>
      </w:pPr>
      <w:r>
        <w:rPr>
          <w:sz w:val="24"/>
          <w:szCs w:val="24"/>
        </w:rPr>
        <w:t>Este año 2021, al reabrirse los centros educativos y plantear la continuidad de la metodología híbrida para el aprendizaje, se trató de generar alguna nivelación en los conocimientos de los aprendizajes. Sin embargo, las pruebas FARO para quinto y sexto grado, que deberían brindar alguna información sobre los alcances de los esfuerzos pedagógicos realizados, dieron al traste al integrar un módulo de preguntas socioeconómicas que fue reclamado por autoridades y padres y madres de familia, por lo cual las pruebas fueron desechadas.</w:t>
      </w:r>
    </w:p>
    <w:p w14:paraId="05AE8AFA" w14:textId="77777777" w:rsidR="00BB534D" w:rsidRDefault="00B842B1">
      <w:pPr>
        <w:spacing w:before="0" w:after="240" w:line="240" w:lineRule="auto"/>
        <w:jc w:val="both"/>
        <w:rPr>
          <w:sz w:val="24"/>
          <w:szCs w:val="24"/>
        </w:rPr>
      </w:pPr>
      <w:r>
        <w:rPr>
          <w:sz w:val="24"/>
          <w:szCs w:val="24"/>
        </w:rPr>
        <w:t>Según la Encuesta Nacional de Discapacidad</w:t>
      </w:r>
      <w:r>
        <w:rPr>
          <w:sz w:val="24"/>
          <w:szCs w:val="24"/>
          <w:vertAlign w:val="superscript"/>
        </w:rPr>
        <w:footnoteReference w:id="51"/>
      </w:r>
      <w:r>
        <w:rPr>
          <w:sz w:val="24"/>
          <w:szCs w:val="24"/>
        </w:rPr>
        <w:t>, que se aplicó a la población de 18 años y más, solamente el 11.2% de las personas con discapacidad encuestadas tiene acceso a la educación. Además, el 55.4 % de los centros educativos no son accesibles. Sin embargo, en dos subgrupos destaca la asistencia a la universidad: 10.4% entre quienes tienen discapacidad leve a moderada y 14.1% entre la población joven con discapacidad. En ambos grupos también es representativa la asistencia a la educación secundaria. En el ámbito educativo, las personas con discapacidad presentan menor logro educativo, con diferencias estadísticamente significativas con respecto a quienes no tienen discapacidad. Las primeras se concentran en los tres niveles más bajos, con la mayor brecha en primaria incompleta (96 puntos porcentuales).</w:t>
      </w:r>
      <w:r>
        <w:rPr>
          <w:sz w:val="24"/>
          <w:szCs w:val="24"/>
          <w:vertAlign w:val="superscript"/>
        </w:rPr>
        <w:footnoteReference w:id="52"/>
      </w:r>
      <w:r>
        <w:rPr>
          <w:sz w:val="24"/>
          <w:szCs w:val="24"/>
        </w:rPr>
        <w:t xml:space="preserve"> En todos los niveles de educación, o falta de educación, sobresalen las mujeres.</w:t>
      </w:r>
    </w:p>
    <w:p w14:paraId="05AE8AFB" w14:textId="77777777" w:rsidR="00BB534D" w:rsidRDefault="00B842B1">
      <w:pPr>
        <w:spacing w:before="0" w:after="160" w:line="240" w:lineRule="auto"/>
        <w:jc w:val="both"/>
        <w:rPr>
          <w:sz w:val="24"/>
          <w:szCs w:val="24"/>
        </w:rPr>
      </w:pPr>
      <w:r>
        <w:rPr>
          <w:sz w:val="24"/>
          <w:szCs w:val="24"/>
        </w:rPr>
        <w:t xml:space="preserve">En el contexto costarricense, las circunstancias específicas del desplazamiento forzado de la población migrante y solicitantes de refugio tienen efectos diferenciados en términos del acceso a la educación y la validación y equiparación de títulos. El reconocimiento de educación primaria y secundaria es bastante accesible y lo realiza el Ministerio de Educación Pública (MEP). En contraste, el reconocimiento de educación técnica, a cargo del INA y la universitaria, a cargo del CONARE, es uno de los obstáculos principales a los que se enfrentan las personas migrantes y refugiadas en lo relativo al acceso a la educación, debido a los requisitos, duración de las gestiones y costos asociados. </w:t>
      </w:r>
    </w:p>
    <w:p w14:paraId="05AE8AFC" w14:textId="77777777" w:rsidR="00BB534D" w:rsidRDefault="00B842B1">
      <w:pPr>
        <w:pStyle w:val="Heading2"/>
        <w:spacing w:before="360" w:after="120" w:line="240" w:lineRule="auto"/>
        <w:rPr>
          <w:color w:val="4A86E8"/>
          <w:sz w:val="24"/>
          <w:szCs w:val="24"/>
        </w:rPr>
      </w:pPr>
      <w:bookmarkStart w:id="3" w:name="_jihchbjmjab0" w:colFirst="0" w:colLast="0"/>
      <w:bookmarkEnd w:id="3"/>
      <w:r>
        <w:rPr>
          <w:color w:val="4A86E8"/>
          <w:sz w:val="24"/>
          <w:szCs w:val="24"/>
        </w:rPr>
        <w:t>2.3. Pobreza y protección social</w:t>
      </w:r>
      <w:r>
        <w:rPr>
          <w:color w:val="4A86E8"/>
          <w:sz w:val="24"/>
          <w:szCs w:val="24"/>
        </w:rPr>
        <w:tab/>
      </w:r>
    </w:p>
    <w:p w14:paraId="05AE8AFD" w14:textId="77777777" w:rsidR="00BB534D" w:rsidRDefault="00B842B1">
      <w:pPr>
        <w:spacing w:before="0" w:after="240" w:line="240" w:lineRule="auto"/>
        <w:jc w:val="both"/>
        <w:rPr>
          <w:sz w:val="24"/>
          <w:szCs w:val="24"/>
        </w:rPr>
      </w:pPr>
      <w:r>
        <w:rPr>
          <w:sz w:val="24"/>
          <w:szCs w:val="24"/>
        </w:rPr>
        <w:t>Las políticas públicas se han enfocado hacia la atención de la desigualdad social</w:t>
      </w:r>
      <w:r>
        <w:rPr>
          <w:sz w:val="24"/>
          <w:szCs w:val="24"/>
          <w:vertAlign w:val="superscript"/>
        </w:rPr>
        <w:footnoteReference w:id="53"/>
      </w:r>
      <w:r>
        <w:rPr>
          <w:sz w:val="24"/>
          <w:szCs w:val="24"/>
          <w:vertAlign w:val="superscript"/>
        </w:rPr>
        <w:t>,</w:t>
      </w:r>
      <w:r>
        <w:rPr>
          <w:sz w:val="24"/>
          <w:szCs w:val="24"/>
        </w:rPr>
        <w:t xml:space="preserve"> principalmente a través de la implementación de políticas sociales universales y programas selectivos, que han contribuido al mejoramiento de los indicadores sociales y a una reducción de la pobreza multidimensional (CCA, 2016, MANUD). El Informe sobre Desarrollo Humano para América Latina y el Caribe 2016, permite visualizar retos comunes que enfrentan los países de la región en términos de la necesidad de innovar para sostener el progreso y reducir la vulnerabilidad. </w:t>
      </w:r>
    </w:p>
    <w:p w14:paraId="05AE8AFE" w14:textId="77777777" w:rsidR="00BB534D" w:rsidRDefault="00B842B1">
      <w:pPr>
        <w:spacing w:before="0" w:line="240" w:lineRule="auto"/>
        <w:jc w:val="both"/>
        <w:rPr>
          <w:sz w:val="24"/>
          <w:szCs w:val="24"/>
        </w:rPr>
      </w:pPr>
      <w:r>
        <w:rPr>
          <w:sz w:val="24"/>
          <w:szCs w:val="24"/>
        </w:rPr>
        <w:t>En este ámbito, algunos de los avances importantes en los últimos años ha sido la creación del Sistema Nacional de Información y Registro Único de Beneficiarios (SINIRUBE) y el programa “Puente al Desarrollo”, que a través de su componente denominado “Puente al Bienestar”, el país pretende “atender de manera integral e interinstitucional a hogares en pobreza extrema, incidiendo multidimensionalmente en su situación de vida.”</w:t>
      </w:r>
      <w:r>
        <w:rPr>
          <w:sz w:val="24"/>
          <w:szCs w:val="24"/>
          <w:vertAlign w:val="superscript"/>
        </w:rPr>
        <w:footnoteReference w:id="54"/>
      </w:r>
      <w:r>
        <w:rPr>
          <w:sz w:val="24"/>
          <w:szCs w:val="24"/>
        </w:rPr>
        <w:t xml:space="preserve"> Esto se logra mediante el acceso a programas y servicios sociales de forma preferente, articulada e integral, a través del Modelo de Intervención Institucional que involucra una red de 18 entidades del sistema de protección social costarricense</w:t>
      </w:r>
      <w:r>
        <w:rPr>
          <w:sz w:val="24"/>
          <w:szCs w:val="24"/>
          <w:vertAlign w:val="superscript"/>
        </w:rPr>
        <w:footnoteReference w:id="55"/>
      </w:r>
      <w:r>
        <w:rPr>
          <w:sz w:val="24"/>
          <w:szCs w:val="24"/>
        </w:rPr>
        <w:t xml:space="preserve">. Esta modalidad de atención incorpora un componente de articulación directamente relacionado con la prevención de los ciclos de violencia contra las mujeres, según el Eje 3 del Plan Nacional para la Atención y Prevención de la Violencia contra las Mujeres (PLANOVI) 2017-2032, orientado a la “ruptura de la transmisión intergeneracional del ciclo de violencia-pobreza en niñas y adolescentes embarazadas, niñas y adolescentes madres, sus hijas e hijos”. La pobreza en Costa Rica está sobrerrepresentada por la niñez y adolescencia, ya que el nivel de pobreza de niños, niñas y adolescentes es en promedio 10% mayor que el de la población nacional como un todo. Por ello, 1 de cada 3 niños, niñas y adolescentes en Costa Rica vive en condición de pobreza o pobreza extrema. </w:t>
      </w:r>
    </w:p>
    <w:p w14:paraId="05AE8AFF" w14:textId="77777777" w:rsidR="00BB534D" w:rsidRDefault="00BB534D">
      <w:pPr>
        <w:spacing w:before="0" w:line="240" w:lineRule="auto"/>
        <w:jc w:val="both"/>
        <w:rPr>
          <w:sz w:val="24"/>
          <w:szCs w:val="24"/>
        </w:rPr>
      </w:pPr>
    </w:p>
    <w:p w14:paraId="05AE8B00" w14:textId="77777777" w:rsidR="00BB534D" w:rsidRDefault="00B842B1">
      <w:pPr>
        <w:spacing w:before="0" w:line="240" w:lineRule="auto"/>
        <w:jc w:val="both"/>
        <w:rPr>
          <w:sz w:val="24"/>
          <w:szCs w:val="24"/>
        </w:rPr>
      </w:pPr>
      <w:r>
        <w:rPr>
          <w:sz w:val="24"/>
          <w:szCs w:val="24"/>
        </w:rPr>
        <w:t xml:space="preserve">Ante esta situación, los programas de protección social Crecemos y Avancemos son de crucial importancia en el país, ya que directamente impulsan la permanencia y reinserción en el sistema educativo de niños, niñas y adolescentes en condición de pobreza extrema, como estrategia directa para potenciar sus capacidades de desarrollo, prevenir el trabajo infantil y revertir los procesos de rezago, abandono y deserción educativa. Al ser la etapa de primera infancia vital para el desarrollo integral futuro de </w:t>
      </w:r>
      <w:proofErr w:type="gramStart"/>
      <w:r>
        <w:rPr>
          <w:sz w:val="24"/>
          <w:szCs w:val="24"/>
        </w:rPr>
        <w:t>los niños y niñas</w:t>
      </w:r>
      <w:proofErr w:type="gramEnd"/>
      <w:r>
        <w:rPr>
          <w:sz w:val="24"/>
          <w:szCs w:val="24"/>
        </w:rPr>
        <w:t xml:space="preserve">, resulta preocupante que en Costa Rica sólo el 15% de los niños de 3 años se beneficia con algún tipo de atención centralizada, lo cual es un nivel muy bajo comparado con más del 40% en otros países latinoamericanos como México, Brasil y Chile. A pesar del fortalecimiento que ha venido experimentando la Red Nacional de Cuido y Desarrollo Infantil en los últimos años, todavía tiene muchos retos en cuanto a niveles de calidad estandarizada y cobertura de los servicios ofrecidos por las distintas alternativas de cuido infantil público. Un muy importante avance en la dirección correcta es el Programa NIDO, el cual está dirigido a la atención de las necesidades de aquellos hogares en situación de pobreza extrema, con presencia de mujeres en estado de gestación o lactancia, durante 36 meses, brindando apoyo de hasta 17 servicios o asistencias que brindan diferentes instituciones públicas, en materia de salud, apoyo psicosocial, crianza positiva, vivienda, capacidades para el empleo, entre otros. En el marco de la actual situación económica y fiscal, el reto del país y no permitir que los avances logrados por sus programas de protección social se vean reducidos o perdidos, y más bien, lograr aumentar su escala de cobertura e impacto para incidir así en el cierre de las brechas socioeconómicas y de pobreza. </w:t>
      </w:r>
    </w:p>
    <w:p w14:paraId="05AE8B01" w14:textId="77777777" w:rsidR="00BB534D" w:rsidRDefault="00BB534D">
      <w:pPr>
        <w:spacing w:before="0" w:line="240" w:lineRule="auto"/>
        <w:jc w:val="both"/>
        <w:rPr>
          <w:sz w:val="24"/>
          <w:szCs w:val="24"/>
        </w:rPr>
      </w:pPr>
    </w:p>
    <w:p w14:paraId="05AE8B02" w14:textId="77777777" w:rsidR="00BB534D" w:rsidRDefault="00B842B1">
      <w:pPr>
        <w:spacing w:before="0" w:line="240" w:lineRule="auto"/>
        <w:jc w:val="both"/>
        <w:rPr>
          <w:sz w:val="24"/>
          <w:szCs w:val="24"/>
        </w:rPr>
      </w:pPr>
      <w:r>
        <w:rPr>
          <w:sz w:val="24"/>
          <w:szCs w:val="24"/>
        </w:rPr>
        <w:t xml:space="preserve">La violencia hacia los niños, niñas y adolescentes ha sido también una constante en el país durante los últimos años y está relacionada con factores estructurales y culturales asociados a patrones de crianza y normas sociales de convivencia. Por ejemplo, la agresión psicológica y/o castigo físico de sus cuidadores, una forma de disciplina violenta, según los datos de la EMNA 2018 lo han experimentado el 49,3 % de </w:t>
      </w:r>
      <w:proofErr w:type="gramStart"/>
      <w:r>
        <w:rPr>
          <w:sz w:val="24"/>
          <w:szCs w:val="24"/>
        </w:rPr>
        <w:t>los niños y niñas</w:t>
      </w:r>
      <w:proofErr w:type="gramEnd"/>
      <w:r>
        <w:rPr>
          <w:sz w:val="24"/>
          <w:szCs w:val="24"/>
        </w:rPr>
        <w:t xml:space="preserve"> entre 1-14 años. De las cerca de 53,000 denuncias anuales por maltrato infantil que PANI ha estado recibiendo durante los últimos años, cerca del 20% se debe a conflictos familiares; 17% a la agresión física; 6% al </w:t>
      </w:r>
      <w:proofErr w:type="gramStart"/>
      <w:r>
        <w:rPr>
          <w:sz w:val="24"/>
          <w:szCs w:val="24"/>
        </w:rPr>
        <w:t>abuso sexual y explotación sexual</w:t>
      </w:r>
      <w:proofErr w:type="gramEnd"/>
      <w:r>
        <w:rPr>
          <w:sz w:val="24"/>
          <w:szCs w:val="24"/>
        </w:rPr>
        <w:t xml:space="preserve"> comercial. En cuanto a la explotación sexual comercial de niños, niñas y adolescentes, según información del Centro de Información y Orientación del PANI-911, para el año 2020 se recibieron 301 denuncias por Explotación Sexual Comercial y 13 denuncias por trata por Explotación Sexual Comercial de personas menores de edad.</w:t>
      </w:r>
    </w:p>
    <w:p w14:paraId="05AE8B03" w14:textId="77777777" w:rsidR="00BB534D" w:rsidRDefault="00BB534D">
      <w:pPr>
        <w:spacing w:before="0" w:line="240" w:lineRule="auto"/>
        <w:jc w:val="both"/>
        <w:rPr>
          <w:sz w:val="24"/>
          <w:szCs w:val="24"/>
        </w:rPr>
      </w:pPr>
    </w:p>
    <w:p w14:paraId="05AE8B04" w14:textId="77777777" w:rsidR="00BB534D" w:rsidRDefault="00B842B1">
      <w:pPr>
        <w:widowControl w:val="0"/>
        <w:spacing w:before="0" w:after="160" w:line="240" w:lineRule="auto"/>
        <w:jc w:val="both"/>
        <w:rPr>
          <w:sz w:val="24"/>
          <w:szCs w:val="24"/>
        </w:rPr>
      </w:pPr>
      <w:r>
        <w:rPr>
          <w:sz w:val="24"/>
          <w:szCs w:val="24"/>
        </w:rPr>
        <w:t>Para el 2020, el 75,4% de los nacimientos en adolescentes entre 15 y 19 años, no declaran la edad del progenitor, situación que se repite en el 93.7% de las niñas madres (14 años o menos). El no reporte de la edad del padre, podría estar invisibilizando que dichos nacimientos se dieron en el marco de lo que se denomina una “relación impropia”, es decir, que el embarazo fue producto de una relación sexual entre una persona menor de edad y un hombre adulto. Ante la crisis por la pandemia COVID 19, se destaca que existe una relación importante entre las condiciones de bienestar económico y el trabajo infantil, por lo que este podría verse incrementado debido a los efectos de la crisis. Este impacto será diferenciado en las regiones del país, debido a las características económicas, sociales, geográficas y culturales de cada una, por lo que las personas menores de edad que se encuentren en hogares pobres y en localidades con menor desarrollo, serán mayormente afectados. Esta situación se ve acentuada en poblaciones migrantes indígenas Ngäbe-Buglé que migran a Costa Rica en grupos familiares a la recolección del café.</w:t>
      </w:r>
    </w:p>
    <w:p w14:paraId="05AE8B05" w14:textId="77777777" w:rsidR="00BB534D" w:rsidRDefault="00B842B1">
      <w:pPr>
        <w:widowControl w:val="0"/>
        <w:spacing w:before="0" w:after="160" w:line="240" w:lineRule="auto"/>
        <w:jc w:val="both"/>
        <w:rPr>
          <w:sz w:val="24"/>
          <w:szCs w:val="24"/>
        </w:rPr>
      </w:pPr>
      <w:r>
        <w:rPr>
          <w:sz w:val="24"/>
          <w:szCs w:val="24"/>
        </w:rPr>
        <w:t>En el caso de las personas con discapacidad, el binomio discapacidad y pobreza ha sido demostrado por el INEC</w:t>
      </w:r>
      <w:r>
        <w:rPr>
          <w:sz w:val="24"/>
          <w:szCs w:val="24"/>
          <w:vertAlign w:val="superscript"/>
        </w:rPr>
        <w:footnoteReference w:id="56"/>
      </w:r>
      <w:r>
        <w:rPr>
          <w:sz w:val="24"/>
          <w:szCs w:val="24"/>
        </w:rPr>
        <w:t xml:space="preserve"> que reveló que el 30.3% de las personas con discapacidad mayores de 18 se encuentran en el I quintil (18.5% mujeres y 11.7% hombres). </w:t>
      </w:r>
    </w:p>
    <w:p w14:paraId="05AE8B06" w14:textId="77777777" w:rsidR="00BB534D" w:rsidRDefault="00B842B1">
      <w:pPr>
        <w:spacing w:before="0" w:after="160" w:line="240" w:lineRule="auto"/>
        <w:jc w:val="both"/>
        <w:rPr>
          <w:sz w:val="24"/>
          <w:szCs w:val="24"/>
        </w:rPr>
      </w:pPr>
      <w:r>
        <w:rPr>
          <w:sz w:val="24"/>
          <w:szCs w:val="24"/>
        </w:rPr>
        <w:t xml:space="preserve">El perfil socioeconómico de la población migrante y solicitante de refugio viene determinado por la circunstancia de desplazamiento. Con frecuencia, estas personas no cuentan con los requisitos para acceder a fuentes formales de empleo o autoempleo en el país de acogida. En términos generales, tienen limitaciones para demostrar: certificaciones de estudios realizados, sea cual sea el nivel académico alcanzado; referencias de antiguas personas empleadoras; documentación apropiada, según el punto de vista de las personas empleadoras, para optar por un empleo o para gestionar una empresa por cuenta propia. El acceso a los programas de asistencia del IMAS es limitado para las personas migrantes y solicitantes de refugio, sobre todo para quienes solo cuentan con la cita ante la DGME, pero aún no tienen su documento de solicitantes de refugio. Las personas solicitantes de refugio, si bien pueden solicitar evaluación en IMAS, son excluidas de programas específicos según las políticas internas de cada oficina local. La mayoría de las familias que solicitan asistencia son lideradas por mujeres y, por lo general, se encuentran desempleadas y no cuentan con redes de apoyo sociales o institucionales en el país. </w:t>
      </w:r>
    </w:p>
    <w:p w14:paraId="05AE8B07" w14:textId="77777777" w:rsidR="00BB534D" w:rsidRDefault="00B842B1">
      <w:pPr>
        <w:spacing w:before="240" w:after="240" w:line="240" w:lineRule="auto"/>
        <w:jc w:val="both"/>
        <w:rPr>
          <w:sz w:val="24"/>
          <w:szCs w:val="24"/>
        </w:rPr>
      </w:pPr>
      <w:r>
        <w:rPr>
          <w:sz w:val="24"/>
          <w:szCs w:val="24"/>
        </w:rPr>
        <w:t>Las personas lesbianas, gais, bisexuales, trans e intersex deben hacer frente a grandes dificultades para insertarse y permanecer en el mercado de trabajo, debido a la discriminación laboral por orientación sexual e identidad de género que sufren. Las situaciones de acoso, violencia y discriminación les impiden seguir sus aspiraciones laborales y ven descalificado su trabajo de distintas maneras, como al no confiárseles tareas de responsabilidad. El éxito en la búsqueda y la permanencia en el empleo se ve condicionado por el ocultamiento de la orientación sexual o la identidad de género, una verdadera afrenta contra sus derechos en tanto ello implica esconder un rasgo esencial de su identidad</w:t>
      </w:r>
      <w:r>
        <w:rPr>
          <w:sz w:val="24"/>
          <w:szCs w:val="24"/>
          <w:vertAlign w:val="superscript"/>
        </w:rPr>
        <w:footnoteReference w:id="57"/>
      </w:r>
      <w:r>
        <w:rPr>
          <w:sz w:val="24"/>
          <w:szCs w:val="24"/>
        </w:rPr>
        <w:t xml:space="preserve">. Para evitar la </w:t>
      </w:r>
      <w:proofErr w:type="spellStart"/>
      <w:r>
        <w:rPr>
          <w:sz w:val="24"/>
          <w:szCs w:val="24"/>
        </w:rPr>
        <w:t>invisibilización</w:t>
      </w:r>
      <w:proofErr w:type="spellEnd"/>
      <w:r>
        <w:rPr>
          <w:sz w:val="24"/>
          <w:szCs w:val="24"/>
        </w:rPr>
        <w:t xml:space="preserve"> de formas específicas y agravadas de discriminación y exclusión como la que afectan a las personas trans, es conveniente reconocer que no hablamos de un grupo con oportunidades, condiciones y necesidades homogéneas. </w:t>
      </w:r>
    </w:p>
    <w:p w14:paraId="05AE8B08" w14:textId="77777777" w:rsidR="00BB534D" w:rsidRDefault="00B842B1">
      <w:pPr>
        <w:spacing w:before="240" w:after="240" w:line="240" w:lineRule="auto"/>
        <w:jc w:val="both"/>
        <w:rPr>
          <w:sz w:val="24"/>
          <w:szCs w:val="24"/>
        </w:rPr>
      </w:pPr>
      <w:r>
        <w:rPr>
          <w:sz w:val="24"/>
          <w:szCs w:val="24"/>
        </w:rPr>
        <w:t>El Comité DESC recomendó a Costa Rica que asegurase que la Estrategia Nacional para la Reducción de la Pobreza estableciese metas específicas, fuese implementada con un enfoque de derechos humanos, contase con los recursos suficientes y prestase la debida atención a las diferencias y brechas existentes entre los diferentes grupos sociales. Asimismo, adoptase una estrategia integral de vivienda social que estuviese basada en el derecho de toda persona a una vivienda adecuada y asequible, brindase la debida prioridad a las personas y grupos desfavorecidos y marginados que vivieran en asentamientos informales o en condiciones inciertas y desfavorables y los protegiera contra los desalojos forzosos, combatiese la segregación y exclusión social y previese una dotación de recursos adecuada y un marco de rendición de cuentas.</w:t>
      </w:r>
      <w:r>
        <w:rPr>
          <w:sz w:val="24"/>
          <w:szCs w:val="24"/>
          <w:vertAlign w:val="superscript"/>
        </w:rPr>
        <w:footnoteReference w:id="58"/>
      </w:r>
    </w:p>
    <w:p w14:paraId="05AE8B09" w14:textId="77777777" w:rsidR="00BB534D" w:rsidRDefault="00B842B1">
      <w:pPr>
        <w:spacing w:before="240" w:after="240" w:line="240" w:lineRule="auto"/>
        <w:jc w:val="both"/>
        <w:rPr>
          <w:sz w:val="24"/>
          <w:szCs w:val="24"/>
        </w:rPr>
      </w:pPr>
      <w:r>
        <w:rPr>
          <w:sz w:val="24"/>
          <w:szCs w:val="24"/>
        </w:rPr>
        <w:t>El país cuenta con la Ley Autónoma Indígena y el Reglamento de la Ley Indígena y ha ratificado el Convenio sobre pueblos indígenas y tribales, 1989 (núm. 169) de la OIT, en el año 1993 En el 2018 se adoptó los mecanismos de consulta y se está en proceso de formulación de la política de Pueblos Indígenas a través de este mecanismo. Estos mecanismos son vitales para establecer programas pertinentes y adaptados a su cosmovisión que puedan abordar las problemáticas sociales que les afectan. Subsisten desafíos en el nivel de la representatividad y legitimidad de las organizaciones de los pueblos indígenas para hacer efectiva esta consulta previa y en cuanto a contar con una legislación que, si bien les proteja, sea concebida y consultada previamente con los pueblos indígenas. Para el año 2019 Costa Rica impulsó la ley 9710 denominada “Protección del derecho a la nacionalidad costarricense de la persona indígena transfronteriza y garantía de integración de la persona indígena transfronteriza”, que viene a reforzar los procesos del Gobierno de Costa Rica para con las poblaciones migrantes indígenas y la diáspora en territorio nacional. También deben considerarse otras situaciones concatenadas que tienen que ver con el derecho a la tierra, la autonomía, las capacidades de planificación y desarrollo territorial, la seguridad y convivencia pacífica y la participación de las mujeres en la toma de decisiones.</w:t>
      </w:r>
    </w:p>
    <w:p w14:paraId="05AE8B0A" w14:textId="77777777" w:rsidR="00BB534D" w:rsidRDefault="00B842B1">
      <w:pPr>
        <w:spacing w:before="240" w:after="240" w:line="240" w:lineRule="auto"/>
        <w:jc w:val="both"/>
        <w:rPr>
          <w:sz w:val="24"/>
          <w:szCs w:val="24"/>
        </w:rPr>
      </w:pPr>
      <w:r>
        <w:rPr>
          <w:sz w:val="24"/>
          <w:szCs w:val="24"/>
        </w:rPr>
        <w:t xml:space="preserve">La ocurrencia de frecuentes eventos hidrometeorológicos impacta con más dureza a las personas en condición de pobreza cuyo nivel de exposición es mayor y su capacidad de protección y recuperación es menor. Tomando en cuenta que en muchas zonas del país estos eventos pueden ser recurrentes, la mayoría de estas personas sufren pérdidas frecuentes que afectan su escaso patrimonio y posesiones, dificultando su capacidad de progreso económico. Por otra parte, la evaluación del desastre suele estar orientada a determinar los daños en la infraestructura y la estimación de pérdidas materiales, invisibilizando de alguna manera el impacto en las personas. Por lo </w:t>
      </w:r>
      <w:proofErr w:type="gramStart"/>
      <w:r>
        <w:rPr>
          <w:sz w:val="24"/>
          <w:szCs w:val="24"/>
        </w:rPr>
        <w:t>tanto</w:t>
      </w:r>
      <w:proofErr w:type="gramEnd"/>
      <w:r>
        <w:rPr>
          <w:sz w:val="24"/>
          <w:szCs w:val="24"/>
        </w:rPr>
        <w:t xml:space="preserve"> los esfuerzos se concentran en la reconstrucción de la infraestructura principal, dejando vacíos en el restablecimiento de medios de vida. </w:t>
      </w:r>
    </w:p>
    <w:p w14:paraId="05AE8B0B" w14:textId="77777777" w:rsidR="00BB534D" w:rsidRDefault="00B842B1">
      <w:pPr>
        <w:pStyle w:val="Heading2"/>
        <w:spacing w:before="360" w:after="120" w:line="240" w:lineRule="auto"/>
        <w:rPr>
          <w:color w:val="4A86E8"/>
          <w:sz w:val="24"/>
          <w:szCs w:val="24"/>
        </w:rPr>
      </w:pPr>
      <w:bookmarkStart w:id="4" w:name="_vq2n26951uga" w:colFirst="0" w:colLast="0"/>
      <w:bookmarkEnd w:id="4"/>
      <w:r>
        <w:rPr>
          <w:color w:val="4A86E8"/>
          <w:sz w:val="24"/>
          <w:szCs w:val="24"/>
        </w:rPr>
        <w:t xml:space="preserve">2.4 Arte, cultura y recreación </w:t>
      </w:r>
    </w:p>
    <w:p w14:paraId="05AE8B0C" w14:textId="77777777" w:rsidR="00BB534D" w:rsidRDefault="00B842B1">
      <w:pPr>
        <w:spacing w:before="0" w:after="160" w:line="240" w:lineRule="auto"/>
        <w:jc w:val="both"/>
        <w:rPr>
          <w:sz w:val="24"/>
          <w:szCs w:val="24"/>
        </w:rPr>
      </w:pPr>
      <w:r>
        <w:rPr>
          <w:sz w:val="24"/>
          <w:szCs w:val="24"/>
        </w:rPr>
        <w:t xml:space="preserve">A pesar de avances significativos en los últimos años, como el reconocimiento del carácter multiétnico y pluricultural de la República en el Artículo 1 de la Constitución Política, persiste un desconocimiento generalizado de los derechos culturales y la importancia de su ejercicio como parte del bienestar humano colectivo. </w:t>
      </w:r>
    </w:p>
    <w:p w14:paraId="05AE8B0D" w14:textId="77777777" w:rsidR="00BB534D" w:rsidRDefault="00B842B1">
      <w:pPr>
        <w:spacing w:before="0" w:after="160" w:line="240" w:lineRule="auto"/>
        <w:jc w:val="both"/>
        <w:rPr>
          <w:sz w:val="24"/>
          <w:szCs w:val="24"/>
        </w:rPr>
      </w:pPr>
      <w:r>
        <w:rPr>
          <w:sz w:val="24"/>
          <w:szCs w:val="24"/>
        </w:rPr>
        <w:t xml:space="preserve">El Ministerio de Cultura y Juventud formalmente tiene por misión fomentar y preservar la pluralidad y diversidad cultural, y facilitar la participación de todos los sectores sociales en los procesos de desarrollo cultural y artístico. Para ello ha desarrollado diversos instrumentos, particularmente la Política Nacional de Derechos Culturales 2014-2023 (PNDC), que busca guiar la acción del MCJ y procurar impacto y coherencia de la política pública de cultura. La PNDC se nutre de una serie de artículos de instrumentos de Derechos Humanos suscritos por Costa Rica. Además, Costa Rica ha adoptado mediante el Decreto Ejecutivo n°42148 - C-MEIC-MICITT la Estrategia Nacional “Costa Rica Creativa y Cultural 2030” la cual promueve los emprendimientos creativos y culturales como motor del desarrollo económico, social y cultural de manera sostenible. Esta Estrategia enmarca el trabajo del Ministerio de Cultura en materia de industrias culturales y creativas, con el objetivo de mejorar la sostenibilidad y competitividad a partir del reconocimiento, desarrollo y aprovechamiento de las capacidades y recursos culturales en el país, tanto de personas nacionales como de extranjeras residentes. </w:t>
      </w:r>
    </w:p>
    <w:p w14:paraId="05AE8B0E" w14:textId="77777777" w:rsidR="00BB534D" w:rsidRDefault="00B842B1">
      <w:pPr>
        <w:spacing w:before="0" w:after="160" w:line="240" w:lineRule="auto"/>
        <w:jc w:val="both"/>
        <w:rPr>
          <w:sz w:val="24"/>
          <w:szCs w:val="24"/>
        </w:rPr>
      </w:pPr>
      <w:r>
        <w:rPr>
          <w:sz w:val="24"/>
          <w:szCs w:val="24"/>
        </w:rPr>
        <w:t>Los sectores artísticos y culturales de Costa Rica se encuentran, de manera general, en una situación de vulnerabilidad social y económica debido a una prevalencia histórica del trabajo informal en el sector, aspecto que se espera abordar mediante la Estrategia Nacional Costa Rica Creativa y Cultural 2030. Según la Encuesta Nacional de Hogares</w:t>
      </w:r>
      <w:r>
        <w:rPr>
          <w:sz w:val="24"/>
          <w:szCs w:val="24"/>
          <w:vertAlign w:val="superscript"/>
        </w:rPr>
        <w:footnoteReference w:id="59"/>
      </w:r>
      <w:r>
        <w:rPr>
          <w:sz w:val="24"/>
          <w:szCs w:val="24"/>
        </w:rPr>
        <w:t xml:space="preserve">, 32.479 personas se identificaron como trabajadoras creativas, artísticas y del entretenimiento, de las cuales 28.925 trabajan en el sector privado/independiente. Del total que se dedican a actividades artísticas 1.310 se encuentran en extrema pobreza y 2.718 son pobres. El 58% (14.000) de las personas trabajadoras que se encuentran en ocupaciones básicas sobreviven con un salario promedio cercano al mínimo. </w:t>
      </w:r>
    </w:p>
    <w:p w14:paraId="05AE8B0F" w14:textId="77777777" w:rsidR="00BB534D" w:rsidRDefault="00B842B1">
      <w:pPr>
        <w:spacing w:before="0" w:after="160" w:line="240" w:lineRule="auto"/>
        <w:jc w:val="both"/>
        <w:rPr>
          <w:sz w:val="24"/>
          <w:szCs w:val="24"/>
        </w:rPr>
      </w:pPr>
      <w:r>
        <w:rPr>
          <w:sz w:val="24"/>
          <w:szCs w:val="24"/>
        </w:rPr>
        <w:t xml:space="preserve">La creación del Sistema de Información Cultural (SICULTURA), la Cuenta Satélite de Cultura y la Unidad de Cultura y Economía del Ministerio de Cultura y Juventud, permiten un conocimiento mucho más detallado del sector y de sus necesidades, lo cual permite formular política pública para atender sus necesidades específicas. Se debe velar por la protección de los derechos laborales y la protección social de las personas trabajadoras de la cultura, incluyendo a las personas migrantes trabajadoras del sector. </w:t>
      </w:r>
    </w:p>
    <w:p w14:paraId="05AE8B10" w14:textId="77777777" w:rsidR="00BB534D" w:rsidRDefault="00B842B1">
      <w:pPr>
        <w:pStyle w:val="Heading3"/>
        <w:spacing w:before="320" w:after="80" w:line="240" w:lineRule="auto"/>
        <w:jc w:val="both"/>
        <w:rPr>
          <w:i/>
          <w:color w:val="4A86E8"/>
        </w:rPr>
      </w:pPr>
      <w:r>
        <w:rPr>
          <w:i/>
          <w:color w:val="4A86E8"/>
        </w:rPr>
        <w:t xml:space="preserve">Mirando hacia el futuro </w:t>
      </w:r>
    </w:p>
    <w:p w14:paraId="05AE8B11" w14:textId="77777777" w:rsidR="00BB534D" w:rsidRDefault="00B842B1">
      <w:pPr>
        <w:spacing w:before="0" w:after="160" w:line="240" w:lineRule="auto"/>
        <w:jc w:val="both"/>
        <w:rPr>
          <w:sz w:val="24"/>
          <w:szCs w:val="24"/>
        </w:rPr>
      </w:pPr>
      <w:r>
        <w:rPr>
          <w:sz w:val="24"/>
          <w:szCs w:val="24"/>
        </w:rPr>
        <w:t xml:space="preserve">Costa Rica se encuentra ante un reto de dimensiones insospechadas. Para lograr la inclusión social, el país tendrá que tomar medidas profundas para lo que requerirá generar evidencia cuantitativa y cualitativa sobre los impactos de la pandemia y la afectación diferenciada en los distintos grupos de población y en las distintas áreas del desarrollo humano, y tomar decisiones para disminuir la desigualdad social y proveer oportunidades acordes a los derechos humanos de </w:t>
      </w:r>
      <w:proofErr w:type="gramStart"/>
      <w:r>
        <w:rPr>
          <w:sz w:val="24"/>
          <w:szCs w:val="24"/>
        </w:rPr>
        <w:t>niñas y niños</w:t>
      </w:r>
      <w:proofErr w:type="gramEnd"/>
      <w:r>
        <w:rPr>
          <w:sz w:val="24"/>
          <w:szCs w:val="24"/>
        </w:rPr>
        <w:t xml:space="preserve"> y de todas las personas en general. A </w:t>
      </w:r>
      <w:proofErr w:type="gramStart"/>
      <w:r>
        <w:rPr>
          <w:sz w:val="24"/>
          <w:szCs w:val="24"/>
        </w:rPr>
        <w:t>continuación</w:t>
      </w:r>
      <w:proofErr w:type="gramEnd"/>
      <w:r>
        <w:rPr>
          <w:sz w:val="24"/>
          <w:szCs w:val="24"/>
        </w:rPr>
        <w:t xml:space="preserve"> se detallan algunas prioridades y lineamientos estratégicos que se identificaron. </w:t>
      </w:r>
    </w:p>
    <w:p w14:paraId="05AE8B12" w14:textId="77777777" w:rsidR="00BB534D" w:rsidRDefault="00BB534D">
      <w:pPr>
        <w:spacing w:before="0" w:line="240" w:lineRule="auto"/>
        <w:jc w:val="both"/>
        <w:rPr>
          <w:sz w:val="24"/>
          <w:szCs w:val="24"/>
        </w:rPr>
      </w:pPr>
    </w:p>
    <w:p w14:paraId="05AE8B13" w14:textId="77777777" w:rsidR="00BB534D" w:rsidRDefault="00B842B1">
      <w:pPr>
        <w:numPr>
          <w:ilvl w:val="0"/>
          <w:numId w:val="12"/>
        </w:numPr>
        <w:spacing w:before="0" w:line="240" w:lineRule="auto"/>
        <w:jc w:val="both"/>
        <w:rPr>
          <w:sz w:val="24"/>
          <w:szCs w:val="24"/>
        </w:rPr>
      </w:pPr>
      <w:r>
        <w:rPr>
          <w:sz w:val="24"/>
          <w:szCs w:val="24"/>
        </w:rPr>
        <w:t xml:space="preserve">Considerar la crisis ocasionada por la pandemia como una oportunidad con el fin de avanzar hacia la salud universal, pero a la vez, reconocer el retroceso que ha generado en la solidez del sistema de salud. En este sentido se vuelve de vital importancia invertir para recuperar el sector salud, por ejemplo; incentivando la implementación de mecanismos de participación social e instituciones que incluyan rendición de cuentas por resultados, mediante informes de desempeño, auditorías independientes u otros mecanismos de escrutinio público. </w:t>
      </w:r>
    </w:p>
    <w:p w14:paraId="05AE8B14" w14:textId="77777777" w:rsidR="00BB534D" w:rsidRDefault="00BB534D">
      <w:pPr>
        <w:spacing w:before="0" w:line="240" w:lineRule="auto"/>
        <w:ind w:left="720"/>
        <w:jc w:val="both"/>
        <w:rPr>
          <w:sz w:val="24"/>
          <w:szCs w:val="24"/>
        </w:rPr>
      </w:pPr>
    </w:p>
    <w:p w14:paraId="05AE8B15" w14:textId="77777777" w:rsidR="00BB534D" w:rsidRDefault="00B842B1">
      <w:pPr>
        <w:numPr>
          <w:ilvl w:val="0"/>
          <w:numId w:val="12"/>
        </w:numPr>
        <w:shd w:val="clear" w:color="auto" w:fill="FFFFFF"/>
        <w:spacing w:before="0" w:line="240" w:lineRule="auto"/>
        <w:jc w:val="both"/>
        <w:rPr>
          <w:sz w:val="24"/>
          <w:szCs w:val="24"/>
        </w:rPr>
      </w:pPr>
      <w:r>
        <w:rPr>
          <w:sz w:val="24"/>
          <w:szCs w:val="24"/>
        </w:rPr>
        <w:t xml:space="preserve">El país requiere explorar mecanismo políticos, legales y técnicos para incrementar la participación y coordinación conjunta de los tomadores de decisión en a nivel nacional en temas de salud para la determinación de las prioridades estratégicas del sistema y los servicios de salud. Asimismo, facilitar el intercambio del análisis de la situación salud por medio de estudios país sobre cuentas de salud e indicadores de calidad de los servicios, tal como los que promueve la oficina nacional de OPS/OMS, permite un mayor reconocimiento de la realidad nacional y la respuesta país en el tema. </w:t>
      </w:r>
    </w:p>
    <w:p w14:paraId="05AE8B16" w14:textId="77777777" w:rsidR="00BB534D" w:rsidRDefault="00BB534D">
      <w:pPr>
        <w:shd w:val="clear" w:color="auto" w:fill="FFFFFF"/>
        <w:spacing w:before="0" w:line="240" w:lineRule="auto"/>
        <w:ind w:left="720"/>
        <w:jc w:val="both"/>
        <w:rPr>
          <w:sz w:val="24"/>
          <w:szCs w:val="24"/>
        </w:rPr>
      </w:pPr>
    </w:p>
    <w:p w14:paraId="05AE8B17" w14:textId="77777777" w:rsidR="00BB534D" w:rsidRDefault="00B842B1">
      <w:pPr>
        <w:numPr>
          <w:ilvl w:val="0"/>
          <w:numId w:val="12"/>
        </w:numPr>
        <w:shd w:val="clear" w:color="auto" w:fill="FFFFFF"/>
        <w:spacing w:before="0" w:after="240" w:line="240" w:lineRule="auto"/>
        <w:jc w:val="both"/>
        <w:rPr>
          <w:sz w:val="24"/>
          <w:szCs w:val="24"/>
        </w:rPr>
      </w:pPr>
      <w:r>
        <w:rPr>
          <w:sz w:val="24"/>
          <w:szCs w:val="24"/>
        </w:rPr>
        <w:t xml:space="preserve">Es importante avanzar en el desarrollo de políticas y mecanismos de regulación del sector privado en salud y la prestación de servicios privados, incluyendo, pero no exclusivamente la colaboración público-privada. Además, retomar el análisis de situación de salud y desempeño de los servicios (incluido el financiero) en todos los niveles de salud es necesario para responder realmente a las necesidades de atención de la salud local y del rendimiento del sistema. </w:t>
      </w:r>
    </w:p>
    <w:p w14:paraId="05AE8B18" w14:textId="77777777" w:rsidR="00BB534D" w:rsidRDefault="00B842B1">
      <w:pPr>
        <w:numPr>
          <w:ilvl w:val="0"/>
          <w:numId w:val="12"/>
        </w:numPr>
        <w:spacing w:before="0" w:line="240" w:lineRule="auto"/>
        <w:jc w:val="both"/>
        <w:rPr>
          <w:sz w:val="24"/>
          <w:szCs w:val="24"/>
        </w:rPr>
      </w:pPr>
      <w:r>
        <w:rPr>
          <w:sz w:val="24"/>
          <w:szCs w:val="24"/>
        </w:rPr>
        <w:t xml:space="preserve">Es necesario que el sistema de salud cuente con la capacidad de flexibilizar la distribución de la fuerza de trabajo, fundamentalmente del personal que cumple funciones clínicas para mejoría de la cobertura y calidad de los servicios de salud como respuesta a las necesidades de todas las personas. Así como el desarrollo planificado del personal de salud especializado en atención primaria, fortaleciendo enfoques de promoción de la salud y prevención de la enfermedad en conjunto con los habitantes. </w:t>
      </w:r>
    </w:p>
    <w:p w14:paraId="05AE8B19" w14:textId="77777777" w:rsidR="00BB534D" w:rsidRDefault="00BB534D">
      <w:pPr>
        <w:spacing w:before="0" w:line="240" w:lineRule="auto"/>
        <w:ind w:left="720"/>
        <w:jc w:val="both"/>
        <w:rPr>
          <w:sz w:val="24"/>
          <w:szCs w:val="24"/>
        </w:rPr>
      </w:pPr>
    </w:p>
    <w:p w14:paraId="05AE8B1A" w14:textId="77777777" w:rsidR="00BB534D" w:rsidRDefault="00B842B1">
      <w:pPr>
        <w:numPr>
          <w:ilvl w:val="0"/>
          <w:numId w:val="12"/>
        </w:numPr>
        <w:spacing w:before="0" w:line="240" w:lineRule="auto"/>
        <w:jc w:val="both"/>
        <w:rPr>
          <w:sz w:val="24"/>
          <w:szCs w:val="24"/>
        </w:rPr>
      </w:pPr>
      <w:r>
        <w:rPr>
          <w:sz w:val="24"/>
          <w:szCs w:val="24"/>
        </w:rPr>
        <w:t>Costa Rica ha avanzado en un marco legal y regulatorio para la protección de los pueblos indígenas, asimismo ha ratificado el Convenio 169 de la OIT. Sin embargo, no se ha logrado incorporar la visión de estos pueblos en la infraestructura institucional de servicios y la gobernanza territorial, de manera que se incorporen aspectos culturales y territoriales, pertinentes y oportunos para garantizar sus derechos. Aún falta completar la creación del mecanismo de consulta establecido en el Convenio No. 169.</w:t>
      </w:r>
    </w:p>
    <w:p w14:paraId="05AE8B1B" w14:textId="77777777" w:rsidR="00BB534D" w:rsidRDefault="00BB534D">
      <w:pPr>
        <w:spacing w:before="0" w:line="240" w:lineRule="auto"/>
        <w:ind w:left="720"/>
        <w:jc w:val="both"/>
        <w:rPr>
          <w:sz w:val="24"/>
          <w:szCs w:val="24"/>
        </w:rPr>
      </w:pPr>
    </w:p>
    <w:p w14:paraId="05AE8B1C" w14:textId="77777777" w:rsidR="00BB534D" w:rsidRDefault="00B842B1">
      <w:pPr>
        <w:numPr>
          <w:ilvl w:val="0"/>
          <w:numId w:val="12"/>
        </w:numPr>
        <w:spacing w:before="0" w:line="240" w:lineRule="auto"/>
        <w:jc w:val="both"/>
        <w:rPr>
          <w:sz w:val="24"/>
          <w:szCs w:val="24"/>
        </w:rPr>
      </w:pPr>
      <w:r>
        <w:rPr>
          <w:sz w:val="24"/>
          <w:szCs w:val="24"/>
        </w:rPr>
        <w:t>La ratificación por parte de Costa Rica del Acuerdo de Escazú sobre el Acceso a la Información, la Participación Pública y el Acceso a la Justicia en Asuntos Ambientales en América Latina y el Caribe, por su relevancia en cuanto a asuntos ambientales, poblaciones vulnerables como los pueblos indígenas y los defensores del ambiente.</w:t>
      </w:r>
    </w:p>
    <w:p w14:paraId="05AE8B1D" w14:textId="77777777" w:rsidR="00BB534D" w:rsidRDefault="00BB534D">
      <w:pPr>
        <w:spacing w:before="0" w:line="240" w:lineRule="auto"/>
        <w:ind w:left="720"/>
        <w:jc w:val="both"/>
        <w:rPr>
          <w:sz w:val="24"/>
          <w:szCs w:val="24"/>
        </w:rPr>
      </w:pPr>
    </w:p>
    <w:p w14:paraId="05AE8B1E" w14:textId="77777777" w:rsidR="00BB534D" w:rsidRDefault="00B842B1">
      <w:pPr>
        <w:numPr>
          <w:ilvl w:val="0"/>
          <w:numId w:val="12"/>
        </w:numPr>
        <w:spacing w:before="0" w:line="240" w:lineRule="auto"/>
        <w:jc w:val="both"/>
        <w:rPr>
          <w:sz w:val="24"/>
          <w:szCs w:val="24"/>
        </w:rPr>
      </w:pPr>
      <w:r>
        <w:rPr>
          <w:sz w:val="24"/>
          <w:szCs w:val="24"/>
        </w:rPr>
        <w:t>Los altos porcentajes de embarazo en adolescentes, en particular en determinadas zonas geográficas y grupos específicos, demandan del Estado una intervención estratégica que contemple todos los factores que inciden en su ocurrencia y, por lo tanto, de carácter intersectorial e interinstitucional.</w:t>
      </w:r>
    </w:p>
    <w:p w14:paraId="05AE8B1F" w14:textId="77777777" w:rsidR="00BB534D" w:rsidRDefault="00BB534D">
      <w:pPr>
        <w:spacing w:before="0" w:line="240" w:lineRule="auto"/>
        <w:ind w:left="720"/>
        <w:rPr>
          <w:sz w:val="24"/>
          <w:szCs w:val="24"/>
        </w:rPr>
      </w:pPr>
    </w:p>
    <w:p w14:paraId="05AE8B20" w14:textId="77777777" w:rsidR="00BB534D" w:rsidRDefault="00B842B1">
      <w:pPr>
        <w:numPr>
          <w:ilvl w:val="0"/>
          <w:numId w:val="12"/>
        </w:numPr>
        <w:spacing w:before="0" w:line="240" w:lineRule="auto"/>
        <w:jc w:val="both"/>
        <w:rPr>
          <w:sz w:val="24"/>
          <w:szCs w:val="24"/>
        </w:rPr>
      </w:pPr>
      <w:r>
        <w:rPr>
          <w:sz w:val="24"/>
          <w:szCs w:val="24"/>
        </w:rPr>
        <w:t xml:space="preserve">La superación de las brechas en salud sexual y reproductiva para las mujeres y </w:t>
      </w:r>
      <w:proofErr w:type="gramStart"/>
      <w:r>
        <w:rPr>
          <w:sz w:val="24"/>
          <w:szCs w:val="24"/>
        </w:rPr>
        <w:t>adolescentes,</w:t>
      </w:r>
      <w:proofErr w:type="gramEnd"/>
      <w:r>
        <w:rPr>
          <w:sz w:val="24"/>
          <w:szCs w:val="24"/>
        </w:rPr>
        <w:t xml:space="preserve"> exige trabajar en su empoderamiento y en la universalización del acceso a los insumos para prevenir embarazos y en la atención y seguimiento al parto, asegurando que este sea libre de violencia obstétrica y se prevengan muertes maternas. </w:t>
      </w:r>
    </w:p>
    <w:p w14:paraId="05AE8B21" w14:textId="77777777" w:rsidR="00BB534D" w:rsidRDefault="00BB534D">
      <w:pPr>
        <w:spacing w:before="0" w:line="240" w:lineRule="auto"/>
        <w:ind w:left="720"/>
        <w:rPr>
          <w:sz w:val="24"/>
          <w:szCs w:val="24"/>
        </w:rPr>
      </w:pPr>
    </w:p>
    <w:p w14:paraId="05AE8B22" w14:textId="77777777" w:rsidR="00BB534D" w:rsidRDefault="00B842B1">
      <w:pPr>
        <w:numPr>
          <w:ilvl w:val="0"/>
          <w:numId w:val="12"/>
        </w:numPr>
        <w:spacing w:before="0" w:line="240" w:lineRule="auto"/>
        <w:jc w:val="both"/>
        <w:rPr>
          <w:sz w:val="24"/>
          <w:szCs w:val="24"/>
        </w:rPr>
      </w:pPr>
      <w:r>
        <w:rPr>
          <w:sz w:val="24"/>
          <w:szCs w:val="24"/>
        </w:rPr>
        <w:t>Existen brechas de acceso a los programas sociales y al ejercicio de derechos como el de la salud y la educación, particularmente para las mujeres, para las personas migrantes, en situación de refugio, con discapacidad, LGBTIQ, indígenas, afrodescendientes, adultas mayores, entre otras.</w:t>
      </w:r>
    </w:p>
    <w:p w14:paraId="05AE8B23" w14:textId="77777777" w:rsidR="00BB534D" w:rsidRDefault="00BB534D">
      <w:pPr>
        <w:spacing w:before="0" w:line="240" w:lineRule="auto"/>
        <w:ind w:left="720"/>
        <w:rPr>
          <w:sz w:val="24"/>
          <w:szCs w:val="24"/>
        </w:rPr>
      </w:pPr>
    </w:p>
    <w:p w14:paraId="05AE8B24" w14:textId="77777777" w:rsidR="00BB534D" w:rsidRDefault="00B842B1">
      <w:pPr>
        <w:numPr>
          <w:ilvl w:val="0"/>
          <w:numId w:val="12"/>
        </w:numPr>
        <w:spacing w:before="0" w:line="240" w:lineRule="auto"/>
        <w:jc w:val="both"/>
        <w:rPr>
          <w:sz w:val="24"/>
          <w:szCs w:val="24"/>
        </w:rPr>
      </w:pPr>
      <w:r>
        <w:rPr>
          <w:sz w:val="24"/>
          <w:szCs w:val="24"/>
        </w:rPr>
        <w:t xml:space="preserve">El país ha avanzado en la penalización de las relaciones sexuales con personas menores de edad, a través de la aprobación de la Ley 9406, no obstante, los datos parecieran reflejar una </w:t>
      </w:r>
      <w:proofErr w:type="spellStart"/>
      <w:r>
        <w:rPr>
          <w:sz w:val="24"/>
          <w:szCs w:val="24"/>
        </w:rPr>
        <w:t>invisibilización</w:t>
      </w:r>
      <w:proofErr w:type="spellEnd"/>
      <w:r>
        <w:rPr>
          <w:sz w:val="24"/>
          <w:szCs w:val="24"/>
        </w:rPr>
        <w:t xml:space="preserve"> del fenómeno, principalmente en el caso de niñas y adolescentes madres. </w:t>
      </w:r>
    </w:p>
    <w:p w14:paraId="05AE8B25" w14:textId="77777777" w:rsidR="00BB534D" w:rsidRDefault="00BB534D">
      <w:pPr>
        <w:spacing w:before="0" w:line="240" w:lineRule="auto"/>
        <w:ind w:left="720"/>
        <w:rPr>
          <w:sz w:val="24"/>
          <w:szCs w:val="24"/>
        </w:rPr>
      </w:pPr>
    </w:p>
    <w:p w14:paraId="05AE8B26" w14:textId="77777777" w:rsidR="00BB534D" w:rsidRDefault="00B842B1">
      <w:pPr>
        <w:numPr>
          <w:ilvl w:val="0"/>
          <w:numId w:val="12"/>
        </w:numPr>
        <w:spacing w:before="0" w:line="240" w:lineRule="auto"/>
        <w:jc w:val="both"/>
        <w:rPr>
          <w:sz w:val="24"/>
          <w:szCs w:val="24"/>
        </w:rPr>
      </w:pPr>
      <w:r>
        <w:rPr>
          <w:sz w:val="24"/>
          <w:szCs w:val="24"/>
        </w:rPr>
        <w:t xml:space="preserve">El Programa de Estudios de Afectividad y Sexualidad Integral tiene una débil implementación a nivel nacional por lo que urge afianzar su ejecución para no perder los avances obtenidos en la disminución de embarazos en niñas y adolescentes. </w:t>
      </w:r>
    </w:p>
    <w:p w14:paraId="05AE8B27" w14:textId="77777777" w:rsidR="00BB534D" w:rsidRDefault="00BB534D">
      <w:pPr>
        <w:spacing w:before="0" w:line="240" w:lineRule="auto"/>
        <w:jc w:val="both"/>
        <w:rPr>
          <w:sz w:val="24"/>
          <w:szCs w:val="24"/>
        </w:rPr>
      </w:pPr>
    </w:p>
    <w:p w14:paraId="05AE8B28" w14:textId="77777777" w:rsidR="00BB534D" w:rsidRDefault="00B842B1">
      <w:pPr>
        <w:numPr>
          <w:ilvl w:val="0"/>
          <w:numId w:val="12"/>
        </w:numPr>
        <w:spacing w:before="0" w:line="240" w:lineRule="auto"/>
        <w:jc w:val="both"/>
        <w:rPr>
          <w:sz w:val="24"/>
          <w:szCs w:val="24"/>
        </w:rPr>
      </w:pPr>
      <w:r>
        <w:rPr>
          <w:sz w:val="24"/>
          <w:szCs w:val="24"/>
        </w:rPr>
        <w:t>La pandemia, se evidenció la necesidad de redoblar los esfuerzos para el desarrollo de políticas con una visión de ecosistema que fomenten la inclusión y alfabetización digitales. Durante la pandemia, cerca de 535.000 estudiantes no tuvieron condiciones adecuadas de conectividad y acceso a recursos tecnológicos: 281.000 tenían acceso a recursos tecnológicos, pero no conectividad a internet, y 254.000 restantes no contaban con ninguna de las dos condiciones (MEP, 2021)</w:t>
      </w:r>
      <w:r>
        <w:rPr>
          <w:sz w:val="24"/>
          <w:szCs w:val="24"/>
          <w:vertAlign w:val="superscript"/>
        </w:rPr>
        <w:footnoteReference w:id="60"/>
      </w:r>
      <w:r>
        <w:rPr>
          <w:sz w:val="24"/>
          <w:szCs w:val="24"/>
          <w:vertAlign w:val="superscript"/>
        </w:rPr>
        <w:t>.</w:t>
      </w:r>
    </w:p>
    <w:p w14:paraId="05AE8B29" w14:textId="77777777" w:rsidR="00BB534D" w:rsidRDefault="00BB534D">
      <w:pPr>
        <w:spacing w:before="0" w:line="240" w:lineRule="auto"/>
        <w:jc w:val="both"/>
        <w:rPr>
          <w:sz w:val="24"/>
          <w:szCs w:val="24"/>
        </w:rPr>
      </w:pPr>
    </w:p>
    <w:p w14:paraId="05AE8B2A" w14:textId="77777777" w:rsidR="00BB534D" w:rsidRDefault="00B842B1">
      <w:pPr>
        <w:numPr>
          <w:ilvl w:val="0"/>
          <w:numId w:val="12"/>
        </w:numPr>
        <w:spacing w:before="0" w:line="240" w:lineRule="auto"/>
        <w:jc w:val="both"/>
        <w:rPr>
          <w:sz w:val="24"/>
          <w:szCs w:val="24"/>
        </w:rPr>
      </w:pPr>
      <w:r>
        <w:rPr>
          <w:sz w:val="24"/>
          <w:szCs w:val="24"/>
        </w:rPr>
        <w:t xml:space="preserve">Al persistir las brechas significativas en el acceso y permanencia a la educación y en el acceso y calidad estandarizada de los servicios de cuido y desarrollo integral de la primera infancia, se requiere un esfuerzo a nivel de todo el sistema educativo, bajo un enfoque del ciclo de vida completo de las personas estudiantes.  De este modo es posible mitigar tanto los determinantes estructurales, como los coyunturales, que repercuten sobre la exclusión educativa y brechas en los niveles de aprendizaje. A pesar de que la exclusión y rezago educativo es más evidente en secundaria, adoptar un enfoque sistémico es esencial para la formulación de políticas, ya que los resultados visibles en secundaria muchas veces nacen en debilidades condicionadas durante los procesos de aprendizajes en ciclos educativos previos. </w:t>
      </w:r>
    </w:p>
    <w:p w14:paraId="05AE8B2B" w14:textId="77777777" w:rsidR="00BB534D" w:rsidRDefault="00BB534D">
      <w:pPr>
        <w:spacing w:before="0" w:line="240" w:lineRule="auto"/>
        <w:ind w:left="720"/>
        <w:jc w:val="both"/>
        <w:rPr>
          <w:sz w:val="24"/>
          <w:szCs w:val="24"/>
        </w:rPr>
      </w:pPr>
    </w:p>
    <w:p w14:paraId="05AE8B2C" w14:textId="77777777" w:rsidR="00BB534D" w:rsidRDefault="00B842B1">
      <w:pPr>
        <w:numPr>
          <w:ilvl w:val="0"/>
          <w:numId w:val="12"/>
        </w:numPr>
        <w:spacing w:before="0" w:line="240" w:lineRule="auto"/>
        <w:jc w:val="both"/>
        <w:rPr>
          <w:sz w:val="24"/>
          <w:szCs w:val="24"/>
        </w:rPr>
      </w:pPr>
      <w:r>
        <w:rPr>
          <w:sz w:val="24"/>
          <w:szCs w:val="24"/>
        </w:rPr>
        <w:t>En relación con la oferta educativa coherente con las necesidades, intereses y expectativas de la población indígena nacional, diáspora y migrante, el país cuenta con retos como: a) la elaboración, traducción en lenguas indígenas y adaptación curricular de textos y materiales para apoyar el desarrollo de los cursos que se ofrecen en las escuelas, b) el uso de las lenguas en aquellos territorios en que ésta se encuentra  inactiva o en uso decadente, con la finalidad de conservación, revitalización y difusión de las lenguas y culturas indígenas, c) la promoción de actividades comunales que se desarrollen en el contexto cultural y d) acceso a los centros educativos, por distancia o disponibilidad de recursos para el traslado.</w:t>
      </w:r>
    </w:p>
    <w:p w14:paraId="05AE8B2D" w14:textId="77777777" w:rsidR="00BB534D" w:rsidRDefault="00BB534D">
      <w:pPr>
        <w:spacing w:before="0" w:line="240" w:lineRule="auto"/>
        <w:ind w:left="720"/>
        <w:rPr>
          <w:color w:val="FF9900"/>
          <w:sz w:val="24"/>
          <w:szCs w:val="24"/>
        </w:rPr>
      </w:pPr>
    </w:p>
    <w:p w14:paraId="05AE8B2E" w14:textId="77777777" w:rsidR="00BB534D" w:rsidRDefault="00B842B1">
      <w:pPr>
        <w:numPr>
          <w:ilvl w:val="0"/>
          <w:numId w:val="12"/>
        </w:numPr>
        <w:spacing w:before="0" w:line="240" w:lineRule="auto"/>
        <w:jc w:val="both"/>
        <w:rPr>
          <w:sz w:val="24"/>
          <w:szCs w:val="24"/>
        </w:rPr>
      </w:pPr>
      <w:r>
        <w:rPr>
          <w:sz w:val="24"/>
          <w:szCs w:val="24"/>
        </w:rPr>
        <w:t>Priorizar y proteger el derecho a la educación se traduce hoy en que los sistemas educativos deben garantizar que todas las personas en su rol de estudiantes, docentes y directivos escolares tengan, no vean limitadas las posibilidades de continuar las trayectorias educativas, fortalecer los logros de los aprendizajes, obtener un empleo decente y participar activamente de la transformación de las sociedades al analizar, inferir, resolver problemas, argumentar, tomar decisiones, comunicar, crear y participar en el mundo virtual y presencial. El futuro de la democracia y la cohesión social, están en juego. Para ello concretamente apuntamos a las siguientes premisas:</w:t>
      </w:r>
    </w:p>
    <w:p w14:paraId="05AE8B2F" w14:textId="77777777" w:rsidR="00BB534D" w:rsidRDefault="00BB534D">
      <w:pPr>
        <w:spacing w:before="0" w:line="240" w:lineRule="auto"/>
        <w:ind w:left="720"/>
        <w:jc w:val="both"/>
        <w:rPr>
          <w:sz w:val="24"/>
          <w:szCs w:val="24"/>
        </w:rPr>
      </w:pPr>
    </w:p>
    <w:p w14:paraId="05AE8B30" w14:textId="77777777" w:rsidR="00BB534D" w:rsidRDefault="00B842B1">
      <w:pPr>
        <w:numPr>
          <w:ilvl w:val="1"/>
          <w:numId w:val="8"/>
        </w:numPr>
        <w:spacing w:before="0" w:line="240" w:lineRule="auto"/>
        <w:jc w:val="both"/>
        <w:rPr>
          <w:sz w:val="24"/>
          <w:szCs w:val="24"/>
        </w:rPr>
      </w:pPr>
      <w:r>
        <w:rPr>
          <w:sz w:val="24"/>
          <w:szCs w:val="24"/>
        </w:rPr>
        <w:t xml:space="preserve">Un mejoramiento de la calidad de la educación en lectoescritura y pensamiento lógico matemático como base para el desarrollo del resto de conocimientos, con personal docente seleccionado de acuerdo con su robustez en ambas materias; asegurando el aprendizaje de </w:t>
      </w:r>
      <w:proofErr w:type="gramStart"/>
      <w:r>
        <w:rPr>
          <w:sz w:val="24"/>
          <w:szCs w:val="24"/>
        </w:rPr>
        <w:t>las niñas y niños</w:t>
      </w:r>
      <w:proofErr w:type="gramEnd"/>
      <w:r>
        <w:rPr>
          <w:sz w:val="24"/>
          <w:szCs w:val="24"/>
        </w:rPr>
        <w:t xml:space="preserve"> desde el inicio de su educación y previendo el rezago y la exclusión escolar.</w:t>
      </w:r>
    </w:p>
    <w:p w14:paraId="05AE8B31" w14:textId="77777777" w:rsidR="00BB534D" w:rsidRDefault="00B842B1">
      <w:pPr>
        <w:numPr>
          <w:ilvl w:val="1"/>
          <w:numId w:val="8"/>
        </w:numPr>
        <w:spacing w:before="0" w:line="240" w:lineRule="auto"/>
        <w:jc w:val="both"/>
        <w:rPr>
          <w:sz w:val="24"/>
          <w:szCs w:val="24"/>
        </w:rPr>
      </w:pPr>
      <w:r>
        <w:rPr>
          <w:sz w:val="24"/>
          <w:szCs w:val="24"/>
        </w:rPr>
        <w:t xml:space="preserve">Profundizar la ampliación y obligatoriedad de la educación en la primera infancia como fundamento para el desarrollo cognitivo y psicosocial de </w:t>
      </w:r>
      <w:proofErr w:type="gramStart"/>
      <w:r>
        <w:rPr>
          <w:sz w:val="24"/>
          <w:szCs w:val="24"/>
        </w:rPr>
        <w:t>niñas y niños</w:t>
      </w:r>
      <w:proofErr w:type="gramEnd"/>
      <w:r>
        <w:rPr>
          <w:sz w:val="24"/>
          <w:szCs w:val="24"/>
        </w:rPr>
        <w:t>.</w:t>
      </w:r>
    </w:p>
    <w:p w14:paraId="05AE8B32" w14:textId="77777777" w:rsidR="00BB534D" w:rsidRDefault="00B842B1">
      <w:pPr>
        <w:numPr>
          <w:ilvl w:val="1"/>
          <w:numId w:val="8"/>
        </w:numPr>
        <w:spacing w:before="0" w:line="240" w:lineRule="auto"/>
        <w:jc w:val="both"/>
        <w:rPr>
          <w:sz w:val="24"/>
          <w:szCs w:val="24"/>
        </w:rPr>
      </w:pPr>
      <w:r>
        <w:rPr>
          <w:sz w:val="24"/>
          <w:szCs w:val="24"/>
        </w:rPr>
        <w:t xml:space="preserve">Lograr el cierre de la brecha digital mediante un esfuerzo por la dotación de herramientas tecnológicas y conectividad de calidad para estudiantes, docentes y personas administradoras en sus centros de estudio y comunidades, ya que sin esto no será posible ese cierre y cada día quedarán atrás </w:t>
      </w:r>
      <w:proofErr w:type="gramStart"/>
      <w:r>
        <w:rPr>
          <w:sz w:val="24"/>
          <w:szCs w:val="24"/>
        </w:rPr>
        <w:t>niñas y niños</w:t>
      </w:r>
      <w:proofErr w:type="gramEnd"/>
      <w:r>
        <w:rPr>
          <w:sz w:val="24"/>
          <w:szCs w:val="24"/>
        </w:rPr>
        <w:t xml:space="preserve"> en Costa Rica. Aunado a esto, a la preparación para el uso de esta tecnología reconociendo la necesidad de seguridad digital.</w:t>
      </w:r>
    </w:p>
    <w:p w14:paraId="05AE8B33" w14:textId="77777777" w:rsidR="00BB534D" w:rsidRDefault="00B842B1">
      <w:pPr>
        <w:numPr>
          <w:ilvl w:val="1"/>
          <w:numId w:val="8"/>
        </w:numPr>
        <w:spacing w:before="0" w:line="240" w:lineRule="auto"/>
        <w:jc w:val="both"/>
        <w:rPr>
          <w:sz w:val="24"/>
          <w:szCs w:val="24"/>
        </w:rPr>
      </w:pPr>
      <w:r>
        <w:rPr>
          <w:sz w:val="24"/>
          <w:szCs w:val="24"/>
        </w:rPr>
        <w:t xml:space="preserve">Ampliar y mejorar la infraestructura educativa como espacio físico y social donde es desarrollado el acto educativo, para que permita a </w:t>
      </w:r>
      <w:proofErr w:type="gramStart"/>
      <w:r>
        <w:rPr>
          <w:sz w:val="24"/>
          <w:szCs w:val="24"/>
        </w:rPr>
        <w:t>niños y niñas</w:t>
      </w:r>
      <w:proofErr w:type="gramEnd"/>
      <w:r>
        <w:rPr>
          <w:sz w:val="24"/>
          <w:szCs w:val="24"/>
        </w:rPr>
        <w:t xml:space="preserve"> una visión integral del desarrollo propio y a su vez, el deber ser del desarrollo social de sus comunidades y del país en general.</w:t>
      </w:r>
    </w:p>
    <w:p w14:paraId="05AE8B34" w14:textId="77777777" w:rsidR="00BB534D" w:rsidRDefault="00B842B1">
      <w:pPr>
        <w:numPr>
          <w:ilvl w:val="1"/>
          <w:numId w:val="8"/>
        </w:numPr>
        <w:spacing w:before="0" w:line="240" w:lineRule="auto"/>
        <w:jc w:val="both"/>
        <w:rPr>
          <w:sz w:val="24"/>
          <w:szCs w:val="24"/>
        </w:rPr>
      </w:pPr>
      <w:r>
        <w:rPr>
          <w:sz w:val="24"/>
          <w:szCs w:val="24"/>
        </w:rPr>
        <w:t xml:space="preserve">Robustecer los programas de equidad y el seguimiento de las necesidades de </w:t>
      </w:r>
      <w:proofErr w:type="gramStart"/>
      <w:r>
        <w:rPr>
          <w:sz w:val="24"/>
          <w:szCs w:val="24"/>
        </w:rPr>
        <w:t>las niñas y niños</w:t>
      </w:r>
      <w:proofErr w:type="gramEnd"/>
      <w:r>
        <w:rPr>
          <w:sz w:val="24"/>
          <w:szCs w:val="24"/>
        </w:rPr>
        <w:t>.</w:t>
      </w:r>
    </w:p>
    <w:p w14:paraId="05AE8B35" w14:textId="77777777" w:rsidR="00BB534D" w:rsidRDefault="00B842B1">
      <w:pPr>
        <w:numPr>
          <w:ilvl w:val="1"/>
          <w:numId w:val="8"/>
        </w:numPr>
        <w:spacing w:before="0" w:line="240" w:lineRule="auto"/>
        <w:jc w:val="both"/>
        <w:rPr>
          <w:sz w:val="24"/>
          <w:szCs w:val="24"/>
        </w:rPr>
      </w:pPr>
      <w:r>
        <w:rPr>
          <w:sz w:val="24"/>
          <w:szCs w:val="24"/>
        </w:rPr>
        <w:t xml:space="preserve">Instamos a la participación estudiantil para que la voz de </w:t>
      </w:r>
      <w:proofErr w:type="gramStart"/>
      <w:r>
        <w:rPr>
          <w:sz w:val="24"/>
          <w:szCs w:val="24"/>
        </w:rPr>
        <w:t>niñas y niños</w:t>
      </w:r>
      <w:proofErr w:type="gramEnd"/>
      <w:r>
        <w:rPr>
          <w:sz w:val="24"/>
          <w:szCs w:val="24"/>
        </w:rPr>
        <w:t xml:space="preserve"> brinden su perspectiva acerca de su propio desarrollo y necesidades enfrentando los requerimientos del presente siglo.</w:t>
      </w:r>
    </w:p>
    <w:p w14:paraId="05AE8B36" w14:textId="77777777" w:rsidR="00BB534D" w:rsidRDefault="00B842B1">
      <w:pPr>
        <w:numPr>
          <w:ilvl w:val="1"/>
          <w:numId w:val="8"/>
        </w:numPr>
        <w:spacing w:before="0" w:line="240" w:lineRule="auto"/>
        <w:jc w:val="both"/>
        <w:rPr>
          <w:sz w:val="24"/>
          <w:szCs w:val="24"/>
        </w:rPr>
      </w:pPr>
      <w:r>
        <w:rPr>
          <w:sz w:val="24"/>
          <w:szCs w:val="24"/>
        </w:rPr>
        <w:t>Motivamos a la generación de una hoja de ruta técnica interinstitucional, que permita alcanzar los objetivos expuestos en un plazo razonable para no dejar cohortes educativas atrás.</w:t>
      </w:r>
    </w:p>
    <w:p w14:paraId="05AE8B37" w14:textId="77777777" w:rsidR="00BB534D" w:rsidRDefault="00BB534D">
      <w:pPr>
        <w:spacing w:before="0" w:line="240" w:lineRule="auto"/>
        <w:ind w:left="1440"/>
        <w:jc w:val="both"/>
        <w:rPr>
          <w:sz w:val="24"/>
          <w:szCs w:val="24"/>
        </w:rPr>
      </w:pPr>
    </w:p>
    <w:p w14:paraId="05AE8B38" w14:textId="77777777" w:rsidR="00BB534D" w:rsidRDefault="00B842B1">
      <w:pPr>
        <w:numPr>
          <w:ilvl w:val="0"/>
          <w:numId w:val="12"/>
        </w:numPr>
        <w:spacing w:before="0" w:line="240" w:lineRule="auto"/>
        <w:jc w:val="both"/>
        <w:rPr>
          <w:sz w:val="24"/>
          <w:szCs w:val="24"/>
        </w:rPr>
      </w:pPr>
      <w:r>
        <w:rPr>
          <w:sz w:val="24"/>
          <w:szCs w:val="24"/>
        </w:rPr>
        <w:t xml:space="preserve">Con relación a la población LGTBI, existe poca cultura de denuncia ante la violación de sus derechos, debido a la falta de apoyo institucional y de mecanismos específicos de denuncia. El estigma social constituye otro factor que desestimula el reclamo de sus derechos. Como respuesta, ante la crisis que enfrenta esta población al acceso en el mercado de trabajo, es importante hacer un llamado al sector privado en desarrollar políticas de no discriminación que contemplen el motivo de la orientación sexual o identidad de género, con sus correspondientes mecanismos de denuncia, investigación y sanción. Además, hay que reconocer </w:t>
      </w:r>
      <w:proofErr w:type="gramStart"/>
      <w:r>
        <w:rPr>
          <w:sz w:val="24"/>
          <w:szCs w:val="24"/>
        </w:rPr>
        <w:t>que</w:t>
      </w:r>
      <w:proofErr w:type="gramEnd"/>
      <w:r>
        <w:rPr>
          <w:sz w:val="24"/>
          <w:szCs w:val="24"/>
        </w:rPr>
        <w:t xml:space="preserve"> bajo una denominación común, hay riesgo de invisibilizar formas específicas o agravadas de discriminación y violencia contra personas de esa población como las personas trans.</w:t>
      </w:r>
    </w:p>
    <w:p w14:paraId="05AE8B39" w14:textId="77777777" w:rsidR="00BB534D" w:rsidRDefault="00BB534D">
      <w:pPr>
        <w:spacing w:before="0" w:line="240" w:lineRule="auto"/>
        <w:jc w:val="both"/>
        <w:rPr>
          <w:sz w:val="24"/>
          <w:szCs w:val="24"/>
        </w:rPr>
      </w:pPr>
    </w:p>
    <w:p w14:paraId="05AE8B3A" w14:textId="77777777" w:rsidR="00BB534D" w:rsidRDefault="00B842B1">
      <w:pPr>
        <w:numPr>
          <w:ilvl w:val="0"/>
          <w:numId w:val="12"/>
        </w:numPr>
        <w:spacing w:before="0" w:line="240" w:lineRule="auto"/>
        <w:jc w:val="both"/>
        <w:rPr>
          <w:sz w:val="24"/>
          <w:szCs w:val="24"/>
        </w:rPr>
      </w:pPr>
      <w:r>
        <w:rPr>
          <w:sz w:val="24"/>
          <w:szCs w:val="24"/>
        </w:rPr>
        <w:t xml:space="preserve"> En el marco del COVID-19, se ha experimentado un crecimiento de manifestaciones de xenofobia en la sociedad. Es preocupante que las personas migrantes y solicitantes de refugio indican haber experimentado situaciones de discriminación o incluso amenazas por parte de nacionales del país de asilo. Resulta una emergencia atender las manifestaciones de violencia basada en género hacia personas migrantes y en situación de refugio (</w:t>
      </w:r>
      <w:proofErr w:type="spellStart"/>
      <w:r>
        <w:rPr>
          <w:sz w:val="24"/>
          <w:szCs w:val="24"/>
        </w:rPr>
        <w:t>e.g</w:t>
      </w:r>
      <w:proofErr w:type="spellEnd"/>
      <w:r>
        <w:rPr>
          <w:sz w:val="24"/>
          <w:szCs w:val="24"/>
        </w:rPr>
        <w:t>. violencia intrafamiliar, discriminación y violencia hacia personas LGBTIQ+).</w:t>
      </w:r>
    </w:p>
    <w:p w14:paraId="05AE8B3B" w14:textId="77777777" w:rsidR="00BB534D" w:rsidRDefault="00BB534D">
      <w:pPr>
        <w:spacing w:before="0" w:line="240" w:lineRule="auto"/>
        <w:jc w:val="both"/>
        <w:rPr>
          <w:sz w:val="24"/>
          <w:szCs w:val="24"/>
        </w:rPr>
      </w:pPr>
    </w:p>
    <w:p w14:paraId="05AE8B3C" w14:textId="77777777" w:rsidR="00BB534D" w:rsidRDefault="00B842B1">
      <w:pPr>
        <w:numPr>
          <w:ilvl w:val="0"/>
          <w:numId w:val="12"/>
        </w:numPr>
        <w:spacing w:before="0" w:line="240" w:lineRule="auto"/>
        <w:jc w:val="both"/>
        <w:rPr>
          <w:sz w:val="24"/>
          <w:szCs w:val="24"/>
        </w:rPr>
      </w:pPr>
      <w:r>
        <w:rPr>
          <w:sz w:val="24"/>
          <w:szCs w:val="24"/>
        </w:rPr>
        <w:t xml:space="preserve">A los problemas de discriminación se suma la inseguridad ciudadana y violencia que experimenta el país, que se han convertido en una de las preocupaciones principales de la población. Por un lado, están los delitos y crímenes asociados con diversos tipos de delincuencia, los problemas de violencia doméstica, que afectan principalmente a las mujeres, a </w:t>
      </w:r>
      <w:proofErr w:type="gramStart"/>
      <w:r>
        <w:rPr>
          <w:sz w:val="24"/>
          <w:szCs w:val="24"/>
        </w:rPr>
        <w:t>los niños y niñas</w:t>
      </w:r>
      <w:proofErr w:type="gramEnd"/>
      <w:r>
        <w:rPr>
          <w:sz w:val="24"/>
          <w:szCs w:val="24"/>
        </w:rPr>
        <w:t xml:space="preserve"> y las relaciones impropias. Las personas menores de edad y jóvenes tienen mayores probabilidades de participar y ser víctimas de violencia, inclusive dentro de los centros educativos o centros en donde son institucionalizados o privados de libertad. Las personas adultas mayores son más propensas a ser víctimas de negligencia, maltrato y abandono por parte de sus familias y de abuso patrimonial. Y las personas con discapacidad, experimentan violaciones de sus derechos a la libertad, seguridad y la justicia.</w:t>
      </w:r>
    </w:p>
    <w:p w14:paraId="05AE8B3D" w14:textId="77777777" w:rsidR="00BB534D" w:rsidRDefault="00BB534D">
      <w:pPr>
        <w:spacing w:before="0" w:line="240" w:lineRule="auto"/>
        <w:jc w:val="both"/>
        <w:rPr>
          <w:sz w:val="24"/>
          <w:szCs w:val="24"/>
        </w:rPr>
      </w:pPr>
    </w:p>
    <w:p w14:paraId="05AE8B3E" w14:textId="77777777" w:rsidR="00BB534D" w:rsidRDefault="00B842B1">
      <w:pPr>
        <w:numPr>
          <w:ilvl w:val="0"/>
          <w:numId w:val="12"/>
        </w:numPr>
        <w:spacing w:before="0" w:line="240" w:lineRule="auto"/>
        <w:jc w:val="both"/>
        <w:rPr>
          <w:sz w:val="24"/>
          <w:szCs w:val="24"/>
        </w:rPr>
      </w:pPr>
      <w:r>
        <w:rPr>
          <w:sz w:val="24"/>
          <w:szCs w:val="24"/>
        </w:rPr>
        <w:t>Con el fin de garantizar los derechos fundamentales de las personas privadas de libertad, es importante el desarrollo de una política integral para reducir los índices de sobrepoblación que llevan a la manifestación de inequidades, de esta forma urge adecuar las políticas, prácticas e infraestructura del sistema penitenciario con un enfoque de género y diferencial.</w:t>
      </w:r>
    </w:p>
    <w:p w14:paraId="05AE8B3F" w14:textId="77777777" w:rsidR="00BB534D" w:rsidRDefault="00BB534D">
      <w:pPr>
        <w:spacing w:before="0" w:line="240" w:lineRule="auto"/>
        <w:jc w:val="both"/>
        <w:rPr>
          <w:sz w:val="24"/>
          <w:szCs w:val="24"/>
        </w:rPr>
      </w:pPr>
    </w:p>
    <w:p w14:paraId="05AE8B40" w14:textId="77777777" w:rsidR="00BB534D" w:rsidRDefault="00B842B1">
      <w:pPr>
        <w:numPr>
          <w:ilvl w:val="0"/>
          <w:numId w:val="12"/>
        </w:numPr>
        <w:spacing w:before="0" w:line="240" w:lineRule="auto"/>
        <w:jc w:val="both"/>
        <w:rPr>
          <w:sz w:val="24"/>
          <w:szCs w:val="24"/>
        </w:rPr>
      </w:pPr>
      <w:r>
        <w:rPr>
          <w:sz w:val="24"/>
          <w:szCs w:val="24"/>
        </w:rPr>
        <w:t>Las personas con discapacidad constituyen más del 18% de la población, es la minoría más grande, compuesta principalmente por mujeres que enfrenta situaciones de exclusión y discriminación que se manifiestan por la falta de acceso a la salud, el trabajo, el arte y la cultura, etc. Se requiere una visión interseccional que integre las perspectivas de género con discapacidad y envejecimiento, entre otros.</w:t>
      </w:r>
    </w:p>
    <w:p w14:paraId="05AE8B41" w14:textId="77777777" w:rsidR="00BB534D" w:rsidRDefault="00BB534D">
      <w:pPr>
        <w:widowControl w:val="0"/>
        <w:spacing w:before="0" w:line="240" w:lineRule="auto"/>
        <w:jc w:val="both"/>
        <w:rPr>
          <w:sz w:val="24"/>
          <w:szCs w:val="24"/>
        </w:rPr>
      </w:pPr>
    </w:p>
    <w:p w14:paraId="05AE8B42" w14:textId="77777777" w:rsidR="00BB534D" w:rsidRDefault="00B842B1">
      <w:pPr>
        <w:widowControl w:val="0"/>
        <w:numPr>
          <w:ilvl w:val="0"/>
          <w:numId w:val="12"/>
        </w:numPr>
        <w:spacing w:before="0" w:line="240" w:lineRule="auto"/>
        <w:jc w:val="both"/>
        <w:rPr>
          <w:sz w:val="24"/>
          <w:szCs w:val="24"/>
        </w:rPr>
      </w:pPr>
      <w:r>
        <w:rPr>
          <w:sz w:val="24"/>
          <w:szCs w:val="24"/>
        </w:rPr>
        <w:t xml:space="preserve"> Ante los efectos socioeconómicos del COVID-19, el país puede enfrentarse a la reversión de los logros en la reducción del trabajo infantil</w:t>
      </w:r>
      <w:r>
        <w:rPr>
          <w:sz w:val="24"/>
          <w:szCs w:val="24"/>
          <w:vertAlign w:val="superscript"/>
        </w:rPr>
        <w:footnoteReference w:id="61"/>
      </w:r>
      <w:r>
        <w:rPr>
          <w:sz w:val="24"/>
          <w:szCs w:val="24"/>
        </w:rPr>
        <w:t xml:space="preserve">, así como a otras manifestaciones de violencia asociadas al trabajo infantil como la explotación sexual y la trata, no podrán revertirse, de no implementarse acciones de mitigación de la crisis económica y laboral. </w:t>
      </w:r>
      <w:r>
        <w:rPr>
          <w:sz w:val="24"/>
          <w:szCs w:val="24"/>
          <w:vertAlign w:val="superscript"/>
        </w:rPr>
        <w:footnoteReference w:id="62"/>
      </w:r>
    </w:p>
    <w:p w14:paraId="05AE8B43" w14:textId="77777777" w:rsidR="00BB534D" w:rsidRDefault="00BB534D">
      <w:pPr>
        <w:spacing w:before="0" w:line="240" w:lineRule="auto"/>
        <w:ind w:left="720"/>
        <w:rPr>
          <w:sz w:val="24"/>
          <w:szCs w:val="24"/>
        </w:rPr>
      </w:pPr>
    </w:p>
    <w:p w14:paraId="05AE8B44" w14:textId="77777777" w:rsidR="00BB534D" w:rsidRDefault="00B842B1">
      <w:pPr>
        <w:widowControl w:val="0"/>
        <w:numPr>
          <w:ilvl w:val="0"/>
          <w:numId w:val="12"/>
        </w:numPr>
        <w:spacing w:before="0" w:line="240" w:lineRule="auto"/>
        <w:jc w:val="both"/>
        <w:rPr>
          <w:sz w:val="24"/>
          <w:szCs w:val="24"/>
        </w:rPr>
      </w:pPr>
      <w:r>
        <w:rPr>
          <w:sz w:val="24"/>
          <w:szCs w:val="24"/>
        </w:rPr>
        <w:t xml:space="preserve"> La recuperación de los desastres debe tener un abordaje más integral, más allá de la reposición de la infraestructura, promoviendo la participación de las personas afectadas en el proceso y las decisiones, para fortalecer su capacidad de resiliencia, restituir tejidos sociales y promover oportunidades, incluso mayores a las que tenían antes del impacto. Este un modelo de recuperación debe incluir estrategias de reactivación de la economía local, generación de empleos de emergencia, y debe disponer de herramientas que permitan identificar a las personas damnificadas, su grado de afectación y que faciliten el acceso a programas y oportunidades de apoyo que generen las instituciones. En ese sentido, debe darse un mayor aprovechamiento a las bases de datos y sistemas informáticos del Estado que ya contienen información sobre la población, para hacer cruce de datos para evitar exclusiones o abusos, y establecer metodologías de ventanilla única para el seguimiento consolidado de casos. </w:t>
      </w:r>
    </w:p>
    <w:p w14:paraId="05AE8B45" w14:textId="77777777" w:rsidR="00BB534D" w:rsidRDefault="00BB534D">
      <w:pPr>
        <w:widowControl w:val="0"/>
        <w:spacing w:before="0" w:line="240" w:lineRule="auto"/>
        <w:ind w:left="720"/>
        <w:jc w:val="both"/>
        <w:rPr>
          <w:sz w:val="24"/>
          <w:szCs w:val="24"/>
        </w:rPr>
      </w:pPr>
    </w:p>
    <w:p w14:paraId="05AE8B46" w14:textId="77777777" w:rsidR="00BB534D" w:rsidRDefault="00B842B1">
      <w:pPr>
        <w:widowControl w:val="0"/>
        <w:numPr>
          <w:ilvl w:val="0"/>
          <w:numId w:val="12"/>
        </w:numPr>
        <w:spacing w:before="0" w:line="240" w:lineRule="auto"/>
        <w:jc w:val="both"/>
        <w:rPr>
          <w:sz w:val="24"/>
          <w:szCs w:val="24"/>
        </w:rPr>
      </w:pPr>
      <w:r>
        <w:rPr>
          <w:sz w:val="24"/>
          <w:szCs w:val="24"/>
        </w:rPr>
        <w:t xml:space="preserve">El impacto de la COVID- 19 en los sistemas educativos en el mundo están llamando a priorizar, proteger y ampliar el derecho a la educación, siendo la mejora de los procesos de asignación de la inversión pública educativa conforme a resultados y metas priorizadas un elemento fundamental junto con una planificación y gestión en la misma dirección. Los efectos socioeconómicos de la COVID-19 llaman también al desarrollo de políticas que fortalezcan la preparación de las y los estudiantes para facilitar su transición a otros niveles educativos y al mundo del trabajo, con especial énfasis </w:t>
      </w:r>
      <w:proofErr w:type="gramStart"/>
      <w:r>
        <w:rPr>
          <w:sz w:val="24"/>
          <w:szCs w:val="24"/>
        </w:rPr>
        <w:t>en  la</w:t>
      </w:r>
      <w:proofErr w:type="gramEnd"/>
      <w:r>
        <w:rPr>
          <w:sz w:val="24"/>
          <w:szCs w:val="24"/>
        </w:rPr>
        <w:t xml:space="preserve"> mejora e innovación de la educación y formación técnica y profesional y la ampliación de su acceso, sobre todo por parte de las poblaciones de bajos ingresos y en situación de vulnerabilidad. Es clave que se fortalezcan los esfuerzos que ya se realizan para que en esta modalidad se refuerce la alfabetización digital, la educación para el desarrollo sostenible y la ciudadanía mundial, como pilares no solamente del desarrollo de habilidades para la vida sino también para ser protagonistas de los procesos de toma decisión relativos a los cambios en el modelo de producción hacia una economía más verde y sostenible. La EFTP puede constituir un elemento clave de la recuperación económica y de la obtención de un empleo decente para jóvenes y adultos.</w:t>
      </w:r>
    </w:p>
    <w:p w14:paraId="05AE8B47" w14:textId="77777777" w:rsidR="00BB534D" w:rsidRDefault="00BB534D">
      <w:pPr>
        <w:widowControl w:val="0"/>
        <w:spacing w:before="0" w:line="240" w:lineRule="auto"/>
        <w:ind w:left="720"/>
        <w:jc w:val="both"/>
        <w:rPr>
          <w:sz w:val="24"/>
          <w:szCs w:val="24"/>
        </w:rPr>
      </w:pPr>
    </w:p>
    <w:p w14:paraId="05AE8B48" w14:textId="77777777" w:rsidR="00BB534D" w:rsidRDefault="00B842B1">
      <w:pPr>
        <w:numPr>
          <w:ilvl w:val="0"/>
          <w:numId w:val="12"/>
        </w:numPr>
        <w:spacing w:before="0" w:line="240" w:lineRule="auto"/>
        <w:jc w:val="both"/>
        <w:rPr>
          <w:sz w:val="24"/>
          <w:szCs w:val="24"/>
        </w:rPr>
      </w:pPr>
      <w:r>
        <w:rPr>
          <w:sz w:val="24"/>
          <w:szCs w:val="24"/>
        </w:rPr>
        <w:t>El sector cultural debe ser incluido en las iniciativas de alcance nacional para la formalización de la economía, teniendo siempre en cuenta las particularidades y necesidades específicas del sector, de modo que no reciba un trato equivalente al de otros sectores productivos de bajos ingresos, sino que valorice el aporte económico y no económico del trabajo cultural.</w:t>
      </w:r>
    </w:p>
    <w:p w14:paraId="05AE8B49" w14:textId="77777777" w:rsidR="00BB534D" w:rsidRDefault="00BB534D">
      <w:pPr>
        <w:spacing w:before="0" w:line="240" w:lineRule="auto"/>
        <w:ind w:left="720"/>
        <w:jc w:val="both"/>
        <w:rPr>
          <w:sz w:val="24"/>
          <w:szCs w:val="24"/>
        </w:rPr>
      </w:pPr>
    </w:p>
    <w:p w14:paraId="05AE8B4A" w14:textId="77777777" w:rsidR="00BB534D" w:rsidRDefault="00B842B1">
      <w:pPr>
        <w:numPr>
          <w:ilvl w:val="0"/>
          <w:numId w:val="12"/>
        </w:numPr>
        <w:spacing w:before="0" w:line="240" w:lineRule="auto"/>
        <w:jc w:val="both"/>
        <w:rPr>
          <w:sz w:val="24"/>
          <w:szCs w:val="24"/>
        </w:rPr>
      </w:pPr>
      <w:r>
        <w:rPr>
          <w:sz w:val="24"/>
          <w:szCs w:val="24"/>
        </w:rPr>
        <w:t>Se deben realizar acciones para cerrar las brechas que afectan a la población afrodescendiente y erradicar la discriminación que enfrentan, en particular a las mujeres afrodescendientes, y para superar las debilidades en la generación de información que limitan visibilizar estas problemáticas.</w:t>
      </w:r>
    </w:p>
    <w:p w14:paraId="05AE8B4B" w14:textId="77777777" w:rsidR="00BB534D" w:rsidRDefault="00BB534D">
      <w:pPr>
        <w:spacing w:before="0" w:line="240" w:lineRule="auto"/>
        <w:ind w:left="720"/>
        <w:jc w:val="both"/>
        <w:rPr>
          <w:sz w:val="24"/>
          <w:szCs w:val="24"/>
        </w:rPr>
      </w:pPr>
    </w:p>
    <w:p w14:paraId="05AE8B4C" w14:textId="77777777" w:rsidR="00BB534D" w:rsidRDefault="00B842B1">
      <w:pPr>
        <w:spacing w:before="0" w:line="240" w:lineRule="auto"/>
        <w:jc w:val="both"/>
        <w:rPr>
          <w:sz w:val="24"/>
          <w:szCs w:val="24"/>
        </w:rPr>
      </w:pPr>
      <w:r>
        <w:rPr>
          <w:sz w:val="24"/>
          <w:szCs w:val="24"/>
        </w:rPr>
        <w:t xml:space="preserve">Un rasgo destacado es que el país cuenta cada vez más con proyectos modelo de infraestructura sostenible y resiliente, donde se integran de manera estratégica factores ambientales y sociales, así como la perspectiva de género para garantizar que las necesidades de las poblaciones locales, mujeres, niñas, indígenas, personas con discapacidad y otros grupos vulnerables sean consideradas, asegurando el acceso a los servicios a través de la infraestructura y el acceso a servicios. En 2020, pese a la crisis a causa del COVID-19, Costa Rica mantuvo su compromiso de reducir esta brecha en infraestructura y seguir “desatando los nudos para el desarrollo” con la ejecución de obras viales que se habían mantenido en suspenso por muchos años.  Es necesario que el país siga promoviendo el desarrollo de estos modelos a nivel local, como un modelo de desarrollo de infraestructura promotor de la inclusión social y avanzar en la agenda 2030. </w:t>
      </w:r>
    </w:p>
    <w:p w14:paraId="05AE8B4D" w14:textId="77777777" w:rsidR="00BB534D" w:rsidRDefault="00BB534D">
      <w:pPr>
        <w:spacing w:before="0" w:line="240" w:lineRule="auto"/>
        <w:jc w:val="both"/>
        <w:rPr>
          <w:sz w:val="24"/>
          <w:szCs w:val="24"/>
        </w:rPr>
      </w:pPr>
    </w:p>
    <w:p w14:paraId="05AE8B4E" w14:textId="77777777" w:rsidR="00BB534D" w:rsidRDefault="00B842B1">
      <w:pPr>
        <w:spacing w:before="0" w:line="240" w:lineRule="auto"/>
        <w:jc w:val="both"/>
        <w:rPr>
          <w:sz w:val="24"/>
          <w:szCs w:val="24"/>
        </w:rPr>
      </w:pPr>
      <w:r>
        <w:rPr>
          <w:sz w:val="24"/>
          <w:szCs w:val="24"/>
        </w:rPr>
        <w:t xml:space="preserve">Durante muchos años, se ha demostrado una y otra vez que empoderar a las mujeres, </w:t>
      </w:r>
      <w:proofErr w:type="gramStart"/>
      <w:r>
        <w:rPr>
          <w:sz w:val="24"/>
          <w:szCs w:val="24"/>
        </w:rPr>
        <w:t>niñas y niños</w:t>
      </w:r>
      <w:proofErr w:type="gramEnd"/>
      <w:r>
        <w:rPr>
          <w:sz w:val="24"/>
          <w:szCs w:val="24"/>
        </w:rPr>
        <w:t xml:space="preserve"> tiene un efecto multiplicador y ayuda a promover el crecimiento social y económico, y el desarrollo a nivel mundial. Aunque el país cuenta con avances en el campo de la igualdad de género, todavía se tiene el reto de: a) trabajar con las estructuras organizacionales de las instituciones públicas para adoptar el enfoque de género y curso de vida, esto incluye la planificación estratégica y visión por resultados con enfoque de género; b) desarrollar programas locales para trabajar en el ámbito de la comunidad, las familias donde se continúan reproduciendo roles y estereotipos de género tradicionales; c) en términos de inversión no se logra identificar una oferta programática particular para empoderar a las mujeres (niñas, jóvenes y adolescencia) en las diferentes etapas del curso de vida: la oferta programática se plantea desde un enfoque universal que refuerza roles y estereotipos de género, por lo que la inversión se genera en función de necesidades y expectativas de la población masculina;  d) promover espacios exitosos de articulación entre el Gobierno central, los Gobierno Locales, el sector privado y la sociedad civil; e) monitoreo y generación de evidencia, así como el fortalecimiento de los registros administrativos para el análisis de brechas e inequidades en género e interseccionalidades y f) promover la visión de nuevas masculinidades. </w:t>
      </w:r>
    </w:p>
    <w:p w14:paraId="05AE8B4F" w14:textId="77777777" w:rsidR="00BB534D" w:rsidRDefault="00BB534D">
      <w:pPr>
        <w:pBdr>
          <w:top w:val="nil"/>
          <w:left w:val="nil"/>
          <w:bottom w:val="nil"/>
          <w:right w:val="nil"/>
          <w:between w:val="nil"/>
        </w:pBdr>
        <w:spacing w:line="240" w:lineRule="auto"/>
        <w:rPr>
          <w:sz w:val="24"/>
          <w:szCs w:val="24"/>
        </w:rPr>
      </w:pPr>
    </w:p>
    <w:p w14:paraId="05AE8B50" w14:textId="77777777" w:rsidR="00BB534D" w:rsidRDefault="00BB534D">
      <w:pPr>
        <w:pBdr>
          <w:top w:val="nil"/>
          <w:left w:val="nil"/>
          <w:bottom w:val="nil"/>
          <w:right w:val="nil"/>
          <w:between w:val="nil"/>
        </w:pBdr>
        <w:spacing w:line="240" w:lineRule="auto"/>
        <w:rPr>
          <w:sz w:val="24"/>
          <w:szCs w:val="24"/>
        </w:rPr>
      </w:pPr>
    </w:p>
    <w:p w14:paraId="05AE8B51" w14:textId="77777777" w:rsidR="00BB534D" w:rsidRDefault="00BB534D">
      <w:pPr>
        <w:pBdr>
          <w:top w:val="nil"/>
          <w:left w:val="nil"/>
          <w:bottom w:val="nil"/>
          <w:right w:val="nil"/>
          <w:between w:val="nil"/>
        </w:pBdr>
        <w:spacing w:line="240" w:lineRule="auto"/>
        <w:rPr>
          <w:sz w:val="24"/>
          <w:szCs w:val="24"/>
        </w:rPr>
      </w:pPr>
    </w:p>
    <w:p w14:paraId="05AE8B52" w14:textId="77777777" w:rsidR="00BB534D" w:rsidRDefault="00BB534D">
      <w:pPr>
        <w:pBdr>
          <w:top w:val="nil"/>
          <w:left w:val="nil"/>
          <w:bottom w:val="nil"/>
          <w:right w:val="nil"/>
          <w:between w:val="nil"/>
        </w:pBdr>
        <w:spacing w:line="240" w:lineRule="auto"/>
        <w:rPr>
          <w:sz w:val="24"/>
          <w:szCs w:val="24"/>
        </w:rPr>
      </w:pPr>
    </w:p>
    <w:p w14:paraId="05AE8B53" w14:textId="77777777" w:rsidR="00BB534D" w:rsidRDefault="00BB534D">
      <w:pPr>
        <w:pBdr>
          <w:top w:val="nil"/>
          <w:left w:val="nil"/>
          <w:bottom w:val="nil"/>
          <w:right w:val="nil"/>
          <w:between w:val="nil"/>
        </w:pBdr>
        <w:spacing w:line="240" w:lineRule="auto"/>
        <w:rPr>
          <w:sz w:val="24"/>
          <w:szCs w:val="24"/>
        </w:rPr>
      </w:pPr>
    </w:p>
    <w:p w14:paraId="05AE8B54" w14:textId="77777777" w:rsidR="00BB534D" w:rsidRDefault="00B842B1">
      <w:pPr>
        <w:pBdr>
          <w:top w:val="nil"/>
          <w:left w:val="nil"/>
          <w:bottom w:val="nil"/>
          <w:right w:val="nil"/>
          <w:between w:val="nil"/>
        </w:pBdr>
        <w:spacing w:line="240" w:lineRule="auto"/>
        <w:rPr>
          <w:b/>
          <w:color w:val="039BE5"/>
          <w:sz w:val="24"/>
          <w:szCs w:val="24"/>
        </w:rPr>
      </w:pPr>
      <w:r>
        <w:rPr>
          <w:b/>
          <w:color w:val="039BE5"/>
          <w:sz w:val="24"/>
          <w:szCs w:val="24"/>
        </w:rPr>
        <w:t>CAPÍTULO III: Ambiente y Cambio Climático</w:t>
      </w:r>
    </w:p>
    <w:p w14:paraId="05AE8B55" w14:textId="77777777" w:rsidR="00BB534D" w:rsidRDefault="00BB534D">
      <w:pPr>
        <w:spacing w:before="0" w:line="240" w:lineRule="auto"/>
        <w:jc w:val="both"/>
        <w:rPr>
          <w:sz w:val="24"/>
          <w:szCs w:val="24"/>
        </w:rPr>
      </w:pPr>
    </w:p>
    <w:p w14:paraId="05AE8B56" w14:textId="77777777" w:rsidR="00BB534D" w:rsidRDefault="00B842B1">
      <w:pPr>
        <w:spacing w:before="0" w:line="240" w:lineRule="auto"/>
        <w:jc w:val="both"/>
        <w:rPr>
          <w:sz w:val="24"/>
          <w:szCs w:val="24"/>
        </w:rPr>
      </w:pPr>
      <w:r>
        <w:rPr>
          <w:sz w:val="24"/>
          <w:szCs w:val="24"/>
        </w:rPr>
        <w:t>Costa Rica se reconoce a nivel mundial y regional por su biodiversidad, ecosistemas y la ambición en políticas de cambio climático, en un marco de cumplimiento a los derechos humanos de poblaciones vulnerables. El reconocimiento de la gestión pública a la importancia de los ecosistemas naturales para proveer servicios ecosistémicos a la economía nacional es destacable</w:t>
      </w:r>
      <w:r>
        <w:rPr>
          <w:sz w:val="24"/>
          <w:szCs w:val="24"/>
          <w:vertAlign w:val="superscript"/>
        </w:rPr>
        <w:footnoteReference w:id="63"/>
      </w:r>
      <w:r>
        <w:rPr>
          <w:sz w:val="24"/>
          <w:szCs w:val="24"/>
        </w:rPr>
        <w:t xml:space="preserve"> al punto que en el año 2021 la Fundación Real del Reino Unido otorgó al MINAE el </w:t>
      </w:r>
      <w:proofErr w:type="spellStart"/>
      <w:r>
        <w:rPr>
          <w:sz w:val="24"/>
          <w:szCs w:val="24"/>
        </w:rPr>
        <w:t>Earthshot</w:t>
      </w:r>
      <w:proofErr w:type="spellEnd"/>
      <w:r>
        <w:rPr>
          <w:sz w:val="24"/>
          <w:szCs w:val="24"/>
        </w:rPr>
        <w:t xml:space="preserve"> </w:t>
      </w:r>
      <w:proofErr w:type="spellStart"/>
      <w:r>
        <w:rPr>
          <w:sz w:val="24"/>
          <w:szCs w:val="24"/>
        </w:rPr>
        <w:t>Prize</w:t>
      </w:r>
      <w:proofErr w:type="spellEnd"/>
      <w:r>
        <w:rPr>
          <w:sz w:val="24"/>
          <w:szCs w:val="24"/>
        </w:rPr>
        <w:t xml:space="preserve">, premio ambiental más importante del planeta, por sus méritos de décadas de recuperación forestal y conservación de la biodiversidad. </w:t>
      </w:r>
    </w:p>
    <w:p w14:paraId="05AE8B57" w14:textId="77777777" w:rsidR="00BB534D" w:rsidRDefault="00BB534D">
      <w:pPr>
        <w:spacing w:before="0" w:line="240" w:lineRule="auto"/>
        <w:jc w:val="both"/>
        <w:rPr>
          <w:sz w:val="24"/>
          <w:szCs w:val="24"/>
        </w:rPr>
      </w:pPr>
    </w:p>
    <w:p w14:paraId="05AE8B58" w14:textId="77777777" w:rsidR="00BB534D" w:rsidRDefault="00B842B1">
      <w:pPr>
        <w:spacing w:before="0" w:line="240" w:lineRule="auto"/>
        <w:jc w:val="both"/>
        <w:rPr>
          <w:sz w:val="24"/>
          <w:szCs w:val="24"/>
        </w:rPr>
      </w:pPr>
      <w:r>
        <w:rPr>
          <w:sz w:val="24"/>
          <w:szCs w:val="24"/>
        </w:rPr>
        <w:t>En el 2015 se adoptaron los Objetivos de Desarrollo Sostenible, como parte de una </w:t>
      </w:r>
      <w:hyperlink r:id="rId9">
        <w:r>
          <w:rPr>
            <w:sz w:val="24"/>
            <w:szCs w:val="24"/>
          </w:rPr>
          <w:t>nueva agenda nacional de desarrollo sostenible</w:t>
        </w:r>
      </w:hyperlink>
      <w:r>
        <w:rPr>
          <w:sz w:val="24"/>
          <w:szCs w:val="24"/>
        </w:rPr>
        <w:t xml:space="preserve"> hasta el año 2030. En el mismo año, se enviaron las Contribuciones Nacionalmente Determinadas a la Convención Marco De Las Naciones Unidas Sobre el Cambio Climático (CMNUCC) y se aprobó el Acuerdo de París, en cuya negociación el país participó activamente. Los compromisos ambientales del país integran estrategias transversales de inclusión de los derechos humanos</w:t>
      </w:r>
      <w:r>
        <w:rPr>
          <w:sz w:val="24"/>
          <w:szCs w:val="24"/>
          <w:vertAlign w:val="superscript"/>
        </w:rPr>
        <w:footnoteReference w:id="64"/>
      </w:r>
      <w:r>
        <w:rPr>
          <w:sz w:val="24"/>
          <w:szCs w:val="24"/>
        </w:rPr>
        <w:t>, con énfasis en el empoderamiento de las mujeres y la integración de la perspectiva interseccional de género y la promoción de la igualdad de género. Así se busca cumplir la promesa central de la Agenda 2030 para el Desarrollo Sostenible de “No dejar a nadie atrás” (LNOB).</w:t>
      </w:r>
    </w:p>
    <w:p w14:paraId="05AE8B59" w14:textId="77777777" w:rsidR="00BB534D" w:rsidRDefault="00BB534D">
      <w:pPr>
        <w:spacing w:before="0" w:line="240" w:lineRule="auto"/>
        <w:jc w:val="both"/>
        <w:rPr>
          <w:sz w:val="24"/>
          <w:szCs w:val="24"/>
        </w:rPr>
      </w:pPr>
    </w:p>
    <w:p w14:paraId="05AE8B5A" w14:textId="77777777" w:rsidR="00BB534D" w:rsidRDefault="00B842B1">
      <w:pPr>
        <w:spacing w:before="0" w:line="240" w:lineRule="auto"/>
        <w:jc w:val="both"/>
        <w:rPr>
          <w:sz w:val="24"/>
          <w:szCs w:val="24"/>
        </w:rPr>
      </w:pPr>
      <w:r>
        <w:rPr>
          <w:sz w:val="24"/>
          <w:szCs w:val="24"/>
        </w:rPr>
        <w:t>Costa Rica ha firmado, adherido o ratificado los principales acuerdos multilaterales ambientales, con el fin de proteger la salud humana y la de los seres vivos, los bienes y servicios ambientales de cada país con respecto a las emisiones y liberaciones de sustancias químicas que tienen efectos globales.</w:t>
      </w:r>
      <w:r>
        <w:rPr>
          <w:sz w:val="24"/>
          <w:szCs w:val="24"/>
          <w:vertAlign w:val="superscript"/>
        </w:rPr>
        <w:footnoteReference w:id="65"/>
      </w:r>
      <w:r>
        <w:rPr>
          <w:sz w:val="24"/>
          <w:szCs w:val="24"/>
        </w:rPr>
        <w:t xml:space="preserve"> Estos acuerdos constituyen una fuente importante de derecho ambiental internacional y contribuyen a la generación de políticas en cada país</w:t>
      </w:r>
    </w:p>
    <w:p w14:paraId="05AE8B5B" w14:textId="77777777" w:rsidR="00BB534D" w:rsidRDefault="00BB534D">
      <w:pPr>
        <w:spacing w:before="0" w:line="240" w:lineRule="auto"/>
        <w:jc w:val="both"/>
        <w:rPr>
          <w:sz w:val="24"/>
          <w:szCs w:val="24"/>
        </w:rPr>
      </w:pPr>
    </w:p>
    <w:p w14:paraId="05AE8B5C" w14:textId="77777777" w:rsidR="00BB534D" w:rsidRDefault="00B842B1">
      <w:pPr>
        <w:spacing w:before="0" w:line="240" w:lineRule="auto"/>
        <w:jc w:val="both"/>
        <w:rPr>
          <w:sz w:val="24"/>
          <w:szCs w:val="24"/>
        </w:rPr>
      </w:pPr>
      <w:r>
        <w:rPr>
          <w:sz w:val="24"/>
          <w:szCs w:val="24"/>
        </w:rPr>
        <w:t>Conforme asume mayores compromisos ambientales, el país ha venido desarrollando mejores marcos políticos y legislativos, para establecer la institucionalidad necesaria para velar por la protección de los ecosistemas y la biodiversidad.</w:t>
      </w:r>
    </w:p>
    <w:p w14:paraId="05AE8B5D" w14:textId="77777777" w:rsidR="00BB534D" w:rsidRDefault="00BB534D">
      <w:pPr>
        <w:spacing w:before="0" w:line="240" w:lineRule="auto"/>
        <w:jc w:val="both"/>
        <w:rPr>
          <w:sz w:val="24"/>
          <w:szCs w:val="24"/>
        </w:rPr>
      </w:pPr>
    </w:p>
    <w:p w14:paraId="05AE8B5E" w14:textId="77777777" w:rsidR="00BB534D" w:rsidRDefault="00B842B1">
      <w:pPr>
        <w:spacing w:before="0" w:line="240" w:lineRule="auto"/>
        <w:jc w:val="both"/>
        <w:rPr>
          <w:sz w:val="24"/>
          <w:szCs w:val="24"/>
        </w:rPr>
      </w:pPr>
      <w:r>
        <w:rPr>
          <w:sz w:val="24"/>
          <w:szCs w:val="24"/>
        </w:rPr>
        <w:t xml:space="preserve">Esta sección inicia con un análisis de la vigente protección de ecosistemas y biodiversidad terrestres y marinas. Continúa con un resumen de los principales desafíos para cumplir el mandato constitucional de un ambiente sano; resalta los factores que exacerban conflictos ambientales; que aumentan riesgos de desastres (incluidos los impactos exacerbados por el Cambio Climático y las respuestas institucionales a los mismos) y presenta una evolución de normas y políticas ambientales. Aborda también las múltiples vías de aprovechamiento de la diversidad y riqueza natural para una transformación y crecimiento económico mediante una industria más verde, más azul, más limpia, a la vez que se apuntalan las herramientas para preservar los recursos en un círculo virtuoso de uso y protección. Al final del capítulo se presenta una mirada al futuro describiendo los principales retos que debe asumir el país y el apartado de conclusiones encierra los principales resultados del análisis. </w:t>
      </w:r>
    </w:p>
    <w:p w14:paraId="05AE8B5F" w14:textId="77777777" w:rsidR="00BB534D" w:rsidRDefault="00B842B1">
      <w:pPr>
        <w:pStyle w:val="Heading2"/>
        <w:spacing w:before="360" w:after="120" w:line="240" w:lineRule="auto"/>
        <w:jc w:val="both"/>
        <w:rPr>
          <w:color w:val="4A86E8"/>
          <w:sz w:val="24"/>
          <w:szCs w:val="24"/>
        </w:rPr>
      </w:pPr>
      <w:bookmarkStart w:id="5" w:name="_30j0zll" w:colFirst="0" w:colLast="0"/>
      <w:bookmarkEnd w:id="5"/>
      <w:r>
        <w:rPr>
          <w:color w:val="4A86E8"/>
          <w:sz w:val="24"/>
          <w:szCs w:val="24"/>
        </w:rPr>
        <w:t>3.1 Protección de ecosistemas y biodiversidad</w:t>
      </w:r>
    </w:p>
    <w:p w14:paraId="05AE8B60" w14:textId="77777777" w:rsidR="00BB534D" w:rsidRDefault="00B842B1">
      <w:pPr>
        <w:spacing w:before="0" w:line="240" w:lineRule="auto"/>
        <w:jc w:val="both"/>
        <w:rPr>
          <w:sz w:val="24"/>
          <w:szCs w:val="24"/>
        </w:rPr>
      </w:pPr>
      <w:r>
        <w:rPr>
          <w:sz w:val="24"/>
          <w:szCs w:val="24"/>
        </w:rPr>
        <w:t>Costa Rica está dividida en 8 eco-regiones distintas. Alberga una amplia variedad de ecosistemas marinos y terrestres y es considerado uno de los nueve países del mundo con una diversidad extremadamente alta de organismos de ecosistemas forestales. Los hábitats abarcan desde bosques tropicales secos, pantanos, bosques de manglares, selvas tropicales, bosques nubosos, arrecifes de coral, playas, humedales de alta montaña, lagos, ríos y llanuras. A pesar de representar sólo un 0,03% de la superficie terrestre total del planeta, el país alberga el equivalente al 5% de toda la biodiversidad conocida a nivel mundial (cerca de 200.000 especies registradas)</w:t>
      </w:r>
      <w:r>
        <w:rPr>
          <w:sz w:val="24"/>
          <w:szCs w:val="24"/>
          <w:vertAlign w:val="superscript"/>
        </w:rPr>
        <w:t xml:space="preserve"> </w:t>
      </w:r>
      <w:r>
        <w:rPr>
          <w:sz w:val="24"/>
          <w:szCs w:val="24"/>
          <w:vertAlign w:val="superscript"/>
        </w:rPr>
        <w:footnoteReference w:id="66"/>
      </w:r>
      <w:r>
        <w:rPr>
          <w:sz w:val="24"/>
          <w:szCs w:val="24"/>
        </w:rPr>
        <w:t xml:space="preserve">. En general, Costa Rica posee el 5% de los vertebrados mundialmente conocidos y el 3,7% de las plantas; 35% de los cetáceos (28 de las 80 especies de ballenas y delfines conocidas mundialmente están presentes en el país); y el 5% de las serpientes conocidas. Con 109 especies, los murciélagos representan aproximadamente la mitad de los mamíferos presentes en el país (45%). A nivel mundial, Costa Rica se encuentra entre los 20 países con mayor diversidad biológica en términos de número total de especies, mientras que se encuentra entre los primeros a nivel mundial en cuanto a densidad (número de especies / área). El país también tiene la mayor diversidad conocida de especies de plantas y vertebrados en América Central. </w:t>
      </w:r>
    </w:p>
    <w:p w14:paraId="05AE8B61" w14:textId="77777777" w:rsidR="00BB534D" w:rsidRDefault="00BB534D">
      <w:pPr>
        <w:spacing w:before="0" w:line="240" w:lineRule="auto"/>
        <w:jc w:val="both"/>
        <w:rPr>
          <w:sz w:val="24"/>
          <w:szCs w:val="24"/>
        </w:rPr>
      </w:pPr>
    </w:p>
    <w:p w14:paraId="05AE8B62" w14:textId="77777777" w:rsidR="00BB534D" w:rsidRDefault="00B842B1">
      <w:pPr>
        <w:spacing w:before="0" w:line="240" w:lineRule="auto"/>
        <w:jc w:val="both"/>
        <w:rPr>
          <w:sz w:val="24"/>
          <w:szCs w:val="24"/>
        </w:rPr>
      </w:pPr>
      <w:r>
        <w:rPr>
          <w:sz w:val="24"/>
          <w:szCs w:val="24"/>
        </w:rPr>
        <w:t>Un 70% de las áreas silvestres protegidas estatales cuentan con Planes de Manejo y se han protegido y/o recuperado al menos 50.000 hectáreas de cobertura forestal en los territorios indígenas con pertinencia cultural y participación de género</w:t>
      </w:r>
      <w:r>
        <w:rPr>
          <w:sz w:val="24"/>
          <w:szCs w:val="24"/>
          <w:vertAlign w:val="superscript"/>
        </w:rPr>
        <w:footnoteReference w:id="67"/>
      </w:r>
      <w:r>
        <w:rPr>
          <w:sz w:val="24"/>
          <w:szCs w:val="24"/>
        </w:rPr>
        <w:t>. Lo anterior no impide que de la mano con estas áreas protegidas se incluyen varios territorios indígenas ya que el país cuenta con un importante compromiso de salvaguardar derechos de los pueblos indígenas en torno a consentimiento previo, libre e informado y la importancia del conocimiento tradicional, según instrumentos como el Convenio sobre Diversidad Biológica (Artículo 8 j) y el Convenio 169 de la OIT.</w:t>
      </w:r>
    </w:p>
    <w:p w14:paraId="05AE8B63" w14:textId="77777777" w:rsidR="00BB534D" w:rsidRDefault="00BB534D">
      <w:pPr>
        <w:spacing w:before="0" w:line="240" w:lineRule="auto"/>
        <w:jc w:val="both"/>
        <w:rPr>
          <w:sz w:val="24"/>
          <w:szCs w:val="24"/>
        </w:rPr>
      </w:pPr>
    </w:p>
    <w:p w14:paraId="05AE8B64" w14:textId="77777777" w:rsidR="00BB534D" w:rsidRDefault="00B842B1">
      <w:pPr>
        <w:spacing w:before="0" w:line="240" w:lineRule="auto"/>
        <w:jc w:val="both"/>
        <w:rPr>
          <w:sz w:val="24"/>
          <w:szCs w:val="24"/>
        </w:rPr>
      </w:pPr>
      <w:r>
        <w:rPr>
          <w:sz w:val="24"/>
          <w:szCs w:val="24"/>
        </w:rPr>
        <w:t>Los esfuerzos para conservar la biodiversidad del país han resultado en la categorización de un 26% de su territorio terrestre como área protegida, y un 2,7% de su territorio marino bajo protección en el marco de su Sistema Nacional de Áreas de Conservación</w:t>
      </w:r>
      <w:r>
        <w:rPr>
          <w:sz w:val="24"/>
          <w:szCs w:val="24"/>
          <w:vertAlign w:val="superscript"/>
        </w:rPr>
        <w:footnoteReference w:id="68"/>
      </w:r>
      <w:r>
        <w:rPr>
          <w:sz w:val="24"/>
          <w:szCs w:val="24"/>
        </w:rPr>
        <w:t>. Cuenta con cuatro Reservas de Biosfera, y tres sitios Patrimonio Mundial Natural, incluyendo el único transfronterizo de Latinoamérica y el Caribe (el Parque Internacional La Amistad, compartido con Panamá). Adicionalmente, cuenta con 12 humedales de importancia internacional inscritos en el Convenio Mundial de Humedales Ramsar.</w:t>
      </w:r>
    </w:p>
    <w:p w14:paraId="05AE8B65" w14:textId="77777777" w:rsidR="00BB534D" w:rsidRDefault="00BB534D">
      <w:pPr>
        <w:spacing w:before="0" w:line="240" w:lineRule="auto"/>
        <w:jc w:val="both"/>
        <w:rPr>
          <w:sz w:val="24"/>
          <w:szCs w:val="24"/>
          <w:highlight w:val="yellow"/>
        </w:rPr>
      </w:pPr>
    </w:p>
    <w:p w14:paraId="05AE8B66" w14:textId="77777777" w:rsidR="00BB534D" w:rsidRDefault="00B842B1">
      <w:pPr>
        <w:spacing w:before="0" w:line="240" w:lineRule="auto"/>
        <w:jc w:val="both"/>
        <w:rPr>
          <w:sz w:val="24"/>
          <w:szCs w:val="24"/>
        </w:rPr>
      </w:pPr>
      <w:r>
        <w:rPr>
          <w:sz w:val="24"/>
          <w:szCs w:val="24"/>
        </w:rPr>
        <w:t xml:space="preserve">Costa Rica continúa avanzando en la creación y ejecución de normativas y liderando alianzas y coaliciones para preservar la naturaleza y restaurar ecosistemas degradados. Algunas iniciativas destacables incluyen: la Estrategia para la Ganadería Baja en Carbono; la </w:t>
      </w:r>
      <w:proofErr w:type="spellStart"/>
      <w:r>
        <w:rPr>
          <w:sz w:val="24"/>
          <w:szCs w:val="24"/>
        </w:rPr>
        <w:t>Re-carbonización</w:t>
      </w:r>
      <w:proofErr w:type="spellEnd"/>
      <w:r>
        <w:rPr>
          <w:sz w:val="24"/>
          <w:szCs w:val="24"/>
        </w:rPr>
        <w:t xml:space="preserve"> de los suelos por medio de incentivos como el Pago por Servicios Ambientales; estrategias de adaptación para la pesca y la acuicultura; reducción de pérdida y desperdicio de alimentos, siembra de bosques y árboles urbanos y fortalecer la biodiversidad. A nivel internacional destaca el liderazgo compartido con otros países como la Coalición de Alta Ambición por la Naturaleza.</w:t>
      </w:r>
    </w:p>
    <w:p w14:paraId="05AE8B67" w14:textId="77777777" w:rsidR="00BB534D" w:rsidRDefault="00BB534D">
      <w:pPr>
        <w:spacing w:before="0" w:line="240" w:lineRule="auto"/>
        <w:jc w:val="both"/>
        <w:rPr>
          <w:sz w:val="24"/>
          <w:szCs w:val="24"/>
        </w:rPr>
      </w:pPr>
    </w:p>
    <w:p w14:paraId="05AE8B68" w14:textId="77777777" w:rsidR="00BB534D" w:rsidRDefault="00B842B1">
      <w:pPr>
        <w:spacing w:before="0" w:line="240" w:lineRule="auto"/>
        <w:jc w:val="both"/>
        <w:rPr>
          <w:sz w:val="24"/>
          <w:szCs w:val="24"/>
        </w:rPr>
      </w:pPr>
      <w:r>
        <w:rPr>
          <w:sz w:val="24"/>
          <w:szCs w:val="24"/>
        </w:rPr>
        <w:t>En el caso de la protección a la biodiversidad marina una de las principales amenazas de la vida en los mares es la sobreexplotación de recursos pesqueros, la pesquería captura incidentalmente especies de tortugas, mamíferos y rayas, y potencialmente de aves. Existe también la posibilidad de que las artes de pesca abandonadas afecten a especies de corales. Si bien la pesca de arrastre ha sido prohibida en Costa Rica, este hecho obedece al veto presidencial a la Ley que autorizaría su práctica</w:t>
      </w:r>
      <w:r>
        <w:rPr>
          <w:sz w:val="24"/>
          <w:szCs w:val="24"/>
          <w:vertAlign w:val="superscript"/>
        </w:rPr>
        <w:footnoteReference w:id="69"/>
      </w:r>
      <w:r>
        <w:rPr>
          <w:sz w:val="24"/>
          <w:szCs w:val="24"/>
        </w:rPr>
        <w:t>, con lo cual la situación jurídica de la proscripción es muy frágil. La argumentación económica respecto a la pérdida de empleo de las personas que se dedicaban a esta actividad puede eventualmente tomar fuerza y poner en peligro la prohibición, de manera que es de mucha importancia impulsar alternativas concretas de producción y empleabilidad basadas en prácticas no extractivas y con rendimientos mayores que permitan el bienestar de la población costera y se reduzcan la depredación del recurso marino.</w:t>
      </w:r>
    </w:p>
    <w:p w14:paraId="05AE8B69" w14:textId="77777777" w:rsidR="00BB534D" w:rsidRDefault="00BB534D">
      <w:pPr>
        <w:spacing w:before="0" w:line="240" w:lineRule="auto"/>
        <w:jc w:val="both"/>
        <w:rPr>
          <w:sz w:val="24"/>
          <w:szCs w:val="24"/>
        </w:rPr>
      </w:pPr>
    </w:p>
    <w:p w14:paraId="05AE8B6A" w14:textId="77777777" w:rsidR="00BB534D" w:rsidRDefault="00B842B1">
      <w:pPr>
        <w:spacing w:before="0" w:line="240" w:lineRule="auto"/>
        <w:jc w:val="both"/>
        <w:rPr>
          <w:sz w:val="24"/>
          <w:szCs w:val="24"/>
        </w:rPr>
      </w:pPr>
      <w:r>
        <w:rPr>
          <w:sz w:val="24"/>
          <w:szCs w:val="24"/>
        </w:rPr>
        <w:t>Para los espacios marinos sometidos a la jurisdicción del Estado Costarricense se ha propuesto un mecanismo con el objetivo de promover la coordinación interinstitucional para la gestión y el manejo participativo de los recursos marinos para aprovechar de manera sostenible los servicios ecosistémicos que ofrece. Incorpora la zonificación de las aguas jurisdiccionales costarricenses y el establecimiento de órganos regionales de participación ciudadana formal, sobre lo cual ya existen ejemplos importantes</w:t>
      </w:r>
      <w:r>
        <w:rPr>
          <w:sz w:val="24"/>
          <w:szCs w:val="24"/>
          <w:vertAlign w:val="superscript"/>
        </w:rPr>
        <w:footnoteReference w:id="70"/>
      </w:r>
      <w:r>
        <w:rPr>
          <w:sz w:val="24"/>
          <w:szCs w:val="24"/>
        </w:rPr>
        <w:t>.</w:t>
      </w:r>
    </w:p>
    <w:p w14:paraId="05AE8B6B" w14:textId="77777777" w:rsidR="00BB534D" w:rsidRDefault="00BB534D">
      <w:pPr>
        <w:spacing w:before="0" w:line="240" w:lineRule="auto"/>
        <w:jc w:val="both"/>
        <w:rPr>
          <w:sz w:val="24"/>
          <w:szCs w:val="24"/>
        </w:rPr>
      </w:pPr>
    </w:p>
    <w:p w14:paraId="05AE8B6C" w14:textId="77777777" w:rsidR="00BB534D" w:rsidRDefault="00B842B1">
      <w:pPr>
        <w:spacing w:before="0" w:line="240" w:lineRule="auto"/>
        <w:jc w:val="both"/>
        <w:rPr>
          <w:sz w:val="24"/>
          <w:szCs w:val="24"/>
        </w:rPr>
      </w:pPr>
      <w:r>
        <w:rPr>
          <w:sz w:val="24"/>
          <w:szCs w:val="24"/>
        </w:rPr>
        <w:t xml:space="preserve">Los mecanismos de diálogo e intercambio que favorezcan la gestión integrada de los recursos hídricos, permitiendo la participación de la sociedad civil, instituciones públicas y público en general en los procesos de acciones estratégicas para la protección y sostenibilidad del recurso hídrico, han sido movilizados y fortalecidos. Estos se basan en los principios del agua como derecho humano (reconocido como tal en la Constitución Política en 2020), participación ciudadana, rendición de cuentas, acceso a la información y transparencia, sostenibilidad, búsqueda de acuerdos, responsabilidad compartida y diferenciada, legitimidad, alianzas estratégicas. En los últimos años se ha hecho un esfuerzo por establecer un mecanismo de gobernanza del recurso hídrico que ordene tanto a la institucionalidad que la administra en sus diferentes facetas, como a los diferentes actores que se relacionan con su uso y protección. Además, el país no dispone de información suficiente sobre el estado de sus acuíferos, con lo cual es bastante difícil establecer un ordenamiento de uso de los territorios orientado a la preservación del agua subterránea y sus áreas de recarga. La legislación que rige al recurso hídrico data de los años 40 con las taras legales y organizativas que eso conlleva. La sostenibilidad del modelo de provisión de agua potable mediante la gestión comunal del agua enfrenta serias amenazas, y requiere de una exhaustiva reingeniería para que pueda adaptarse exitosamente a la demanda de los nuevos tiempos. </w:t>
      </w:r>
    </w:p>
    <w:p w14:paraId="05AE8B6D" w14:textId="77777777" w:rsidR="00BB534D" w:rsidRDefault="00BB534D">
      <w:pPr>
        <w:spacing w:before="0" w:line="240" w:lineRule="auto"/>
        <w:jc w:val="both"/>
        <w:rPr>
          <w:sz w:val="24"/>
          <w:szCs w:val="24"/>
        </w:rPr>
      </w:pPr>
    </w:p>
    <w:p w14:paraId="05AE8B6E" w14:textId="77777777" w:rsidR="00BB534D" w:rsidRDefault="00B842B1">
      <w:pPr>
        <w:spacing w:before="0" w:line="240" w:lineRule="auto"/>
        <w:jc w:val="both"/>
        <w:rPr>
          <w:sz w:val="24"/>
          <w:szCs w:val="24"/>
        </w:rPr>
      </w:pPr>
      <w:r>
        <w:rPr>
          <w:sz w:val="24"/>
          <w:szCs w:val="24"/>
        </w:rPr>
        <w:t>Finalmente, y a pesar de la poca superficie con la que cuentan, los arrecifes de coral son ecosistemas claves para la vida marina, “a menudo son comparados con los bosques tropicales húmedos por su alta biodiversidad”</w:t>
      </w:r>
      <w:r>
        <w:rPr>
          <w:sz w:val="24"/>
          <w:szCs w:val="24"/>
          <w:vertAlign w:val="superscript"/>
        </w:rPr>
        <w:footnoteReference w:id="71"/>
      </w:r>
      <w:r>
        <w:rPr>
          <w:sz w:val="24"/>
          <w:szCs w:val="24"/>
        </w:rPr>
        <w:t>. Los arrecifes y corales son ecosistemas marinos que prosperan en aguas oceánicas cálidas, y se estima que entre 550.000 y 1 330 000 especies se encuentran en los arrecifes de coral de todo el mundo</w:t>
      </w:r>
      <w:r>
        <w:rPr>
          <w:sz w:val="24"/>
          <w:szCs w:val="24"/>
          <w:vertAlign w:val="superscript"/>
        </w:rPr>
        <w:footnoteReference w:id="72"/>
      </w:r>
      <w:r>
        <w:rPr>
          <w:sz w:val="24"/>
          <w:szCs w:val="24"/>
        </w:rPr>
        <w:t>, lo que representa entre el 25% y el 60% de especies estimadas en entornos oceánicos</w:t>
      </w:r>
      <w:r>
        <w:rPr>
          <w:sz w:val="24"/>
          <w:szCs w:val="24"/>
          <w:vertAlign w:val="superscript"/>
        </w:rPr>
        <w:footnoteReference w:id="73"/>
      </w:r>
      <w:r>
        <w:rPr>
          <w:sz w:val="24"/>
          <w:szCs w:val="24"/>
        </w:rPr>
        <w:t>.</w:t>
      </w:r>
    </w:p>
    <w:p w14:paraId="05AE8B6F" w14:textId="77777777" w:rsidR="00BB534D" w:rsidRDefault="00B842B1">
      <w:pPr>
        <w:pStyle w:val="Heading2"/>
        <w:spacing w:before="360" w:after="120" w:line="240" w:lineRule="auto"/>
        <w:jc w:val="both"/>
        <w:rPr>
          <w:color w:val="4A86E8"/>
          <w:sz w:val="24"/>
          <w:szCs w:val="24"/>
        </w:rPr>
      </w:pPr>
      <w:bookmarkStart w:id="6" w:name="_60xnmr56n2xe" w:colFirst="0" w:colLast="0"/>
      <w:bookmarkEnd w:id="6"/>
      <w:r>
        <w:rPr>
          <w:color w:val="4A86E8"/>
          <w:sz w:val="24"/>
          <w:szCs w:val="24"/>
        </w:rPr>
        <w:t>3.2 Ambiente sano</w:t>
      </w:r>
    </w:p>
    <w:p w14:paraId="05AE8B70" w14:textId="77777777" w:rsidR="00BB534D" w:rsidRDefault="00B842B1">
      <w:pPr>
        <w:spacing w:before="0" w:line="240" w:lineRule="auto"/>
        <w:jc w:val="both"/>
        <w:rPr>
          <w:sz w:val="24"/>
          <w:szCs w:val="24"/>
        </w:rPr>
      </w:pPr>
      <w:r>
        <w:rPr>
          <w:sz w:val="24"/>
          <w:szCs w:val="24"/>
        </w:rPr>
        <w:t>En lo que corresponde al análisis de los obstáculos para la reducción de residuos, es importante señalar el rol fundamental de los gobiernos locales en esta gestión y el marco normativo reciente (Ley 8839 del año 2010 y sus reglamentos, estrategias, entre otros) que aporta una serie de lineamientos que han fortalecido la gestión de las municipalidades en la gestión integral de los residuos sólidos. En esto, se señala que solamente el 18,1% de los distritos en el territorio nacional carecen del servicio de recolección de residuos por parte de la municipalidad</w:t>
      </w:r>
      <w:r>
        <w:rPr>
          <w:sz w:val="24"/>
          <w:szCs w:val="24"/>
          <w:vertAlign w:val="superscript"/>
        </w:rPr>
        <w:footnoteReference w:id="74"/>
      </w:r>
      <w:r>
        <w:rPr>
          <w:sz w:val="24"/>
          <w:szCs w:val="24"/>
        </w:rPr>
        <w:t xml:space="preserve">, es decir que más de un 80% del territorio nacional tiene cobertura de recolección en los principales centros urbanos y comunitarios.  Esto ha gestado iniciativas ciudadanas para trabajar temas de educación ambiental y emprendimientos sociales donde se generan ecosistemas de trabajo que les den valor a los residuos y se incluyan en iniciativas innovadoras con impacto social. </w:t>
      </w:r>
    </w:p>
    <w:p w14:paraId="05AE8B71" w14:textId="77777777" w:rsidR="00BB534D" w:rsidRDefault="00BB534D">
      <w:pPr>
        <w:spacing w:before="0" w:line="240" w:lineRule="auto"/>
        <w:jc w:val="both"/>
        <w:rPr>
          <w:sz w:val="24"/>
          <w:szCs w:val="24"/>
        </w:rPr>
      </w:pPr>
    </w:p>
    <w:p w14:paraId="05AE8B72" w14:textId="77777777" w:rsidR="00BB534D" w:rsidRDefault="00B842B1">
      <w:pPr>
        <w:spacing w:before="0" w:line="240" w:lineRule="auto"/>
        <w:jc w:val="both"/>
        <w:rPr>
          <w:sz w:val="24"/>
          <w:szCs w:val="24"/>
        </w:rPr>
      </w:pPr>
      <w:r>
        <w:rPr>
          <w:sz w:val="24"/>
          <w:szCs w:val="24"/>
        </w:rPr>
        <w:t>En cuanto a la manipulación y tratamiento de las aguas residuales el tanque séptico sigue predominando como la alternativa más utilizada por la población para dar tratamiento a las aguas excretas, siendo este un 75,4%. En este sentido se presenta la Política Nacional de Saneamiento de las Aguas Residuales (2017) que viene acompañada de un plan de inversión para subsanar estos retos en el tratamiento de las aguas en el país.  Aun así, los obstáculos financieros, las capacidades dentro de gobiernos locales y la priorización de los temas ambientales dificultan la reducción de residuos contaminantes en el ambiente. La ausencia de manejo integrado de cuencas es otro elemento coadyuvante al deficiente manejo de los recursos hídricos.</w:t>
      </w:r>
    </w:p>
    <w:p w14:paraId="05AE8B73" w14:textId="77777777" w:rsidR="00BB534D" w:rsidRDefault="00BB534D">
      <w:pPr>
        <w:spacing w:before="0" w:line="240" w:lineRule="auto"/>
        <w:jc w:val="both"/>
        <w:rPr>
          <w:sz w:val="24"/>
          <w:szCs w:val="24"/>
        </w:rPr>
      </w:pPr>
    </w:p>
    <w:p w14:paraId="05AE8B74" w14:textId="77777777" w:rsidR="00BB534D" w:rsidRDefault="00B842B1">
      <w:pPr>
        <w:spacing w:before="0" w:line="240" w:lineRule="auto"/>
        <w:jc w:val="both"/>
        <w:rPr>
          <w:sz w:val="24"/>
          <w:szCs w:val="24"/>
        </w:rPr>
      </w:pPr>
      <w:r>
        <w:rPr>
          <w:sz w:val="24"/>
          <w:szCs w:val="24"/>
        </w:rPr>
        <w:t>El país está implementando acciones para controlar residuos sólidos como la Estrategia Nacional de sustitución de plásticos de un solo uso por alternativas renovables, campañas de eliminación de bolsas plásticas y promoción del compostaje como aliado rehabilitar las tierras y los suelos degradados.</w:t>
      </w:r>
    </w:p>
    <w:p w14:paraId="05AE8B75" w14:textId="77777777" w:rsidR="00BB534D" w:rsidRDefault="00BB534D">
      <w:pPr>
        <w:spacing w:before="0" w:line="240" w:lineRule="auto"/>
        <w:jc w:val="both"/>
        <w:rPr>
          <w:sz w:val="24"/>
          <w:szCs w:val="24"/>
        </w:rPr>
      </w:pPr>
    </w:p>
    <w:p w14:paraId="05AE8B76" w14:textId="77777777" w:rsidR="00BB534D" w:rsidRDefault="00B842B1">
      <w:pPr>
        <w:spacing w:before="0" w:line="240" w:lineRule="auto"/>
        <w:jc w:val="both"/>
        <w:rPr>
          <w:sz w:val="24"/>
          <w:szCs w:val="24"/>
        </w:rPr>
      </w:pPr>
      <w:r>
        <w:rPr>
          <w:sz w:val="24"/>
          <w:szCs w:val="24"/>
        </w:rPr>
        <w:t>En cuanto a la movilidad sostenible, y según el Plan de Descarbonización del 2019, la carbonización de la economía costarricense obedece en primer lugar a la quema de combustibles para impulsar el transporte privado, público y de carga. La demanda sigue asociada al tamaño del parque vehicular, que creció un 3,4% entre 2017 y 2018 y alcanzó 1.711.834 unidades, en especial por el incremento en automóviles particulares y motocicletas</w:t>
      </w:r>
      <w:r>
        <w:rPr>
          <w:sz w:val="24"/>
          <w:szCs w:val="24"/>
          <w:vertAlign w:val="superscript"/>
        </w:rPr>
        <w:footnoteReference w:id="75"/>
      </w:r>
      <w:r>
        <w:rPr>
          <w:sz w:val="24"/>
          <w:szCs w:val="24"/>
        </w:rPr>
        <w:t>.</w:t>
      </w:r>
    </w:p>
    <w:p w14:paraId="05AE8B77" w14:textId="77777777" w:rsidR="00BB534D" w:rsidRDefault="00B842B1">
      <w:pPr>
        <w:spacing w:before="240" w:after="240" w:line="240" w:lineRule="auto"/>
        <w:jc w:val="both"/>
        <w:rPr>
          <w:sz w:val="24"/>
          <w:szCs w:val="24"/>
          <w:vertAlign w:val="superscript"/>
        </w:rPr>
      </w:pPr>
      <w:r>
        <w:rPr>
          <w:sz w:val="24"/>
          <w:szCs w:val="24"/>
        </w:rPr>
        <w:t>En Costa Rica, por ejemplo, se estima que los accidentes, el tiempo perdido en el tráfico y los efectos de la contaminación atmosférica local en la salud le cuestan al país el 3,8% del PIB</w:t>
      </w:r>
      <w:r>
        <w:rPr>
          <w:sz w:val="24"/>
          <w:szCs w:val="24"/>
          <w:vertAlign w:val="superscript"/>
        </w:rPr>
        <w:footnoteReference w:id="76"/>
      </w:r>
      <w:r>
        <w:rPr>
          <w:sz w:val="24"/>
          <w:szCs w:val="24"/>
        </w:rPr>
        <w:t xml:space="preserve"> y que descarbonizar el sector del transporte (mejorando el transporte público y aumentando la </w:t>
      </w:r>
      <w:proofErr w:type="gramStart"/>
      <w:r>
        <w:rPr>
          <w:sz w:val="24"/>
          <w:szCs w:val="24"/>
        </w:rPr>
        <w:t>electro-movilidad</w:t>
      </w:r>
      <w:proofErr w:type="gramEnd"/>
      <w:r>
        <w:rPr>
          <w:sz w:val="24"/>
          <w:szCs w:val="24"/>
        </w:rPr>
        <w:t>) le reportaría beneficios netos de unos 20.000 millones de dólares para 2050.</w:t>
      </w:r>
    </w:p>
    <w:p w14:paraId="05AE8B78" w14:textId="77777777" w:rsidR="00BB534D" w:rsidRDefault="00B842B1">
      <w:pPr>
        <w:shd w:val="clear" w:color="auto" w:fill="FFFFFF"/>
        <w:spacing w:before="0" w:after="240" w:line="240" w:lineRule="auto"/>
        <w:jc w:val="both"/>
        <w:rPr>
          <w:sz w:val="24"/>
          <w:szCs w:val="24"/>
        </w:rPr>
      </w:pPr>
      <w:r>
        <w:rPr>
          <w:sz w:val="24"/>
          <w:szCs w:val="24"/>
        </w:rPr>
        <w:t>De la mano con esta situación del transporte, es posible hacer referencia al presente estado de la calidad del aire según su último informe (2019), los sitios muestreados presentan valores recomendados por el Reglamento de Calidad del Aire para Contaminantes Criterio, no obstante, en Heredia se registran datos anuales cercanos al límite máximo establecido para concentraciones anuales de partículas PM10</w:t>
      </w:r>
      <w:r>
        <w:rPr>
          <w:sz w:val="24"/>
          <w:szCs w:val="24"/>
          <w:vertAlign w:val="superscript"/>
        </w:rPr>
        <w:footnoteReference w:id="77"/>
      </w:r>
      <w:r>
        <w:rPr>
          <w:sz w:val="24"/>
          <w:szCs w:val="24"/>
        </w:rPr>
        <w:t>. En las cercanías de la Universidad Nacional en Heredia muestran un promedio anual que sobrepasa los índices registrados en el resto de las estaciones de monitoreo. En el Área Metropolitana, la estación ubicada en la Catedral Metropolitana (SJ-01) es la que registra mayores niveles de PM</w:t>
      </w:r>
      <w:r>
        <w:rPr>
          <w:sz w:val="24"/>
          <w:szCs w:val="24"/>
          <w:vertAlign w:val="subscript"/>
        </w:rPr>
        <w:t>10</w:t>
      </w:r>
      <w:r>
        <w:rPr>
          <w:sz w:val="24"/>
          <w:szCs w:val="24"/>
        </w:rPr>
        <w:t xml:space="preserve"> superada por la Ciudad de Heredia en nueve unidades. Lo que muestra que hay importantes limitaciones en cuanto a la disminución de emisión de gases hacia el aire, especialmente en ciertos focos específicos de la Gran Área Metropolitana; podría concluirse que la flotilla vehicular y de transporte público tiene un efecto importante sobre esto. </w:t>
      </w:r>
    </w:p>
    <w:p w14:paraId="05AE8B79" w14:textId="77777777" w:rsidR="00BB534D" w:rsidRDefault="00B842B1">
      <w:pPr>
        <w:spacing w:before="0" w:line="240" w:lineRule="auto"/>
        <w:jc w:val="both"/>
        <w:rPr>
          <w:sz w:val="24"/>
          <w:szCs w:val="24"/>
        </w:rPr>
      </w:pPr>
      <w:r>
        <w:rPr>
          <w:sz w:val="24"/>
          <w:szCs w:val="24"/>
        </w:rPr>
        <w:t xml:space="preserve">Con respecto al proceso de transformación de ecosistemas naturales, este continúa asociado principalmente a actividades relacionadas con el sector agropecuario, el energético y la infraestructura. Según el Sistema de Monitoreo de Cambio de Uso de Tierra en paisajes productivos del Sistema Nacional de Información </w:t>
      </w:r>
      <w:proofErr w:type="spellStart"/>
      <w:r>
        <w:rPr>
          <w:sz w:val="24"/>
          <w:szCs w:val="24"/>
        </w:rPr>
        <w:t>Geoambiental</w:t>
      </w:r>
      <w:proofErr w:type="spellEnd"/>
      <w:r>
        <w:rPr>
          <w:sz w:val="24"/>
          <w:szCs w:val="24"/>
          <w:vertAlign w:val="superscript"/>
        </w:rPr>
        <w:footnoteReference w:id="78"/>
      </w:r>
      <w:r>
        <w:rPr>
          <w:sz w:val="24"/>
          <w:szCs w:val="24"/>
        </w:rPr>
        <w:t xml:space="preserve"> entre el año 2000 y 2018 la extensión del cultivo de piña aumentó en un 83%, pasando de 11.208,09 has a 65.670,68 has., y el 62% de este aumento se reporta para la región norte del país. Por su parte, este incremento del área cultivada de piña generó una pérdida de cobertura arbórea con un promedio anual de 373.56 has durante los 18 años del análisis.</w:t>
      </w:r>
    </w:p>
    <w:p w14:paraId="05AE8B7A" w14:textId="77777777" w:rsidR="00BB534D" w:rsidRDefault="00BB534D">
      <w:pPr>
        <w:spacing w:before="0" w:line="240" w:lineRule="auto"/>
        <w:jc w:val="both"/>
        <w:rPr>
          <w:sz w:val="24"/>
          <w:szCs w:val="24"/>
        </w:rPr>
      </w:pPr>
    </w:p>
    <w:p w14:paraId="05AE8B7B" w14:textId="77777777" w:rsidR="00BB534D" w:rsidRDefault="00B842B1">
      <w:pPr>
        <w:spacing w:before="0" w:line="240" w:lineRule="auto"/>
        <w:jc w:val="both"/>
        <w:rPr>
          <w:sz w:val="24"/>
          <w:szCs w:val="24"/>
        </w:rPr>
      </w:pPr>
      <w:r>
        <w:rPr>
          <w:sz w:val="24"/>
          <w:szCs w:val="24"/>
        </w:rPr>
        <w:t xml:space="preserve">De esta descripción de diferentes problemáticas ambientales se podría decir que no todas las personas son igualmente afectadas por la degradación del ambiente natural. Unos grupos sufren mayores costos que otros. De esta desigualdad surgen los conflictos ecológico-distributivos o conflictos de “justicia ambiental”. Instrumentos como el Acuerdo de Escazú, aún sin ratificar en Costa Rica, y por la resolución aprobada por el Consejo de Derechos Humanos el 21 de marzo de 2019, 40/11 sobre reconocimiento de la contribución que hacen los defensores de los derechos humanos relacionados con el medio ambiente al disfrute de los derechos humanos, buscan promover justicia ambiental. Estos instrumentos coinciden con los derechos de niñez y adolescencia de contenidos en diversos instrumentos que ha suscrito el país y con el Llamado a la Acción por los Derechos Humanos del 2020 del </w:t>
      </w:r>
      <w:proofErr w:type="gramStart"/>
      <w:r>
        <w:rPr>
          <w:sz w:val="24"/>
          <w:szCs w:val="24"/>
        </w:rPr>
        <w:t>Secretario General</w:t>
      </w:r>
      <w:proofErr w:type="gramEnd"/>
      <w:r>
        <w:rPr>
          <w:sz w:val="24"/>
          <w:szCs w:val="24"/>
        </w:rPr>
        <w:t xml:space="preserve"> de la ONU</w:t>
      </w:r>
      <w:r>
        <w:rPr>
          <w:sz w:val="24"/>
          <w:szCs w:val="24"/>
          <w:vertAlign w:val="superscript"/>
        </w:rPr>
        <w:footnoteReference w:id="79"/>
      </w:r>
      <w:r>
        <w:rPr>
          <w:sz w:val="24"/>
          <w:szCs w:val="24"/>
        </w:rPr>
        <w:t xml:space="preserve">. Es necesario el involucramiento de estas poblaciones históricamente desplazadas, particularmente las mujeres y abrir las fronteras de las discusiones ambientales para que no se limite a un diálogo técnico y académico, sino que las iniciativas surjan desde las bases de la ciudadanía. </w:t>
      </w:r>
    </w:p>
    <w:p w14:paraId="05AE8B7C" w14:textId="77777777" w:rsidR="00BB534D" w:rsidRDefault="00BB534D">
      <w:pPr>
        <w:spacing w:before="0" w:line="240" w:lineRule="auto"/>
        <w:jc w:val="both"/>
        <w:rPr>
          <w:sz w:val="24"/>
          <w:szCs w:val="24"/>
        </w:rPr>
      </w:pPr>
    </w:p>
    <w:p w14:paraId="05AE8B7D" w14:textId="77777777" w:rsidR="00BB534D" w:rsidRDefault="00B842B1">
      <w:pPr>
        <w:spacing w:before="0" w:line="240" w:lineRule="auto"/>
        <w:jc w:val="both"/>
        <w:rPr>
          <w:sz w:val="24"/>
          <w:szCs w:val="24"/>
        </w:rPr>
      </w:pPr>
      <w:r>
        <w:rPr>
          <w:sz w:val="24"/>
          <w:szCs w:val="24"/>
        </w:rPr>
        <w:t>Estos conflictos ambientales son de tipo locales</w:t>
      </w:r>
      <w:r>
        <w:rPr>
          <w:sz w:val="24"/>
          <w:szCs w:val="24"/>
          <w:vertAlign w:val="superscript"/>
        </w:rPr>
        <w:footnoteReference w:id="80"/>
      </w:r>
      <w:r>
        <w:rPr>
          <w:sz w:val="24"/>
          <w:szCs w:val="24"/>
        </w:rPr>
        <w:t xml:space="preserve"> y transfronterizos</w:t>
      </w:r>
      <w:r>
        <w:rPr>
          <w:sz w:val="24"/>
          <w:szCs w:val="24"/>
          <w:vertAlign w:val="superscript"/>
        </w:rPr>
        <w:footnoteReference w:id="81"/>
      </w:r>
      <w:r>
        <w:rPr>
          <w:sz w:val="24"/>
          <w:szCs w:val="24"/>
        </w:rPr>
        <w:t>. A nivel nacional, las denuncias ambientales tramitadas ante el SITADA entre 2017 y 2018 tuvieron un aumento bastante significativo. Solo se resolvieron el 22,4%</w:t>
      </w:r>
      <w:r>
        <w:rPr>
          <w:sz w:val="24"/>
          <w:szCs w:val="24"/>
          <w:vertAlign w:val="superscript"/>
        </w:rPr>
        <w:footnoteReference w:id="82"/>
      </w:r>
      <w:r>
        <w:rPr>
          <w:sz w:val="24"/>
          <w:szCs w:val="24"/>
        </w:rPr>
        <w:t xml:space="preserve"> de la cantidad total atendidas por el órgano. Esto se traduce en que el país es eficaz al usar recursos naturales para impulsar el desarrollo, pero débil para controlar los efectos residuales e impactos de ese uso.</w:t>
      </w:r>
    </w:p>
    <w:p w14:paraId="05AE8B7E" w14:textId="77777777" w:rsidR="00BB534D" w:rsidRDefault="00BB534D">
      <w:pPr>
        <w:spacing w:before="0" w:line="240" w:lineRule="auto"/>
        <w:jc w:val="both"/>
        <w:rPr>
          <w:sz w:val="24"/>
          <w:szCs w:val="24"/>
        </w:rPr>
      </w:pPr>
    </w:p>
    <w:p w14:paraId="05AE8B7F" w14:textId="77777777" w:rsidR="00BB534D" w:rsidRDefault="00B842B1">
      <w:pPr>
        <w:spacing w:before="0" w:line="240" w:lineRule="auto"/>
        <w:jc w:val="both"/>
        <w:rPr>
          <w:sz w:val="24"/>
          <w:szCs w:val="24"/>
        </w:rPr>
      </w:pPr>
      <w:r>
        <w:rPr>
          <w:sz w:val="24"/>
          <w:szCs w:val="24"/>
        </w:rPr>
        <w:t>Los principales factores que han exacerbado los conflictos a nivel nacional son la desatención de autoridades a conflictos por la tierra, la desprotección a la biodiversidad, la ampliación de infraestructura y ambientes construidos, la inadecuada gestión del agua y de los humedales y zonas costeras. En el caso de los conflictos entre y con pueblos indígenas, en la mayoría de los casos se originan por la no consulta previa, libre e informada a los pueblos indígenas sobre procesos de conservación o desarrollo local.</w:t>
      </w:r>
    </w:p>
    <w:p w14:paraId="05AE8B80" w14:textId="77777777" w:rsidR="00BB534D" w:rsidRDefault="00B842B1">
      <w:pPr>
        <w:pStyle w:val="Heading2"/>
        <w:spacing w:before="360" w:after="120" w:line="240" w:lineRule="auto"/>
        <w:jc w:val="both"/>
        <w:rPr>
          <w:color w:val="4A86E8"/>
          <w:sz w:val="24"/>
          <w:szCs w:val="24"/>
        </w:rPr>
      </w:pPr>
      <w:bookmarkStart w:id="7" w:name="_djuit11k1gk9" w:colFirst="0" w:colLast="0"/>
      <w:bookmarkEnd w:id="7"/>
      <w:r>
        <w:rPr>
          <w:color w:val="4A86E8"/>
          <w:sz w:val="24"/>
          <w:szCs w:val="24"/>
        </w:rPr>
        <w:t xml:space="preserve">3.3 Riesgos ambientales, impacto del cambio climático y acciones de mitigación y adaptación. </w:t>
      </w:r>
    </w:p>
    <w:p w14:paraId="05AE8B81" w14:textId="77777777" w:rsidR="00BB534D" w:rsidRDefault="00BB534D">
      <w:pPr>
        <w:spacing w:before="0" w:line="240" w:lineRule="auto"/>
        <w:jc w:val="both"/>
        <w:rPr>
          <w:sz w:val="24"/>
          <w:szCs w:val="24"/>
        </w:rPr>
      </w:pPr>
    </w:p>
    <w:p w14:paraId="05AE8B82" w14:textId="77777777" w:rsidR="00BB534D" w:rsidRDefault="00B842B1">
      <w:pPr>
        <w:spacing w:before="0" w:line="276" w:lineRule="auto"/>
        <w:jc w:val="both"/>
        <w:rPr>
          <w:sz w:val="24"/>
          <w:szCs w:val="24"/>
        </w:rPr>
      </w:pPr>
      <w:r>
        <w:rPr>
          <w:sz w:val="24"/>
          <w:szCs w:val="24"/>
        </w:rPr>
        <w:t xml:space="preserve">Según el inventario de emisiones de GEI del IMN, en el año 2017 las emisiones netas fueron de 11509Gg Co2eq. Estas emisiones se componen en un 13% por residuos (8% sólidos, 5% aguas residuales); en un 49% por energía (37% transporte; 8% industria de manufactura y construcción); un 9% corresponde a procesos industriales y uso de productos (5% industria de minerales, 4% refrigerantes y aire acondicionado); un 29% de agricultura, silvicultura y otros usos de la tierra. Según las proyecciones del IMN sobre el clima al 2080 se espera en la vertiente pacífico una reducción importante en las precipitaciones, con riesgo de sequías, y por el contrario en la vertiente caribe se espera un aumento del régimen de precipitación, con riesgo de grandes inundaciones. A estos riesgos hemos de sumar los asociados a las fallas tectónicas y riesgo geológico típicas de la geografía del país. </w:t>
      </w:r>
    </w:p>
    <w:p w14:paraId="05AE8B83" w14:textId="77777777" w:rsidR="00BB534D" w:rsidRDefault="00BB534D">
      <w:pPr>
        <w:spacing w:before="0" w:line="240" w:lineRule="auto"/>
        <w:jc w:val="both"/>
        <w:rPr>
          <w:sz w:val="24"/>
          <w:szCs w:val="24"/>
        </w:rPr>
      </w:pPr>
    </w:p>
    <w:p w14:paraId="05AE8B84" w14:textId="77777777" w:rsidR="00BB534D" w:rsidRDefault="00B842B1">
      <w:pPr>
        <w:spacing w:before="0" w:line="240" w:lineRule="auto"/>
        <w:jc w:val="both"/>
        <w:rPr>
          <w:sz w:val="24"/>
          <w:szCs w:val="24"/>
        </w:rPr>
      </w:pPr>
      <w:r>
        <w:rPr>
          <w:sz w:val="24"/>
          <w:szCs w:val="24"/>
        </w:rPr>
        <w:t xml:space="preserve">En la III Conferencia Mundial de las Naciones Unidas sobre la Reducción del Riesgo se aprueba el nuevo </w:t>
      </w:r>
      <w:r>
        <w:rPr>
          <w:i/>
          <w:sz w:val="24"/>
          <w:szCs w:val="24"/>
        </w:rPr>
        <w:t>Marco de Acción de Sendai (2015-2030</w:t>
      </w:r>
      <w:r>
        <w:rPr>
          <w:sz w:val="24"/>
          <w:szCs w:val="24"/>
        </w:rPr>
        <w:t xml:space="preserve">). Este Marco se plantea como resultado </w:t>
      </w:r>
      <w:r>
        <w:rPr>
          <w:i/>
          <w:sz w:val="24"/>
          <w:szCs w:val="24"/>
        </w:rPr>
        <w:t>“la reducción sustancial del riesgo de desastres y pérdidas en vidas, medios de vida y salud, así como en los bienes económicos, físicos, sociales, culturales y ambientales de las personas, las empresas, las comunidades y los países”</w:t>
      </w:r>
      <w:r>
        <w:rPr>
          <w:sz w:val="24"/>
          <w:szCs w:val="24"/>
        </w:rPr>
        <w:t xml:space="preserve"> (Brenes, 2016). Los factores de riesgo ambiental en el país se pueden resumir en (1) amenazas hidrometeorológicas e inundaciones y (2) estrés hídrico.</w:t>
      </w:r>
    </w:p>
    <w:p w14:paraId="05AE8B85" w14:textId="77777777" w:rsidR="00BB534D" w:rsidRDefault="00BB534D">
      <w:pPr>
        <w:spacing w:before="0" w:line="240" w:lineRule="auto"/>
        <w:jc w:val="both"/>
        <w:rPr>
          <w:sz w:val="24"/>
          <w:szCs w:val="24"/>
        </w:rPr>
      </w:pPr>
    </w:p>
    <w:p w14:paraId="05AE8B86" w14:textId="77777777" w:rsidR="00BB534D" w:rsidRDefault="00B842B1">
      <w:pPr>
        <w:spacing w:before="0" w:line="240" w:lineRule="auto"/>
        <w:jc w:val="both"/>
        <w:rPr>
          <w:sz w:val="24"/>
          <w:szCs w:val="24"/>
        </w:rPr>
      </w:pPr>
      <w:r>
        <w:rPr>
          <w:sz w:val="24"/>
          <w:szCs w:val="24"/>
        </w:rPr>
        <w:t>Desde el año 2016 el país tuvo dos eventos extremos: el huracán Otto y la tormenta tropical Nate, cada uno con impactos profundos. En el 2018, se presentaron menos eventos en cantidad y nivel, sin embargo, las consecuencias fueron negativas. Fallecieron trece personas en total (una persona menos que con la Tormenta Nate y tres más que con el huracán Otto), cuatro de ellas en tormentas eléctricas y el resto en diferentes eventos hidrometeorológicos</w:t>
      </w:r>
      <w:r>
        <w:rPr>
          <w:sz w:val="24"/>
          <w:szCs w:val="24"/>
          <w:vertAlign w:val="superscript"/>
        </w:rPr>
        <w:footnoteReference w:id="83"/>
      </w:r>
      <w:r>
        <w:rPr>
          <w:sz w:val="24"/>
          <w:szCs w:val="24"/>
        </w:rPr>
        <w:t xml:space="preserve">. En 2020, el país tuvo importantes impactos asociados a los huracanes Eta e Iota, y en julio de 2021, la conjunción de varios disturbios meteorológicos causó daños en amplias áreas de la zona norte y caribe. </w:t>
      </w:r>
    </w:p>
    <w:p w14:paraId="05AE8B87" w14:textId="77777777" w:rsidR="00BB534D" w:rsidRDefault="00BB534D">
      <w:pPr>
        <w:spacing w:before="0" w:line="240" w:lineRule="auto"/>
        <w:jc w:val="both"/>
        <w:rPr>
          <w:sz w:val="24"/>
          <w:szCs w:val="24"/>
        </w:rPr>
      </w:pPr>
    </w:p>
    <w:p w14:paraId="05AE8B88" w14:textId="77777777" w:rsidR="00BB534D" w:rsidRDefault="00B842B1">
      <w:pPr>
        <w:spacing w:before="0" w:line="240" w:lineRule="auto"/>
        <w:jc w:val="both"/>
        <w:rPr>
          <w:sz w:val="24"/>
          <w:szCs w:val="24"/>
        </w:rPr>
      </w:pPr>
      <w:r>
        <w:rPr>
          <w:sz w:val="24"/>
          <w:szCs w:val="24"/>
        </w:rPr>
        <w:t xml:space="preserve">La reducción de la probabilidad de inundación ha conllevado medidas que restablecen el potencial de retención del sistema hidrológico natural o incluso aumentan la retención de agua de lluvia a través de pequeñas cuencas de retención. Estas medidas controlan la fuente (tales como escorrentía superficial y el desbordamiento de alcantarillado) y además actúan en el trayecto de la inundación. Las principales medidas son los Sistemas Urbanos de Drenaje Sostenible (SUDS), el Transporte de Superficie Controlada y las Medidas de Detección de Inundaciones como los principales tipos de estas medidas. </w:t>
      </w:r>
    </w:p>
    <w:p w14:paraId="05AE8B89" w14:textId="77777777" w:rsidR="00BB534D" w:rsidRDefault="00BB534D">
      <w:pPr>
        <w:spacing w:before="0" w:line="240" w:lineRule="auto"/>
        <w:jc w:val="both"/>
        <w:rPr>
          <w:sz w:val="24"/>
          <w:szCs w:val="24"/>
        </w:rPr>
      </w:pPr>
    </w:p>
    <w:p w14:paraId="05AE8B8A" w14:textId="77777777" w:rsidR="00BB534D" w:rsidRDefault="00B842B1">
      <w:pPr>
        <w:spacing w:before="0" w:line="240" w:lineRule="auto"/>
        <w:jc w:val="both"/>
        <w:rPr>
          <w:sz w:val="24"/>
          <w:szCs w:val="24"/>
        </w:rPr>
      </w:pPr>
      <w:r>
        <w:rPr>
          <w:sz w:val="24"/>
          <w:szCs w:val="24"/>
        </w:rPr>
        <w:t>Las actividades humanas alteran el clima de la tierra aumentando los riesgos y los impactos a nivel territorial</w:t>
      </w:r>
      <w:r>
        <w:rPr>
          <w:sz w:val="24"/>
          <w:szCs w:val="24"/>
          <w:vertAlign w:val="superscript"/>
        </w:rPr>
        <w:footnoteReference w:id="84"/>
      </w:r>
      <w:r>
        <w:rPr>
          <w:sz w:val="24"/>
          <w:szCs w:val="24"/>
        </w:rPr>
        <w:t>. El Cambio Climático implicará aumento de magnitud y frecuencia de las antes citadas amenazas ambientales. Entre las consecuencias más evidentes de estos fenómenos está la pérdida del capital estructural del país, y una presión sobre el gasto público para financiar su reposición, las cuales incluyen carreteras, puentes, acueductos y otro tipo de infraestructura. “</w:t>
      </w:r>
      <w:r>
        <w:rPr>
          <w:i/>
          <w:sz w:val="24"/>
          <w:szCs w:val="24"/>
        </w:rPr>
        <w:t>Entre 1988 y 2010 los costos de estos fenómenos climáticos extremos variaron entre 0,3% y 1,7% del PIB por año, y en promedio cada trimestre es un 3% más costoso que el anterior</w:t>
      </w:r>
      <w:r>
        <w:rPr>
          <w:sz w:val="24"/>
          <w:szCs w:val="24"/>
        </w:rPr>
        <w:t>”</w:t>
      </w:r>
      <w:r>
        <w:rPr>
          <w:sz w:val="24"/>
          <w:szCs w:val="24"/>
          <w:vertAlign w:val="superscript"/>
        </w:rPr>
        <w:footnoteReference w:id="85"/>
      </w:r>
      <w:r>
        <w:rPr>
          <w:sz w:val="24"/>
          <w:szCs w:val="24"/>
        </w:rPr>
        <w:t xml:space="preserve"> (Contraloría General de la República, 2017).</w:t>
      </w:r>
    </w:p>
    <w:p w14:paraId="05AE8B8B" w14:textId="77777777" w:rsidR="00BB534D" w:rsidRDefault="00BB534D">
      <w:pPr>
        <w:spacing w:before="0" w:line="240" w:lineRule="auto"/>
        <w:jc w:val="both"/>
        <w:rPr>
          <w:sz w:val="24"/>
          <w:szCs w:val="24"/>
        </w:rPr>
      </w:pPr>
    </w:p>
    <w:p w14:paraId="05AE8B8C" w14:textId="77777777" w:rsidR="00BB534D" w:rsidRDefault="00B842B1">
      <w:pPr>
        <w:spacing w:before="0" w:line="240" w:lineRule="auto"/>
        <w:jc w:val="both"/>
        <w:rPr>
          <w:sz w:val="24"/>
          <w:szCs w:val="24"/>
        </w:rPr>
      </w:pPr>
      <w:r>
        <w:rPr>
          <w:sz w:val="24"/>
          <w:szCs w:val="24"/>
        </w:rPr>
        <w:t>En cuanto al impacto del cambio climático la respuesta de Costa Rica sigue siendo liderar el aumento de ambición por alcanzar la descarbonización de su economía, las metas del Acuerdo de París y por contribuir con el objetivo global de limitar el aumento de la temperatura a 1,5°C. Se implementan acciones de mitigación y adaptación al cambio climático, para reducir los gases efecto invernadero y, reducir el riesgo y la vulnerabilidad</w:t>
      </w:r>
      <w:r>
        <w:rPr>
          <w:sz w:val="24"/>
          <w:szCs w:val="24"/>
          <w:vertAlign w:val="superscript"/>
        </w:rPr>
        <w:footnoteReference w:id="86"/>
      </w:r>
      <w:r>
        <w:rPr>
          <w:sz w:val="24"/>
          <w:szCs w:val="24"/>
        </w:rPr>
        <w:t xml:space="preserve">, y adaptarse a los impactos del cambio climático. No obstante, los esfuerzos Estatales de participación ciudadana, al considerar los conflictos previamente expuestos, es posible que la insuficiente participación de la ciudadanía en estrategias y acciones nacionales tenga repercusiones en los impactos de Cambio Climático en poblaciones vulnerables, incluyendo a las poblaciones migrantes en el país. Por otra parte, a pesar de que en Costa Rica se registran impactos que pueden asociarse al cambio climático, tanto por reducción de los periodos y cantidades de lluvias, como por eventos extremos de precipitaciones que causan graves afectaciones en las comunidades, no existe un tratamiento integrado de las acciones de la adaptación al cambio climático y la gestión de riesgos de desastres, y aunque los instrumentos normativos que rigen a ambas actividades se complementan en la letra, en la práctica siguen siendo abordajes separados. </w:t>
      </w:r>
    </w:p>
    <w:p w14:paraId="05AE8B8D" w14:textId="77777777" w:rsidR="00BB534D" w:rsidRDefault="00BB534D">
      <w:pPr>
        <w:spacing w:before="0" w:line="240" w:lineRule="auto"/>
        <w:jc w:val="both"/>
        <w:rPr>
          <w:sz w:val="24"/>
          <w:szCs w:val="24"/>
        </w:rPr>
      </w:pPr>
    </w:p>
    <w:p w14:paraId="05AE8B8E" w14:textId="77777777" w:rsidR="00BB534D" w:rsidRDefault="00B842B1">
      <w:pPr>
        <w:spacing w:before="0" w:line="240" w:lineRule="auto"/>
        <w:jc w:val="both"/>
        <w:rPr>
          <w:sz w:val="24"/>
          <w:szCs w:val="24"/>
        </w:rPr>
      </w:pPr>
      <w:r>
        <w:rPr>
          <w:sz w:val="24"/>
          <w:szCs w:val="24"/>
        </w:rPr>
        <w:t>En un contexto de reducción prevista de precipitaciones y la consecuente disminución del agua para los diferentes usos, es perentorio la búsqueda de alternativas para maximizar la disponibilidad y un aprovechamiento más eficiente del agua tal y como la siembra y cosecha de agua. En Guanacaste se viene impulsando desde 2018 el resurgir de esta práctica mediante la construcción de reservorios demostrativos en localidades de Cañas y Bagaces, con resultados rápidos y exitosos en la regeneración y producción de nuevos ojos de agua en zonas que son bastante secas. Estos son ejemplos de opciones replicables para aumentar la disponibilidad de agua. Aunado a esto, el país no cuenta con información científica en cantidad y calidad suficiente sobre las características y estado de sus acuíferos, lo cual dificulta el conocimiento de la disponibilidad actual de agua, hacer proyecciones y tomar previsiones para el agua futura. Por otra parte, la información existente no siempre está en un formato accesible para que sea útil a quienes toman decisiones localmente.</w:t>
      </w:r>
    </w:p>
    <w:p w14:paraId="05AE8B8F" w14:textId="77777777" w:rsidR="00BB534D" w:rsidRDefault="00BB534D">
      <w:pPr>
        <w:spacing w:before="0" w:line="240" w:lineRule="auto"/>
        <w:jc w:val="both"/>
        <w:rPr>
          <w:sz w:val="24"/>
          <w:szCs w:val="24"/>
        </w:rPr>
      </w:pPr>
    </w:p>
    <w:p w14:paraId="05AE8B90" w14:textId="77777777" w:rsidR="00BB534D" w:rsidRDefault="00B842B1">
      <w:pPr>
        <w:spacing w:before="0" w:line="240" w:lineRule="auto"/>
        <w:jc w:val="both"/>
        <w:rPr>
          <w:sz w:val="24"/>
          <w:szCs w:val="24"/>
        </w:rPr>
      </w:pPr>
      <w:r>
        <w:rPr>
          <w:sz w:val="24"/>
          <w:szCs w:val="24"/>
        </w:rPr>
        <w:t xml:space="preserve">Históricamente una de las principales acciones de mitigación ante el cambio climático del país ha sido tener una matriz energética predominantemente de fuentes limpias. La composición y participación por tipo de Energía Renovable corresponde a: i) Hidroeléctrica 74.77%; </w:t>
      </w:r>
      <w:proofErr w:type="spellStart"/>
      <w:r>
        <w:rPr>
          <w:sz w:val="24"/>
          <w:szCs w:val="24"/>
        </w:rPr>
        <w:t>ii</w:t>
      </w:r>
      <w:proofErr w:type="spellEnd"/>
      <w:r>
        <w:rPr>
          <w:sz w:val="24"/>
          <w:szCs w:val="24"/>
        </w:rPr>
        <w:t xml:space="preserve">) Geotermia 11.92%; </w:t>
      </w:r>
      <w:proofErr w:type="spellStart"/>
      <w:r>
        <w:rPr>
          <w:sz w:val="24"/>
          <w:szCs w:val="24"/>
        </w:rPr>
        <w:t>iii</w:t>
      </w:r>
      <w:proofErr w:type="spellEnd"/>
      <w:r>
        <w:rPr>
          <w:sz w:val="24"/>
          <w:szCs w:val="24"/>
        </w:rPr>
        <w:t xml:space="preserve">) Viento (eólica) 11.08%; </w:t>
      </w:r>
      <w:proofErr w:type="spellStart"/>
      <w:r>
        <w:rPr>
          <w:sz w:val="24"/>
          <w:szCs w:val="24"/>
        </w:rPr>
        <w:t>iv</w:t>
      </w:r>
      <w:proofErr w:type="spellEnd"/>
      <w:r>
        <w:rPr>
          <w:sz w:val="24"/>
          <w:szCs w:val="24"/>
        </w:rPr>
        <w:t>) Biomasa 0.73% y; Solar 0.03%</w:t>
      </w:r>
      <w:r>
        <w:rPr>
          <w:sz w:val="24"/>
          <w:szCs w:val="24"/>
          <w:vertAlign w:val="superscript"/>
        </w:rPr>
        <w:footnoteReference w:id="87"/>
      </w:r>
      <w:r>
        <w:rPr>
          <w:sz w:val="24"/>
          <w:szCs w:val="24"/>
        </w:rPr>
        <w:t>. La expansión de las energías renovables no convencionales beneficia la sostenibilidad ambiental, la soberanía energética, la disminución de la vulnerabilidad externa, las oportunidades de universalización del acceso a la electricidad, el aprendizaje tecnológico y el crecimiento económico.</w:t>
      </w:r>
    </w:p>
    <w:p w14:paraId="05AE8B91" w14:textId="77777777" w:rsidR="00BB534D" w:rsidRDefault="00BB534D">
      <w:pPr>
        <w:spacing w:before="0" w:line="240" w:lineRule="auto"/>
        <w:jc w:val="both"/>
        <w:rPr>
          <w:sz w:val="24"/>
          <w:szCs w:val="24"/>
        </w:rPr>
      </w:pPr>
    </w:p>
    <w:p w14:paraId="05AE8B92" w14:textId="77777777" w:rsidR="00BB534D" w:rsidRDefault="00B842B1">
      <w:pPr>
        <w:spacing w:before="0" w:line="240" w:lineRule="auto"/>
        <w:jc w:val="both"/>
        <w:rPr>
          <w:sz w:val="24"/>
          <w:szCs w:val="24"/>
        </w:rPr>
      </w:pPr>
      <w:r>
        <w:rPr>
          <w:sz w:val="24"/>
          <w:szCs w:val="24"/>
        </w:rPr>
        <w:t>El patrimonio cultural inmaterial puede ser una fuente valiosa de conocimientos útiles para generar estrategias de gestión de riesgos a nivel local y nacional. En efecto, los conocimientos y prácticas tradicionales -como técnicas agrícolas y de observación del entorno, entre otros elementos - pueden estar relacionados con estrategias locales para la reducción de riesgos de desastres y ser de gran valor tanto para fortalecer la prevención, mitigación y adaptación al cambio climático, como para proteger el acervo cultural de las comunidades locales, mantener la cohesión social e incluso fomentar la recuperación social y económica después de una situación de emergencia. En determinadas cosmovisiones, estas manifestaciones culturales también pueden reflejar una relación de reciprocidad entre las sociedades humanas y las fuerzas naturales. Estos elementos del patrimonio cultural inmaterial, en particular aquellos que se ven significativamente afectados por amenazas recurrentes, constantes o inminentes de origen natural o antrópico, deben ser identificados, inventariados y debidamente salvaguardados para el beneficio de las propias comunidades portadoras.</w:t>
      </w:r>
    </w:p>
    <w:p w14:paraId="05AE8B93" w14:textId="77777777" w:rsidR="00BB534D" w:rsidRDefault="00BB534D">
      <w:pPr>
        <w:spacing w:before="0" w:line="240" w:lineRule="auto"/>
        <w:jc w:val="both"/>
        <w:rPr>
          <w:sz w:val="24"/>
          <w:szCs w:val="24"/>
        </w:rPr>
      </w:pPr>
    </w:p>
    <w:p w14:paraId="05AE8B94" w14:textId="77777777" w:rsidR="00BB534D" w:rsidRDefault="00BB534D">
      <w:pPr>
        <w:spacing w:before="0" w:line="240" w:lineRule="auto"/>
        <w:jc w:val="both"/>
        <w:rPr>
          <w:sz w:val="24"/>
          <w:szCs w:val="24"/>
        </w:rPr>
      </w:pPr>
    </w:p>
    <w:p w14:paraId="05AE8B95" w14:textId="77777777" w:rsidR="00BB534D" w:rsidRDefault="00B842B1">
      <w:pPr>
        <w:spacing w:before="0" w:line="240" w:lineRule="auto"/>
        <w:jc w:val="both"/>
        <w:rPr>
          <w:sz w:val="24"/>
          <w:szCs w:val="24"/>
        </w:rPr>
      </w:pPr>
      <w:r>
        <w:rPr>
          <w:sz w:val="24"/>
          <w:szCs w:val="24"/>
        </w:rPr>
        <w:t>El país se propuso una visión a largo plazo de una economía descarbonizada para el año 2050. La actualización de la NDC (diciembre 2020) ajusta las acciones nacionales de mitigación para que sean consistentes con un nivel de emisiones una que abone a la meta climática global por debajo de los 1.5°C con respecto a los niveles preindustriales. Esto implica darle mayor importancia a aumentar cobertura forestal hasta un 60% del territorio lo cual implica que solo sucederá en fincas privadas, lo cual aumentando la importancia de las Acciones Nacionalmente Apropiadas de Mitigación (</w:t>
      </w:r>
      <w:proofErr w:type="spellStart"/>
      <w:r>
        <w:rPr>
          <w:sz w:val="24"/>
          <w:szCs w:val="24"/>
        </w:rPr>
        <w:t>NAMAs</w:t>
      </w:r>
      <w:proofErr w:type="spellEnd"/>
      <w:r>
        <w:rPr>
          <w:sz w:val="24"/>
          <w:szCs w:val="24"/>
        </w:rPr>
        <w:t>) para diferentes sectores como ganadería, café, musáceas y otros.</w:t>
      </w:r>
    </w:p>
    <w:p w14:paraId="05AE8B96" w14:textId="77777777" w:rsidR="00BB534D" w:rsidRDefault="00BB534D">
      <w:pPr>
        <w:spacing w:before="0" w:line="240" w:lineRule="auto"/>
        <w:jc w:val="both"/>
        <w:rPr>
          <w:sz w:val="24"/>
          <w:szCs w:val="24"/>
        </w:rPr>
      </w:pPr>
    </w:p>
    <w:p w14:paraId="05AE8B97" w14:textId="77777777" w:rsidR="00BB534D" w:rsidRDefault="00B842B1">
      <w:pPr>
        <w:spacing w:before="0" w:line="240" w:lineRule="auto"/>
        <w:jc w:val="both"/>
        <w:rPr>
          <w:sz w:val="24"/>
          <w:szCs w:val="24"/>
        </w:rPr>
      </w:pPr>
      <w:r>
        <w:rPr>
          <w:sz w:val="24"/>
          <w:szCs w:val="24"/>
        </w:rPr>
        <w:t>Costa Rica ha eliminado dos de los principales compuestos químicos que deterioran la capa de ozono, como el bromuro de metilo (metilbromuro) y los clorofluorocarbonos (CFC).</w:t>
      </w:r>
    </w:p>
    <w:p w14:paraId="05AE8B98" w14:textId="77777777" w:rsidR="00BB534D" w:rsidRDefault="00BB534D">
      <w:pPr>
        <w:spacing w:before="0" w:line="240" w:lineRule="auto"/>
        <w:jc w:val="both"/>
        <w:rPr>
          <w:sz w:val="24"/>
          <w:szCs w:val="24"/>
        </w:rPr>
      </w:pPr>
    </w:p>
    <w:p w14:paraId="05AE8B99" w14:textId="77777777" w:rsidR="00BB534D" w:rsidRDefault="00B842B1">
      <w:pPr>
        <w:spacing w:before="0" w:line="240" w:lineRule="auto"/>
        <w:jc w:val="both"/>
        <w:rPr>
          <w:sz w:val="24"/>
          <w:szCs w:val="24"/>
          <w:shd w:val="clear" w:color="auto" w:fill="C9DAF8"/>
        </w:rPr>
      </w:pPr>
      <w:r>
        <w:rPr>
          <w:sz w:val="24"/>
          <w:szCs w:val="24"/>
        </w:rPr>
        <w:t>Ahora bien, desde el 2018 el país cuenta con una Política Nacional de Adaptación al Cambio Climático (2018-2030) que aspira a generar un marco estratégico integrador basado en el alineamiento entre instrumentos internacionales, en particular de las tres convenciones de Río (CDB, CMNUCC y CNULD) con la Agenda 2030 y el Marco de Acción de Sendai al 2030.</w:t>
      </w:r>
      <w:r>
        <w:rPr>
          <w:sz w:val="24"/>
          <w:szCs w:val="24"/>
          <w:vertAlign w:val="superscript"/>
        </w:rPr>
        <w:footnoteReference w:id="88"/>
      </w:r>
      <w:r>
        <w:rPr>
          <w:sz w:val="24"/>
          <w:szCs w:val="24"/>
        </w:rPr>
        <w:t xml:space="preserve"> </w:t>
      </w:r>
    </w:p>
    <w:p w14:paraId="05AE8B9A" w14:textId="77777777" w:rsidR="00BB534D" w:rsidRDefault="00BB534D">
      <w:pPr>
        <w:spacing w:before="0" w:line="240" w:lineRule="auto"/>
        <w:jc w:val="both"/>
        <w:rPr>
          <w:sz w:val="24"/>
          <w:szCs w:val="24"/>
        </w:rPr>
      </w:pPr>
    </w:p>
    <w:p w14:paraId="05AE8B9B" w14:textId="77777777" w:rsidR="00BB534D" w:rsidRDefault="00B842B1">
      <w:pPr>
        <w:spacing w:before="0" w:line="240" w:lineRule="auto"/>
        <w:jc w:val="both"/>
        <w:rPr>
          <w:sz w:val="24"/>
          <w:szCs w:val="24"/>
        </w:rPr>
      </w:pPr>
      <w:r>
        <w:rPr>
          <w:sz w:val="24"/>
          <w:szCs w:val="24"/>
        </w:rPr>
        <w:t>Actualmente se trabaja en la elaboración del Plan Nacional que defina la implementación práctica de la política. Ambos documentos recogen e integran elementos de la Política y el Plan Nacional de Gestión del Riesgo, pero se requiere una aproximación práctica para la implementación integrada de ambos abordajes.</w:t>
      </w:r>
    </w:p>
    <w:p w14:paraId="05AE8B9C" w14:textId="77777777" w:rsidR="00BB534D" w:rsidRDefault="00BB534D">
      <w:pPr>
        <w:spacing w:before="0" w:line="240" w:lineRule="auto"/>
        <w:jc w:val="both"/>
        <w:rPr>
          <w:sz w:val="24"/>
          <w:szCs w:val="24"/>
        </w:rPr>
      </w:pPr>
    </w:p>
    <w:p w14:paraId="05AE8B9D" w14:textId="77777777" w:rsidR="00BB534D" w:rsidRDefault="00B842B1">
      <w:pPr>
        <w:pStyle w:val="Heading2"/>
        <w:spacing w:before="0" w:line="240" w:lineRule="auto"/>
        <w:jc w:val="both"/>
        <w:rPr>
          <w:color w:val="4A86E8"/>
          <w:sz w:val="24"/>
          <w:szCs w:val="24"/>
        </w:rPr>
      </w:pPr>
      <w:r>
        <w:rPr>
          <w:color w:val="4A86E8"/>
          <w:sz w:val="24"/>
          <w:szCs w:val="24"/>
        </w:rPr>
        <w:t>3.4 Evolución de normas y políticas ambientales, incorporación de metas de igualdad de género e inclusión de poblaciones en situación de vulnerabilidad</w:t>
      </w:r>
    </w:p>
    <w:p w14:paraId="05AE8B9E" w14:textId="77777777" w:rsidR="00BB534D" w:rsidRDefault="00BB534D">
      <w:pPr>
        <w:spacing w:before="0" w:line="240" w:lineRule="auto"/>
        <w:jc w:val="both"/>
        <w:rPr>
          <w:sz w:val="24"/>
          <w:szCs w:val="24"/>
        </w:rPr>
      </w:pPr>
    </w:p>
    <w:p w14:paraId="05AE8B9F" w14:textId="77777777" w:rsidR="00BB534D" w:rsidRDefault="00B842B1">
      <w:pPr>
        <w:spacing w:before="0" w:line="240" w:lineRule="auto"/>
        <w:jc w:val="both"/>
        <w:rPr>
          <w:sz w:val="24"/>
          <w:szCs w:val="24"/>
        </w:rPr>
      </w:pPr>
      <w:r>
        <w:rPr>
          <w:sz w:val="24"/>
          <w:szCs w:val="24"/>
        </w:rPr>
        <w:t>En el periodo 2014-2020, Costa Rica tuvo un avance muy importante en el desarrollo de políticas y normativas relacionadas al cambio climático, y en áreas sectoriales claves (transporte, agropecuario, REDD, energía)</w:t>
      </w:r>
      <w:r>
        <w:rPr>
          <w:sz w:val="24"/>
          <w:szCs w:val="24"/>
          <w:vertAlign w:val="superscript"/>
        </w:rPr>
        <w:footnoteReference w:id="89"/>
      </w:r>
      <w:r>
        <w:rPr>
          <w:sz w:val="24"/>
          <w:szCs w:val="24"/>
        </w:rPr>
        <w:t>.</w:t>
      </w:r>
    </w:p>
    <w:p w14:paraId="05AE8BA0" w14:textId="77777777" w:rsidR="00BB534D" w:rsidRDefault="00BB534D">
      <w:pPr>
        <w:spacing w:before="0" w:line="240" w:lineRule="auto"/>
        <w:jc w:val="both"/>
        <w:rPr>
          <w:sz w:val="24"/>
          <w:szCs w:val="24"/>
        </w:rPr>
      </w:pPr>
    </w:p>
    <w:p w14:paraId="05AE8BA1" w14:textId="77777777" w:rsidR="00BB534D" w:rsidRDefault="00B842B1">
      <w:pPr>
        <w:spacing w:before="0" w:line="240" w:lineRule="auto"/>
        <w:jc w:val="both"/>
        <w:rPr>
          <w:sz w:val="24"/>
          <w:szCs w:val="24"/>
        </w:rPr>
      </w:pPr>
      <w:r>
        <w:rPr>
          <w:sz w:val="24"/>
          <w:szCs w:val="24"/>
        </w:rPr>
        <w:t>Los avances en la integración de la perspectiva interseccional de género, la promoción de la igualdad y el empoderamiento de las mujeres en políticas públicas del sector institucional de ambiente y clima en el Plan Nacional de Adaptación y el Plan Nacional de Descarbonización, posiciona a Costa Rica como modelo efectivo y veraz del Desarrollo Sostenible integral, inclusivo y resiliente a la luz de los compromisos internacionales con los Derechos Humanos, y en especial, los derechos de las mujeres en su diversidad. La Ley Nacional de Emergencias y Prevención del Riesgo (N8488) aborda el tema con carácter de atención generalizada e integral, lo cual se refuerza en la Política Nacional de Gestión del Riego 2016-2030, específicamente en el Eje 2, lineamiento 9 se hace referencia a “</w:t>
      </w:r>
      <w:r>
        <w:rPr>
          <w:i/>
          <w:sz w:val="24"/>
          <w:szCs w:val="24"/>
        </w:rPr>
        <w:t>actualizar los protocolos y procedimientos de preparación y respuesta ante desastres de manera regular, contemplando las necesidades diferentes de los grupos de población; por ejemplo, de niños, adolescentes, adultos mayores, hombres y mujeres, grupos étnicos, personas con discapacidad y migrantes, así como la protección de los animales, bajo criterios de solidaridad, los enfoques de derechos humanos y de género</w:t>
      </w:r>
      <w:r>
        <w:rPr>
          <w:sz w:val="24"/>
          <w:szCs w:val="24"/>
        </w:rPr>
        <w:t>.”</w:t>
      </w:r>
    </w:p>
    <w:p w14:paraId="05AE8BA2" w14:textId="77777777" w:rsidR="00BB534D" w:rsidRDefault="00BB534D">
      <w:pPr>
        <w:spacing w:before="0" w:line="240" w:lineRule="auto"/>
        <w:jc w:val="both"/>
        <w:rPr>
          <w:sz w:val="24"/>
          <w:szCs w:val="24"/>
        </w:rPr>
      </w:pPr>
    </w:p>
    <w:p w14:paraId="05AE8BA3" w14:textId="77777777" w:rsidR="00BB534D" w:rsidRDefault="00B842B1">
      <w:pPr>
        <w:spacing w:before="0" w:line="240" w:lineRule="auto"/>
        <w:jc w:val="both"/>
        <w:rPr>
          <w:sz w:val="24"/>
          <w:szCs w:val="24"/>
        </w:rPr>
      </w:pPr>
      <w:r>
        <w:rPr>
          <w:sz w:val="24"/>
          <w:szCs w:val="24"/>
        </w:rPr>
        <w:t>Costa Rica se rige actualmente por la Ley de Aguas No.276 promulgada el 28 de agosto de 1942 durante el gobierno de Teodoro Picado. Si bien ha tenido una serie de modificaciones tiene brechas enormes para la protección del recurso hídrico en el contexto de los desafíos actuales. En 2017 se gestionó la Ley de Gestión Integrada del Recurso Hídrico qué, a pesar de la aprobación legislativa, fue dictaminada negativamente por la Sala Constitucional por vicios en la tramitación. Un nuevo intento de Ley fue aprobado en primer debate en 2020, pero quedó paralizado en la Comisión de Ambiente. Queda pendiente la actualización de esta norma tan importante. Por su parte, el modelo actual de asociaciones acueductos comunales (ASADAS) tiene grandes dificultades de funcionamiento y enormes retos de sostenibilidad, desde sus posibilidades económicas hasta sus capacidades técnicas, de organización y funcionamiento, debido a la rígida estructura y formato que los gobierna. Una muy pequeña minoría de ASADAS ha alcanzado algún nivel de estabilidad que les permite retorno financiero para el mantenimiento y expansión de sus sistemas, pero la gran mayoría apenas cuenta con lo necesario para el funcionamiento mínimo, pero que van perdiendo la partida contra la demanda creciente y la necesidad de modernización de los servicios.</w:t>
      </w:r>
    </w:p>
    <w:p w14:paraId="05AE8BA4" w14:textId="77777777" w:rsidR="00BB534D" w:rsidRDefault="00BB534D">
      <w:pPr>
        <w:spacing w:before="0" w:line="240" w:lineRule="auto"/>
        <w:jc w:val="both"/>
        <w:rPr>
          <w:sz w:val="24"/>
          <w:szCs w:val="24"/>
        </w:rPr>
      </w:pPr>
    </w:p>
    <w:p w14:paraId="05AE8BA5" w14:textId="77777777" w:rsidR="00BB534D" w:rsidRDefault="00B842B1">
      <w:pPr>
        <w:spacing w:before="0" w:line="240" w:lineRule="auto"/>
        <w:jc w:val="both"/>
        <w:rPr>
          <w:sz w:val="24"/>
          <w:szCs w:val="24"/>
        </w:rPr>
      </w:pPr>
      <w:r>
        <w:rPr>
          <w:sz w:val="24"/>
          <w:szCs w:val="24"/>
        </w:rPr>
        <w:t>Se ha podido evidenciar un avance significativo en la incorporación del cambio climático como eje transversal en la Política Pública de la Persona Joven 2020-2024</w:t>
      </w:r>
      <w:r>
        <w:rPr>
          <w:sz w:val="24"/>
          <w:szCs w:val="24"/>
          <w:vertAlign w:val="superscript"/>
        </w:rPr>
        <w:footnoteReference w:id="90"/>
      </w:r>
      <w:r>
        <w:rPr>
          <w:sz w:val="24"/>
          <w:szCs w:val="24"/>
        </w:rPr>
        <w:t xml:space="preserve">. Esto evidencia un reconocimiento de la afectación particular que tiene la población adolescente y las juventudes, así como el papel activo de las instituciones en la garantía de entornos sostenibles que permitan un desarrollo óptimo de las poblaciones. </w:t>
      </w:r>
    </w:p>
    <w:p w14:paraId="05AE8BA6" w14:textId="77777777" w:rsidR="00BB534D" w:rsidRDefault="00BB534D">
      <w:pPr>
        <w:spacing w:before="0" w:line="240" w:lineRule="auto"/>
        <w:jc w:val="both"/>
        <w:rPr>
          <w:sz w:val="24"/>
          <w:szCs w:val="24"/>
        </w:rPr>
      </w:pPr>
    </w:p>
    <w:p w14:paraId="05AE8BA7" w14:textId="77777777" w:rsidR="00BB534D" w:rsidRDefault="00B842B1">
      <w:pPr>
        <w:spacing w:before="0" w:line="240" w:lineRule="auto"/>
        <w:jc w:val="both"/>
        <w:rPr>
          <w:sz w:val="24"/>
          <w:szCs w:val="24"/>
        </w:rPr>
      </w:pPr>
      <w:r>
        <w:rPr>
          <w:sz w:val="24"/>
          <w:szCs w:val="24"/>
        </w:rPr>
        <w:t xml:space="preserve">En un reciente estudio de UNICEF, un 79% de las personas adolescentes y jóvenes consideran que se han visto afectadas por el cambio climático y un 80% considera que es una problemática muy grave. Esto es coherente con el contexto actual donde las personas adolescentes y jóvenes se están involucrando de manera más activa en distintos movimientos de activismo sobre cambio climático. </w:t>
      </w:r>
    </w:p>
    <w:p w14:paraId="05AE8BA8" w14:textId="77777777" w:rsidR="00BB534D" w:rsidRDefault="00B842B1">
      <w:pPr>
        <w:pStyle w:val="Heading3"/>
        <w:spacing w:before="320" w:after="80" w:line="240" w:lineRule="auto"/>
        <w:jc w:val="both"/>
        <w:rPr>
          <w:i/>
          <w:color w:val="4A86E8"/>
        </w:rPr>
      </w:pPr>
      <w:r>
        <w:rPr>
          <w:i/>
          <w:color w:val="4A86E8"/>
        </w:rPr>
        <w:t>Mirando hacia el futuro</w:t>
      </w:r>
    </w:p>
    <w:p w14:paraId="05AE8BA9" w14:textId="77777777" w:rsidR="00BB534D" w:rsidRDefault="00B842B1">
      <w:pPr>
        <w:spacing w:before="0" w:line="240" w:lineRule="auto"/>
        <w:jc w:val="both"/>
        <w:rPr>
          <w:sz w:val="24"/>
          <w:szCs w:val="24"/>
        </w:rPr>
      </w:pPr>
      <w:r>
        <w:rPr>
          <w:sz w:val="24"/>
          <w:szCs w:val="24"/>
        </w:rPr>
        <w:t>Para hacer frente a esta realidad es recomendable que el país aborde las siguientes acciones estratégicas generales y específicas:</w:t>
      </w:r>
    </w:p>
    <w:p w14:paraId="05AE8BAA" w14:textId="77777777" w:rsidR="00BB534D" w:rsidRDefault="00BB534D">
      <w:pPr>
        <w:spacing w:before="0" w:after="160" w:line="259" w:lineRule="auto"/>
        <w:jc w:val="both"/>
        <w:rPr>
          <w:color w:val="4A86E8"/>
          <w:sz w:val="24"/>
          <w:szCs w:val="24"/>
        </w:rPr>
      </w:pPr>
      <w:bookmarkStart w:id="8" w:name="_4d34og8" w:colFirst="0" w:colLast="0"/>
      <w:bookmarkEnd w:id="8"/>
    </w:p>
    <w:p w14:paraId="05AE8BAB" w14:textId="77777777" w:rsidR="00BB534D" w:rsidRDefault="00B842B1">
      <w:pPr>
        <w:numPr>
          <w:ilvl w:val="0"/>
          <w:numId w:val="17"/>
        </w:numPr>
        <w:spacing w:before="0" w:line="259" w:lineRule="auto"/>
        <w:jc w:val="both"/>
        <w:rPr>
          <w:sz w:val="24"/>
          <w:szCs w:val="24"/>
        </w:rPr>
      </w:pPr>
      <w:r>
        <w:rPr>
          <w:sz w:val="24"/>
          <w:szCs w:val="24"/>
        </w:rPr>
        <w:t>Priorizar la integración vertical y horizontal de política pública y oferta de cooperación en acciones de adaptación al cambio climático con un enfoque territorial basado en gestión con municipios. El manejo de riesgos, la reducción de vulnerabilidad y la preparación a corto, mediano y largo plazo según escenarios futuros alineados con el sexto informe de evaluación del IPCCC deben ser fortalecidos. La proyección y cálculo de pérdidas y daños según escenarios proyectados ameritan priorización de sector público, privado y sociedad civil a nivel local, asegurando inclusión de la diversidad de visiones e impactos diferenciados en la sociedad costarricense. Lo anterior en cumplimiento del ODS 11 meta 11.5, de reducir el número de muertes causadas por los desastres con las acciones de adaptación al cambio climático; así como del ODS 13, meta 13.1, fortalecer la resiliencia y la capacidad de adaptación a los riesgos relacionados con el clima y los desastres naturales.</w:t>
      </w:r>
    </w:p>
    <w:p w14:paraId="05AE8BAC" w14:textId="77777777" w:rsidR="00BB534D" w:rsidRDefault="00BB534D">
      <w:pPr>
        <w:spacing w:before="0" w:line="259" w:lineRule="auto"/>
        <w:ind w:left="720"/>
        <w:jc w:val="both"/>
        <w:rPr>
          <w:sz w:val="24"/>
          <w:szCs w:val="24"/>
        </w:rPr>
      </w:pPr>
    </w:p>
    <w:p w14:paraId="05AE8BAD" w14:textId="77777777" w:rsidR="00BB534D" w:rsidRDefault="00B842B1">
      <w:pPr>
        <w:numPr>
          <w:ilvl w:val="0"/>
          <w:numId w:val="17"/>
        </w:numPr>
        <w:spacing w:before="0" w:line="259" w:lineRule="auto"/>
        <w:jc w:val="both"/>
        <w:rPr>
          <w:sz w:val="24"/>
          <w:szCs w:val="24"/>
        </w:rPr>
      </w:pPr>
      <w:r>
        <w:rPr>
          <w:sz w:val="24"/>
          <w:szCs w:val="24"/>
        </w:rPr>
        <w:t xml:space="preserve">Armonizar y optimizar la gestión </w:t>
      </w:r>
      <w:proofErr w:type="spellStart"/>
      <w:r>
        <w:rPr>
          <w:sz w:val="24"/>
          <w:szCs w:val="24"/>
        </w:rPr>
        <w:t>inter-institucional</w:t>
      </w:r>
      <w:proofErr w:type="spellEnd"/>
      <w:r>
        <w:rPr>
          <w:sz w:val="24"/>
          <w:szCs w:val="24"/>
        </w:rPr>
        <w:t xml:space="preserve"> ambiental, productiva y sanitaria, de manera que no trabaje de forma antagónica o desarticulada, y facilite la descarbonización, los modelos de bioeconomía, economía circular, economía verde y azul con inclusión social y respeto a DDHH.</w:t>
      </w:r>
    </w:p>
    <w:p w14:paraId="05AE8BAE" w14:textId="77777777" w:rsidR="00BB534D" w:rsidRDefault="00BB534D">
      <w:pPr>
        <w:spacing w:before="0" w:line="276" w:lineRule="auto"/>
        <w:ind w:left="720"/>
        <w:rPr>
          <w:sz w:val="24"/>
          <w:szCs w:val="24"/>
        </w:rPr>
      </w:pPr>
    </w:p>
    <w:p w14:paraId="05AE8BAF" w14:textId="77777777" w:rsidR="00BB534D" w:rsidRDefault="00B842B1">
      <w:pPr>
        <w:numPr>
          <w:ilvl w:val="0"/>
          <w:numId w:val="17"/>
        </w:numPr>
        <w:spacing w:before="0" w:line="259" w:lineRule="auto"/>
        <w:jc w:val="both"/>
        <w:rPr>
          <w:sz w:val="24"/>
          <w:szCs w:val="24"/>
        </w:rPr>
      </w:pPr>
      <w:r>
        <w:rPr>
          <w:sz w:val="24"/>
          <w:szCs w:val="24"/>
        </w:rPr>
        <w:t>Innovar esquemas de financiamiento ambiental y de incentivos económicos por servicios ambientales con base en evidencia, diversificando fuentes de financiamiento compatibles con la descarbonización como lo son los mercados de carbono, los bonos verdes, las inversiones de impacto e incorporando el principio de “quien contamina paga” en la política fiscal nacional y tarifaria municipal.</w:t>
      </w:r>
    </w:p>
    <w:p w14:paraId="05AE8BB0" w14:textId="77777777" w:rsidR="00BB534D" w:rsidRDefault="00BB534D">
      <w:pPr>
        <w:spacing w:before="0" w:line="259" w:lineRule="auto"/>
        <w:ind w:left="720"/>
        <w:jc w:val="both"/>
        <w:rPr>
          <w:sz w:val="24"/>
          <w:szCs w:val="24"/>
        </w:rPr>
      </w:pPr>
    </w:p>
    <w:p w14:paraId="05AE8BB1" w14:textId="77777777" w:rsidR="00BB534D" w:rsidRDefault="00B842B1">
      <w:pPr>
        <w:numPr>
          <w:ilvl w:val="0"/>
          <w:numId w:val="17"/>
        </w:numPr>
        <w:spacing w:before="0" w:line="259" w:lineRule="auto"/>
        <w:jc w:val="both"/>
        <w:rPr>
          <w:sz w:val="24"/>
          <w:szCs w:val="24"/>
        </w:rPr>
      </w:pPr>
      <w:r>
        <w:rPr>
          <w:sz w:val="24"/>
          <w:szCs w:val="24"/>
        </w:rPr>
        <w:t xml:space="preserve">Fortalecer la métrica, monitoreo y transparencia en la gestión de información digital de las instituciones responsables y vinculadas con protección del ambiente y la restauración de servicios ecosistémicos. Particular énfasis ha de ponerse al acceso a datos abiertos, y enfatizando acceso a la información sobre servicios gubernamentales y municipales relativos al ambiente, cambio climático y de sustancias químicas; sobre estado de la biodiversidad; sobre la efectividad de políticas públicas y leyes en cumplimiento de Acuerdos Multilaterales Ambientales y para protección de defensores del ambiente según recomendado por el Acuerdo de Escazú. </w:t>
      </w:r>
    </w:p>
    <w:p w14:paraId="05AE8BB2" w14:textId="77777777" w:rsidR="00BB534D" w:rsidRDefault="00BB534D">
      <w:pPr>
        <w:spacing w:before="0" w:line="276" w:lineRule="auto"/>
        <w:ind w:left="720"/>
        <w:rPr>
          <w:sz w:val="24"/>
          <w:szCs w:val="24"/>
        </w:rPr>
      </w:pPr>
    </w:p>
    <w:p w14:paraId="05AE8BB3" w14:textId="77777777" w:rsidR="00BB534D" w:rsidRDefault="00B842B1">
      <w:pPr>
        <w:numPr>
          <w:ilvl w:val="0"/>
          <w:numId w:val="17"/>
        </w:numPr>
        <w:spacing w:before="0" w:line="259" w:lineRule="auto"/>
        <w:jc w:val="both"/>
        <w:rPr>
          <w:sz w:val="24"/>
          <w:szCs w:val="24"/>
        </w:rPr>
      </w:pPr>
      <w:r>
        <w:rPr>
          <w:sz w:val="24"/>
          <w:szCs w:val="24"/>
        </w:rPr>
        <w:t xml:space="preserve">Acelerar las siguientes acciones que contribuyan con el cumplimiento con distintos ODS al mismo tiempo y enfrentar cuellos de botella históricos. </w:t>
      </w:r>
    </w:p>
    <w:p w14:paraId="05AE8BB4" w14:textId="77777777" w:rsidR="00BB534D" w:rsidRDefault="00B842B1">
      <w:pPr>
        <w:numPr>
          <w:ilvl w:val="0"/>
          <w:numId w:val="3"/>
        </w:numPr>
        <w:spacing w:before="0" w:line="259" w:lineRule="auto"/>
        <w:jc w:val="both"/>
        <w:rPr>
          <w:sz w:val="24"/>
          <w:szCs w:val="24"/>
        </w:rPr>
      </w:pPr>
      <w:r>
        <w:rPr>
          <w:sz w:val="24"/>
          <w:szCs w:val="24"/>
        </w:rPr>
        <w:t xml:space="preserve">La meta 6.3. de reducir a la mitad el porcentaje de aguas residuales sin tratamiento amerita acción conjunta y cooperación orientada al sector saneamiento con repercusiones en bienestar inmediato para la mayoría de la población. </w:t>
      </w:r>
    </w:p>
    <w:p w14:paraId="05AE8BB5" w14:textId="77777777" w:rsidR="00BB534D" w:rsidRDefault="00B842B1">
      <w:pPr>
        <w:numPr>
          <w:ilvl w:val="0"/>
          <w:numId w:val="3"/>
        </w:numPr>
        <w:spacing w:before="0" w:line="259" w:lineRule="auto"/>
        <w:jc w:val="both"/>
        <w:rPr>
          <w:sz w:val="24"/>
          <w:szCs w:val="24"/>
        </w:rPr>
      </w:pPr>
      <w:r>
        <w:rPr>
          <w:sz w:val="24"/>
          <w:szCs w:val="24"/>
        </w:rPr>
        <w:t xml:space="preserve">La meta 12.5, reducir la generación de desechos, amerita acción municipal coordinada con otras instituciones del gobierno central, y, considerando los problemas relacionados con disposición del plástico no valorizable, está vinculada con la meta 14.1, prevenir y reducir significativamente la contaminación marina de todo tipo. </w:t>
      </w:r>
    </w:p>
    <w:p w14:paraId="05AE8BB6" w14:textId="77777777" w:rsidR="00BB534D" w:rsidRDefault="00B842B1">
      <w:pPr>
        <w:numPr>
          <w:ilvl w:val="0"/>
          <w:numId w:val="3"/>
        </w:numPr>
        <w:spacing w:before="0" w:line="259" w:lineRule="auto"/>
        <w:jc w:val="both"/>
        <w:rPr>
          <w:sz w:val="24"/>
          <w:szCs w:val="24"/>
        </w:rPr>
      </w:pPr>
      <w:r>
        <w:rPr>
          <w:sz w:val="24"/>
          <w:szCs w:val="24"/>
        </w:rPr>
        <w:t xml:space="preserve">La meta 14. 4 de reglamentar eficazmente la explotación pesquera y poner fin a la pesca excesiva va de la mano con la meta 1.1, erradicar la pobreza extrema de las costas que necesitan de oportunidades de empleo alternativas. </w:t>
      </w:r>
    </w:p>
    <w:p w14:paraId="05AE8BB7" w14:textId="77777777" w:rsidR="00BB534D" w:rsidRDefault="00B842B1">
      <w:pPr>
        <w:numPr>
          <w:ilvl w:val="0"/>
          <w:numId w:val="3"/>
        </w:numPr>
        <w:spacing w:before="0" w:line="259" w:lineRule="auto"/>
        <w:jc w:val="both"/>
        <w:rPr>
          <w:sz w:val="24"/>
          <w:szCs w:val="24"/>
        </w:rPr>
      </w:pPr>
      <w:r>
        <w:rPr>
          <w:sz w:val="24"/>
          <w:szCs w:val="24"/>
        </w:rPr>
        <w:t xml:space="preserve">La meta 11.2 de proporcionar acceso a sistemas de transporte seguros, asequibles, accesibles y sostenibles es clave para cumplir el plan de descarbonización del país. </w:t>
      </w:r>
    </w:p>
    <w:p w14:paraId="05AE8BB8" w14:textId="77777777" w:rsidR="00BB534D" w:rsidRDefault="00B842B1">
      <w:pPr>
        <w:numPr>
          <w:ilvl w:val="0"/>
          <w:numId w:val="3"/>
        </w:numPr>
        <w:spacing w:before="0" w:after="160" w:line="259" w:lineRule="auto"/>
        <w:jc w:val="both"/>
        <w:rPr>
          <w:sz w:val="24"/>
          <w:szCs w:val="24"/>
        </w:rPr>
      </w:pPr>
      <w:r>
        <w:rPr>
          <w:sz w:val="24"/>
          <w:szCs w:val="24"/>
        </w:rPr>
        <w:t xml:space="preserve">Finalmente, la acción colectiva de entre gobierno central, municipalidades, sector privado y cooperantes por avanzar la meta 15.1 de asegurar la conservación, y el uso sostenible de los ecosistemas terrestres resguardará el capital natural valorado del país valorado en US$14.5 mil millones, un 23% del PIB (2019). </w:t>
      </w:r>
    </w:p>
    <w:p w14:paraId="05AE8BB9" w14:textId="77777777" w:rsidR="00BB534D" w:rsidRDefault="00B842B1">
      <w:pPr>
        <w:spacing w:before="0" w:line="240" w:lineRule="auto"/>
        <w:jc w:val="both"/>
        <w:rPr>
          <w:color w:val="4A86E8"/>
          <w:sz w:val="24"/>
          <w:szCs w:val="24"/>
        </w:rPr>
      </w:pPr>
      <w:r>
        <w:rPr>
          <w:color w:val="4A86E8"/>
          <w:sz w:val="24"/>
          <w:szCs w:val="24"/>
        </w:rPr>
        <w:t>Biodiversidad Terrestre</w:t>
      </w:r>
    </w:p>
    <w:p w14:paraId="05AE8BBA" w14:textId="77777777" w:rsidR="00BB534D" w:rsidRDefault="00B842B1">
      <w:pPr>
        <w:numPr>
          <w:ilvl w:val="0"/>
          <w:numId w:val="9"/>
        </w:numPr>
        <w:spacing w:before="0" w:line="240" w:lineRule="auto"/>
        <w:jc w:val="both"/>
        <w:rPr>
          <w:sz w:val="24"/>
          <w:szCs w:val="24"/>
        </w:rPr>
      </w:pPr>
      <w:r>
        <w:rPr>
          <w:sz w:val="24"/>
          <w:szCs w:val="24"/>
        </w:rPr>
        <w:t>Reforzar estrategias de conectividad entre paisajes productivos para potenciar resiliencia en particular frente a amenazas por infraestructura (para poblaciones de fauna), potenciar flujo genético frente a variaciones climáticas</w:t>
      </w:r>
      <w:r>
        <w:rPr>
          <w:sz w:val="24"/>
          <w:szCs w:val="24"/>
          <w:vertAlign w:val="superscript"/>
        </w:rPr>
        <w:footnoteReference w:id="91"/>
      </w:r>
      <w:r>
        <w:rPr>
          <w:sz w:val="24"/>
          <w:szCs w:val="24"/>
        </w:rPr>
        <w:t>.</w:t>
      </w:r>
    </w:p>
    <w:p w14:paraId="05AE8BBB" w14:textId="77777777" w:rsidR="00BB534D" w:rsidRDefault="00B842B1">
      <w:pPr>
        <w:numPr>
          <w:ilvl w:val="0"/>
          <w:numId w:val="9"/>
        </w:numPr>
        <w:spacing w:before="0" w:line="240" w:lineRule="auto"/>
        <w:jc w:val="both"/>
        <w:rPr>
          <w:sz w:val="24"/>
          <w:szCs w:val="24"/>
        </w:rPr>
      </w:pPr>
      <w:r>
        <w:rPr>
          <w:sz w:val="24"/>
          <w:szCs w:val="24"/>
        </w:rPr>
        <w:t>Revertir las prácticas insostenibles que caracterizan el manejo de la biodiversidad y los ecosistemas naturales, poniendo en riesgo los logros históricos de la agenda verde del país.</w:t>
      </w:r>
    </w:p>
    <w:p w14:paraId="05AE8BBC" w14:textId="77777777" w:rsidR="00BB534D" w:rsidRDefault="00B842B1">
      <w:pPr>
        <w:numPr>
          <w:ilvl w:val="0"/>
          <w:numId w:val="9"/>
        </w:numPr>
        <w:spacing w:before="0" w:line="240" w:lineRule="auto"/>
        <w:jc w:val="both"/>
        <w:rPr>
          <w:sz w:val="24"/>
          <w:szCs w:val="24"/>
        </w:rPr>
      </w:pPr>
      <w:r>
        <w:rPr>
          <w:sz w:val="24"/>
          <w:szCs w:val="24"/>
        </w:rPr>
        <w:t>Fomentar los procesos de Evaluación Ambiental Estratégica en territorios amplios, para analizar diferentes alternativas de Planes de Infraestructura que faciliten actuaciones para el desarrollo sostenible e inclusivo.</w:t>
      </w:r>
    </w:p>
    <w:p w14:paraId="05AE8BBD" w14:textId="77777777" w:rsidR="00BB534D" w:rsidRDefault="00B842B1">
      <w:pPr>
        <w:numPr>
          <w:ilvl w:val="0"/>
          <w:numId w:val="9"/>
        </w:numPr>
        <w:spacing w:before="0" w:line="240" w:lineRule="auto"/>
        <w:jc w:val="both"/>
        <w:rPr>
          <w:sz w:val="24"/>
          <w:szCs w:val="24"/>
        </w:rPr>
      </w:pPr>
      <w:r>
        <w:rPr>
          <w:sz w:val="24"/>
          <w:szCs w:val="24"/>
        </w:rPr>
        <w:t xml:space="preserve">Fortalecer la capacidad individual y comunitaria para la resiliencia mediante el empoderamiento de las mujeres y el fortalecimiento de la educación. </w:t>
      </w:r>
    </w:p>
    <w:p w14:paraId="05AE8BBE" w14:textId="77777777" w:rsidR="00BB534D" w:rsidRDefault="00B842B1">
      <w:pPr>
        <w:numPr>
          <w:ilvl w:val="0"/>
          <w:numId w:val="9"/>
        </w:numPr>
        <w:spacing w:before="0" w:line="240" w:lineRule="auto"/>
        <w:jc w:val="both"/>
        <w:rPr>
          <w:sz w:val="24"/>
          <w:szCs w:val="24"/>
        </w:rPr>
      </w:pPr>
      <w:r>
        <w:rPr>
          <w:sz w:val="24"/>
          <w:szCs w:val="24"/>
        </w:rPr>
        <w:t xml:space="preserve">Promover la participación del liderazgo juvenil en la construcción de la resiliencia nacional. </w:t>
      </w:r>
    </w:p>
    <w:p w14:paraId="05AE8BBF" w14:textId="77777777" w:rsidR="00BB534D" w:rsidRDefault="00BB534D">
      <w:pPr>
        <w:spacing w:before="0" w:line="240" w:lineRule="auto"/>
        <w:jc w:val="both"/>
        <w:rPr>
          <w:sz w:val="24"/>
          <w:szCs w:val="24"/>
        </w:rPr>
      </w:pPr>
    </w:p>
    <w:p w14:paraId="05AE8BC0" w14:textId="77777777" w:rsidR="00BB534D" w:rsidRDefault="00B842B1">
      <w:pPr>
        <w:spacing w:before="0" w:line="240" w:lineRule="auto"/>
        <w:jc w:val="both"/>
        <w:rPr>
          <w:color w:val="4A86E8"/>
          <w:sz w:val="24"/>
          <w:szCs w:val="24"/>
        </w:rPr>
      </w:pPr>
      <w:r>
        <w:rPr>
          <w:color w:val="4A86E8"/>
          <w:sz w:val="24"/>
          <w:szCs w:val="24"/>
        </w:rPr>
        <w:t>Biodiversidad Marina</w:t>
      </w:r>
    </w:p>
    <w:p w14:paraId="05AE8BC1" w14:textId="77777777" w:rsidR="00BB534D" w:rsidRDefault="00BB534D">
      <w:pPr>
        <w:spacing w:before="0" w:line="240" w:lineRule="auto"/>
        <w:ind w:left="720"/>
        <w:jc w:val="both"/>
        <w:rPr>
          <w:sz w:val="24"/>
          <w:szCs w:val="24"/>
        </w:rPr>
      </w:pPr>
    </w:p>
    <w:p w14:paraId="05AE8BC2" w14:textId="77777777" w:rsidR="00BB534D" w:rsidRDefault="00B842B1">
      <w:pPr>
        <w:numPr>
          <w:ilvl w:val="0"/>
          <w:numId w:val="13"/>
        </w:numPr>
        <w:spacing w:before="0" w:line="240" w:lineRule="auto"/>
        <w:jc w:val="both"/>
        <w:rPr>
          <w:sz w:val="24"/>
          <w:szCs w:val="24"/>
        </w:rPr>
      </w:pPr>
      <w:r>
        <w:rPr>
          <w:sz w:val="24"/>
          <w:szCs w:val="24"/>
        </w:rPr>
        <w:t>Impulsar alternativas de producción y empleabilidad en zonas costeras basadas en prácticas no extractivas y con rendimientos mayores que permitan el bienestar de la población procurando igualdad de género y reduciendo la depredación del recurso marino.</w:t>
      </w:r>
    </w:p>
    <w:p w14:paraId="05AE8BC3" w14:textId="77777777" w:rsidR="00BB534D" w:rsidRDefault="00B842B1">
      <w:pPr>
        <w:numPr>
          <w:ilvl w:val="0"/>
          <w:numId w:val="13"/>
        </w:numPr>
        <w:spacing w:before="0" w:line="240" w:lineRule="auto"/>
        <w:jc w:val="both"/>
        <w:rPr>
          <w:sz w:val="24"/>
          <w:szCs w:val="24"/>
        </w:rPr>
      </w:pPr>
      <w:r>
        <w:rPr>
          <w:sz w:val="24"/>
          <w:szCs w:val="24"/>
        </w:rPr>
        <w:t>Fortalecer los procesos de planificación espacial marino costera que permita desarrollar planes y actuaciones orientados a la mejora de la economía azul y resiliente, tanto de estos ecosistemas como de las poblaciones que dependen de los mismos.</w:t>
      </w:r>
    </w:p>
    <w:p w14:paraId="05AE8BC4" w14:textId="77777777" w:rsidR="00BB534D" w:rsidRDefault="00B842B1">
      <w:pPr>
        <w:numPr>
          <w:ilvl w:val="0"/>
          <w:numId w:val="13"/>
        </w:numPr>
        <w:spacing w:before="0" w:line="240" w:lineRule="auto"/>
        <w:jc w:val="both"/>
        <w:rPr>
          <w:sz w:val="24"/>
          <w:szCs w:val="24"/>
        </w:rPr>
      </w:pPr>
      <w:r>
        <w:rPr>
          <w:sz w:val="24"/>
          <w:szCs w:val="24"/>
        </w:rPr>
        <w:t>Desarrollar medidas y políticas para dar seguimiento a infracciones y verificar la implementación de los sistemas de vigilancia y cumplimiento de la ley</w:t>
      </w:r>
      <w:r>
        <w:rPr>
          <w:sz w:val="24"/>
          <w:szCs w:val="24"/>
          <w:vertAlign w:val="superscript"/>
        </w:rPr>
        <w:footnoteReference w:id="92"/>
      </w:r>
      <w:r>
        <w:rPr>
          <w:sz w:val="24"/>
          <w:szCs w:val="24"/>
        </w:rPr>
        <w:t xml:space="preserve">. </w:t>
      </w:r>
    </w:p>
    <w:p w14:paraId="05AE8BC5" w14:textId="77777777" w:rsidR="00BB534D" w:rsidRDefault="00B842B1">
      <w:pPr>
        <w:numPr>
          <w:ilvl w:val="0"/>
          <w:numId w:val="13"/>
        </w:numPr>
        <w:spacing w:before="0" w:line="240" w:lineRule="auto"/>
        <w:jc w:val="both"/>
        <w:rPr>
          <w:sz w:val="24"/>
          <w:szCs w:val="24"/>
        </w:rPr>
      </w:pPr>
      <w:r>
        <w:rPr>
          <w:sz w:val="24"/>
          <w:szCs w:val="24"/>
        </w:rPr>
        <w:t>El Estado en asocio con la sociedad civil, gestionar acciones para impedir el continuo deterioro de los arrecifes de coral, cuya existencia se ve afectada por una multiplicidad de amenazas.</w:t>
      </w:r>
    </w:p>
    <w:p w14:paraId="05AE8BC6" w14:textId="77777777" w:rsidR="00BB534D" w:rsidRDefault="00B842B1">
      <w:pPr>
        <w:numPr>
          <w:ilvl w:val="0"/>
          <w:numId w:val="13"/>
        </w:numPr>
        <w:spacing w:before="0" w:line="240" w:lineRule="auto"/>
        <w:jc w:val="both"/>
        <w:rPr>
          <w:sz w:val="24"/>
          <w:szCs w:val="24"/>
        </w:rPr>
      </w:pPr>
      <w:r>
        <w:rPr>
          <w:sz w:val="24"/>
          <w:szCs w:val="24"/>
        </w:rPr>
        <w:t>Fomentar la protección y promoción del patrimonio cultural subacuático como medio para señalar la relación vital entre el desarrollo de las sociedades humanas y los cuerpos de agua, especialmente los océanos.</w:t>
      </w:r>
    </w:p>
    <w:p w14:paraId="05AE8BC7" w14:textId="77777777" w:rsidR="00BB534D" w:rsidRDefault="00B842B1">
      <w:pPr>
        <w:numPr>
          <w:ilvl w:val="0"/>
          <w:numId w:val="13"/>
        </w:numPr>
        <w:spacing w:before="0" w:line="240" w:lineRule="auto"/>
        <w:jc w:val="both"/>
        <w:rPr>
          <w:sz w:val="24"/>
          <w:szCs w:val="24"/>
        </w:rPr>
      </w:pPr>
      <w:r>
        <w:rPr>
          <w:sz w:val="24"/>
          <w:szCs w:val="24"/>
        </w:rPr>
        <w:t>Fortalecer el empoderamiento de las comunidades costeras, particularmente de las mujeres y las personas jóvenes para contrarrestar el deterioro de la biodiversidad marina.</w:t>
      </w:r>
    </w:p>
    <w:p w14:paraId="05AE8BC8" w14:textId="77777777" w:rsidR="00BB534D" w:rsidRDefault="00BB534D">
      <w:pPr>
        <w:spacing w:before="0" w:line="240" w:lineRule="auto"/>
        <w:jc w:val="both"/>
        <w:rPr>
          <w:color w:val="4A86E8"/>
          <w:sz w:val="24"/>
          <w:szCs w:val="24"/>
        </w:rPr>
      </w:pPr>
    </w:p>
    <w:p w14:paraId="05AE8BC9" w14:textId="77777777" w:rsidR="00BB534D" w:rsidRDefault="00B842B1">
      <w:pPr>
        <w:spacing w:before="0" w:line="240" w:lineRule="auto"/>
        <w:jc w:val="both"/>
        <w:rPr>
          <w:color w:val="4A86E8"/>
          <w:sz w:val="24"/>
          <w:szCs w:val="24"/>
        </w:rPr>
      </w:pPr>
      <w:r>
        <w:rPr>
          <w:color w:val="4A86E8"/>
          <w:sz w:val="24"/>
          <w:szCs w:val="24"/>
        </w:rPr>
        <w:t xml:space="preserve">Gobernanza del recurso hídrico </w:t>
      </w:r>
    </w:p>
    <w:p w14:paraId="05AE8BCA" w14:textId="77777777" w:rsidR="00BB534D" w:rsidRDefault="00BB534D">
      <w:pPr>
        <w:spacing w:before="0" w:line="240" w:lineRule="auto"/>
        <w:jc w:val="both"/>
        <w:rPr>
          <w:sz w:val="24"/>
          <w:szCs w:val="24"/>
        </w:rPr>
      </w:pPr>
    </w:p>
    <w:p w14:paraId="05AE8BCB" w14:textId="77777777" w:rsidR="00BB534D" w:rsidRDefault="00B842B1">
      <w:pPr>
        <w:numPr>
          <w:ilvl w:val="0"/>
          <w:numId w:val="14"/>
        </w:numPr>
        <w:spacing w:before="0" w:line="240" w:lineRule="auto"/>
        <w:jc w:val="both"/>
        <w:rPr>
          <w:sz w:val="24"/>
          <w:szCs w:val="24"/>
        </w:rPr>
      </w:pPr>
      <w:r>
        <w:rPr>
          <w:sz w:val="24"/>
          <w:szCs w:val="24"/>
        </w:rPr>
        <w:t>Generar incidencia política para desentrabar los esfuerzos de actualización de un marco normativo integral, que contribuya además a resolver la atomización actual de la gobernanza del agua.</w:t>
      </w:r>
    </w:p>
    <w:p w14:paraId="05AE8BCC" w14:textId="77777777" w:rsidR="00BB534D" w:rsidRDefault="00B842B1">
      <w:pPr>
        <w:numPr>
          <w:ilvl w:val="0"/>
          <w:numId w:val="14"/>
        </w:numPr>
        <w:spacing w:before="0" w:line="240" w:lineRule="auto"/>
        <w:jc w:val="both"/>
        <w:rPr>
          <w:sz w:val="24"/>
          <w:szCs w:val="24"/>
        </w:rPr>
      </w:pPr>
      <w:r>
        <w:rPr>
          <w:sz w:val="24"/>
          <w:szCs w:val="24"/>
        </w:rPr>
        <w:t xml:space="preserve">Reestructurar el marco institucional, normativo y regulatorio de las ASADAS, entendiendo que las exigencias de los nuevos tiempos son claramente muy diferentes a aquellas que impulsaron la creación del modelo de acueductos comunales en los años 60. </w:t>
      </w:r>
    </w:p>
    <w:p w14:paraId="05AE8BCD" w14:textId="77777777" w:rsidR="00BB534D" w:rsidRDefault="00B842B1">
      <w:pPr>
        <w:numPr>
          <w:ilvl w:val="0"/>
          <w:numId w:val="14"/>
        </w:numPr>
        <w:spacing w:before="0" w:line="240" w:lineRule="auto"/>
        <w:jc w:val="both"/>
        <w:rPr>
          <w:sz w:val="24"/>
          <w:szCs w:val="24"/>
        </w:rPr>
      </w:pPr>
      <w:r>
        <w:rPr>
          <w:sz w:val="24"/>
          <w:szCs w:val="24"/>
        </w:rPr>
        <w:t>Recuperar, proteger y preservar ecosistemas acuáticos. Replantear la relación de espacios urbanos con los ríos que los transcurren, mediante acciones concretas que mejoren la salud de los ríos y relancen su capacidad paisajística, potenciadora de la biodiversidad y mitigadora de inundaciones, en nuevo pacto ambiental entre las personas urbanitas y los cuerpos de agua de sus ciudades. Incluso, impulsar estrategias e inversiones que aceleren los esfuerzos de recuperación socioeconómica.</w:t>
      </w:r>
    </w:p>
    <w:p w14:paraId="05AE8BCE" w14:textId="77777777" w:rsidR="00BB534D" w:rsidRDefault="00B842B1">
      <w:pPr>
        <w:numPr>
          <w:ilvl w:val="0"/>
          <w:numId w:val="14"/>
        </w:numPr>
        <w:spacing w:before="0" w:line="240" w:lineRule="auto"/>
        <w:jc w:val="both"/>
        <w:rPr>
          <w:sz w:val="24"/>
          <w:szCs w:val="24"/>
        </w:rPr>
      </w:pPr>
      <w:r>
        <w:rPr>
          <w:sz w:val="24"/>
          <w:szCs w:val="24"/>
        </w:rPr>
        <w:t>Promover las experiencias de siembra y cosecha de agua, entendidos como procesos de recolección de agua de lluvia en el subsuelo para poder recuperarla tiempo después, tanto para recargar acuíferos como para usos agrícolas y ganaderos reduciendo la presión sobre el agua de uso humano en zonas donde el agua es escasa.  Promover la captura de agua lluvia para usos no domésticos en hogares, centros educativos, otros edificios públicos, producción agroindustrial y hotelería, entre otros, es una buena forma de reducir la demanda de agua potable para actividades que no la requieren.</w:t>
      </w:r>
    </w:p>
    <w:p w14:paraId="05AE8BCF" w14:textId="77777777" w:rsidR="00BB534D" w:rsidRDefault="00B842B1">
      <w:pPr>
        <w:numPr>
          <w:ilvl w:val="0"/>
          <w:numId w:val="14"/>
        </w:numPr>
        <w:spacing w:before="0" w:line="240" w:lineRule="auto"/>
        <w:jc w:val="both"/>
        <w:rPr>
          <w:rFonts w:ascii="Arial" w:eastAsia="Arial" w:hAnsi="Arial" w:cs="Arial"/>
          <w:sz w:val="24"/>
          <w:szCs w:val="24"/>
        </w:rPr>
      </w:pPr>
      <w:r>
        <w:rPr>
          <w:sz w:val="24"/>
          <w:szCs w:val="24"/>
        </w:rPr>
        <w:t>Obtener información sobre el estado de los acuíferos mediante modelajes matemáticos para contar con información para la toma de decisiones sobre el agua presente y futura, Será importante el impulso de alianzas, convenios y otros mecanismos de colaboración con participación y aportes de la academia, organizaciones técnico-científicas y el apoyo de agencias multilaterales para conducir los estudios requeridos para la producción y mejora de conocimiento para una planificación estratégica más informada.</w:t>
      </w:r>
    </w:p>
    <w:p w14:paraId="05AE8BD0" w14:textId="77777777" w:rsidR="00BB534D" w:rsidRDefault="00BB534D">
      <w:pPr>
        <w:spacing w:before="0" w:line="240" w:lineRule="auto"/>
        <w:jc w:val="both"/>
        <w:rPr>
          <w:color w:val="4A86E8"/>
          <w:sz w:val="24"/>
          <w:szCs w:val="24"/>
        </w:rPr>
      </w:pPr>
    </w:p>
    <w:p w14:paraId="05AE8BD1" w14:textId="77777777" w:rsidR="00BB534D" w:rsidRDefault="00B842B1">
      <w:pPr>
        <w:spacing w:before="0" w:line="240" w:lineRule="auto"/>
        <w:jc w:val="both"/>
        <w:rPr>
          <w:color w:val="4A86E8"/>
          <w:sz w:val="24"/>
          <w:szCs w:val="24"/>
        </w:rPr>
      </w:pPr>
      <w:r>
        <w:rPr>
          <w:color w:val="4A86E8"/>
          <w:sz w:val="24"/>
          <w:szCs w:val="24"/>
        </w:rPr>
        <w:t>Conflictos ambientales</w:t>
      </w:r>
    </w:p>
    <w:p w14:paraId="05AE8BD2" w14:textId="77777777" w:rsidR="00BB534D" w:rsidRDefault="00B842B1">
      <w:pPr>
        <w:numPr>
          <w:ilvl w:val="0"/>
          <w:numId w:val="1"/>
        </w:numPr>
        <w:spacing w:before="0" w:line="240" w:lineRule="auto"/>
        <w:jc w:val="both"/>
        <w:rPr>
          <w:sz w:val="24"/>
          <w:szCs w:val="24"/>
        </w:rPr>
      </w:pPr>
      <w:r>
        <w:rPr>
          <w:sz w:val="24"/>
          <w:szCs w:val="24"/>
        </w:rPr>
        <w:t>Fortalecer las capacidades y herramientas del Estado para cumplir y ejecutar lo establecido en normas y herramientas e impedir los impactos que resultan en una alta conflictividad, en general, evitar la impunidad e injusticia, particularmente hacia los pueblos indígenas y en sus territorios.</w:t>
      </w:r>
    </w:p>
    <w:p w14:paraId="05AE8BD3" w14:textId="77777777" w:rsidR="00BB534D" w:rsidRDefault="00B842B1">
      <w:pPr>
        <w:numPr>
          <w:ilvl w:val="0"/>
          <w:numId w:val="1"/>
        </w:numPr>
        <w:spacing w:before="0" w:line="240" w:lineRule="auto"/>
        <w:jc w:val="both"/>
        <w:rPr>
          <w:sz w:val="24"/>
          <w:szCs w:val="24"/>
        </w:rPr>
      </w:pPr>
      <w:r>
        <w:rPr>
          <w:sz w:val="24"/>
          <w:szCs w:val="24"/>
        </w:rPr>
        <w:t>Atender la brecha entre las expectativas generadas en el aumento del marco legal y las capacidades institucionales del gobierno central de aplicar la normativa.</w:t>
      </w:r>
    </w:p>
    <w:p w14:paraId="05AE8BD4" w14:textId="77777777" w:rsidR="00BB534D" w:rsidRDefault="00B842B1">
      <w:pPr>
        <w:numPr>
          <w:ilvl w:val="0"/>
          <w:numId w:val="1"/>
        </w:numPr>
        <w:spacing w:before="0" w:line="240" w:lineRule="auto"/>
        <w:jc w:val="both"/>
        <w:rPr>
          <w:sz w:val="24"/>
          <w:szCs w:val="24"/>
        </w:rPr>
      </w:pPr>
      <w:r>
        <w:rPr>
          <w:sz w:val="24"/>
          <w:szCs w:val="24"/>
        </w:rPr>
        <w:t>Promoción de esquemas de siembra y cosecha de agua para usos agropecuarios e industriales y reducir la demanda de agua de los acuíferos y atenuar los conflictos entre los distintos usos.</w:t>
      </w:r>
    </w:p>
    <w:p w14:paraId="05AE8BD5" w14:textId="77777777" w:rsidR="00BB534D" w:rsidRDefault="00B842B1">
      <w:pPr>
        <w:numPr>
          <w:ilvl w:val="0"/>
          <w:numId w:val="1"/>
        </w:numPr>
        <w:spacing w:before="0" w:line="240" w:lineRule="auto"/>
        <w:jc w:val="both"/>
        <w:rPr>
          <w:sz w:val="24"/>
          <w:szCs w:val="24"/>
        </w:rPr>
      </w:pPr>
      <w:r>
        <w:rPr>
          <w:sz w:val="24"/>
          <w:szCs w:val="24"/>
        </w:rPr>
        <w:t>Promover la gestión binacional de cuencas y territorios homogéneos por medio de enfoques de cultura de paz.</w:t>
      </w:r>
    </w:p>
    <w:p w14:paraId="05AE8BD6" w14:textId="77777777" w:rsidR="00BB534D" w:rsidRDefault="00BB534D">
      <w:pPr>
        <w:spacing w:before="0" w:line="240" w:lineRule="auto"/>
        <w:jc w:val="both"/>
        <w:rPr>
          <w:sz w:val="24"/>
          <w:szCs w:val="24"/>
        </w:rPr>
      </w:pPr>
    </w:p>
    <w:p w14:paraId="05AE8BD7" w14:textId="77777777" w:rsidR="00BB534D" w:rsidRDefault="00B842B1">
      <w:pPr>
        <w:spacing w:before="0" w:line="240" w:lineRule="auto"/>
        <w:jc w:val="both"/>
        <w:rPr>
          <w:color w:val="4A86E8"/>
          <w:sz w:val="24"/>
          <w:szCs w:val="24"/>
        </w:rPr>
      </w:pPr>
      <w:r>
        <w:rPr>
          <w:color w:val="4A86E8"/>
          <w:sz w:val="24"/>
          <w:szCs w:val="24"/>
        </w:rPr>
        <w:t>Riesgos ambientales</w:t>
      </w:r>
    </w:p>
    <w:p w14:paraId="05AE8BD8" w14:textId="77777777" w:rsidR="00BB534D" w:rsidRDefault="00B842B1">
      <w:pPr>
        <w:numPr>
          <w:ilvl w:val="0"/>
          <w:numId w:val="16"/>
        </w:numPr>
        <w:spacing w:before="0" w:line="240" w:lineRule="auto"/>
        <w:jc w:val="both"/>
        <w:rPr>
          <w:sz w:val="24"/>
          <w:szCs w:val="24"/>
        </w:rPr>
      </w:pPr>
      <w:r>
        <w:rPr>
          <w:sz w:val="24"/>
          <w:szCs w:val="24"/>
        </w:rPr>
        <w:t xml:space="preserve">Fortalecer las capacidades de los gobiernos locales para crear estrategias de control y retención de cuencas hídricas, que eventualmente podrían generar grandes afectaciones a las comunidades. </w:t>
      </w:r>
    </w:p>
    <w:p w14:paraId="05AE8BD9" w14:textId="77777777" w:rsidR="00BB534D" w:rsidRDefault="00B842B1">
      <w:pPr>
        <w:numPr>
          <w:ilvl w:val="0"/>
          <w:numId w:val="16"/>
        </w:numPr>
        <w:spacing w:before="0" w:line="240" w:lineRule="auto"/>
        <w:jc w:val="both"/>
        <w:rPr>
          <w:sz w:val="24"/>
          <w:szCs w:val="24"/>
        </w:rPr>
      </w:pPr>
      <w:r>
        <w:rPr>
          <w:sz w:val="24"/>
          <w:szCs w:val="24"/>
        </w:rPr>
        <w:t>Generar herramientas para que las municipalidades puedan gestionar el riesgo de sus territorios incluyendo la visión de adaptación al cambio climático.</w:t>
      </w:r>
    </w:p>
    <w:p w14:paraId="05AE8BDA" w14:textId="77777777" w:rsidR="00BB534D" w:rsidRDefault="00BB534D">
      <w:pPr>
        <w:spacing w:before="0" w:line="240" w:lineRule="auto"/>
        <w:jc w:val="both"/>
        <w:rPr>
          <w:sz w:val="24"/>
          <w:szCs w:val="24"/>
        </w:rPr>
      </w:pPr>
    </w:p>
    <w:p w14:paraId="05AE8BDB" w14:textId="77777777" w:rsidR="00BB534D" w:rsidRDefault="00B842B1">
      <w:pPr>
        <w:spacing w:before="0" w:line="240" w:lineRule="auto"/>
        <w:jc w:val="both"/>
        <w:rPr>
          <w:color w:val="4A86E8"/>
          <w:sz w:val="24"/>
          <w:szCs w:val="24"/>
        </w:rPr>
      </w:pPr>
      <w:r>
        <w:rPr>
          <w:color w:val="4A86E8"/>
          <w:sz w:val="24"/>
          <w:szCs w:val="24"/>
        </w:rPr>
        <w:t>Impacto del cambio climático</w:t>
      </w:r>
    </w:p>
    <w:p w14:paraId="05AE8BDC" w14:textId="77777777" w:rsidR="00BB534D" w:rsidRDefault="00B842B1">
      <w:pPr>
        <w:numPr>
          <w:ilvl w:val="0"/>
          <w:numId w:val="20"/>
        </w:numPr>
        <w:spacing w:before="0" w:line="240" w:lineRule="auto"/>
        <w:jc w:val="both"/>
        <w:rPr>
          <w:sz w:val="24"/>
          <w:szCs w:val="24"/>
        </w:rPr>
      </w:pPr>
      <w:r>
        <w:rPr>
          <w:sz w:val="24"/>
          <w:szCs w:val="24"/>
        </w:rPr>
        <w:t xml:space="preserve">Involucrar a la ciudadanía en los procesos de generación de estrategias, esto implica que es necesario más diálogo y participación desde distintos grupos de la sociedad civil, particularmente mujeres y personas jóvenes, que fortalezcan procesos de diálogo y brinden mayor legitimidad, así como que permita coincidir la ejecución con la construcción más técnica. </w:t>
      </w:r>
    </w:p>
    <w:p w14:paraId="05AE8BDD" w14:textId="77777777" w:rsidR="00BB534D" w:rsidRDefault="00B842B1">
      <w:pPr>
        <w:numPr>
          <w:ilvl w:val="0"/>
          <w:numId w:val="20"/>
        </w:numPr>
        <w:spacing w:before="0" w:line="240" w:lineRule="auto"/>
        <w:jc w:val="both"/>
        <w:rPr>
          <w:sz w:val="24"/>
          <w:szCs w:val="24"/>
        </w:rPr>
      </w:pPr>
      <w:r>
        <w:rPr>
          <w:sz w:val="24"/>
          <w:szCs w:val="24"/>
        </w:rPr>
        <w:t xml:space="preserve">Fomentar inversión en infraestructura adaptada </w:t>
      </w:r>
    </w:p>
    <w:p w14:paraId="05AE8BDE" w14:textId="77777777" w:rsidR="00BB534D" w:rsidRDefault="00B842B1">
      <w:pPr>
        <w:numPr>
          <w:ilvl w:val="0"/>
          <w:numId w:val="20"/>
        </w:numPr>
        <w:spacing w:before="0" w:line="240" w:lineRule="auto"/>
        <w:jc w:val="both"/>
        <w:rPr>
          <w:sz w:val="24"/>
          <w:szCs w:val="24"/>
        </w:rPr>
      </w:pPr>
      <w:r>
        <w:rPr>
          <w:sz w:val="24"/>
          <w:szCs w:val="24"/>
        </w:rPr>
        <w:t>Promover la justicia climática y prevenir los efectos sociales del cambio climático que impactan mayormente a las personas en condición de vulnerabilidad.</w:t>
      </w:r>
    </w:p>
    <w:p w14:paraId="05AE8BDF" w14:textId="77777777" w:rsidR="00BB534D" w:rsidRDefault="00B842B1">
      <w:pPr>
        <w:numPr>
          <w:ilvl w:val="0"/>
          <w:numId w:val="20"/>
        </w:numPr>
        <w:spacing w:before="0" w:line="240" w:lineRule="auto"/>
        <w:jc w:val="both"/>
        <w:rPr>
          <w:sz w:val="24"/>
          <w:szCs w:val="24"/>
        </w:rPr>
      </w:pPr>
      <w:r>
        <w:rPr>
          <w:sz w:val="24"/>
          <w:szCs w:val="24"/>
        </w:rPr>
        <w:t xml:space="preserve">Aumentar la cobertura forestal, hasta lograr un 60% a lo largo de todo el territorio nacional, esto también implica alianzas de distintos tipos. </w:t>
      </w:r>
    </w:p>
    <w:p w14:paraId="05AE8BE0" w14:textId="77777777" w:rsidR="00BB534D" w:rsidRDefault="00B842B1">
      <w:pPr>
        <w:numPr>
          <w:ilvl w:val="0"/>
          <w:numId w:val="20"/>
        </w:numPr>
        <w:spacing w:before="0" w:line="240" w:lineRule="auto"/>
        <w:jc w:val="both"/>
        <w:rPr>
          <w:sz w:val="24"/>
          <w:szCs w:val="24"/>
        </w:rPr>
      </w:pPr>
      <w:proofErr w:type="spellStart"/>
      <w:r>
        <w:rPr>
          <w:sz w:val="24"/>
          <w:szCs w:val="24"/>
        </w:rPr>
        <w:t>Reduccir</w:t>
      </w:r>
      <w:proofErr w:type="spellEnd"/>
      <w:r>
        <w:rPr>
          <w:sz w:val="24"/>
          <w:szCs w:val="24"/>
        </w:rPr>
        <w:t xml:space="preserve"> y eliminar </w:t>
      </w:r>
      <w:proofErr w:type="gramStart"/>
      <w:r>
        <w:rPr>
          <w:sz w:val="24"/>
          <w:szCs w:val="24"/>
        </w:rPr>
        <w:t>los hidroclorofluorocarbonos</w:t>
      </w:r>
      <w:proofErr w:type="gramEnd"/>
      <w:r>
        <w:rPr>
          <w:sz w:val="24"/>
          <w:szCs w:val="24"/>
        </w:rPr>
        <w:t xml:space="preserve"> (HCFC) que siguen siendo un área de oportunidad y desafío para el país especialmente para los sectores de refrigeración.</w:t>
      </w:r>
    </w:p>
    <w:p w14:paraId="05AE8BE1" w14:textId="77777777" w:rsidR="00BB534D" w:rsidRDefault="00B842B1">
      <w:pPr>
        <w:numPr>
          <w:ilvl w:val="0"/>
          <w:numId w:val="20"/>
        </w:numPr>
        <w:spacing w:before="0" w:line="240" w:lineRule="auto"/>
        <w:jc w:val="both"/>
        <w:rPr>
          <w:sz w:val="24"/>
          <w:szCs w:val="24"/>
        </w:rPr>
      </w:pPr>
      <w:r>
        <w:rPr>
          <w:sz w:val="24"/>
          <w:szCs w:val="24"/>
        </w:rPr>
        <w:t>Fomentar medidas de recuperación y regeneración de los ecosistemas, así como las soluciones basadas en la naturaleza para mejorar la resiliencia de las comunidades.</w:t>
      </w:r>
    </w:p>
    <w:p w14:paraId="05AE8BE2" w14:textId="77777777" w:rsidR="00BB534D" w:rsidRDefault="00B842B1">
      <w:pPr>
        <w:numPr>
          <w:ilvl w:val="0"/>
          <w:numId w:val="20"/>
        </w:numPr>
        <w:spacing w:before="0" w:line="240" w:lineRule="auto"/>
        <w:jc w:val="both"/>
        <w:rPr>
          <w:sz w:val="24"/>
          <w:szCs w:val="24"/>
        </w:rPr>
      </w:pPr>
      <w:r>
        <w:rPr>
          <w:sz w:val="24"/>
          <w:szCs w:val="24"/>
        </w:rPr>
        <w:t>Reducir la vulnerabilidad y el riesgo y aumentar las capacidades adaptativas en municipios con perspectiva de género y asegurando el acceso a servicios de salud básicos, incluyendo salud sexual y reproductiva y la violencia basada en género, tal como lo establece el Marco de Sendai para la reducción del riesgo de desastres, 2015-2030.</w:t>
      </w:r>
    </w:p>
    <w:p w14:paraId="05AE8BE3" w14:textId="77777777" w:rsidR="00BB534D" w:rsidRDefault="00BB534D">
      <w:pPr>
        <w:spacing w:before="0" w:after="160" w:line="259" w:lineRule="auto"/>
        <w:jc w:val="both"/>
        <w:rPr>
          <w:color w:val="4A86E8"/>
          <w:sz w:val="24"/>
          <w:szCs w:val="24"/>
        </w:rPr>
      </w:pPr>
    </w:p>
    <w:p w14:paraId="05AE8BE4" w14:textId="77777777" w:rsidR="00BB534D" w:rsidRDefault="00B842B1">
      <w:pPr>
        <w:spacing w:before="0" w:line="240" w:lineRule="auto"/>
        <w:jc w:val="both"/>
        <w:rPr>
          <w:color w:val="4A86E8"/>
          <w:sz w:val="24"/>
          <w:szCs w:val="24"/>
        </w:rPr>
      </w:pPr>
      <w:r>
        <w:rPr>
          <w:color w:val="4A86E8"/>
          <w:sz w:val="24"/>
          <w:szCs w:val="24"/>
        </w:rPr>
        <w:t>Reducción de residuos contaminantes</w:t>
      </w:r>
    </w:p>
    <w:p w14:paraId="05AE8BE5" w14:textId="77777777" w:rsidR="00BB534D" w:rsidRDefault="00B842B1">
      <w:pPr>
        <w:numPr>
          <w:ilvl w:val="0"/>
          <w:numId w:val="5"/>
        </w:numPr>
        <w:spacing w:before="0" w:line="240" w:lineRule="auto"/>
        <w:jc w:val="both"/>
        <w:rPr>
          <w:sz w:val="24"/>
          <w:szCs w:val="24"/>
        </w:rPr>
      </w:pPr>
      <w:r>
        <w:rPr>
          <w:sz w:val="24"/>
          <w:szCs w:val="24"/>
        </w:rPr>
        <w:t>Uno de los retos principales para la reducción de otros residuos que ingresan al medio natural, continúa siendo el deficiente manejo de las aguas residuales.</w:t>
      </w:r>
    </w:p>
    <w:p w14:paraId="05AE8BE6" w14:textId="77777777" w:rsidR="00BB534D" w:rsidRDefault="00B842B1">
      <w:pPr>
        <w:numPr>
          <w:ilvl w:val="0"/>
          <w:numId w:val="5"/>
        </w:numPr>
        <w:spacing w:before="0" w:line="240" w:lineRule="auto"/>
        <w:jc w:val="both"/>
        <w:rPr>
          <w:sz w:val="24"/>
          <w:szCs w:val="24"/>
        </w:rPr>
      </w:pPr>
      <w:r>
        <w:rPr>
          <w:sz w:val="24"/>
          <w:szCs w:val="24"/>
        </w:rPr>
        <w:t>La información en el país sobre las sustancias químicas es insuficiente. La carencia de un sistema de gestión que permita su identificación y conocimiento complica la regulación de sustancias químicas, esto se convierte también en una necesidad puntual de trabajo a corto y mediano plazo.</w:t>
      </w:r>
    </w:p>
    <w:p w14:paraId="05AE8BE7" w14:textId="77777777" w:rsidR="00BB534D" w:rsidRDefault="00B842B1">
      <w:pPr>
        <w:numPr>
          <w:ilvl w:val="0"/>
          <w:numId w:val="5"/>
        </w:numPr>
        <w:spacing w:before="0" w:line="240" w:lineRule="auto"/>
        <w:jc w:val="both"/>
        <w:rPr>
          <w:sz w:val="24"/>
          <w:szCs w:val="24"/>
        </w:rPr>
      </w:pPr>
      <w:r>
        <w:rPr>
          <w:sz w:val="24"/>
          <w:szCs w:val="24"/>
        </w:rPr>
        <w:t xml:space="preserve">Construir e implementar estrategias de diálogo para mejorar la dinámica presupuestaria a nivel local, que permita dirigir recursos hacia el tema ambiental y la gestión del recurso hídrico, tomando en cuenta que las acciones como recolección de residuos sólidos, reciclaje y demás, se lleva a cabo por las municipalidades. </w:t>
      </w:r>
    </w:p>
    <w:p w14:paraId="05AE8BE8" w14:textId="77777777" w:rsidR="00BB534D" w:rsidRDefault="00B842B1">
      <w:pPr>
        <w:numPr>
          <w:ilvl w:val="0"/>
          <w:numId w:val="5"/>
        </w:numPr>
        <w:spacing w:before="0" w:line="240" w:lineRule="auto"/>
        <w:jc w:val="both"/>
        <w:rPr>
          <w:sz w:val="24"/>
          <w:szCs w:val="24"/>
        </w:rPr>
      </w:pPr>
      <w:r>
        <w:rPr>
          <w:sz w:val="24"/>
          <w:szCs w:val="24"/>
        </w:rPr>
        <w:t>Impulsar la economía circular, más allá de los esquemas tradicionales de reciclaje, generando industria limpia basada en tecnología para la conversión de residuos en productos de gama alta.</w:t>
      </w:r>
    </w:p>
    <w:p w14:paraId="05AE8BE9" w14:textId="77777777" w:rsidR="00BB534D" w:rsidRDefault="00B842B1">
      <w:pPr>
        <w:numPr>
          <w:ilvl w:val="0"/>
          <w:numId w:val="5"/>
        </w:numPr>
        <w:spacing w:before="0" w:line="240" w:lineRule="auto"/>
        <w:jc w:val="both"/>
        <w:rPr>
          <w:sz w:val="24"/>
          <w:szCs w:val="24"/>
        </w:rPr>
      </w:pPr>
      <w:r>
        <w:rPr>
          <w:sz w:val="24"/>
          <w:szCs w:val="24"/>
        </w:rPr>
        <w:t>Empoderar a las comunidades, en particular a las mujeres y a las personas jóvenes para la utilización sostenible de los residuos sólidos y reciclables, a la vez que se protege su derecho a la salud y a vivir en un ambiente libre de contaminación.</w:t>
      </w:r>
    </w:p>
    <w:p w14:paraId="05AE8BEA" w14:textId="77777777" w:rsidR="00BB534D" w:rsidRDefault="00B842B1">
      <w:pPr>
        <w:numPr>
          <w:ilvl w:val="0"/>
          <w:numId w:val="5"/>
        </w:numPr>
        <w:spacing w:before="0" w:line="240" w:lineRule="auto"/>
        <w:jc w:val="both"/>
        <w:rPr>
          <w:sz w:val="24"/>
          <w:szCs w:val="24"/>
        </w:rPr>
      </w:pPr>
      <w:r>
        <w:rPr>
          <w:sz w:val="24"/>
          <w:szCs w:val="24"/>
        </w:rPr>
        <w:t>Tomar en cuenta a las comunidades, particular a las mujeres y a las personas jóvenes, en las propuestas de manejo sostenible de los residuos.</w:t>
      </w:r>
    </w:p>
    <w:p w14:paraId="05AE8BEB" w14:textId="77777777" w:rsidR="00BB534D" w:rsidRDefault="00BB534D">
      <w:pPr>
        <w:spacing w:before="0" w:line="240" w:lineRule="auto"/>
        <w:ind w:left="720"/>
        <w:jc w:val="both"/>
        <w:rPr>
          <w:sz w:val="24"/>
          <w:szCs w:val="24"/>
        </w:rPr>
      </w:pPr>
    </w:p>
    <w:p w14:paraId="05AE8BEC" w14:textId="77777777" w:rsidR="00BB534D" w:rsidRDefault="00BB534D">
      <w:pPr>
        <w:spacing w:before="0" w:line="240" w:lineRule="auto"/>
        <w:jc w:val="both"/>
        <w:rPr>
          <w:sz w:val="24"/>
          <w:szCs w:val="24"/>
          <w:shd w:val="clear" w:color="auto" w:fill="FEFEFE"/>
        </w:rPr>
      </w:pPr>
    </w:p>
    <w:p w14:paraId="05AE8BED" w14:textId="77777777" w:rsidR="00BB534D" w:rsidRDefault="00B842B1">
      <w:pPr>
        <w:spacing w:before="0" w:line="240" w:lineRule="auto"/>
        <w:jc w:val="both"/>
        <w:rPr>
          <w:color w:val="4A86E8"/>
          <w:sz w:val="24"/>
          <w:szCs w:val="24"/>
          <w:shd w:val="clear" w:color="auto" w:fill="FEFEFE"/>
        </w:rPr>
      </w:pPr>
      <w:r>
        <w:rPr>
          <w:color w:val="4A86E8"/>
          <w:sz w:val="24"/>
          <w:szCs w:val="24"/>
          <w:shd w:val="clear" w:color="auto" w:fill="FEFEFE"/>
        </w:rPr>
        <w:t>Movilidad y transporte sostenible</w:t>
      </w:r>
    </w:p>
    <w:p w14:paraId="05AE8BEE" w14:textId="77777777" w:rsidR="00BB534D" w:rsidRDefault="00B842B1">
      <w:pPr>
        <w:numPr>
          <w:ilvl w:val="0"/>
          <w:numId w:val="22"/>
        </w:numPr>
        <w:spacing w:before="0" w:line="240" w:lineRule="auto"/>
        <w:jc w:val="both"/>
        <w:rPr>
          <w:sz w:val="24"/>
          <w:szCs w:val="24"/>
        </w:rPr>
      </w:pPr>
      <w:r>
        <w:rPr>
          <w:sz w:val="24"/>
          <w:szCs w:val="24"/>
        </w:rPr>
        <w:t>Modernizar el sistema de transporte público, a la vez que se garantiza su accesibilidad para todas las personas e implementar medidas postergadas como la sectorización, mejoramiento de infraestructura vial que contemple otras formas no motorizadas de movilidad y acabar con la dependencia estatal en los ingresos fiscales provenientes de combustibles fósiles</w:t>
      </w:r>
    </w:p>
    <w:p w14:paraId="05AE8BEF" w14:textId="77777777" w:rsidR="00BB534D" w:rsidRDefault="00BB534D">
      <w:pPr>
        <w:spacing w:before="0" w:line="240" w:lineRule="auto"/>
        <w:ind w:left="720"/>
        <w:jc w:val="both"/>
        <w:rPr>
          <w:sz w:val="24"/>
          <w:szCs w:val="24"/>
          <w:highlight w:val="cyan"/>
        </w:rPr>
      </w:pPr>
    </w:p>
    <w:p w14:paraId="05AE8BF0" w14:textId="77777777" w:rsidR="00BB534D" w:rsidRDefault="00B842B1">
      <w:pPr>
        <w:spacing w:before="0" w:line="240" w:lineRule="auto"/>
        <w:jc w:val="both"/>
        <w:rPr>
          <w:color w:val="4A86E8"/>
          <w:sz w:val="24"/>
          <w:szCs w:val="24"/>
        </w:rPr>
      </w:pPr>
      <w:r>
        <w:rPr>
          <w:color w:val="4A86E8"/>
          <w:sz w:val="24"/>
          <w:szCs w:val="24"/>
        </w:rPr>
        <w:t>Sector agropecuario y cambio del uso de la tierra</w:t>
      </w:r>
    </w:p>
    <w:p w14:paraId="05AE8BF1" w14:textId="77777777" w:rsidR="00BB534D" w:rsidRDefault="00B842B1">
      <w:pPr>
        <w:numPr>
          <w:ilvl w:val="0"/>
          <w:numId w:val="23"/>
        </w:numPr>
        <w:spacing w:before="0" w:line="240" w:lineRule="auto"/>
        <w:jc w:val="both"/>
        <w:rPr>
          <w:sz w:val="24"/>
          <w:szCs w:val="24"/>
        </w:rPr>
      </w:pPr>
      <w:r>
        <w:rPr>
          <w:sz w:val="24"/>
          <w:szCs w:val="24"/>
        </w:rPr>
        <w:t>Atender la carencia crónica de planes reguladores en los distintos cantones del país la cual se traduce en una amplia desprotección de los elementos de la biodiversidad e incluso en la discrecionalidad e inseguridad jurídica en las distintas actividades que se desarrollan en un territorio</w:t>
      </w:r>
      <w:r>
        <w:rPr>
          <w:sz w:val="24"/>
          <w:szCs w:val="24"/>
          <w:vertAlign w:val="superscript"/>
        </w:rPr>
        <w:footnoteReference w:id="93"/>
      </w:r>
      <w:r>
        <w:rPr>
          <w:sz w:val="24"/>
          <w:szCs w:val="24"/>
        </w:rPr>
        <w:t xml:space="preserve">. </w:t>
      </w:r>
    </w:p>
    <w:p w14:paraId="05AE8BF2" w14:textId="77777777" w:rsidR="00BB534D" w:rsidRDefault="00B842B1">
      <w:pPr>
        <w:numPr>
          <w:ilvl w:val="0"/>
          <w:numId w:val="23"/>
        </w:numPr>
        <w:spacing w:before="0" w:line="240" w:lineRule="auto"/>
        <w:jc w:val="both"/>
        <w:rPr>
          <w:sz w:val="24"/>
          <w:szCs w:val="24"/>
        </w:rPr>
      </w:pPr>
      <w:r>
        <w:rPr>
          <w:sz w:val="24"/>
          <w:szCs w:val="24"/>
        </w:rPr>
        <w:t>Aprovechar y estimular la transformación industrial de la biomasa para generar actividades productivas y comerciales, desarrollo de nuevos productos (construcción, moda, mobiliarios).</w:t>
      </w:r>
    </w:p>
    <w:p w14:paraId="05AE8BF3" w14:textId="77777777" w:rsidR="00BB534D" w:rsidRDefault="00BB534D">
      <w:pPr>
        <w:spacing w:before="0" w:line="240" w:lineRule="auto"/>
        <w:jc w:val="both"/>
        <w:rPr>
          <w:sz w:val="24"/>
          <w:szCs w:val="24"/>
        </w:rPr>
      </w:pPr>
    </w:p>
    <w:p w14:paraId="05AE8BF4" w14:textId="77777777" w:rsidR="00BB534D" w:rsidRDefault="00B842B1">
      <w:pPr>
        <w:spacing w:before="0" w:line="240" w:lineRule="auto"/>
        <w:jc w:val="both"/>
        <w:rPr>
          <w:sz w:val="24"/>
          <w:szCs w:val="24"/>
        </w:rPr>
      </w:pPr>
      <w:r>
        <w:rPr>
          <w:sz w:val="24"/>
          <w:szCs w:val="24"/>
        </w:rPr>
        <w:t xml:space="preserve">El país cuenta con una sólida plataforma normativa y de políticas y con cada vez mayores compromisos ambientales, sin embargo, el estado tiene insuficiente capacidad de cumplimiento lo cual reduce sus impactos positivos. </w:t>
      </w:r>
    </w:p>
    <w:p w14:paraId="05AE8BF5" w14:textId="77777777" w:rsidR="00BB534D" w:rsidRDefault="00BB534D">
      <w:pPr>
        <w:spacing w:before="0" w:line="240" w:lineRule="auto"/>
        <w:jc w:val="both"/>
        <w:rPr>
          <w:sz w:val="24"/>
          <w:szCs w:val="24"/>
        </w:rPr>
      </w:pPr>
    </w:p>
    <w:p w14:paraId="05AE8BF6" w14:textId="77777777" w:rsidR="00BB534D" w:rsidRDefault="00B842B1">
      <w:pPr>
        <w:spacing w:before="0" w:line="240" w:lineRule="auto"/>
        <w:jc w:val="both"/>
        <w:rPr>
          <w:sz w:val="24"/>
          <w:szCs w:val="24"/>
        </w:rPr>
      </w:pPr>
      <w:r>
        <w:rPr>
          <w:sz w:val="24"/>
          <w:szCs w:val="24"/>
        </w:rPr>
        <w:t xml:space="preserve">La sostenibilidad ambiental amerita mayores esfuerzos financieros y compromisos políticos. La creación de capacidades y el rediseño de la institucionalidad ambiental y productiva son claves para la descarbonización, la conservación y funcionalidad de los ecosistemas y la conservación de los ecosistemas y la biodiversidad a largo plazo. La evidente desarticulación entre políticas y acciones estatales, y la existencia de normas contradictorias o de incentivos perversos, ameritan la urgente atención de las y los tomadores de decisión. </w:t>
      </w:r>
    </w:p>
    <w:p w14:paraId="05AE8BF7" w14:textId="77777777" w:rsidR="00BB534D" w:rsidRDefault="00BB534D">
      <w:pPr>
        <w:spacing w:before="0" w:line="240" w:lineRule="auto"/>
        <w:jc w:val="both"/>
        <w:rPr>
          <w:sz w:val="24"/>
          <w:szCs w:val="24"/>
        </w:rPr>
      </w:pPr>
    </w:p>
    <w:p w14:paraId="05AE8BF8" w14:textId="77777777" w:rsidR="00BB534D" w:rsidRDefault="00B842B1">
      <w:pPr>
        <w:spacing w:before="0" w:line="240" w:lineRule="auto"/>
        <w:jc w:val="both"/>
        <w:rPr>
          <w:sz w:val="24"/>
          <w:szCs w:val="24"/>
        </w:rPr>
      </w:pPr>
      <w:r>
        <w:rPr>
          <w:sz w:val="24"/>
          <w:szCs w:val="24"/>
        </w:rPr>
        <w:t>La temática ambiental sigue exacerbando conflictos sociales los cuales atentan contra los derechos humanos. Los conflictos suceden principalmente por disputas de la tierra, pero también por gestión inadecuada de recursos naturales. En las costas y mares, el desarrollo turístico y la mala gestión de humedales acelera la conflictividad, ya fuera porque limitan el acceso a los recursos, o por el comprobado o percibido agotamiento de estos. Las poblaciones más afectadas por estos conflictos son las que se encuentran en situación de vulnerabilidad, como las mujeres, las personas con discapacidad, personas indígenas, personas afrodescendientes, personas mayores y LGBTIQ, entre otras. Por esta razón se han de actualizar protocolos y procedimientos de consulta y transformación de conflictos.</w:t>
      </w:r>
    </w:p>
    <w:p w14:paraId="05AE8BF9" w14:textId="77777777" w:rsidR="00BB534D" w:rsidRDefault="00BB534D">
      <w:pPr>
        <w:spacing w:before="0" w:line="240" w:lineRule="auto"/>
        <w:jc w:val="both"/>
        <w:rPr>
          <w:sz w:val="24"/>
          <w:szCs w:val="24"/>
        </w:rPr>
      </w:pPr>
    </w:p>
    <w:p w14:paraId="05AE8BFA" w14:textId="77777777" w:rsidR="00BB534D" w:rsidRDefault="00B842B1">
      <w:pPr>
        <w:spacing w:before="0" w:line="240" w:lineRule="auto"/>
        <w:jc w:val="both"/>
        <w:rPr>
          <w:sz w:val="24"/>
          <w:szCs w:val="24"/>
        </w:rPr>
      </w:pPr>
      <w:r>
        <w:rPr>
          <w:sz w:val="24"/>
          <w:szCs w:val="24"/>
        </w:rPr>
        <w:t xml:space="preserve">Existe un robusto desarrollo de políticas y normas conducentes a acciones a nivel territorial por la conservación de la biodiversidad y ecosistemas, así como para adaptar y mitigar los efectos del cambio climático. No obstante, sigue siendo menor la acción de la conservación o aprovechamiento sostenible de recursos marinos y costeros. Reforzar la acción estatal y protección social en las costas es impostergable. </w:t>
      </w:r>
    </w:p>
    <w:p w14:paraId="05AE8BFB" w14:textId="77777777" w:rsidR="00BB534D" w:rsidRDefault="00BB534D">
      <w:pPr>
        <w:spacing w:before="0" w:line="240" w:lineRule="auto"/>
        <w:jc w:val="both"/>
        <w:rPr>
          <w:sz w:val="24"/>
          <w:szCs w:val="24"/>
        </w:rPr>
      </w:pPr>
    </w:p>
    <w:p w14:paraId="05AE8BFC" w14:textId="77777777" w:rsidR="00BB534D" w:rsidRDefault="00B842B1">
      <w:pPr>
        <w:spacing w:before="0" w:line="240" w:lineRule="auto"/>
        <w:jc w:val="both"/>
        <w:rPr>
          <w:sz w:val="24"/>
          <w:szCs w:val="24"/>
        </w:rPr>
      </w:pPr>
      <w:r>
        <w:rPr>
          <w:sz w:val="24"/>
          <w:szCs w:val="24"/>
        </w:rPr>
        <w:t>El país requiere de una estrategia de empoderamiento climático que permita armonizar la implementación de la acción ambiental con otros temas, como lo son la educación para el desarrollo sostenible, la fiscalidad verde, o la empleabilidad verde de mujeres, juventudes y poblaciones vulnerables. Esto amerita un abordaje interdisciplinario que consolide acciones con mayor congruencia y articulación entre instituciones, la sociedad civil y el sector privado.</w:t>
      </w:r>
      <w:r>
        <w:rPr>
          <w:sz w:val="24"/>
          <w:szCs w:val="24"/>
          <w:vertAlign w:val="superscript"/>
        </w:rPr>
        <w:footnoteReference w:id="94"/>
      </w:r>
      <w:r>
        <w:rPr>
          <w:sz w:val="24"/>
          <w:szCs w:val="24"/>
        </w:rPr>
        <w:t xml:space="preserve"> En esta materia resulta fundamental acelerar los esfuerzos de inclusión e implementación del enfoque de Educación para el Desarrollo Sostenible en la oferta curricular del MEP.</w:t>
      </w:r>
    </w:p>
    <w:p w14:paraId="05AE8BFD" w14:textId="77777777" w:rsidR="00BB534D" w:rsidRDefault="00BB534D">
      <w:pPr>
        <w:spacing w:before="0" w:line="240" w:lineRule="auto"/>
        <w:jc w:val="both"/>
        <w:rPr>
          <w:sz w:val="24"/>
          <w:szCs w:val="24"/>
        </w:rPr>
      </w:pPr>
    </w:p>
    <w:p w14:paraId="05AE8BFE" w14:textId="77777777" w:rsidR="00BB534D" w:rsidRDefault="00B842B1">
      <w:pPr>
        <w:spacing w:before="0" w:line="240" w:lineRule="auto"/>
        <w:jc w:val="both"/>
        <w:rPr>
          <w:sz w:val="24"/>
          <w:szCs w:val="24"/>
        </w:rPr>
      </w:pPr>
      <w:r>
        <w:rPr>
          <w:sz w:val="24"/>
          <w:szCs w:val="24"/>
        </w:rPr>
        <w:t xml:space="preserve">Fortalecer los mecanismos de participación ciudadana en la toma de decisiones sobre acciones con impacto ambiental o sobre estrategias ambientales aún debe fortalecerse sigue siendo un reto para el país. El Acuerdo de Escazú será clave para facilitar este tipo de espacios participativos. Las instituciones públicas, y los procesos de gobernanza climática o ambiental deben prever estos cambios requeridos e iniciar los respectivos ajustes para cumplir con los estándares del derecho a la participación de la ciudadanía sin dejar a nadie atrás. Los asesinatos de </w:t>
      </w:r>
      <w:proofErr w:type="spellStart"/>
      <w:r>
        <w:rPr>
          <w:sz w:val="24"/>
          <w:szCs w:val="24"/>
        </w:rPr>
        <w:t>Jhery</w:t>
      </w:r>
      <w:proofErr w:type="spellEnd"/>
      <w:r>
        <w:rPr>
          <w:sz w:val="24"/>
          <w:szCs w:val="24"/>
        </w:rPr>
        <w:t xml:space="preserve"> Rivera indígena térraba por disputa de tierras en Térraba de Buenos Aires; así como el del líder indígena bribri Sergio Rojas demuestran la necesidad de contar con un mecanismo de protección de defensores de derechos indígenas o de derechos humanos en el país.</w:t>
      </w:r>
    </w:p>
    <w:p w14:paraId="05AE8BFF" w14:textId="77777777" w:rsidR="00BB534D" w:rsidRDefault="00BB534D">
      <w:pPr>
        <w:spacing w:before="0" w:line="240" w:lineRule="auto"/>
        <w:rPr>
          <w:sz w:val="24"/>
          <w:szCs w:val="24"/>
          <w:highlight w:val="white"/>
        </w:rPr>
      </w:pPr>
    </w:p>
    <w:p w14:paraId="05AE8C00" w14:textId="77777777" w:rsidR="00BB534D" w:rsidRDefault="00B842B1">
      <w:pPr>
        <w:spacing w:before="0" w:line="240" w:lineRule="auto"/>
        <w:jc w:val="both"/>
        <w:rPr>
          <w:sz w:val="24"/>
          <w:szCs w:val="24"/>
        </w:rPr>
      </w:pPr>
      <w:r>
        <w:rPr>
          <w:sz w:val="24"/>
          <w:szCs w:val="24"/>
        </w:rPr>
        <w:t>Los procesos de diálogo nacional sobre reactivación económica post-covid19, representan una oportunidad para que el país fortalezca la articulación entre acción climática, conservación de la biodiversidad, aprovechamiento sostenible de recursos naturales y regeneración. Se recomienda mantener abiertos los procesos de participación de poblaciones vulnerables y abordar consultas con perspectiva de género y con enfoque de derechos humanos, para que las líneas de acción propuestas permitan avanzar la Agenda 2030.</w:t>
      </w:r>
    </w:p>
    <w:p w14:paraId="05AE8C01" w14:textId="77777777" w:rsidR="00BB534D" w:rsidRDefault="00BB534D">
      <w:pPr>
        <w:spacing w:before="0" w:line="240" w:lineRule="auto"/>
        <w:jc w:val="both"/>
        <w:rPr>
          <w:sz w:val="24"/>
          <w:szCs w:val="24"/>
        </w:rPr>
      </w:pPr>
    </w:p>
    <w:p w14:paraId="05AE8C02" w14:textId="77777777" w:rsidR="00BB534D" w:rsidRDefault="00B842B1">
      <w:pPr>
        <w:spacing w:before="0" w:line="240" w:lineRule="auto"/>
        <w:jc w:val="both"/>
        <w:rPr>
          <w:sz w:val="24"/>
          <w:szCs w:val="24"/>
        </w:rPr>
      </w:pPr>
      <w:r>
        <w:rPr>
          <w:sz w:val="24"/>
          <w:szCs w:val="24"/>
        </w:rPr>
        <w:t>Una barrera para la gestión sostenible es la forma actual en que se financia la acción estatal para el ambiente y temas sociales. Una forma de generar nuevos ingresos fiscales es incorporando el principio de “</w:t>
      </w:r>
      <w:r>
        <w:rPr>
          <w:i/>
          <w:sz w:val="24"/>
          <w:szCs w:val="24"/>
        </w:rPr>
        <w:t>quien contamina paga</w:t>
      </w:r>
      <w:r>
        <w:rPr>
          <w:sz w:val="24"/>
          <w:szCs w:val="24"/>
        </w:rPr>
        <w:t>” en la política fiscal y estimado el costo de las externalidades ambientales negativas. Los costos de la degradación ambiental han de ser visibles para las y los decisores políticos. También es importante alinear y demostrar vínculo entre objetivos de reactivación económica y generación de empleo con acciones de restauración de ecosistemas, conservación de la biodiversidad y la descarbonización para alinear acción de actores económicos con el sector público.</w:t>
      </w:r>
    </w:p>
    <w:p w14:paraId="05AE8C03" w14:textId="77777777" w:rsidR="00BB534D" w:rsidRDefault="00BB534D">
      <w:pPr>
        <w:spacing w:before="0" w:line="240" w:lineRule="auto"/>
        <w:jc w:val="both"/>
        <w:rPr>
          <w:sz w:val="24"/>
          <w:szCs w:val="24"/>
        </w:rPr>
      </w:pPr>
    </w:p>
    <w:p w14:paraId="05AE8C04" w14:textId="77777777" w:rsidR="00BB534D" w:rsidRDefault="00B842B1">
      <w:pPr>
        <w:spacing w:before="0" w:line="240" w:lineRule="auto"/>
        <w:jc w:val="both"/>
        <w:rPr>
          <w:sz w:val="24"/>
          <w:szCs w:val="24"/>
        </w:rPr>
      </w:pPr>
      <w:r>
        <w:rPr>
          <w:sz w:val="24"/>
          <w:szCs w:val="24"/>
        </w:rPr>
        <w:t>Finalmente, la principal conclusión del apartado de ambiente y cambio climático es que los esfuerzos de los sectores público privado y sociedad civil son indispensables para ayudar a Costa Rica a transitar hacia una economía verde y azul, inclusiva, en igualdad de género, en un marco de respeto a los derechos humanos y sin dejar a nadie atrás. Sólo así no socavaremos la base natural en las que yace la economía y sociedad costarricenses. Podemos tener naturaleza sin sociedad, pero nunca, sociedad sin naturaleza.</w:t>
      </w:r>
    </w:p>
    <w:p w14:paraId="05AE8C05" w14:textId="77777777" w:rsidR="00BB534D" w:rsidRDefault="00B842B1">
      <w:pPr>
        <w:spacing w:before="0" w:line="240" w:lineRule="auto"/>
        <w:jc w:val="both"/>
        <w:rPr>
          <w:b/>
          <w:color w:val="039BE5"/>
          <w:sz w:val="24"/>
          <w:szCs w:val="24"/>
        </w:rPr>
      </w:pPr>
      <w:r>
        <w:rPr>
          <w:b/>
          <w:color w:val="039BE5"/>
          <w:sz w:val="24"/>
          <w:szCs w:val="24"/>
        </w:rPr>
        <w:t xml:space="preserve">Capítulo IV: Gobernanza y capacidad institucional </w:t>
      </w:r>
    </w:p>
    <w:p w14:paraId="05AE8C06" w14:textId="77777777" w:rsidR="00BB534D" w:rsidRDefault="00BB534D">
      <w:pPr>
        <w:spacing w:before="0" w:line="240" w:lineRule="auto"/>
        <w:jc w:val="both"/>
        <w:rPr>
          <w:sz w:val="24"/>
          <w:szCs w:val="24"/>
        </w:rPr>
      </w:pPr>
    </w:p>
    <w:p w14:paraId="05AE8C07" w14:textId="77777777" w:rsidR="00BB534D" w:rsidRDefault="00B842B1">
      <w:pPr>
        <w:spacing w:before="0" w:after="160" w:line="240" w:lineRule="auto"/>
        <w:jc w:val="both"/>
        <w:rPr>
          <w:sz w:val="24"/>
          <w:szCs w:val="24"/>
        </w:rPr>
      </w:pPr>
      <w:r>
        <w:rPr>
          <w:sz w:val="24"/>
          <w:szCs w:val="24"/>
        </w:rPr>
        <w:t>La gobernanza busca mecanismos amplios, participativos e inclusivos para la toma de decisiones en los que se involucren y consideren a todos los actores de la sociedad.  Costa Rica tiene una institucionalidad y cultura democrática sólida, de larga tradición, que resulta en una importante confianza y afiliación a la democracia. Sin embargo, el sistema político costarricense enfrenta grandes debilidades para identificar y dar respuesta a los problemas y aspiraciones de una sociedad crecientemente desigual, cuya diversidad es cada vez más manifiesta. El abordaje coyuntural del conflicto, sin mecanismos permanentes de diálogo ni espacios de participación significativa de las personas en la toma de decisiones fuera del sufragio, constituye una limitación de la gobernanza. Las decisiones de política pública se muestran lejanas para las personas, a menudo tomados con desproporcionada influencia de algunos grupos y sectores, y el desempeño institucional no satisface las expectativas de la mayor parte de la ciudadanía en materia de superación de la pobreza, disminución de la desigualdad, generación de oportunidades, respeto y garantía de los derechos humanos de todas las personas, acceso a la justicia, seguridad ciudadana, y un sistema de gobernanza eficaz para el logro de la Agenda 2030, entre muchos temas relevantes.</w:t>
      </w:r>
    </w:p>
    <w:p w14:paraId="05AE8C08" w14:textId="77777777" w:rsidR="00BB534D" w:rsidRDefault="00B842B1">
      <w:pPr>
        <w:pStyle w:val="Heading2"/>
        <w:spacing w:before="360" w:after="120" w:line="240" w:lineRule="auto"/>
        <w:rPr>
          <w:color w:val="4A86E8"/>
          <w:sz w:val="24"/>
          <w:szCs w:val="24"/>
        </w:rPr>
      </w:pPr>
      <w:bookmarkStart w:id="9" w:name="_gjdgxs" w:colFirst="0" w:colLast="0"/>
      <w:bookmarkEnd w:id="9"/>
      <w:r>
        <w:rPr>
          <w:color w:val="4A86E8"/>
          <w:sz w:val="24"/>
          <w:szCs w:val="24"/>
        </w:rPr>
        <w:t xml:space="preserve">4.1. Desafíos de la democracia </w:t>
      </w:r>
    </w:p>
    <w:p w14:paraId="05AE8C09" w14:textId="77777777" w:rsidR="00BB534D" w:rsidRDefault="00B842B1">
      <w:pPr>
        <w:spacing w:before="0" w:after="160" w:line="240" w:lineRule="auto"/>
        <w:jc w:val="both"/>
        <w:rPr>
          <w:sz w:val="24"/>
          <w:szCs w:val="24"/>
        </w:rPr>
      </w:pPr>
      <w:r>
        <w:rPr>
          <w:sz w:val="24"/>
          <w:szCs w:val="24"/>
        </w:rPr>
        <w:t>Costa Rica mantiene un régimen democrático estable que preserva su solidez, con importante respaldo popular</w:t>
      </w:r>
      <w:r>
        <w:rPr>
          <w:sz w:val="24"/>
          <w:szCs w:val="24"/>
          <w:vertAlign w:val="superscript"/>
        </w:rPr>
        <w:footnoteReference w:id="95"/>
      </w:r>
      <w:r>
        <w:rPr>
          <w:sz w:val="24"/>
          <w:szCs w:val="24"/>
        </w:rPr>
        <w:t>, pero que enfrenta importantes desafíos y riesgos. Estos tienen que ver con la credibilidad, eficiencia y efectividad de sus instituciones, la credibilidad de los mecanismos de representación y la debilidad e, incluso, ausencia de espacios formales para la participación ciudadana, más allá de las elecciones.</w:t>
      </w:r>
      <w:r>
        <w:rPr>
          <w:sz w:val="24"/>
          <w:szCs w:val="24"/>
          <w:vertAlign w:val="superscript"/>
        </w:rPr>
        <w:footnoteReference w:id="96"/>
      </w:r>
    </w:p>
    <w:p w14:paraId="05AE8C0A" w14:textId="77777777" w:rsidR="00BB534D" w:rsidRDefault="00B842B1">
      <w:pPr>
        <w:spacing w:before="0" w:after="160" w:line="240" w:lineRule="auto"/>
        <w:jc w:val="both"/>
        <w:rPr>
          <w:sz w:val="24"/>
          <w:szCs w:val="24"/>
        </w:rPr>
      </w:pPr>
      <w:r>
        <w:rPr>
          <w:sz w:val="24"/>
          <w:szCs w:val="24"/>
        </w:rPr>
        <w:t xml:space="preserve">En estas circunstancias, la reducción del ejercicio democrático al voto, a falta de mayores espacios formales de deliberación colectiva, limita las posibilidades de influencia de las personas en la toma de decisiones. El deterioro del rol de los partidos políticos como instrumentos de agregación de agendas e intereses y como movilizadores de las expectativas y aspiraciones de la ciudadanía, ha producido un debilitamiento del sistema representativo y una búsqueda de alternativas no formales de incidencia y participación.  </w:t>
      </w:r>
    </w:p>
    <w:p w14:paraId="05AE8C0B" w14:textId="77777777" w:rsidR="00BB534D" w:rsidRDefault="00B842B1">
      <w:pPr>
        <w:spacing w:before="0" w:after="160" w:line="240" w:lineRule="auto"/>
        <w:jc w:val="both"/>
        <w:rPr>
          <w:sz w:val="24"/>
          <w:szCs w:val="24"/>
        </w:rPr>
      </w:pPr>
      <w:r>
        <w:rPr>
          <w:sz w:val="24"/>
          <w:szCs w:val="24"/>
        </w:rPr>
        <w:t xml:space="preserve">Esto ha conducido a la exigencia de nuevas formas de construcción de acuerdos, pero sin que se haya traducido en la instalación de mecanismos específicos. Debe mencionarse la reciente instalación del Consejo Consultivo Económico y Social, que podría significar una oportunidad para el diálogo intersectorial, pero está por verse su efectividad y sostenibilidad. </w:t>
      </w:r>
    </w:p>
    <w:p w14:paraId="05AE8C0C" w14:textId="77777777" w:rsidR="00BB534D" w:rsidRDefault="00B842B1">
      <w:pPr>
        <w:spacing w:before="0" w:after="160" w:line="240" w:lineRule="auto"/>
        <w:jc w:val="both"/>
        <w:rPr>
          <w:sz w:val="24"/>
          <w:szCs w:val="24"/>
        </w:rPr>
      </w:pPr>
      <w:r>
        <w:rPr>
          <w:sz w:val="24"/>
          <w:szCs w:val="24"/>
        </w:rPr>
        <w:t xml:space="preserve">Hay que reconocer </w:t>
      </w:r>
      <w:proofErr w:type="gramStart"/>
      <w:r>
        <w:rPr>
          <w:sz w:val="24"/>
          <w:szCs w:val="24"/>
        </w:rPr>
        <w:t>que</w:t>
      </w:r>
      <w:proofErr w:type="gramEnd"/>
      <w:r>
        <w:rPr>
          <w:sz w:val="24"/>
          <w:szCs w:val="24"/>
        </w:rPr>
        <w:t xml:space="preserve"> en las últimas décadas, los espacios de diálogo resultan mayoritariamente de coyunturas críticas y la activación de mecanismos de presión, y no de un ejercicio regular y programado de cercanía a la ciudadanía.  Esos diálogos suelen convocar a actores que representan más intereses corporativos que las demandas colectivas o mayoritarias de la sociedad. </w:t>
      </w:r>
    </w:p>
    <w:p w14:paraId="05AE8C0D" w14:textId="77777777" w:rsidR="00BB534D" w:rsidRDefault="00B842B1">
      <w:pPr>
        <w:spacing w:before="0" w:after="160" w:line="240" w:lineRule="auto"/>
        <w:jc w:val="both"/>
        <w:rPr>
          <w:sz w:val="24"/>
          <w:szCs w:val="24"/>
        </w:rPr>
      </w:pPr>
      <w:r>
        <w:rPr>
          <w:sz w:val="24"/>
          <w:szCs w:val="24"/>
        </w:rPr>
        <w:t>Después de la grave crisis que sufrió el país en los años 80 del siglo XX, se produjo una transformación del modelo económico que tiene consecuencias importantes en la cohesión social y el sistema político costarricense. Dicho modelo se orientó hacia la diversificación de productos y servicios y la liberalización comercial y financiera, lo que trajo importantes oportunidades de inserción a los mercados internacionales y una mejora del desempeño económico respecto a los años anteriores</w:t>
      </w:r>
      <w:r>
        <w:rPr>
          <w:sz w:val="24"/>
          <w:szCs w:val="24"/>
          <w:vertAlign w:val="superscript"/>
        </w:rPr>
        <w:footnoteReference w:id="97"/>
      </w:r>
      <w:r>
        <w:rPr>
          <w:sz w:val="24"/>
          <w:szCs w:val="24"/>
        </w:rPr>
        <w:t>. Sin embargo, también resultó en la exclusión de importantes grupos de la población que no encontraron cabida en los sectores más dinámicos de la economía como el turismo, las finanzas y la alta tecnología.  Este contexto rompió el paradigma identitario tradicional de una sociedad igualitaria, para encontrarse en un escenario de creciente desigualdad y persistentes niveles de pobreza.</w:t>
      </w:r>
      <w:r>
        <w:rPr>
          <w:sz w:val="24"/>
          <w:szCs w:val="24"/>
          <w:vertAlign w:val="superscript"/>
        </w:rPr>
        <w:footnoteReference w:id="98"/>
      </w:r>
      <w:r>
        <w:rPr>
          <w:sz w:val="24"/>
          <w:szCs w:val="24"/>
        </w:rPr>
        <w:t xml:space="preserve"> A partir de este escenario, el comportamiento electoral y la afiliación partidaria han venido mostrando un cambio fundamental que derivó en el rompimiento del bipartidismo tradicional. </w:t>
      </w:r>
    </w:p>
    <w:p w14:paraId="05AE8C0E" w14:textId="77777777" w:rsidR="00BB534D" w:rsidRDefault="00B842B1">
      <w:pPr>
        <w:spacing w:before="0" w:after="160" w:line="240" w:lineRule="auto"/>
        <w:jc w:val="both"/>
        <w:rPr>
          <w:sz w:val="24"/>
          <w:szCs w:val="24"/>
        </w:rPr>
      </w:pPr>
      <w:r>
        <w:rPr>
          <w:sz w:val="24"/>
          <w:szCs w:val="24"/>
        </w:rPr>
        <w:t xml:space="preserve">Esta transformación irrumpió visiblemente en las elecciones de 2002, cuando por primera vez se recurrió a una segunda ronda electoral. En las elecciones de 2006, continuó un reacomodo de las fuerzas políticas, surgiendo otras relevantes que disputaron los lugares de los partidos tradicionales. Los cambios en la intención del votante que se identifican durante los procesos electorales responden cada vez menos a tradiciones y adhesiones partidarias o a posiciones ideológicas definidas, y cada vez más a un rechazo a opciones tradicionales y a motivaciones coyunturales o personales, lo cual va tejiendo el avance de un sistema multipartidista. </w:t>
      </w:r>
    </w:p>
    <w:p w14:paraId="05AE8C0F" w14:textId="77777777" w:rsidR="00BB534D" w:rsidRDefault="00B842B1">
      <w:pPr>
        <w:spacing w:before="0" w:after="160" w:line="240" w:lineRule="auto"/>
        <w:jc w:val="both"/>
        <w:rPr>
          <w:sz w:val="24"/>
          <w:szCs w:val="24"/>
        </w:rPr>
      </w:pPr>
      <w:r>
        <w:rPr>
          <w:sz w:val="24"/>
          <w:szCs w:val="24"/>
        </w:rPr>
        <w:t>La atomización del voto también ha tenido un correlato en la integración de la Asamblea Legislativa, altamente fragmentada, lo que supone mayores desafíos para la construcción de acuerdos políticos. Esta situación se ha venido profundizando por el transfuguismo político, cada vez más común, que genera un importante número de diputaciones independientes. No obstante, debe decirse también que la actual Asamblea ha sido notable por la capacidad de aprobar un alto número de legislación significativa, comparada con períodos anteriores, lo que lleva a reflexionar si el desafío es la diversidad o más bien las limitaciones objetivas y subjetivas para el diálogo y la construcción de acuerdos.</w:t>
      </w:r>
    </w:p>
    <w:p w14:paraId="05AE8C10" w14:textId="77777777" w:rsidR="00BB534D" w:rsidRDefault="00B842B1">
      <w:pPr>
        <w:spacing w:before="0" w:after="160" w:line="240" w:lineRule="auto"/>
        <w:jc w:val="both"/>
        <w:rPr>
          <w:sz w:val="24"/>
          <w:szCs w:val="24"/>
        </w:rPr>
      </w:pPr>
      <w:r>
        <w:rPr>
          <w:sz w:val="24"/>
          <w:szCs w:val="24"/>
        </w:rPr>
        <w:t>El multipartidismo, sin embargo, no debería interpretarse en todos los casos como una sustitución de las opciones tradicionales por otras nuevas que refrescan la oferta política en calidad y en capacidad de representación, pues comparten limitaciones similares, sin que se haya logrado constituir alternativas sólidas, con fuerte organización de base, que sirvan de vehículo para movilizar los intereses de las personas y las comunidades.</w:t>
      </w:r>
    </w:p>
    <w:p w14:paraId="05AE8C11" w14:textId="77777777" w:rsidR="00BB534D" w:rsidRDefault="00B842B1">
      <w:pPr>
        <w:spacing w:before="0" w:after="160" w:line="240" w:lineRule="auto"/>
        <w:jc w:val="both"/>
        <w:rPr>
          <w:sz w:val="24"/>
          <w:szCs w:val="24"/>
        </w:rPr>
      </w:pPr>
      <w:r>
        <w:rPr>
          <w:sz w:val="24"/>
          <w:szCs w:val="24"/>
        </w:rPr>
        <w:t xml:space="preserve">Persisten además retos de participación y representación de las mujeres y poblaciones específicas. En el caso de las mujeres si bien hay avances muy importantes, hay brechas significativas por superar. Si bien el derecho de las mujeres a elegir y ser elegidas en procesos electorales fue reconocido en la Constitución de 1949, lo cierto es que la exclusión ha persistido en el tiempo.  Fue hasta 1990 cuando se aprobó la Ley 7142 de Promoción de la Igualdad Social de la Mujer que creó un mecanismo de cuotas para que los partidos políticos incluyeran en sus estatutos mecanismos eficaces para asegurar la participación efectiva de las mujeres en los procesos de elección internos, en los órganos directivos del partido y en las papeletas electorales. En 2009 se aprobó la Ley 8765 sobre reforma integral al Código Electoral, que incorporó los principios de igualdad, no discriminación y paridad (50% de mujeres y 50% de hombres) en las estructuras partidarias y en las nóminas para los puestos de elección popular (estas últimas con alternancia por género), así como las definiciones referidas al uso de los recursos financieros destinados a capacitación. Este impulso normativo tuvo efectos positivos, más o menos regulares, en la elección de mujeres en la Asamblea Legislativa con un 35.1% en 2002; 38.6 en 2006 y 2010; 33.3% en 2014 y 45.6% en 2018. </w:t>
      </w:r>
    </w:p>
    <w:p w14:paraId="05AE8C12" w14:textId="77777777" w:rsidR="00BB534D" w:rsidRDefault="00B842B1">
      <w:pPr>
        <w:spacing w:before="0" w:after="160" w:line="240" w:lineRule="auto"/>
        <w:jc w:val="both"/>
        <w:rPr>
          <w:sz w:val="24"/>
          <w:szCs w:val="24"/>
        </w:rPr>
      </w:pPr>
      <w:r>
        <w:rPr>
          <w:sz w:val="24"/>
          <w:szCs w:val="24"/>
        </w:rPr>
        <w:t>Sin embargo, estos avances no tienen equivalencia en el ámbito local, donde las brechas para la participación política de las mujeres permanecen, especialmente por los límites en la aplicación de las normas de paridad para la elección de titulares de la alcaldía, que han producido que casi el 90% de los puestos sea ocupado por hombres, como se registró en la elección de 2020.</w:t>
      </w:r>
    </w:p>
    <w:p w14:paraId="05AE8C13" w14:textId="77777777" w:rsidR="00BB534D" w:rsidRDefault="00B842B1">
      <w:pPr>
        <w:spacing w:before="0" w:after="160" w:line="240" w:lineRule="auto"/>
        <w:jc w:val="both"/>
        <w:rPr>
          <w:sz w:val="24"/>
          <w:szCs w:val="24"/>
        </w:rPr>
      </w:pPr>
      <w:r>
        <w:rPr>
          <w:sz w:val="24"/>
          <w:szCs w:val="24"/>
        </w:rPr>
        <w:t>Además, en términos generales las mujeres enfrentan mayores desafíos para la participación política, entre ellos el acceso al financiamiento. Sin embargo, debe decirse que el mayor problema actual tiene que ver con la creciente violencia política contra las mujeres que se refleja en todos los niveles y espacios.</w:t>
      </w:r>
    </w:p>
    <w:p w14:paraId="05AE8C14" w14:textId="77777777" w:rsidR="00BB534D" w:rsidRDefault="00B842B1">
      <w:pPr>
        <w:pStyle w:val="Heading3"/>
        <w:spacing w:before="320" w:after="160" w:line="240" w:lineRule="auto"/>
        <w:jc w:val="both"/>
        <w:rPr>
          <w:i/>
          <w:color w:val="4A86E8"/>
        </w:rPr>
      </w:pPr>
      <w:bookmarkStart w:id="10" w:name="_4xwlcxlmpj08" w:colFirst="0" w:colLast="0"/>
      <w:bookmarkEnd w:id="10"/>
      <w:r>
        <w:rPr>
          <w:i/>
          <w:color w:val="4A86E8"/>
        </w:rPr>
        <w:t>Mirando hacia el futuro</w:t>
      </w:r>
    </w:p>
    <w:p w14:paraId="05AE8C15" w14:textId="77777777" w:rsidR="00BB534D" w:rsidRDefault="00B842B1">
      <w:pPr>
        <w:numPr>
          <w:ilvl w:val="0"/>
          <w:numId w:val="2"/>
        </w:numPr>
        <w:spacing w:before="0" w:line="240" w:lineRule="auto"/>
        <w:jc w:val="both"/>
        <w:rPr>
          <w:sz w:val="24"/>
          <w:szCs w:val="24"/>
        </w:rPr>
      </w:pPr>
      <w:r>
        <w:rPr>
          <w:sz w:val="24"/>
          <w:szCs w:val="24"/>
        </w:rPr>
        <w:t>En esta materia queda mucho por hacer para reconstituir vasos comunicantes con la ciudadanía y renovar el modelo de representación política. Es oportuno destacar el esfuerzo actual encaminado a poner en funcionamiento el Consejo Consultivo Económico y Social (CCES), que hace parte del Acuerdo Nacional por la Costa Rica del Bicentenario</w:t>
      </w:r>
      <w:r>
        <w:rPr>
          <w:sz w:val="24"/>
          <w:szCs w:val="24"/>
          <w:vertAlign w:val="superscript"/>
        </w:rPr>
        <w:footnoteReference w:id="99"/>
      </w:r>
      <w:r>
        <w:rPr>
          <w:sz w:val="24"/>
          <w:szCs w:val="24"/>
        </w:rPr>
        <w:t xml:space="preserve">, que podría constituir un aporte para mejorar el diálogo intersectorial y la construcción de acuerdos, aunque sería insuficiente si no se generan o activan mecanismos participativos adicionales en todos los niveles de decisión. </w:t>
      </w:r>
    </w:p>
    <w:p w14:paraId="05AE8C16" w14:textId="77777777" w:rsidR="00BB534D" w:rsidRDefault="00B842B1">
      <w:pPr>
        <w:numPr>
          <w:ilvl w:val="0"/>
          <w:numId w:val="2"/>
        </w:numPr>
        <w:spacing w:before="0" w:line="240" w:lineRule="auto"/>
        <w:jc w:val="both"/>
        <w:rPr>
          <w:sz w:val="24"/>
          <w:szCs w:val="24"/>
        </w:rPr>
      </w:pPr>
      <w:r>
        <w:rPr>
          <w:sz w:val="24"/>
          <w:szCs w:val="24"/>
        </w:rPr>
        <w:t xml:space="preserve">Es necesario impulsar la discusión sobre el sistema de representación, el rol y funcionamiento de los partidos políticos, a través de una mejor </w:t>
      </w:r>
      <w:proofErr w:type="spellStart"/>
      <w:r>
        <w:rPr>
          <w:sz w:val="24"/>
          <w:szCs w:val="24"/>
        </w:rPr>
        <w:t>visibilización</w:t>
      </w:r>
      <w:proofErr w:type="spellEnd"/>
      <w:r>
        <w:rPr>
          <w:sz w:val="24"/>
          <w:szCs w:val="24"/>
        </w:rPr>
        <w:t xml:space="preserve"> de las realidades territoriales, la creación de espacios y mecanismos que permitan mayor participación ciudadana y que garanticen mayor igualdad en la capacidad de influencia de las personas para la toma de decisiones, así como un diseño de la institucionalidad política que incentive acuerdos más duraderos y de largo plazo.</w:t>
      </w:r>
    </w:p>
    <w:p w14:paraId="05AE8C17" w14:textId="77777777" w:rsidR="00BB534D" w:rsidRDefault="00B842B1">
      <w:pPr>
        <w:numPr>
          <w:ilvl w:val="0"/>
          <w:numId w:val="2"/>
        </w:numPr>
        <w:spacing w:before="0" w:line="240" w:lineRule="auto"/>
        <w:jc w:val="both"/>
        <w:rPr>
          <w:sz w:val="24"/>
          <w:szCs w:val="24"/>
        </w:rPr>
      </w:pPr>
      <w:r>
        <w:rPr>
          <w:sz w:val="24"/>
          <w:szCs w:val="24"/>
        </w:rPr>
        <w:t>Se debe impulsar una estrategia para promover y facilitar una mayor participación y representación de mujeres en todos los niveles y espacios, incluyendo acceso al financiamiento y la prevención y desactivación de la violencia política.</w:t>
      </w:r>
    </w:p>
    <w:p w14:paraId="05AE8C18" w14:textId="77777777" w:rsidR="00BB534D" w:rsidRDefault="00B842B1">
      <w:pPr>
        <w:numPr>
          <w:ilvl w:val="0"/>
          <w:numId w:val="2"/>
        </w:numPr>
        <w:spacing w:before="0" w:line="240" w:lineRule="auto"/>
        <w:jc w:val="both"/>
        <w:rPr>
          <w:sz w:val="24"/>
          <w:szCs w:val="24"/>
        </w:rPr>
      </w:pPr>
      <w:r>
        <w:rPr>
          <w:sz w:val="24"/>
          <w:szCs w:val="24"/>
        </w:rPr>
        <w:t>Ampliar y fortalecer la implementación y evaluación de las políticas educativas de educación cívica y ciudadana para fortalecer el conocimiento sobre la institucionalidad y convivencia democrática, así como el desarrollo de habilidades para el pensamiento crítico, la participación política, el diálogo democrático y la construcción de acuerdos.</w:t>
      </w:r>
    </w:p>
    <w:p w14:paraId="05AE8C19" w14:textId="77777777" w:rsidR="00BB534D" w:rsidRDefault="00B842B1">
      <w:pPr>
        <w:pStyle w:val="Heading2"/>
        <w:spacing w:before="360" w:after="120" w:line="240" w:lineRule="auto"/>
        <w:rPr>
          <w:color w:val="4A86E8"/>
          <w:sz w:val="24"/>
          <w:szCs w:val="24"/>
        </w:rPr>
      </w:pPr>
      <w:r>
        <w:rPr>
          <w:color w:val="4A86E8"/>
          <w:sz w:val="24"/>
          <w:szCs w:val="24"/>
        </w:rPr>
        <w:t>4.2 Conflictividad social y construcción de acuerdos</w:t>
      </w:r>
    </w:p>
    <w:p w14:paraId="05AE8C1A" w14:textId="77777777" w:rsidR="00BB534D" w:rsidRDefault="00B842B1">
      <w:pPr>
        <w:spacing w:before="0" w:after="160" w:line="240" w:lineRule="auto"/>
        <w:jc w:val="both"/>
        <w:rPr>
          <w:sz w:val="24"/>
          <w:szCs w:val="24"/>
        </w:rPr>
      </w:pPr>
      <w:r>
        <w:rPr>
          <w:sz w:val="24"/>
          <w:szCs w:val="24"/>
        </w:rPr>
        <w:t>La fragmentación política y la polarización social, motivo de un desacuerdo sobre el modelo de desarrollo y el rol del Estado, se ha manifestado también en diversos episodios de conflictividad, algunos de los cuales han marcado hitos importantes, más allá de los procesos electorales. Incluso, este análisis aporta a la explicación del surgimiento o fortalecimiento de opciones políticas frente al bipartidismo.  Entre ellos, se destaca la reacción popular frente al avance del proyecto de Ley para el Mejoramiento de los Servicios Públicos de Electricidad y Telecomunicaciones y de la Participación del Estado, que se conoció popularmente como el Combo del ICE (1999) y, poco después, frente al proceso de negociación y aprobación del Tratado de Libre Comercio con Estados Unidos, República Dominicana y Centroamérica (TLC).  Si bien la vía institucional puso fin a los conflictos coyunturales, no se resolvió la división profunda en la sociedad costarricense sobre el proyecto de país. Ambos antecedentes son indispensables para comprender la conformación y motivación de fuerzas políticas y dinámicas de los movimientos sociales hasta hoy.</w:t>
      </w:r>
    </w:p>
    <w:p w14:paraId="05AE8C1B" w14:textId="77777777" w:rsidR="00BB534D" w:rsidRDefault="00B842B1">
      <w:pPr>
        <w:spacing w:before="0" w:after="160" w:line="240" w:lineRule="auto"/>
        <w:jc w:val="both"/>
        <w:rPr>
          <w:sz w:val="24"/>
          <w:szCs w:val="24"/>
        </w:rPr>
      </w:pPr>
      <w:r>
        <w:rPr>
          <w:sz w:val="24"/>
          <w:szCs w:val="24"/>
        </w:rPr>
        <w:t xml:space="preserve">Durante la Administración Chinchilla Miranda se produjeron manifestaciones como la oposición a la construcción de la carretera San José – San Ramón y, una huelga del magisterio que se prolongó durante las primeras semanas de la Administración Solís Rivera. Sin embargo, durante esta última se registra una disminución importante de la conflictividad social. </w:t>
      </w:r>
    </w:p>
    <w:p w14:paraId="05AE8C1C" w14:textId="77777777" w:rsidR="00BB534D" w:rsidRDefault="00B842B1">
      <w:pPr>
        <w:spacing w:before="0" w:after="160" w:line="240" w:lineRule="auto"/>
        <w:jc w:val="both"/>
        <w:rPr>
          <w:sz w:val="24"/>
          <w:szCs w:val="24"/>
        </w:rPr>
      </w:pPr>
      <w:r>
        <w:rPr>
          <w:sz w:val="24"/>
          <w:szCs w:val="24"/>
        </w:rPr>
        <w:t xml:space="preserve">La Administración Alvarado Quesada llegó al poder después de un proceso electoral complejo, en el que las características mencionadas de volatilidad y polarización aumentaron de manera importante, motivadas esta vez por la Opinión Consultiva (OC-24) sobre identidad de género, igualdad y no discriminación a parejas del mismo sexo, solicitada por Costa Rica a la Corte Interamericana de Derechos Humanos (CIDH) y conocida en enero de 2018. </w:t>
      </w:r>
    </w:p>
    <w:p w14:paraId="05AE8C1D" w14:textId="77777777" w:rsidR="00BB534D" w:rsidRDefault="00B842B1">
      <w:pPr>
        <w:spacing w:before="0" w:after="160" w:line="240" w:lineRule="auto"/>
        <w:jc w:val="both"/>
        <w:rPr>
          <w:sz w:val="24"/>
          <w:szCs w:val="24"/>
        </w:rPr>
      </w:pPr>
      <w:r>
        <w:rPr>
          <w:sz w:val="24"/>
          <w:szCs w:val="24"/>
        </w:rPr>
        <w:t>Se requirió de una segunda ronda electoral después de que en la primera ningún candidato obtuviera el porcentaje mínimo de 40%.  El presidente Alvarado alcanzó la presidencia con más de un 60% de la votación, pero su punto de partida rondaba el 20% de los votos de primera ronda. Además, este proceso electoral dejó una Asamblea Legislativa fragmentada con tan solo 10 diputaciones de la fracción del partido de gobierno. En síntesis, un contundente triunfo electoral en segunda ronda, pero débil mandato político, con una fracción minoritaria en la Asamblea.</w:t>
      </w:r>
    </w:p>
    <w:p w14:paraId="05AE8C1E" w14:textId="77777777" w:rsidR="00BB534D" w:rsidRDefault="00B842B1">
      <w:pPr>
        <w:spacing w:before="0" w:after="160" w:line="240" w:lineRule="auto"/>
        <w:jc w:val="both"/>
        <w:rPr>
          <w:sz w:val="24"/>
          <w:szCs w:val="24"/>
        </w:rPr>
      </w:pPr>
      <w:r>
        <w:rPr>
          <w:sz w:val="24"/>
          <w:szCs w:val="24"/>
        </w:rPr>
        <w:t xml:space="preserve">Esto otorgó al actual presidente un margen de maniobra estrecho al inicio de su administración, que lo obligó a construir de inmediato alianzas legislativas, especialmente para avanzar en la discusión de la Ley de Fortalecimiento de las Finanzas Públicas, que despertó amplias manifestaciones en contra, con decidida oposición sindical, que se extendieron desde septiembre a principios de diciembre de 2018, afectando gravemente la movilidad, el comercio y el sistema educativo.  </w:t>
      </w:r>
    </w:p>
    <w:p w14:paraId="05AE8C1F" w14:textId="77777777" w:rsidR="00BB534D" w:rsidRDefault="00B842B1">
      <w:pPr>
        <w:spacing w:before="0" w:after="160" w:line="240" w:lineRule="auto"/>
        <w:jc w:val="both"/>
        <w:rPr>
          <w:sz w:val="24"/>
          <w:szCs w:val="24"/>
        </w:rPr>
      </w:pPr>
      <w:r>
        <w:rPr>
          <w:sz w:val="24"/>
          <w:szCs w:val="24"/>
        </w:rPr>
        <w:t xml:space="preserve">Durante 2019, la conflictividad se redujo, pero se registraron manifestaciones frente a distintos problemas vinculados a derechos laborales, regulación de huelgas, sistema educativo, derechos de las mujeres, aborto terapéutico, violación a derechos de los pueblos indígenas, particularmente el derecho al territorio, abastecimiento de agua, afectación por la entrada en funcionamiento de la Terminal de Contenedores de </w:t>
      </w:r>
      <w:proofErr w:type="spellStart"/>
      <w:r>
        <w:rPr>
          <w:sz w:val="24"/>
          <w:szCs w:val="24"/>
        </w:rPr>
        <w:t>Moín</w:t>
      </w:r>
      <w:proofErr w:type="spellEnd"/>
      <w:r>
        <w:rPr>
          <w:sz w:val="24"/>
          <w:szCs w:val="24"/>
        </w:rPr>
        <w:t>, transporte público, entre otros.</w:t>
      </w:r>
      <w:r>
        <w:rPr>
          <w:sz w:val="24"/>
          <w:szCs w:val="24"/>
          <w:vertAlign w:val="superscript"/>
        </w:rPr>
        <w:t xml:space="preserve"> </w:t>
      </w:r>
      <w:r>
        <w:rPr>
          <w:sz w:val="24"/>
          <w:szCs w:val="24"/>
          <w:vertAlign w:val="superscript"/>
        </w:rPr>
        <w:footnoteReference w:id="100"/>
      </w:r>
    </w:p>
    <w:p w14:paraId="05AE8C20" w14:textId="77777777" w:rsidR="00BB534D" w:rsidRDefault="00B842B1">
      <w:pPr>
        <w:spacing w:before="0" w:after="160" w:line="240" w:lineRule="auto"/>
        <w:jc w:val="both"/>
        <w:rPr>
          <w:sz w:val="24"/>
          <w:szCs w:val="24"/>
        </w:rPr>
      </w:pPr>
      <w:r>
        <w:rPr>
          <w:sz w:val="24"/>
          <w:szCs w:val="24"/>
        </w:rPr>
        <w:t xml:space="preserve">En los primeros meses de 2020, con la declaratoria de emergencia nacional por la COVID 19 y las medidas sanitarias que se establecen, hay una disminución de la conflictividad.  Destacan reacciones sociales de oposición a la aprobación de la Ley 9808 de regulación de huelgas, reclamos por insuficiencia en el abastecimiento de agua y manifestaciones contra la muerte del líder indígena </w:t>
      </w:r>
      <w:proofErr w:type="spellStart"/>
      <w:r>
        <w:rPr>
          <w:sz w:val="24"/>
          <w:szCs w:val="24"/>
        </w:rPr>
        <w:t>Brörán</w:t>
      </w:r>
      <w:proofErr w:type="spellEnd"/>
      <w:r>
        <w:rPr>
          <w:sz w:val="24"/>
          <w:szCs w:val="24"/>
        </w:rPr>
        <w:t xml:space="preserve"> </w:t>
      </w:r>
      <w:proofErr w:type="spellStart"/>
      <w:r>
        <w:rPr>
          <w:sz w:val="24"/>
          <w:szCs w:val="24"/>
        </w:rPr>
        <w:t>Jherry</w:t>
      </w:r>
      <w:proofErr w:type="spellEnd"/>
      <w:r>
        <w:rPr>
          <w:sz w:val="24"/>
          <w:szCs w:val="24"/>
        </w:rPr>
        <w:t xml:space="preserve"> Rivera</w:t>
      </w:r>
      <w:r>
        <w:rPr>
          <w:sz w:val="24"/>
          <w:szCs w:val="24"/>
          <w:vertAlign w:val="superscript"/>
        </w:rPr>
        <w:t xml:space="preserve"> </w:t>
      </w:r>
      <w:r>
        <w:rPr>
          <w:sz w:val="24"/>
          <w:szCs w:val="24"/>
          <w:vertAlign w:val="superscript"/>
        </w:rPr>
        <w:footnoteReference w:id="101"/>
      </w:r>
      <w:r>
        <w:rPr>
          <w:sz w:val="24"/>
          <w:szCs w:val="24"/>
        </w:rPr>
        <w:t>. En mayo se produjeron cierres por parte de los transportistas en las fronteras por las restricciones sanitarias y se manifestó el sector privado y algunos sectores sociales contra la creación de impuestos progresivos, así como frente a restricciones a la movilidad y al comercio.</w:t>
      </w:r>
    </w:p>
    <w:p w14:paraId="05AE8C21" w14:textId="77777777" w:rsidR="00BB534D" w:rsidRDefault="00B842B1">
      <w:pPr>
        <w:spacing w:before="0" w:after="160" w:line="240" w:lineRule="auto"/>
        <w:jc w:val="both"/>
        <w:rPr>
          <w:sz w:val="24"/>
          <w:szCs w:val="24"/>
        </w:rPr>
      </w:pPr>
      <w:r>
        <w:rPr>
          <w:sz w:val="24"/>
          <w:szCs w:val="24"/>
        </w:rPr>
        <w:t xml:space="preserve">En agosto de 2020 surgieron manifestaciones lideradas por los movimientos ¨Despierta Costa Rica¨ y ¨Rescate Nacional¨ que se agudizaron en septiembre y octubre con cierres de carreteras en todo el país, con seria afectación al comercio y la movilidad de las personas. Algunas de las manifestaciones mostraron episodios de violencia que requirieron intervención de la Fuerza Pública.  El motivo principal fue la propuesta del gobierno de negociar un acuerdo con el Fondo Monetario Internacional (FMI) para atender la crisis económica.  Esto llevó a la Administración a retirar la propuesta y proponer un espacio de diálogo cuyo diseño e instalación fue complejo por la negativa inicial de varios actores de participar en él. No obstante, el diálogo se mantuvo y produjo acuerdos concretos sobre los cuales el gobierno construyó una agenda legislativa, al tiempo que negoción un acuerdo de partida con el FMI.   </w:t>
      </w:r>
    </w:p>
    <w:p w14:paraId="05AE8C22" w14:textId="77777777" w:rsidR="00BB534D" w:rsidRDefault="00B842B1">
      <w:pPr>
        <w:spacing w:before="0" w:after="160" w:line="240" w:lineRule="auto"/>
        <w:jc w:val="both"/>
        <w:rPr>
          <w:sz w:val="24"/>
          <w:szCs w:val="24"/>
        </w:rPr>
      </w:pPr>
      <w:r>
        <w:rPr>
          <w:sz w:val="24"/>
          <w:szCs w:val="24"/>
        </w:rPr>
        <w:t xml:space="preserve">Durante 2021 la conflictividad ha sido mucho menor que el año anterior, centrada especialmente en temas vinculados a la vacunación para hacer frente al COVID-19 (distribución, disponibilidad, naturaleza y alcance de la contratación, oposición a la vacuna) y a la reactivación económica, a menudo con críticas a las restricciones sanitarias. También se han producido manifestaciones contra el acuerdo con el FMI y el paquete de reformas legales correspondiente, en especial la Ley Marco de Empleo Público que incluye la estandarización de condiciones laborales como la creación de un salario global. Este proyecto votado afirmativamente en primer debate fue remitido a la Sala Constitucional con una consulta de constitucionalidad. La Sala resolvió señalando 35 inconstitucionalidades de fondo que, una vez fueron discutidas en la Comisión de Consultas de Constitucionalidad, deberá ser conocida y aprobada por la Asamblea Legislativa, lo cual podría requerir de mayoría calificada. </w:t>
      </w:r>
    </w:p>
    <w:p w14:paraId="05AE8C23" w14:textId="77777777" w:rsidR="00BB534D" w:rsidRDefault="00B842B1">
      <w:pPr>
        <w:spacing w:before="0" w:after="160" w:line="240" w:lineRule="auto"/>
        <w:jc w:val="both"/>
        <w:rPr>
          <w:sz w:val="24"/>
          <w:szCs w:val="24"/>
        </w:rPr>
      </w:pPr>
      <w:r>
        <w:rPr>
          <w:sz w:val="24"/>
          <w:szCs w:val="24"/>
        </w:rPr>
        <w:t>El Gobierno, con la valoración más baja en todo su período según la encuesta del CIEP de noviembre de 2021</w:t>
      </w:r>
      <w:r>
        <w:rPr>
          <w:sz w:val="24"/>
          <w:szCs w:val="24"/>
          <w:vertAlign w:val="superscript"/>
        </w:rPr>
        <w:footnoteReference w:id="102"/>
      </w:r>
      <w:r>
        <w:rPr>
          <w:sz w:val="24"/>
          <w:szCs w:val="24"/>
        </w:rPr>
        <w:t>, se encuentra frente al desafío de consolidar acuerdos en el ámbito legislativo y social, que permitan aliviar en lo inmediato obligaciones financieras al tiempo que se garantiza la sostenibilidad de programas sociales, de cara al cierre de la Administración, en un ambiente de generalizada desconfianza y polarización, con tendencia a profundizarse en el marco del proceso electoral. Sin embargo, esto tiene que acompañarse de cambios estructurales que permitan soluciones duraderas para romper un modelo excluyente, aliviar la creciente pobreza y el desempleo que afectan desproporcionadamente a las mujeres y con mayor intensidad a poblaciones tradicionalmente excluidas, sobre todo en la periferia del país.</w:t>
      </w:r>
      <w:r>
        <w:rPr>
          <w:sz w:val="24"/>
          <w:szCs w:val="24"/>
          <w:vertAlign w:val="superscript"/>
        </w:rPr>
        <w:footnoteReference w:id="103"/>
      </w:r>
      <w:r>
        <w:rPr>
          <w:sz w:val="24"/>
          <w:szCs w:val="24"/>
        </w:rPr>
        <w:t xml:space="preserve">  Esta será un reto fundamental que deberá asumir el próximo gobierno, donde será necesario el apoyo para orientar las decisiones hacia el cumplimiento de la Agenda 2030.</w:t>
      </w:r>
    </w:p>
    <w:p w14:paraId="05AE8C24" w14:textId="77777777" w:rsidR="00BB534D" w:rsidRDefault="00B842B1">
      <w:pPr>
        <w:pStyle w:val="Heading3"/>
        <w:spacing w:before="320" w:after="160" w:line="240" w:lineRule="auto"/>
        <w:jc w:val="both"/>
        <w:rPr>
          <w:i/>
          <w:color w:val="4A86E8"/>
        </w:rPr>
      </w:pPr>
      <w:bookmarkStart w:id="11" w:name="_nkzqc1aj6idv" w:colFirst="0" w:colLast="0"/>
      <w:bookmarkEnd w:id="11"/>
      <w:r>
        <w:rPr>
          <w:i/>
          <w:color w:val="4A86E8"/>
        </w:rPr>
        <w:t>Mirando hacia el futuro</w:t>
      </w:r>
    </w:p>
    <w:p w14:paraId="05AE8C25" w14:textId="77777777" w:rsidR="00BB534D" w:rsidRDefault="00B842B1">
      <w:pPr>
        <w:numPr>
          <w:ilvl w:val="0"/>
          <w:numId w:val="4"/>
        </w:numPr>
        <w:spacing w:before="0" w:after="160" w:line="240" w:lineRule="auto"/>
        <w:jc w:val="both"/>
        <w:rPr>
          <w:sz w:val="24"/>
          <w:szCs w:val="24"/>
        </w:rPr>
      </w:pPr>
      <w:r>
        <w:rPr>
          <w:sz w:val="24"/>
          <w:szCs w:val="24"/>
        </w:rPr>
        <w:t>Este contexto crítico debe llamar la atención para una mejor gestión del conflicto social que propicie la construcción colectiva de acuerdos sobre los grandes problemas estructurales que enfrenta el país, que permitan definir una ruta de desarrollo que se oriente hacia el cumplimiento de la Agenda 2030.  Esto requiere no solo de voluntad política sino de conocimiento preciso y pormenorizado de los desafíos del país, reconociendo interseccionalidades, heterogeneidad de los problemas y crean espacios que permiten igualdad de influencia en la toma de decisiones de los diferentes sectores, grupos y poblaciones, incluyendo a los pueblos indígenas.  Además, siguiendo las recomendaciones hechas por el Comité de los Derechos del Niño al Estado costarricense, es crucial asegurar la participación efectiva de los niños en la formulación y aplicación de políticas y programas destinados a alcanzar los ODS.</w:t>
      </w:r>
    </w:p>
    <w:p w14:paraId="05AE8C26" w14:textId="77777777" w:rsidR="00BB534D" w:rsidRDefault="00B842B1">
      <w:pPr>
        <w:pStyle w:val="Heading2"/>
        <w:spacing w:before="360" w:after="120" w:line="240" w:lineRule="auto"/>
        <w:rPr>
          <w:color w:val="4A86E8"/>
          <w:sz w:val="24"/>
          <w:szCs w:val="24"/>
        </w:rPr>
      </w:pPr>
      <w:bookmarkStart w:id="12" w:name="_27ko53lxosps" w:colFirst="0" w:colLast="0"/>
      <w:bookmarkEnd w:id="12"/>
      <w:r>
        <w:rPr>
          <w:color w:val="4A86E8"/>
          <w:sz w:val="24"/>
          <w:szCs w:val="24"/>
        </w:rPr>
        <w:t>4.3 Arquitectura y funcionalidad institucional</w:t>
      </w:r>
    </w:p>
    <w:p w14:paraId="05AE8C27" w14:textId="77777777" w:rsidR="00BB534D" w:rsidRDefault="00B842B1">
      <w:pPr>
        <w:spacing w:before="0" w:after="160" w:line="240" w:lineRule="auto"/>
        <w:jc w:val="both"/>
        <w:rPr>
          <w:sz w:val="24"/>
          <w:szCs w:val="24"/>
        </w:rPr>
      </w:pPr>
      <w:r>
        <w:rPr>
          <w:sz w:val="24"/>
          <w:szCs w:val="24"/>
        </w:rPr>
        <w:t>En 2019 el Ministerio de Planificación Nacional y Política Económica (MIDEPLAN) presentó el Plan Nacional de Desarrollo e Inversión Pública (PNDIP) 2019-2022, con el objetivo de fortalecer las capacidades de la Administración para definir objetivos, establecer prioridades, formular metas y asignar recursos, así como dar seguimiento y evaluar las políticas, planes, programas o proyectos para enfrentar los principales desafíos que tiene el país y, sobre todo, mejorar la prestación de los bienes y servicios públicos a la ciudadanía. Este documento es fundamental para comprender los desafíos del país y las orientaciones institucionales para hacerles frente. Sin embargo, su vigencia expira este año y la nueva administración deberá iniciar el trabajo de construcción de un nuevo plan, para el cual el análisis de situación y la construcción de un nuevo marco de cooperación de Naciones Unidas podría resultar un insumo de gran valor. La coincidencia en el tiempo de ambos procesos debería propiciar alineamiento en la identificación de prioridades y rutas de trabajo.</w:t>
      </w:r>
    </w:p>
    <w:p w14:paraId="05AE8C28" w14:textId="77777777" w:rsidR="00BB534D" w:rsidRDefault="00B842B1">
      <w:pPr>
        <w:spacing w:before="0" w:after="160" w:line="240" w:lineRule="auto"/>
        <w:jc w:val="both"/>
        <w:rPr>
          <w:sz w:val="24"/>
          <w:szCs w:val="24"/>
        </w:rPr>
      </w:pPr>
      <w:r>
        <w:rPr>
          <w:sz w:val="24"/>
          <w:szCs w:val="24"/>
        </w:rPr>
        <w:t xml:space="preserve">La institucionalidad costarricense es compleja, fragmentada, con niveles dispares de eficiencia y efectividad según el área y sector.  A pesar del importante desempeño que ha mostrado Costa Rica en años recientes para reconvertir su modelo económico e insertarse en la economía mundial, además de posicionarse con éxito en temas claves como sostenibilidad ambiental, buena parte del aparato institucional no ha tenido la misma capacidad de ajuste frente a los nuevos desafíos. La toma de decisiones es complicada porque está altamente dispersa en diversas instancias, con una difusa coordinación, procesos imbricados y numerosos, sometidos a controles previos, que además muestra debilidades en los mecanismos de contratación, rendición de cuentas y monitoreo. </w:t>
      </w:r>
    </w:p>
    <w:p w14:paraId="05AE8C29" w14:textId="77777777" w:rsidR="00BB534D" w:rsidRDefault="00B842B1">
      <w:pPr>
        <w:spacing w:before="0" w:after="160" w:line="240" w:lineRule="auto"/>
        <w:jc w:val="both"/>
        <w:rPr>
          <w:sz w:val="24"/>
          <w:szCs w:val="24"/>
        </w:rPr>
      </w:pPr>
      <w:r>
        <w:rPr>
          <w:sz w:val="24"/>
          <w:szCs w:val="24"/>
        </w:rPr>
        <w:t xml:space="preserve">Según el registro del Ministerio de Planificación y Política Económica, en 2016 se registraban 303 instituciones entre ministerios, órganos adscritos, instituciones autónomas y semiautónomas, empresas públicas estatales y no estatales, entre otras.   </w:t>
      </w:r>
    </w:p>
    <w:p w14:paraId="05AE8C2A" w14:textId="77777777" w:rsidR="00BB534D" w:rsidRDefault="00B842B1">
      <w:pPr>
        <w:spacing w:before="0" w:after="160" w:line="240" w:lineRule="auto"/>
        <w:jc w:val="both"/>
        <w:rPr>
          <w:sz w:val="24"/>
          <w:szCs w:val="24"/>
        </w:rPr>
      </w:pPr>
      <w:r>
        <w:rPr>
          <w:sz w:val="24"/>
          <w:szCs w:val="24"/>
        </w:rPr>
        <w:t>Las instituciones autónomas actualmente suman 35. Gozan de independencia administrativa, están sujetas a la ley en materia de gobierno y cuentan con un cuerpo directivo responsable de su gestión. Estas incluyen instituciones con un peso significativo en el país como la Caja Costarricense de Seguro Social (CCSS), el Instituto Costarricense de Electricidad (ICE), el Instituto Costarricense de Acueductos y Alcantarillados (</w:t>
      </w:r>
      <w:proofErr w:type="spellStart"/>
      <w:r>
        <w:rPr>
          <w:sz w:val="24"/>
          <w:szCs w:val="24"/>
        </w:rPr>
        <w:t>AyA</w:t>
      </w:r>
      <w:proofErr w:type="spellEnd"/>
      <w:r>
        <w:rPr>
          <w:sz w:val="24"/>
          <w:szCs w:val="24"/>
        </w:rPr>
        <w:t>), las universidades estatales y el Instituto Mixto de Ayuda Social (IMAS), entre otras.</w:t>
      </w:r>
      <w:r>
        <w:rPr>
          <w:sz w:val="24"/>
          <w:szCs w:val="24"/>
          <w:vertAlign w:val="superscript"/>
        </w:rPr>
        <w:footnoteReference w:id="104"/>
      </w:r>
    </w:p>
    <w:p w14:paraId="05AE8C2B" w14:textId="77777777" w:rsidR="00BB534D" w:rsidRDefault="00B842B1">
      <w:pPr>
        <w:spacing w:before="0" w:after="160" w:line="240" w:lineRule="auto"/>
        <w:jc w:val="both"/>
        <w:rPr>
          <w:sz w:val="24"/>
          <w:szCs w:val="24"/>
        </w:rPr>
      </w:pPr>
      <w:r>
        <w:rPr>
          <w:sz w:val="24"/>
          <w:szCs w:val="24"/>
        </w:rPr>
        <w:t xml:space="preserve">A ellas se suma el aumento en el número de otras instituciones, no siempre estratégico y ordenado, cuya creación responde a la búsqueda de mayor autonomía y agilidad de la gestión, así como ventajas por manejo independiente del presupuesto y capacidad de acumular superávits. Sin embargo, en muchos casos, su creación no suprime a la institución previa cuyas competencias asume, por lo que conviven a menudo dos o más instituciones con duplicidad de funciones, engrosando a la Administración sin visión clara de reestructuración y racionalidad.  </w:t>
      </w:r>
    </w:p>
    <w:p w14:paraId="05AE8C2C" w14:textId="77777777" w:rsidR="00BB534D" w:rsidRDefault="00B842B1">
      <w:pPr>
        <w:spacing w:before="0" w:after="160" w:line="240" w:lineRule="auto"/>
        <w:jc w:val="both"/>
        <w:rPr>
          <w:sz w:val="24"/>
          <w:szCs w:val="24"/>
        </w:rPr>
      </w:pPr>
      <w:r>
        <w:rPr>
          <w:sz w:val="24"/>
          <w:szCs w:val="24"/>
        </w:rPr>
        <w:t>Además, la falta de digitalización de procesos administrativos esenciales, como son los procesos de regularización migratoria y refugio, produce que no puedan respetarse los plazos de respuesta estipulados por ley, generando en muchas ocasiones vulneración de derechos y estimulando la informalidad.</w:t>
      </w:r>
    </w:p>
    <w:p w14:paraId="05AE8C2D" w14:textId="77777777" w:rsidR="00BB534D" w:rsidRDefault="00B842B1">
      <w:pPr>
        <w:spacing w:before="0" w:after="160" w:line="240" w:lineRule="auto"/>
        <w:jc w:val="both"/>
        <w:rPr>
          <w:sz w:val="24"/>
          <w:szCs w:val="24"/>
        </w:rPr>
      </w:pPr>
      <w:r>
        <w:rPr>
          <w:sz w:val="24"/>
          <w:szCs w:val="24"/>
        </w:rPr>
        <w:t>La arquitectura institucional, pensada en silos, tiene un reflejo en el diseño e implementación de políticas públicas a menudo desconectadas y con pocas oportunidades de integración y coordinación, sin reconocer su interdependencia, lo que representa un obstáculo para construir soluciones integrales y sostenibles.  Estos son grandes desafíos para mejorar la gobernabilidad del país.</w:t>
      </w:r>
    </w:p>
    <w:p w14:paraId="05AE8C2E" w14:textId="77777777" w:rsidR="00BB534D" w:rsidRDefault="00B842B1">
      <w:pPr>
        <w:spacing w:before="0" w:after="160" w:line="240" w:lineRule="auto"/>
        <w:jc w:val="both"/>
        <w:rPr>
          <w:sz w:val="24"/>
          <w:szCs w:val="24"/>
        </w:rPr>
      </w:pPr>
      <w:r>
        <w:rPr>
          <w:sz w:val="24"/>
          <w:szCs w:val="24"/>
        </w:rPr>
        <w:t xml:space="preserve">La contratación pública es fundamental para alcanzar los ODS, pero también es una de las áreas más vulnerables a la corrupción. Más acceso a la información, la participación ciudadana y la rendición de cuentas durante todos los ciclos de vida de los proyectos de infraestructura y obra pública contribuiría sustancialmente a la transparencia en las finanzas públicas y el uso eficiente de los recursos.  </w:t>
      </w:r>
    </w:p>
    <w:p w14:paraId="05AE8C2F" w14:textId="77777777" w:rsidR="00BB534D" w:rsidRDefault="00B842B1">
      <w:pPr>
        <w:spacing w:before="0" w:after="160" w:line="240" w:lineRule="auto"/>
        <w:jc w:val="both"/>
        <w:rPr>
          <w:sz w:val="24"/>
          <w:szCs w:val="24"/>
        </w:rPr>
      </w:pPr>
      <w:r>
        <w:rPr>
          <w:sz w:val="24"/>
          <w:szCs w:val="24"/>
        </w:rPr>
        <w:t>El primer informe de la Iniciativa de Transparencia en el Sector de la Construcción (</w:t>
      </w:r>
      <w:proofErr w:type="spellStart"/>
      <w:r>
        <w:rPr>
          <w:sz w:val="24"/>
          <w:szCs w:val="24"/>
        </w:rPr>
        <w:t>CoST</w:t>
      </w:r>
      <w:proofErr w:type="spellEnd"/>
      <w:r>
        <w:rPr>
          <w:sz w:val="24"/>
          <w:szCs w:val="24"/>
        </w:rPr>
        <w:t>) en Costa Rica, divulgado a finales del 2019, encontró que uno de los grandes desafíos del país es mejorar los controles de calidad y asegurar acceso público a los informes e hitos de ejecución de contrataciones.</w:t>
      </w:r>
    </w:p>
    <w:p w14:paraId="05AE8C30" w14:textId="77777777" w:rsidR="00BB534D" w:rsidRDefault="00B842B1">
      <w:pPr>
        <w:spacing w:before="0" w:after="160" w:line="240" w:lineRule="auto"/>
        <w:jc w:val="both"/>
        <w:rPr>
          <w:sz w:val="24"/>
          <w:szCs w:val="24"/>
        </w:rPr>
      </w:pPr>
      <w:r>
        <w:rPr>
          <w:sz w:val="24"/>
          <w:szCs w:val="24"/>
        </w:rPr>
        <w:t>Otro problema que afecta a la gestión institucional tiene que ver con las capacidades de monitoreo y evaluación. El país cuenta con un Sistema Nacional de Evaluación (SINE), pero no se ha logrado que se oriente a los resultados en vez de detenerse en los procesos</w:t>
      </w:r>
      <w:r>
        <w:rPr>
          <w:sz w:val="24"/>
          <w:szCs w:val="24"/>
          <w:vertAlign w:val="superscript"/>
        </w:rPr>
        <w:footnoteReference w:id="105"/>
      </w:r>
      <w:r>
        <w:rPr>
          <w:sz w:val="24"/>
          <w:szCs w:val="24"/>
        </w:rPr>
        <w:t>. Sin embargo, se identifican importantes oportunidades de mejora en esta materia que resulta necesario apoyar.</w:t>
      </w:r>
    </w:p>
    <w:p w14:paraId="05AE8C31" w14:textId="77777777" w:rsidR="00BB534D" w:rsidRDefault="00B842B1">
      <w:pPr>
        <w:spacing w:before="0" w:after="160" w:line="240" w:lineRule="auto"/>
        <w:jc w:val="both"/>
        <w:rPr>
          <w:sz w:val="24"/>
          <w:szCs w:val="24"/>
        </w:rPr>
      </w:pPr>
      <w:r>
        <w:rPr>
          <w:sz w:val="24"/>
          <w:szCs w:val="24"/>
        </w:rPr>
        <w:t>Hay avances importantes desde MIDEPLAN para flexibilizar y mejorar la planificación, con líneas estratégicas, metas de largo plazo y rutas críticas que, con unos pocos indicadores, permiten saber si se avanza en la dirección planteada y al ritmo esperado. También, MIDEPLAN ha planteado la Estrategia Económica Territorial para una Economía Inclusiva y Descarbonizada 2020-2050, que brinda orientaciones y opciones claras para desconcentrar el desarrollo y generar oportunidad de inclusión en áreas rurales y periféricas, desafío de atención urgente para disminuir la desigualdad.</w:t>
      </w:r>
    </w:p>
    <w:p w14:paraId="05AE8C32" w14:textId="77777777" w:rsidR="00BB534D" w:rsidRDefault="00B842B1">
      <w:pPr>
        <w:spacing w:before="0" w:after="160" w:line="240" w:lineRule="auto"/>
        <w:jc w:val="both"/>
        <w:rPr>
          <w:sz w:val="24"/>
          <w:szCs w:val="24"/>
        </w:rPr>
      </w:pPr>
      <w:r>
        <w:rPr>
          <w:sz w:val="24"/>
          <w:szCs w:val="24"/>
        </w:rPr>
        <w:t>En el marco de la organización unitaria de la República, con un poder claramente centralizado, el rol de las municipalidades fue tradicionalmente secundario. El régimen municipal ha tenido un desarrollo tardío en Costa Rica en comparación con la mayoría de los países de la región.  Es hasta 1998 cuando se introducen cambios significativos para la elección pública de las autoridades municipales, Estos avances se vieron acompañados de mayores transferencias de competencias y recursos del gobierno central al local con el paso de los años.</w:t>
      </w:r>
    </w:p>
    <w:p w14:paraId="05AE8C33" w14:textId="77777777" w:rsidR="00BB534D" w:rsidRDefault="00B842B1">
      <w:pPr>
        <w:spacing w:before="0" w:after="160" w:line="240" w:lineRule="auto"/>
        <w:jc w:val="both"/>
        <w:rPr>
          <w:sz w:val="24"/>
          <w:szCs w:val="24"/>
        </w:rPr>
      </w:pPr>
      <w:r>
        <w:rPr>
          <w:sz w:val="24"/>
          <w:szCs w:val="24"/>
        </w:rPr>
        <w:t xml:space="preserve">Sin embargo, debe decirse que en el ámbito municipal no solo se reproducen muchos de los problemas señalados para la Administración central, sino que se suman otros que tiene que ver con limitadas capacidades de gestión, en un marco de grandes asimetrías entre unas municipalidades y otras, en materia de capital humano, capacidad técnica y administrativa y disponibilidad financiera. Por ejemplo, puede verse como la gran mayoría de los gobiernos locales fronterizos tienen índices de gestión municipal deficientes, </w:t>
      </w:r>
      <w:proofErr w:type="gramStart"/>
      <w:r>
        <w:rPr>
          <w:sz w:val="24"/>
          <w:szCs w:val="24"/>
        </w:rPr>
        <w:t>de acuerdo al</w:t>
      </w:r>
      <w:proofErr w:type="gramEnd"/>
      <w:r>
        <w:rPr>
          <w:sz w:val="24"/>
          <w:szCs w:val="24"/>
        </w:rPr>
        <w:t xml:space="preserve"> último índice de gestión municipal (IGM) de la Contraloría General de la República (2021).</w:t>
      </w:r>
    </w:p>
    <w:p w14:paraId="05AE8C34" w14:textId="77777777" w:rsidR="00BB534D" w:rsidRDefault="00B842B1">
      <w:pPr>
        <w:pStyle w:val="Heading3"/>
        <w:spacing w:before="320" w:after="160" w:line="240" w:lineRule="auto"/>
        <w:jc w:val="both"/>
        <w:rPr>
          <w:i/>
          <w:color w:val="4A86E8"/>
        </w:rPr>
      </w:pPr>
      <w:bookmarkStart w:id="13" w:name="_rwkl1ed30j2l" w:colFirst="0" w:colLast="0"/>
      <w:bookmarkEnd w:id="13"/>
      <w:r>
        <w:rPr>
          <w:i/>
          <w:color w:val="4A86E8"/>
        </w:rPr>
        <w:t>Mirando hacia el futuro</w:t>
      </w:r>
    </w:p>
    <w:p w14:paraId="05AE8C35" w14:textId="77777777" w:rsidR="00BB534D" w:rsidRDefault="00B842B1">
      <w:pPr>
        <w:numPr>
          <w:ilvl w:val="0"/>
          <w:numId w:val="19"/>
        </w:numPr>
        <w:spacing w:before="0" w:line="240" w:lineRule="auto"/>
        <w:jc w:val="both"/>
        <w:rPr>
          <w:sz w:val="24"/>
          <w:szCs w:val="24"/>
        </w:rPr>
      </w:pPr>
      <w:r>
        <w:rPr>
          <w:sz w:val="24"/>
          <w:szCs w:val="24"/>
        </w:rPr>
        <w:t>Hace falta fortalecer herramientas para racionalizar la utilización de los recursos y avanzar sistemáticamente hacia el aumento de eficiencia y calidad en los servicios públicos y la garantía de los derechos económicos, sociales y culturales</w:t>
      </w:r>
      <w:r>
        <w:rPr>
          <w:sz w:val="24"/>
          <w:szCs w:val="24"/>
          <w:vertAlign w:val="superscript"/>
        </w:rPr>
        <w:footnoteReference w:id="106"/>
      </w:r>
      <w:r>
        <w:rPr>
          <w:sz w:val="24"/>
          <w:szCs w:val="24"/>
        </w:rPr>
        <w:t>. Por ejemplo, en el caso de la educación, urge consolidar la planificación y presupuestación basada en resultados y con perspectiva de género e inclusión social de tal manera que se garantice una mayor eficiencia y eficacia en el uso de los recursos, herramienta fundamental para el logro de los ODS.</w:t>
      </w:r>
    </w:p>
    <w:p w14:paraId="05AE8C36" w14:textId="77777777" w:rsidR="00BB534D" w:rsidRDefault="00B842B1">
      <w:pPr>
        <w:numPr>
          <w:ilvl w:val="0"/>
          <w:numId w:val="19"/>
        </w:numPr>
        <w:spacing w:before="0" w:line="240" w:lineRule="auto"/>
        <w:jc w:val="both"/>
        <w:rPr>
          <w:sz w:val="24"/>
          <w:szCs w:val="24"/>
        </w:rPr>
      </w:pPr>
      <w:r>
        <w:rPr>
          <w:sz w:val="24"/>
          <w:szCs w:val="24"/>
        </w:rPr>
        <w:t>Las políticas públicas deben comprenderse desde su contribución complementaria a la satisfacción de las necesidades integrales de las personas, es decir, no pueden diseñarse ni implementarse a solas, sin reconocer su interdependencia.</w:t>
      </w:r>
    </w:p>
    <w:p w14:paraId="05AE8C37" w14:textId="77777777" w:rsidR="00BB534D" w:rsidRDefault="00B842B1">
      <w:pPr>
        <w:numPr>
          <w:ilvl w:val="0"/>
          <w:numId w:val="19"/>
        </w:numPr>
        <w:spacing w:before="0" w:line="240" w:lineRule="auto"/>
        <w:jc w:val="both"/>
        <w:rPr>
          <w:sz w:val="24"/>
          <w:szCs w:val="24"/>
        </w:rPr>
      </w:pPr>
      <w:r>
        <w:rPr>
          <w:sz w:val="24"/>
          <w:szCs w:val="24"/>
        </w:rPr>
        <w:t>Hay que avanzar en la incorporación de los enfoques de derechos humanos, de género interseccional y de gestión basada en los resultados en el diseño, implementación y evaluación de las políticas y servicios públicos</w:t>
      </w:r>
    </w:p>
    <w:p w14:paraId="05AE8C38" w14:textId="77777777" w:rsidR="00BB534D" w:rsidRDefault="00B842B1">
      <w:pPr>
        <w:numPr>
          <w:ilvl w:val="0"/>
          <w:numId w:val="19"/>
        </w:numPr>
        <w:spacing w:before="0" w:after="160" w:line="240" w:lineRule="auto"/>
        <w:jc w:val="both"/>
        <w:rPr>
          <w:sz w:val="24"/>
          <w:szCs w:val="24"/>
        </w:rPr>
      </w:pPr>
      <w:bookmarkStart w:id="14" w:name="_tyjcwt" w:colFirst="0" w:colLast="0"/>
      <w:bookmarkEnd w:id="14"/>
      <w:r>
        <w:rPr>
          <w:sz w:val="24"/>
          <w:szCs w:val="24"/>
        </w:rPr>
        <w:t>La atención de los desafíos nacionales tiene que ver con la capacidad de territorializar el diseño e implementación de políticas públicas, así como el avance de la Agenda 2030 pasa por su localización. E</w:t>
      </w:r>
    </w:p>
    <w:p w14:paraId="05AE8C39" w14:textId="77777777" w:rsidR="00BB534D" w:rsidRDefault="00B842B1">
      <w:pPr>
        <w:pStyle w:val="Heading2"/>
        <w:spacing w:before="360" w:after="120" w:line="240" w:lineRule="auto"/>
        <w:jc w:val="both"/>
        <w:rPr>
          <w:color w:val="4A86E8"/>
          <w:sz w:val="24"/>
          <w:szCs w:val="24"/>
        </w:rPr>
      </w:pPr>
      <w:r>
        <w:rPr>
          <w:color w:val="4A86E8"/>
          <w:sz w:val="24"/>
          <w:szCs w:val="24"/>
        </w:rPr>
        <w:t>4.4 Capacidad institucional en la gestión de datos e información</w:t>
      </w:r>
    </w:p>
    <w:p w14:paraId="05AE8C3A" w14:textId="77777777" w:rsidR="00BB534D" w:rsidRDefault="00B842B1">
      <w:pPr>
        <w:spacing w:before="0" w:after="160" w:line="240" w:lineRule="auto"/>
        <w:jc w:val="both"/>
        <w:rPr>
          <w:sz w:val="24"/>
          <w:szCs w:val="24"/>
        </w:rPr>
      </w:pPr>
      <w:r>
        <w:rPr>
          <w:sz w:val="24"/>
          <w:szCs w:val="24"/>
        </w:rPr>
        <w:t xml:space="preserve">En 2019 se aprobó la </w:t>
      </w:r>
      <w:hyperlink r:id="rId10">
        <w:r>
          <w:rPr>
            <w:sz w:val="24"/>
            <w:szCs w:val="24"/>
          </w:rPr>
          <w:t>Ley N°9694 del Sistema de Estadística</w:t>
        </w:r>
      </w:hyperlink>
      <w:r>
        <w:rPr>
          <w:sz w:val="24"/>
          <w:szCs w:val="24"/>
        </w:rPr>
        <w:t xml:space="preserve"> Nacional (SEN)</w:t>
      </w:r>
      <w:r>
        <w:rPr>
          <w:sz w:val="24"/>
          <w:szCs w:val="24"/>
          <w:vertAlign w:val="superscript"/>
        </w:rPr>
        <w:footnoteReference w:id="107"/>
      </w:r>
      <w:r>
        <w:rPr>
          <w:sz w:val="24"/>
          <w:szCs w:val="24"/>
        </w:rPr>
        <w:t xml:space="preserve">, la más avanzada de la región en materia de producción de datos. Asimismo, el país cuenta con el </w:t>
      </w:r>
      <w:hyperlink r:id="rId11">
        <w:r>
          <w:rPr>
            <w:sz w:val="24"/>
            <w:szCs w:val="24"/>
          </w:rPr>
          <w:t>Plan Estadístico Nacional 2018-2022 (PEN)</w:t>
        </w:r>
      </w:hyperlink>
      <w:r>
        <w:rPr>
          <w:sz w:val="24"/>
          <w:szCs w:val="24"/>
        </w:rPr>
        <w:t>, el cual presenta una visión innovadora y de vanguardia en temas de información.</w:t>
      </w:r>
    </w:p>
    <w:p w14:paraId="05AE8C3B" w14:textId="77777777" w:rsidR="00BB534D" w:rsidRDefault="00B842B1">
      <w:pPr>
        <w:spacing w:before="0" w:after="160" w:line="240" w:lineRule="auto"/>
        <w:jc w:val="both"/>
        <w:rPr>
          <w:sz w:val="24"/>
          <w:szCs w:val="24"/>
        </w:rPr>
      </w:pPr>
      <w:r>
        <w:rPr>
          <w:sz w:val="24"/>
          <w:szCs w:val="24"/>
        </w:rPr>
        <w:t>Ambos instrumentos aportar al fortalecimiento forman de los procesos de gestión de información del SEN y el Instituto Nacional de Estadísticas y Censos (INEC), como ente técnico rector en la materia. Asimismo, es importante destacar que Costa Rica es uno de los países en la región con la mayor cantidad de indicadores de los ODS disponibles. Sin embargo, debido a restricciones presupuestarias y de otra índole, se carece de datos relevantes actualizados, por ejemplo, la encuesta sobre violencia hacia las mujeres no se actualiza desde el 2003, la encuesta de salud sexual y reproductiva data del 2015, también se ha desactualizado la encuesta de juventudes. Es importante concientizar sobre la importancia de esta información, así como la de otras operaciones estadísticas como los registros administrativos.</w:t>
      </w:r>
    </w:p>
    <w:p w14:paraId="05AE8C3C" w14:textId="77777777" w:rsidR="00BB534D" w:rsidRDefault="00B842B1">
      <w:pPr>
        <w:spacing w:before="0" w:after="160" w:line="240" w:lineRule="auto"/>
        <w:jc w:val="both"/>
        <w:rPr>
          <w:sz w:val="24"/>
          <w:szCs w:val="24"/>
        </w:rPr>
      </w:pPr>
      <w:r>
        <w:rPr>
          <w:sz w:val="24"/>
          <w:szCs w:val="24"/>
        </w:rPr>
        <w:t xml:space="preserve">Los instrumentos de recolección de información deben contener preguntas adecuadas que permitan visibilizar la situación de las personas dejadas atrás, desde un enfoque de derechos humanos. </w:t>
      </w:r>
    </w:p>
    <w:p w14:paraId="05AE8C3D" w14:textId="77777777" w:rsidR="00BB534D" w:rsidRDefault="00B842B1">
      <w:pPr>
        <w:spacing w:before="0" w:after="160" w:line="240" w:lineRule="auto"/>
        <w:jc w:val="both"/>
        <w:rPr>
          <w:sz w:val="24"/>
          <w:szCs w:val="24"/>
        </w:rPr>
      </w:pPr>
      <w:r>
        <w:rPr>
          <w:sz w:val="24"/>
          <w:szCs w:val="24"/>
        </w:rPr>
        <w:t xml:space="preserve">La gestión de los datos en materia de emergencia, como lo ha puesto en evidencia la pandemia de la COVID-19, presenta muchas debilidades que responden no solo a un tema de recursos estadísticos sino también a limitaciones tecnológicas y dificultades para recolectar y procesar la información oportunamente. </w:t>
      </w:r>
    </w:p>
    <w:p w14:paraId="05AE8C3E" w14:textId="77777777" w:rsidR="00BB534D" w:rsidRDefault="00B842B1">
      <w:pPr>
        <w:spacing w:before="0" w:after="160" w:line="240" w:lineRule="auto"/>
        <w:jc w:val="both"/>
        <w:rPr>
          <w:sz w:val="24"/>
          <w:szCs w:val="24"/>
        </w:rPr>
      </w:pPr>
      <w:r>
        <w:rPr>
          <w:sz w:val="24"/>
          <w:szCs w:val="24"/>
        </w:rPr>
        <w:t xml:space="preserve">Desde 2017 la Comisión Técnica de Estadística para los ODS ha trabajado en definir áreas de priorización y asegurar la participación de todas las instancias nacionales, para identificar y acordar una hoja de ruta, pero aún quedan desafíos para asegurar la disponibilidad de datos que permita </w:t>
      </w:r>
      <w:proofErr w:type="gramStart"/>
      <w:r>
        <w:rPr>
          <w:sz w:val="24"/>
          <w:szCs w:val="24"/>
        </w:rPr>
        <w:t>la desagregaciones</w:t>
      </w:r>
      <w:proofErr w:type="gramEnd"/>
      <w:r>
        <w:rPr>
          <w:sz w:val="24"/>
          <w:szCs w:val="24"/>
        </w:rPr>
        <w:t xml:space="preserve"> de sus indicadores y la periodicidad del reporte sobre su avance. </w:t>
      </w:r>
    </w:p>
    <w:p w14:paraId="05AE8C3F" w14:textId="77777777" w:rsidR="00BB534D" w:rsidRDefault="00B842B1">
      <w:pPr>
        <w:spacing w:before="0" w:line="240" w:lineRule="auto"/>
        <w:jc w:val="both"/>
        <w:rPr>
          <w:sz w:val="24"/>
          <w:szCs w:val="24"/>
        </w:rPr>
      </w:pPr>
      <w:r>
        <w:rPr>
          <w:sz w:val="24"/>
          <w:szCs w:val="24"/>
        </w:rPr>
        <w:t xml:space="preserve">Por ejemplo, las fuentes de datos oficiales rara vez permiten identificar personas sin hogar, habitantes de barrios marginales, migrantes, poblaciones nómadas o desplazadas, apátridas, poblaciones criminalizadas (por ejemplo, personas que consumen drogas, trabajadoras sexuales) y personas en albergues o instituciones temporales. Grupos que han sufrido exclusión, persecución y/o violencia tienen menos probabilidades de ser identificados. </w:t>
      </w:r>
    </w:p>
    <w:p w14:paraId="05AE8C40" w14:textId="77777777" w:rsidR="00BB534D" w:rsidRDefault="00B842B1">
      <w:pPr>
        <w:pStyle w:val="Heading3"/>
        <w:spacing w:before="320" w:after="160" w:line="240" w:lineRule="auto"/>
        <w:jc w:val="both"/>
        <w:rPr>
          <w:i/>
          <w:color w:val="4A86E8"/>
        </w:rPr>
      </w:pPr>
      <w:bookmarkStart w:id="15" w:name="_3dy6vkm" w:colFirst="0" w:colLast="0"/>
      <w:bookmarkEnd w:id="15"/>
      <w:r>
        <w:rPr>
          <w:i/>
          <w:color w:val="4A86E8"/>
        </w:rPr>
        <w:t xml:space="preserve">Mirando hacia el futuro </w:t>
      </w:r>
    </w:p>
    <w:p w14:paraId="05AE8C41" w14:textId="77777777" w:rsidR="00BB534D" w:rsidRDefault="00B842B1">
      <w:pPr>
        <w:numPr>
          <w:ilvl w:val="0"/>
          <w:numId w:val="6"/>
        </w:numPr>
        <w:spacing w:before="0" w:line="240" w:lineRule="auto"/>
        <w:jc w:val="both"/>
        <w:rPr>
          <w:sz w:val="24"/>
          <w:szCs w:val="24"/>
        </w:rPr>
      </w:pPr>
      <w:r>
        <w:rPr>
          <w:sz w:val="24"/>
          <w:szCs w:val="24"/>
        </w:rPr>
        <w:t xml:space="preserve">Hay desafíos importantes en la desagregación, periodicidad y pertinencia de los datos; carencia de líneas base y sistemas de monitoreo institucionalizados para las principales políticas e intervenciones, así como escaso número de evaluaciones programáticas realizadas. </w:t>
      </w:r>
    </w:p>
    <w:p w14:paraId="05AE8C42" w14:textId="77777777" w:rsidR="00BB534D" w:rsidRDefault="00B842B1">
      <w:pPr>
        <w:numPr>
          <w:ilvl w:val="0"/>
          <w:numId w:val="6"/>
        </w:numPr>
        <w:spacing w:before="0" w:line="240" w:lineRule="auto"/>
        <w:jc w:val="both"/>
        <w:rPr>
          <w:sz w:val="24"/>
          <w:szCs w:val="24"/>
        </w:rPr>
      </w:pPr>
      <w:r>
        <w:rPr>
          <w:sz w:val="24"/>
          <w:szCs w:val="24"/>
        </w:rPr>
        <w:t xml:space="preserve">El SEN requiere de un sistema que consolide toda producción de estadística nacional de forma coherente y armonizada, pero persisten obstáculos y </w:t>
      </w:r>
      <w:proofErr w:type="gramStart"/>
      <w:r>
        <w:rPr>
          <w:sz w:val="24"/>
          <w:szCs w:val="24"/>
        </w:rPr>
        <w:t>resistencias  para</w:t>
      </w:r>
      <w:proofErr w:type="gramEnd"/>
      <w:r>
        <w:rPr>
          <w:sz w:val="24"/>
          <w:szCs w:val="24"/>
        </w:rPr>
        <w:t xml:space="preserve"> avanzar en este propósito. </w:t>
      </w:r>
    </w:p>
    <w:p w14:paraId="05AE8C43" w14:textId="77777777" w:rsidR="00BB534D" w:rsidRDefault="00B842B1">
      <w:pPr>
        <w:numPr>
          <w:ilvl w:val="0"/>
          <w:numId w:val="6"/>
        </w:numPr>
        <w:spacing w:before="0" w:line="240" w:lineRule="auto"/>
        <w:jc w:val="both"/>
        <w:rPr>
          <w:sz w:val="24"/>
          <w:szCs w:val="24"/>
        </w:rPr>
      </w:pPr>
      <w:r>
        <w:rPr>
          <w:sz w:val="24"/>
          <w:szCs w:val="24"/>
        </w:rPr>
        <w:t xml:space="preserve">Costa Rica debe fortalecer los mecanismos de recolección continua de datos que ya están disponibles, siguiendo la tendencia en países para mejorar los registros administrativos que mapean frecuentemente a la población en temas específicos, con potencial de generar </w:t>
      </w:r>
      <w:r>
        <w:rPr>
          <w:i/>
          <w:sz w:val="24"/>
          <w:szCs w:val="24"/>
        </w:rPr>
        <w:t>data</w:t>
      </w:r>
      <w:r>
        <w:rPr>
          <w:sz w:val="24"/>
          <w:szCs w:val="24"/>
        </w:rPr>
        <w:t xml:space="preserve"> de forma oportuna, buen alcance y costos reducidos, permitiendo análisis de situación actualizados, además de mejorar las desagregaciones que permiten evidenciar las asimetrías existentes.</w:t>
      </w:r>
      <w:r>
        <w:rPr>
          <w:sz w:val="24"/>
          <w:szCs w:val="24"/>
          <w:vertAlign w:val="superscript"/>
        </w:rPr>
        <w:t xml:space="preserve"> </w:t>
      </w:r>
      <w:r>
        <w:rPr>
          <w:sz w:val="24"/>
          <w:szCs w:val="24"/>
          <w:vertAlign w:val="superscript"/>
        </w:rPr>
        <w:footnoteReference w:id="108"/>
      </w:r>
    </w:p>
    <w:p w14:paraId="05AE8C44" w14:textId="77777777" w:rsidR="00BB534D" w:rsidRDefault="00B842B1">
      <w:pPr>
        <w:numPr>
          <w:ilvl w:val="0"/>
          <w:numId w:val="6"/>
        </w:numPr>
        <w:spacing w:before="0" w:line="240" w:lineRule="auto"/>
        <w:jc w:val="both"/>
        <w:rPr>
          <w:sz w:val="24"/>
          <w:szCs w:val="24"/>
        </w:rPr>
      </w:pPr>
      <w:r>
        <w:rPr>
          <w:sz w:val="24"/>
          <w:szCs w:val="24"/>
        </w:rPr>
        <w:t xml:space="preserve">Persiste la necesidad de generar estadísticas que permitan dar seguimiento al cumplimiento de los ODS, derechos humanos, acuerdos y compromisos internacionales. Si bien el país ha avanzado en materia de estadística sobre poblaciones en situación de exclusión, por medio de encuestas específicas, aún quedan muchas áreas por trabajar, como la violencia contra las mujeres y la salud sexual y reproductiva en contextos de emergencia. </w:t>
      </w:r>
    </w:p>
    <w:p w14:paraId="05AE8C45" w14:textId="77777777" w:rsidR="00BB534D" w:rsidRDefault="00B842B1">
      <w:pPr>
        <w:numPr>
          <w:ilvl w:val="0"/>
          <w:numId w:val="6"/>
        </w:numPr>
        <w:spacing w:before="0" w:line="240" w:lineRule="auto"/>
        <w:jc w:val="both"/>
        <w:rPr>
          <w:sz w:val="24"/>
          <w:szCs w:val="24"/>
        </w:rPr>
      </w:pPr>
      <w:r>
        <w:rPr>
          <w:sz w:val="24"/>
          <w:szCs w:val="24"/>
        </w:rPr>
        <w:t xml:space="preserve">Mejorar los sistemas de </w:t>
      </w:r>
      <w:proofErr w:type="spellStart"/>
      <w:r>
        <w:rPr>
          <w:sz w:val="24"/>
          <w:szCs w:val="24"/>
        </w:rPr>
        <w:t>visibilización</w:t>
      </w:r>
      <w:proofErr w:type="spellEnd"/>
      <w:r>
        <w:rPr>
          <w:sz w:val="24"/>
          <w:szCs w:val="24"/>
        </w:rPr>
        <w:t xml:space="preserve"> de datos, que en muchos casos siguen siendo complejos y poco accesibles, para garantizar la democratización de la información.</w:t>
      </w:r>
    </w:p>
    <w:p w14:paraId="05AE8C46" w14:textId="77777777" w:rsidR="00BB534D" w:rsidRDefault="00B842B1">
      <w:pPr>
        <w:numPr>
          <w:ilvl w:val="0"/>
          <w:numId w:val="6"/>
        </w:numPr>
        <w:spacing w:before="0" w:line="240" w:lineRule="auto"/>
        <w:jc w:val="both"/>
        <w:rPr>
          <w:sz w:val="24"/>
          <w:szCs w:val="24"/>
        </w:rPr>
      </w:pPr>
      <w:bookmarkStart w:id="16" w:name="_1t3h5sf" w:colFirst="0" w:colLast="0"/>
      <w:bookmarkEnd w:id="16"/>
      <w:r>
        <w:rPr>
          <w:sz w:val="24"/>
          <w:szCs w:val="24"/>
        </w:rPr>
        <w:t xml:space="preserve">Debe fortalecerse la coordinación entre sistema de información que abordan datos sobre seguridad ciudadana para mejorar </w:t>
      </w:r>
      <w:proofErr w:type="gramStart"/>
      <w:r>
        <w:rPr>
          <w:sz w:val="24"/>
          <w:szCs w:val="24"/>
        </w:rPr>
        <w:t>las estrategia</w:t>
      </w:r>
      <w:proofErr w:type="gramEnd"/>
      <w:r>
        <w:rPr>
          <w:sz w:val="24"/>
          <w:szCs w:val="24"/>
        </w:rPr>
        <w:t xml:space="preserve"> de prevención y control de la criminalidad, incluyendo la persecución eficiente del crimen transnacional. </w:t>
      </w:r>
    </w:p>
    <w:p w14:paraId="05AE8C47" w14:textId="77777777" w:rsidR="00BB534D" w:rsidRDefault="00B842B1">
      <w:pPr>
        <w:pStyle w:val="Heading2"/>
        <w:spacing w:before="360" w:after="120" w:line="240" w:lineRule="auto"/>
        <w:rPr>
          <w:color w:val="4A86E8"/>
          <w:sz w:val="24"/>
          <w:szCs w:val="24"/>
        </w:rPr>
      </w:pPr>
      <w:bookmarkStart w:id="17" w:name="_7nh1slqrwj55" w:colFirst="0" w:colLast="0"/>
      <w:bookmarkEnd w:id="17"/>
      <w:r>
        <w:rPr>
          <w:color w:val="4A86E8"/>
          <w:sz w:val="24"/>
          <w:szCs w:val="24"/>
        </w:rPr>
        <w:t>4.5 Acceso a la justicia</w:t>
      </w:r>
    </w:p>
    <w:p w14:paraId="05AE8C48" w14:textId="77777777" w:rsidR="00BB534D" w:rsidRDefault="00B842B1">
      <w:pPr>
        <w:spacing w:before="0" w:after="160" w:line="240" w:lineRule="auto"/>
        <w:jc w:val="both"/>
        <w:rPr>
          <w:sz w:val="24"/>
          <w:szCs w:val="24"/>
        </w:rPr>
      </w:pPr>
      <w:r>
        <w:rPr>
          <w:sz w:val="24"/>
          <w:szCs w:val="24"/>
        </w:rPr>
        <w:t xml:space="preserve">El Poder Judicial se ha comprometido con la implementación de instrumentos de carácter no vinculante, como las “100 Reglas de Brasilia sobre acceso a la justicia de personas en condición de vulnerabilidad”, adoptadas en el año 2008 a instancias de la Cumbre Judicial Iberoamericana y las “Guías de Santiago sobre atención y protección a víctimas y testigos”, adoptadas por las autoridades que integran la Asociación Iberoamericana de Ministerios Públicos (AIAMP). Estos documentos establecen orientaciones específicas a partir de instrumentos internacionales de derechos humanos. Si bien dichos compromisos han impulsado acciones dirigidas a ampliar el acceso a la justicia a nivel nacional, aún se mantienen brechas significativas para poblaciones que se enfrentan a situaciones de discriminación estructural, así como ajustar el marco jurídico dispuesto para atender la situación de estas poblaciones de manera diferenciada. En este ámbito, debe fortalecerse la justicia </w:t>
      </w:r>
      <w:proofErr w:type="spellStart"/>
      <w:r>
        <w:rPr>
          <w:sz w:val="24"/>
          <w:szCs w:val="24"/>
        </w:rPr>
        <w:t>infanto</w:t>
      </w:r>
      <w:proofErr w:type="spellEnd"/>
      <w:r>
        <w:rPr>
          <w:sz w:val="24"/>
          <w:szCs w:val="24"/>
        </w:rPr>
        <w:t xml:space="preserve"> juvenil y restaurativa.</w:t>
      </w:r>
    </w:p>
    <w:p w14:paraId="05AE8C49" w14:textId="77777777" w:rsidR="00BB534D" w:rsidRDefault="00B842B1">
      <w:pPr>
        <w:spacing w:before="0" w:after="160" w:line="240" w:lineRule="auto"/>
        <w:jc w:val="both"/>
        <w:rPr>
          <w:sz w:val="24"/>
          <w:szCs w:val="24"/>
        </w:rPr>
      </w:pPr>
      <w:r>
        <w:rPr>
          <w:sz w:val="24"/>
          <w:szCs w:val="24"/>
        </w:rPr>
        <w:t>En el reporte de actividades de la Unidad de Acceso a la Justicia del año 2019, muestra que la gestión de las subcomisiones se centra en la adopción de disposiciones para favorecer el acceso a servicios, la inclusión laboral, así como procesos de sensibilización para eliminar la discriminación que afecta a estas poblaciones. Sin perjuicio de lo anterior, se echa de menos información cualitativa y cuantitativa sobre la situación actual de estas poblaciones y las principales barreras que aún enfrentan en el acceso a la justicia.</w:t>
      </w:r>
    </w:p>
    <w:p w14:paraId="05AE8C4A" w14:textId="77777777" w:rsidR="00BB534D" w:rsidRDefault="00B842B1">
      <w:pPr>
        <w:spacing w:before="0" w:after="160" w:line="240" w:lineRule="auto"/>
        <w:jc w:val="both"/>
        <w:rPr>
          <w:sz w:val="24"/>
          <w:szCs w:val="24"/>
        </w:rPr>
      </w:pPr>
      <w:r>
        <w:rPr>
          <w:sz w:val="24"/>
          <w:szCs w:val="24"/>
        </w:rPr>
        <w:t>Merece especial mención la cuestión del acceso a la justicia de los pueblos indígenas, teniendo en cuenta que en el tercer ciclo del Examen Periódico Universal (EPU)</w:t>
      </w:r>
      <w:r>
        <w:rPr>
          <w:sz w:val="24"/>
          <w:szCs w:val="24"/>
          <w:vertAlign w:val="superscript"/>
        </w:rPr>
        <w:t xml:space="preserve"> </w:t>
      </w:r>
      <w:r>
        <w:rPr>
          <w:sz w:val="24"/>
          <w:szCs w:val="24"/>
          <w:vertAlign w:val="superscript"/>
        </w:rPr>
        <w:footnoteReference w:id="109"/>
      </w:r>
      <w:r>
        <w:rPr>
          <w:sz w:val="24"/>
          <w:szCs w:val="24"/>
        </w:rPr>
        <w:t xml:space="preserve"> a Costa Rica se incluyen recomendaciones específicas en esta materia. Hay que destacar que el Poder Judicial adelanta el proceso de elaboración de la política de pueblos indígenas con la participación de estos, conforme a los estándares internacionales de derechos humanos en la materia. </w:t>
      </w:r>
    </w:p>
    <w:p w14:paraId="05AE8C4B" w14:textId="77777777" w:rsidR="00BB534D" w:rsidRDefault="00B842B1">
      <w:pPr>
        <w:spacing w:before="0" w:after="160" w:line="240" w:lineRule="auto"/>
        <w:jc w:val="both"/>
        <w:rPr>
          <w:sz w:val="24"/>
          <w:szCs w:val="24"/>
        </w:rPr>
      </w:pPr>
      <w:r>
        <w:rPr>
          <w:sz w:val="24"/>
          <w:szCs w:val="24"/>
        </w:rPr>
        <w:t>El acceso efectivo de los pueblos indígenas a la justicia comprende tanto su acceso al sistema jurídico estatal como a sus sistemas propios de justicia</w:t>
      </w:r>
      <w:r>
        <w:rPr>
          <w:sz w:val="24"/>
          <w:szCs w:val="24"/>
          <w:vertAlign w:val="superscript"/>
        </w:rPr>
        <w:footnoteReference w:id="110"/>
      </w:r>
      <w:r>
        <w:rPr>
          <w:sz w:val="24"/>
          <w:szCs w:val="24"/>
        </w:rPr>
        <w:t>. Sin tribunales u otros mecanismos jurídicos accesibles que les permitan proteger sus derechos en virtud de los instrumentos normativos nacionales e internacionales, los pueblos indígenas son vulnerables a acciones que amenazan sus tierras, los sistemas naturales ahí conservados, sus culturas, lugares sagrados y medios de vida. Al mismo tiempo, el reconocimiento de sus sistemas propios de justicia es importante para responder a sus derechos y necesidades en materia de justicia, libre determinación, autogobierno y cultura.</w:t>
      </w:r>
      <w:r>
        <w:rPr>
          <w:sz w:val="24"/>
          <w:szCs w:val="24"/>
          <w:vertAlign w:val="superscript"/>
        </w:rPr>
        <w:footnoteReference w:id="111"/>
      </w:r>
    </w:p>
    <w:p w14:paraId="05AE8C4C" w14:textId="77777777" w:rsidR="00BB534D" w:rsidRDefault="00B842B1">
      <w:pPr>
        <w:spacing w:before="0" w:after="160" w:line="240" w:lineRule="auto"/>
        <w:jc w:val="both"/>
        <w:rPr>
          <w:sz w:val="24"/>
          <w:szCs w:val="24"/>
        </w:rPr>
      </w:pPr>
      <w:r>
        <w:rPr>
          <w:sz w:val="24"/>
          <w:szCs w:val="24"/>
        </w:rPr>
        <w:t>La justicia de los pueblos indígenas representa un pilar fundamental del Acuerdo de Escazú. La ratificación del Acuerdo por parte de Costa Rica permitiría al país mejorar las vías jurisdiccionales y administrativas para la solución de conflictos ambientales, buscando incluso una sección especializada en materia de justicia ambiental con su propio procedimiento dentro de la jurisdicción contenciosa administrativa.</w:t>
      </w:r>
      <w:r>
        <w:rPr>
          <w:sz w:val="24"/>
          <w:szCs w:val="24"/>
          <w:vertAlign w:val="superscript"/>
        </w:rPr>
        <w:footnoteReference w:id="112"/>
      </w:r>
      <w:r>
        <w:rPr>
          <w:sz w:val="24"/>
          <w:szCs w:val="24"/>
        </w:rPr>
        <w:t xml:space="preserve"> Frente a crecientes conflictos socioambientales, es urgente que el Estado garantice mecanismos efectivos de protección y acceso a la justicia. </w:t>
      </w:r>
    </w:p>
    <w:p w14:paraId="05AE8C4D" w14:textId="77777777" w:rsidR="00BB534D" w:rsidRDefault="00B842B1">
      <w:pPr>
        <w:spacing w:before="0" w:after="160" w:line="240" w:lineRule="auto"/>
        <w:jc w:val="both"/>
        <w:rPr>
          <w:sz w:val="24"/>
          <w:szCs w:val="24"/>
        </w:rPr>
      </w:pPr>
      <w:r>
        <w:rPr>
          <w:sz w:val="24"/>
          <w:szCs w:val="24"/>
        </w:rPr>
        <w:t>Sumado al concepto de justicia ambiental, también en el país ha comenzado a posicionarse de parte de movimientos sociales la necesidad de incorporar la justicia climática como un elemento central, siendo definida como la justicia que vincula los derechos humanos y el desarrollo para lograr un enfoque que sitúe en el centro a las personas, protegiendo los derechos de aquellos que son más vulnerables a los efectos del cambio climático.</w:t>
      </w:r>
    </w:p>
    <w:p w14:paraId="05AE8C4E" w14:textId="77777777" w:rsidR="00BB534D" w:rsidRDefault="00B842B1">
      <w:pPr>
        <w:spacing w:before="0" w:after="160" w:line="240" w:lineRule="auto"/>
        <w:jc w:val="both"/>
        <w:rPr>
          <w:sz w:val="24"/>
          <w:szCs w:val="24"/>
        </w:rPr>
      </w:pPr>
      <w:r>
        <w:rPr>
          <w:sz w:val="24"/>
          <w:szCs w:val="24"/>
        </w:rPr>
        <w:t xml:space="preserve">En el caso de las personas migrantes en situación irregular, cuando ven lesionados sus derechos, no recurren a los despachos judiciales por temor de ser denunciadas y deportadas por esa situación. Las personas migrantes piensan que no se les va a atender, que los procesos judiciales son difíciles y que además se ocupa dinero y profesionales del derecho. </w:t>
      </w:r>
    </w:p>
    <w:p w14:paraId="05AE8C4F" w14:textId="77777777" w:rsidR="00BB534D" w:rsidRDefault="00B842B1">
      <w:pPr>
        <w:spacing w:before="0" w:after="160" w:line="240" w:lineRule="auto"/>
        <w:jc w:val="both"/>
        <w:rPr>
          <w:sz w:val="24"/>
          <w:szCs w:val="24"/>
        </w:rPr>
      </w:pPr>
      <w:r>
        <w:rPr>
          <w:sz w:val="24"/>
          <w:szCs w:val="24"/>
        </w:rPr>
        <w:t>Costa Rica presenta altas tasas de litigiosidad, tal y como lo reconoce el informe del Tercer Estado de la Justicia, en el que se evidencia que, entre 2015 y 2018, la litigiosidad promedio se mantuvo en torno a 143 causas judiciales ingresadas por cada mil habitantes. De acuerdo con la Contraloría de Servicios del Poder Judicial, entre las quejas recibidas en relación con el acceso a la justicia, el 71% se refieren a los retrasos en los tiempos de respuesta y un 24% de las quejas apuntan a la insatisfacción de las personas usuarias con el servicio.</w:t>
      </w:r>
    </w:p>
    <w:p w14:paraId="05AE8C50" w14:textId="77777777" w:rsidR="00BB534D" w:rsidRDefault="00B842B1">
      <w:pPr>
        <w:spacing w:before="0" w:after="160" w:line="240" w:lineRule="auto"/>
        <w:jc w:val="both"/>
        <w:rPr>
          <w:sz w:val="24"/>
          <w:szCs w:val="24"/>
        </w:rPr>
      </w:pPr>
      <w:r>
        <w:rPr>
          <w:sz w:val="24"/>
          <w:szCs w:val="24"/>
        </w:rPr>
        <w:t>Según el mismo informe, entre los desafíos que enfrenta el acceso a la justicia se suman tres eventos que generaron una profunda crisis en el sistema judicial. Estos se refieren a un escándalo de corrupción política, que involucró autoridades de alto nivel de la institución, el recorte presupuestario generado con la aprobación de leyes de austeridad fiscal y la profundización de las divisiones internas en la Corte Suprema de Justicia en temas relacionados con el gobierno judicial. Además, es necesario atender las preocupaciones en torno a la opacidad del mecanismo utilizado para el nombramiento de magistrados, así como propuestas de reforma que podrían comprometer la independencia judicial.</w:t>
      </w:r>
    </w:p>
    <w:p w14:paraId="05AE8C51" w14:textId="77777777" w:rsidR="00BB534D" w:rsidRDefault="00B842B1">
      <w:pPr>
        <w:pStyle w:val="Heading3"/>
        <w:spacing w:before="320" w:after="160" w:line="240" w:lineRule="auto"/>
        <w:jc w:val="both"/>
        <w:rPr>
          <w:i/>
          <w:color w:val="4A86E8"/>
        </w:rPr>
      </w:pPr>
      <w:bookmarkStart w:id="18" w:name="_zi41sbdhezym" w:colFirst="0" w:colLast="0"/>
      <w:bookmarkEnd w:id="18"/>
      <w:r>
        <w:rPr>
          <w:i/>
          <w:color w:val="4A86E8"/>
        </w:rPr>
        <w:t>Mirando hacia el futuro</w:t>
      </w:r>
    </w:p>
    <w:p w14:paraId="05AE8C52" w14:textId="77777777" w:rsidR="00BB534D" w:rsidRDefault="00B842B1">
      <w:pPr>
        <w:numPr>
          <w:ilvl w:val="0"/>
          <w:numId w:val="10"/>
        </w:numPr>
        <w:spacing w:before="0" w:line="240" w:lineRule="auto"/>
        <w:jc w:val="both"/>
        <w:rPr>
          <w:sz w:val="24"/>
          <w:szCs w:val="24"/>
        </w:rPr>
      </w:pPr>
      <w:r>
        <w:rPr>
          <w:sz w:val="24"/>
          <w:szCs w:val="24"/>
        </w:rPr>
        <w:t xml:space="preserve">Promover el respeto y protección de los derechos de las víctimas y sobrevivientes de violencia, eliminando los procedimientos que las revictimizan y facilitando su acceso a la justicia. </w:t>
      </w:r>
    </w:p>
    <w:p w14:paraId="05AE8C53" w14:textId="77777777" w:rsidR="00BB534D" w:rsidRDefault="00B842B1">
      <w:pPr>
        <w:numPr>
          <w:ilvl w:val="0"/>
          <w:numId w:val="10"/>
        </w:numPr>
        <w:spacing w:before="0" w:line="240" w:lineRule="auto"/>
        <w:jc w:val="both"/>
        <w:rPr>
          <w:sz w:val="24"/>
          <w:szCs w:val="24"/>
        </w:rPr>
      </w:pPr>
      <w:r>
        <w:rPr>
          <w:sz w:val="24"/>
          <w:szCs w:val="24"/>
        </w:rPr>
        <w:t>Fortalecer el acceso local a mecanismos existentes a nivel nacional, tales como el “Protocolo interinstitucional de atención integral a víctimas de violación sexual en las primeras 72 horas de ocurrido el evento (edad joven y adulta)” y de la Ley 9406 (conocida como la Ley de relaciones impropias) y capacitar a operadores de justicia en su implementación, promoviendo mecanismos de rendición de cuentas a nivel local en casos de incumplimiento.</w:t>
      </w:r>
    </w:p>
    <w:p w14:paraId="05AE8C54" w14:textId="77777777" w:rsidR="00BB534D" w:rsidRDefault="00B842B1">
      <w:pPr>
        <w:numPr>
          <w:ilvl w:val="0"/>
          <w:numId w:val="10"/>
        </w:numPr>
        <w:spacing w:before="0" w:line="240" w:lineRule="auto"/>
        <w:jc w:val="both"/>
        <w:rPr>
          <w:sz w:val="24"/>
          <w:szCs w:val="24"/>
        </w:rPr>
      </w:pPr>
      <w:r>
        <w:rPr>
          <w:sz w:val="24"/>
          <w:szCs w:val="24"/>
        </w:rPr>
        <w:t>Reconocer la cosmovisión indígena y eliminar las barreras culturales, geográficas y lingüísticas en los procesos judiciales. Como consecuencia de la alta conflictividad, las disputas sobre el territorio, y la impunidad hasta la fecha del asesinato de dos líderes, aparentemente debido a su participación en la reivindicación de derechos sobre la tierra, se plantean como importantes desafíos para el respeto y garantía de los derechos de los pueblos indígenas.</w:t>
      </w:r>
      <w:r>
        <w:rPr>
          <w:sz w:val="24"/>
          <w:szCs w:val="24"/>
          <w:vertAlign w:val="superscript"/>
        </w:rPr>
        <w:t xml:space="preserve"> </w:t>
      </w:r>
      <w:r>
        <w:rPr>
          <w:sz w:val="24"/>
          <w:szCs w:val="24"/>
          <w:vertAlign w:val="superscript"/>
        </w:rPr>
        <w:footnoteReference w:id="113"/>
      </w:r>
      <w:r>
        <w:rPr>
          <w:sz w:val="24"/>
          <w:szCs w:val="24"/>
        </w:rPr>
        <w:t xml:space="preserve"> </w:t>
      </w:r>
    </w:p>
    <w:p w14:paraId="05AE8C55" w14:textId="77777777" w:rsidR="00BB534D" w:rsidRDefault="00B842B1">
      <w:pPr>
        <w:numPr>
          <w:ilvl w:val="0"/>
          <w:numId w:val="10"/>
        </w:numPr>
        <w:spacing w:before="0" w:line="240" w:lineRule="auto"/>
        <w:jc w:val="both"/>
        <w:rPr>
          <w:sz w:val="24"/>
          <w:szCs w:val="24"/>
        </w:rPr>
      </w:pPr>
      <w:r>
        <w:rPr>
          <w:sz w:val="24"/>
          <w:szCs w:val="24"/>
        </w:rPr>
        <w:t xml:space="preserve">Atender las preocupaciones en torno a la opacidad del mecanismo utilizado para el nombramiento de magistrados. </w:t>
      </w:r>
    </w:p>
    <w:p w14:paraId="05AE8C56" w14:textId="77777777" w:rsidR="00BB534D" w:rsidRDefault="00B842B1">
      <w:pPr>
        <w:numPr>
          <w:ilvl w:val="0"/>
          <w:numId w:val="10"/>
        </w:numPr>
        <w:spacing w:before="0" w:line="240" w:lineRule="auto"/>
        <w:jc w:val="both"/>
        <w:rPr>
          <w:sz w:val="24"/>
          <w:szCs w:val="24"/>
        </w:rPr>
      </w:pPr>
      <w:r>
        <w:rPr>
          <w:sz w:val="24"/>
          <w:szCs w:val="24"/>
        </w:rPr>
        <w:t>La ausencia de datos o estadísticas oficiales sobre índices de criminalidad, con enfoque diferencial y de género, que establezca criterios de convergencia y comparabilidad de datos sobre ciertos crímenes cometidos en la región, como los que afectan, por ejemplo, a personas LGBTI+, es una tarea pendiente que debe atender el Poder Judicial.</w:t>
      </w:r>
    </w:p>
    <w:p w14:paraId="05AE8C57" w14:textId="77777777" w:rsidR="00BB534D" w:rsidRDefault="00B842B1">
      <w:pPr>
        <w:pStyle w:val="Heading2"/>
        <w:spacing w:before="360" w:after="120" w:line="240" w:lineRule="auto"/>
        <w:rPr>
          <w:color w:val="4A86E8"/>
          <w:sz w:val="24"/>
          <w:szCs w:val="24"/>
        </w:rPr>
      </w:pPr>
      <w:bookmarkStart w:id="19" w:name="_kic63baj3gvy" w:colFirst="0" w:colLast="0"/>
      <w:bookmarkEnd w:id="19"/>
      <w:r>
        <w:rPr>
          <w:color w:val="4A86E8"/>
          <w:sz w:val="24"/>
          <w:szCs w:val="24"/>
        </w:rPr>
        <w:t>4.6 Seguridad Ciudadana</w:t>
      </w:r>
    </w:p>
    <w:p w14:paraId="05AE8C58" w14:textId="77777777" w:rsidR="00BB534D" w:rsidRDefault="00B842B1">
      <w:pPr>
        <w:spacing w:before="0" w:after="160" w:line="240" w:lineRule="auto"/>
        <w:jc w:val="both"/>
        <w:rPr>
          <w:sz w:val="24"/>
          <w:szCs w:val="24"/>
        </w:rPr>
      </w:pPr>
      <w:r>
        <w:rPr>
          <w:sz w:val="24"/>
          <w:szCs w:val="24"/>
        </w:rPr>
        <w:t xml:space="preserve">Desde principios de siglo se advirtió de un cambio en las manifestaciones e intensidad de la violencia interpersonal y en la percepción de inseguridad en las personas. Si observamos el comportamiento de la tasa de homicidio por 100 mil habitantes en los últimos 20 años, vemos un crecimiento importante en la primera década, una mejora a partir de 2011 y un repunte a partir de 2014 que conduce a la tasa más elevada de la historia en 2017.  </w:t>
      </w:r>
    </w:p>
    <w:p w14:paraId="05AE8C59" w14:textId="77777777" w:rsidR="00BB534D" w:rsidRDefault="00B842B1">
      <w:pPr>
        <w:spacing w:before="0" w:after="160" w:line="240" w:lineRule="auto"/>
        <w:jc w:val="both"/>
        <w:rPr>
          <w:sz w:val="24"/>
          <w:szCs w:val="24"/>
        </w:rPr>
      </w:pPr>
      <w:r>
        <w:rPr>
          <w:sz w:val="24"/>
          <w:szCs w:val="24"/>
        </w:rPr>
        <w:t>En 2018 y 2019 se muestra una tendencia a la baja, pero llama la atención que, en 2020, en un contexto prolongado de distanciamiento social y restricción a la movilidad vehicular, el homicidio crece con respecto al año anterior en 6 víctimas.  Para 2021, a falta de datos oficiales, se pronostica un leve incremento de los homicidios respecto al año anterior.</w:t>
      </w:r>
    </w:p>
    <w:p w14:paraId="05AE8C5A" w14:textId="77777777" w:rsidR="00BB534D" w:rsidRDefault="00BB534D">
      <w:pPr>
        <w:spacing w:before="0" w:after="160" w:line="240" w:lineRule="auto"/>
        <w:jc w:val="both"/>
        <w:rPr>
          <w:sz w:val="24"/>
          <w:szCs w:val="24"/>
        </w:rPr>
      </w:pPr>
    </w:p>
    <w:p w14:paraId="05AE8C5B" w14:textId="77777777" w:rsidR="00BB534D" w:rsidRDefault="00B842B1">
      <w:pPr>
        <w:spacing w:before="0" w:after="160" w:line="240" w:lineRule="auto"/>
        <w:jc w:val="both"/>
        <w:rPr>
          <w:sz w:val="24"/>
          <w:szCs w:val="24"/>
        </w:rPr>
      </w:pPr>
      <w:r>
        <w:rPr>
          <w:noProof/>
          <w:sz w:val="24"/>
          <w:szCs w:val="24"/>
        </w:rPr>
        <w:drawing>
          <wp:inline distT="0" distB="0" distL="0" distR="0" wp14:anchorId="05AE8D39" wp14:editId="05AE8D3A">
            <wp:extent cx="5639230" cy="2698635"/>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5639230" cy="2698635"/>
                    </a:xfrm>
                    <a:prstGeom prst="rect">
                      <a:avLst/>
                    </a:prstGeom>
                    <a:ln/>
                  </pic:spPr>
                </pic:pic>
              </a:graphicData>
            </a:graphic>
          </wp:inline>
        </w:drawing>
      </w:r>
    </w:p>
    <w:p w14:paraId="05AE8C5C" w14:textId="77777777" w:rsidR="00BB534D" w:rsidRDefault="00BB534D">
      <w:pPr>
        <w:spacing w:before="0" w:after="160" w:line="240" w:lineRule="auto"/>
        <w:jc w:val="both"/>
        <w:rPr>
          <w:sz w:val="24"/>
          <w:szCs w:val="24"/>
        </w:rPr>
      </w:pPr>
    </w:p>
    <w:p w14:paraId="05AE8C5D" w14:textId="77777777" w:rsidR="00BB534D" w:rsidRDefault="00B842B1">
      <w:pPr>
        <w:spacing w:before="0" w:after="160" w:line="240" w:lineRule="auto"/>
        <w:jc w:val="both"/>
        <w:rPr>
          <w:sz w:val="24"/>
          <w:szCs w:val="24"/>
        </w:rPr>
      </w:pPr>
      <w:r>
        <w:rPr>
          <w:sz w:val="24"/>
          <w:szCs w:val="24"/>
        </w:rPr>
        <w:t>Un análisis preliminar sobre el móvil y el modus operandi, relaciona mayoritariamente esta situación con el crimen organizado. Debe señalarse que la mayor parte de las víctimas se encuentran entre los 15 y 34 años, lo que requiere un análisis y abordaje específico para prevenir la violencia en esta población. Además, es importante observar la concentración de los homicidios en determinados cantones, como San José, Limón, Puntarenas y Alajuela.</w:t>
      </w:r>
    </w:p>
    <w:p w14:paraId="05AE8C5E" w14:textId="77777777" w:rsidR="00BB534D" w:rsidRDefault="00B842B1">
      <w:pPr>
        <w:spacing w:before="0" w:after="160" w:line="240" w:lineRule="auto"/>
        <w:jc w:val="both"/>
        <w:rPr>
          <w:sz w:val="24"/>
          <w:szCs w:val="24"/>
        </w:rPr>
      </w:pPr>
      <w:r>
        <w:rPr>
          <w:sz w:val="24"/>
          <w:szCs w:val="24"/>
        </w:rPr>
        <w:t>También es necesario señalar un aumento en el femicidio en 2020 en comparación con 2019 si se consideran los criterios de la Convención Interamericana para Prevenir, Sancionar y Erradicar la Violencia contra la Mujer (Belém do Pará). Asimismo, se registra un aumento del 22% en casos de violencia intrafamiliar, según datos del Ministerio de Seguridad Pública.</w:t>
      </w:r>
    </w:p>
    <w:p w14:paraId="05AE8C5F" w14:textId="77777777" w:rsidR="00BB534D" w:rsidRDefault="00B842B1">
      <w:pPr>
        <w:spacing w:before="0" w:after="160" w:line="240" w:lineRule="auto"/>
        <w:jc w:val="both"/>
        <w:rPr>
          <w:sz w:val="24"/>
          <w:szCs w:val="24"/>
        </w:rPr>
      </w:pPr>
      <w:r>
        <w:rPr>
          <w:sz w:val="24"/>
          <w:szCs w:val="24"/>
        </w:rPr>
        <w:t>Con relación a los delitos patrimoniales, según los datos del Organismos de Investigación Judicial, se registra una disminución importante en 2020 respecto a 2019, tanto cuando se miran los datos nacionales como desagregados por provincia, con la única excepción de Puntarenas donde el robo y el robo de vehículo muestra un ligero crecimiento.</w:t>
      </w:r>
    </w:p>
    <w:p w14:paraId="05AE8C60" w14:textId="77777777" w:rsidR="00BB534D" w:rsidRDefault="00B842B1">
      <w:pPr>
        <w:pStyle w:val="Heading3"/>
        <w:spacing w:before="320" w:after="160" w:line="240" w:lineRule="auto"/>
        <w:jc w:val="both"/>
        <w:rPr>
          <w:i/>
          <w:color w:val="4A86E8"/>
        </w:rPr>
      </w:pPr>
      <w:r>
        <w:rPr>
          <w:i/>
          <w:color w:val="4A86E8"/>
        </w:rPr>
        <w:t>Mirando hacia el futuro</w:t>
      </w:r>
    </w:p>
    <w:p w14:paraId="05AE8C61" w14:textId="77777777" w:rsidR="00BB534D" w:rsidRDefault="00B842B1">
      <w:pPr>
        <w:numPr>
          <w:ilvl w:val="0"/>
          <w:numId w:val="11"/>
        </w:numPr>
        <w:spacing w:before="0" w:line="240" w:lineRule="auto"/>
        <w:jc w:val="both"/>
        <w:rPr>
          <w:sz w:val="24"/>
          <w:szCs w:val="24"/>
        </w:rPr>
      </w:pPr>
      <w:r>
        <w:rPr>
          <w:sz w:val="24"/>
          <w:szCs w:val="24"/>
        </w:rPr>
        <w:t xml:space="preserve"> Es importante fortalecer el abordaje de la seguridad ciudadana con base en la evidencia, a través de una política pública integral, con enfoque de derechos humanos, que enfatice en la prevención y que responda a causas y factores de riesgos específicos para determinadas poblaciones y territorios, con perspectiva de género y análisis interseccional.</w:t>
      </w:r>
    </w:p>
    <w:p w14:paraId="05AE8C62" w14:textId="77777777" w:rsidR="00BB534D" w:rsidRDefault="00B842B1">
      <w:pPr>
        <w:numPr>
          <w:ilvl w:val="0"/>
          <w:numId w:val="11"/>
        </w:numPr>
        <w:spacing w:before="0" w:line="240" w:lineRule="auto"/>
        <w:jc w:val="both"/>
        <w:rPr>
          <w:sz w:val="24"/>
          <w:szCs w:val="24"/>
        </w:rPr>
      </w:pPr>
      <w:r>
        <w:rPr>
          <w:sz w:val="24"/>
          <w:szCs w:val="24"/>
        </w:rPr>
        <w:t>Se deben fortalecer las acciones para prevenir, sancionar y erradicar la violencia contra las mujeres y las niñas, en línea con las recomendaciones del Comité de la CEDAW</w:t>
      </w:r>
      <w:r>
        <w:rPr>
          <w:sz w:val="24"/>
          <w:szCs w:val="24"/>
          <w:vertAlign w:val="superscript"/>
        </w:rPr>
        <w:footnoteReference w:id="114"/>
      </w:r>
      <w:r>
        <w:rPr>
          <w:sz w:val="24"/>
          <w:szCs w:val="24"/>
        </w:rPr>
        <w:t>.</w:t>
      </w:r>
    </w:p>
    <w:p w14:paraId="05AE8C63" w14:textId="77777777" w:rsidR="00BB534D" w:rsidRDefault="00B842B1">
      <w:pPr>
        <w:numPr>
          <w:ilvl w:val="0"/>
          <w:numId w:val="11"/>
        </w:numPr>
        <w:spacing w:before="0" w:line="240" w:lineRule="auto"/>
        <w:jc w:val="both"/>
        <w:rPr>
          <w:sz w:val="24"/>
          <w:szCs w:val="24"/>
        </w:rPr>
      </w:pPr>
      <w:r>
        <w:rPr>
          <w:sz w:val="24"/>
          <w:szCs w:val="24"/>
        </w:rPr>
        <w:t>Promover el liderazgo femenino y fomentar el acceso de mujeres a cargos de alto rango son factores esenciales para el fortalecimiento de la igualdad de género en las fuerzas de orden y seguridad. Establecer mecanismos de colaboración con organizaciones nacionales e internacionales dedicadas a promover el avance de los derechos de la mujer que sirvan para fortalecer el liderazgo femenino en fuerzas y cuerpos de seguridad.</w:t>
      </w:r>
    </w:p>
    <w:p w14:paraId="05AE8C64" w14:textId="77777777" w:rsidR="00BB534D" w:rsidRDefault="00B842B1">
      <w:pPr>
        <w:numPr>
          <w:ilvl w:val="0"/>
          <w:numId w:val="11"/>
        </w:numPr>
        <w:spacing w:before="0" w:line="240" w:lineRule="auto"/>
        <w:jc w:val="both"/>
        <w:rPr>
          <w:sz w:val="24"/>
          <w:szCs w:val="24"/>
        </w:rPr>
      </w:pPr>
      <w:r>
        <w:rPr>
          <w:sz w:val="24"/>
          <w:szCs w:val="24"/>
        </w:rPr>
        <w:t>Asegurar el imperio de la Ley tanto a nivel nacional como en la persecución del crimen organizado transnacional, desde un abordaje de género y derechos humanos. Igualdad en la justicia para todos y todas (ODS 16.3).</w:t>
      </w:r>
    </w:p>
    <w:p w14:paraId="05AE8C65" w14:textId="77777777" w:rsidR="00BB534D" w:rsidRDefault="00B842B1">
      <w:pPr>
        <w:numPr>
          <w:ilvl w:val="0"/>
          <w:numId w:val="11"/>
        </w:numPr>
        <w:spacing w:before="0" w:line="240" w:lineRule="auto"/>
        <w:jc w:val="both"/>
        <w:rPr>
          <w:sz w:val="24"/>
          <w:szCs w:val="24"/>
        </w:rPr>
      </w:pPr>
      <w:r>
        <w:rPr>
          <w:sz w:val="24"/>
          <w:szCs w:val="24"/>
        </w:rPr>
        <w:t xml:space="preserve">Disponer de datos públicos sobre feminicidios, abusos sexuales o tratos inhumanos de personas en situación de vulnerabilidad como, por ejemplo, personas migrantes en tránsito por el país. </w:t>
      </w:r>
    </w:p>
    <w:p w14:paraId="05AE8C66" w14:textId="77777777" w:rsidR="00BB534D" w:rsidRDefault="00B842B1">
      <w:pPr>
        <w:numPr>
          <w:ilvl w:val="0"/>
          <w:numId w:val="11"/>
        </w:numPr>
        <w:spacing w:before="0" w:line="240" w:lineRule="auto"/>
        <w:jc w:val="both"/>
        <w:rPr>
          <w:sz w:val="24"/>
          <w:szCs w:val="24"/>
        </w:rPr>
      </w:pPr>
      <w:r>
        <w:rPr>
          <w:sz w:val="24"/>
          <w:szCs w:val="24"/>
        </w:rPr>
        <w:t xml:space="preserve">Prevenir, combatir y erradicar la trata de personas en contexto de migración internacional. Reforzar la respuesta de las estructuras de país a perseguir el crimen organizado a nivel transnacional, incluyendo el tráfico ilícito de migrantes. </w:t>
      </w:r>
    </w:p>
    <w:p w14:paraId="05AE8C67" w14:textId="77777777" w:rsidR="00BB534D" w:rsidRDefault="00B842B1">
      <w:pPr>
        <w:numPr>
          <w:ilvl w:val="0"/>
          <w:numId w:val="11"/>
        </w:numPr>
        <w:spacing w:before="0" w:line="240" w:lineRule="auto"/>
        <w:jc w:val="both"/>
        <w:rPr>
          <w:sz w:val="24"/>
          <w:szCs w:val="24"/>
        </w:rPr>
      </w:pPr>
      <w:bookmarkStart w:id="20" w:name="_3rdcrjn" w:colFirst="0" w:colLast="0"/>
      <w:bookmarkEnd w:id="20"/>
      <w:r>
        <w:rPr>
          <w:sz w:val="24"/>
          <w:szCs w:val="24"/>
        </w:rPr>
        <w:t>Capacidad para la gestión datos sobre violencia y victimas, desagregados por identidad de género y sexo, con análisis interseccional.</w:t>
      </w:r>
    </w:p>
    <w:p w14:paraId="05AE8C68" w14:textId="77777777" w:rsidR="00BB534D" w:rsidRDefault="00BB534D">
      <w:pPr>
        <w:spacing w:before="0" w:line="240" w:lineRule="auto"/>
        <w:ind w:left="360"/>
        <w:rPr>
          <w:sz w:val="24"/>
          <w:szCs w:val="24"/>
        </w:rPr>
      </w:pPr>
    </w:p>
    <w:p w14:paraId="05AE8C69" w14:textId="77777777" w:rsidR="00BB534D" w:rsidRDefault="00B842B1">
      <w:pPr>
        <w:pStyle w:val="Heading2"/>
        <w:spacing w:before="0" w:line="240" w:lineRule="auto"/>
        <w:rPr>
          <w:color w:val="4A86E8"/>
          <w:sz w:val="24"/>
          <w:szCs w:val="24"/>
        </w:rPr>
      </w:pPr>
      <w:bookmarkStart w:id="21" w:name="_26in1rg" w:colFirst="0" w:colLast="0"/>
      <w:bookmarkEnd w:id="21"/>
      <w:r>
        <w:rPr>
          <w:color w:val="4A86E8"/>
          <w:sz w:val="24"/>
          <w:szCs w:val="24"/>
        </w:rPr>
        <w:t>4.7 Sistema de gobernanza de la Agenda 2030</w:t>
      </w:r>
    </w:p>
    <w:p w14:paraId="05AE8C6A" w14:textId="77777777" w:rsidR="00BB534D" w:rsidRDefault="00BB534D">
      <w:pPr>
        <w:spacing w:before="0" w:line="240" w:lineRule="auto"/>
        <w:ind w:left="720"/>
        <w:rPr>
          <w:sz w:val="24"/>
          <w:szCs w:val="24"/>
        </w:rPr>
      </w:pPr>
    </w:p>
    <w:p w14:paraId="05AE8C6B" w14:textId="77777777" w:rsidR="00BB534D" w:rsidRDefault="00B842B1">
      <w:pPr>
        <w:spacing w:before="0" w:after="160" w:line="240" w:lineRule="auto"/>
        <w:jc w:val="both"/>
        <w:rPr>
          <w:sz w:val="24"/>
          <w:szCs w:val="24"/>
        </w:rPr>
      </w:pPr>
      <w:r>
        <w:rPr>
          <w:sz w:val="24"/>
          <w:szCs w:val="24"/>
        </w:rPr>
        <w:t>El proceso de implementación de los ODS en Costa Rica se definió en el 2016 con la firma del Pacto Nacional para el Avance de los ODS</w:t>
      </w:r>
      <w:r>
        <w:rPr>
          <w:sz w:val="24"/>
          <w:szCs w:val="24"/>
          <w:vertAlign w:val="superscript"/>
        </w:rPr>
        <w:footnoteReference w:id="115"/>
      </w:r>
      <w:r>
        <w:rPr>
          <w:sz w:val="24"/>
          <w:szCs w:val="24"/>
        </w:rPr>
        <w:t xml:space="preserve">, un acuerdo </w:t>
      </w:r>
      <w:proofErr w:type="spellStart"/>
      <w:r>
        <w:rPr>
          <w:sz w:val="24"/>
          <w:szCs w:val="24"/>
        </w:rPr>
        <w:t>multiactor</w:t>
      </w:r>
      <w:proofErr w:type="spellEnd"/>
      <w:r>
        <w:rPr>
          <w:sz w:val="24"/>
          <w:szCs w:val="24"/>
        </w:rPr>
        <w:t xml:space="preserve"> al más alto nivel firmado por todos los poderes del Estado, entidades de la sociedad civil, sector privado, gobiernos locales y las universidades públicas, con la participación de la Defensoría de los Habitantes y el Sistema de Naciones Unidas como testigos del proceso, y con la adhesión de centrales sindicales en el 2017. A esto se sumó una estructura de gobernanza definida a través del Decreto Ejecutivo </w:t>
      </w:r>
      <w:proofErr w:type="spellStart"/>
      <w:r>
        <w:rPr>
          <w:sz w:val="24"/>
          <w:szCs w:val="24"/>
        </w:rPr>
        <w:t>N°</w:t>
      </w:r>
      <w:proofErr w:type="spellEnd"/>
      <w:r>
        <w:rPr>
          <w:sz w:val="24"/>
          <w:szCs w:val="24"/>
        </w:rPr>
        <w:t xml:space="preserve"> 40203-PLAN-RE-MINAE-MDHIS</w:t>
      </w:r>
      <w:r>
        <w:rPr>
          <w:sz w:val="24"/>
          <w:szCs w:val="24"/>
          <w:vertAlign w:val="superscript"/>
        </w:rPr>
        <w:footnoteReference w:id="116"/>
      </w:r>
      <w:r>
        <w:rPr>
          <w:sz w:val="24"/>
          <w:szCs w:val="24"/>
        </w:rPr>
        <w:t>. </w:t>
      </w:r>
    </w:p>
    <w:p w14:paraId="05AE8C6C" w14:textId="77777777" w:rsidR="00BB534D" w:rsidRDefault="00B842B1">
      <w:pPr>
        <w:spacing w:before="0" w:after="160" w:line="240" w:lineRule="auto"/>
        <w:jc w:val="both"/>
        <w:rPr>
          <w:sz w:val="24"/>
          <w:szCs w:val="24"/>
        </w:rPr>
      </w:pPr>
      <w:r>
        <w:rPr>
          <w:sz w:val="24"/>
          <w:szCs w:val="24"/>
        </w:rPr>
        <w:t xml:space="preserve">En este contexto, el país concretó avances importantes, pero hay que reconocer una pérdida en el impulso inicial que ha afectado la regularidad y fluidez del diálogo, así como la funcionalidad del esquema de gobernanza. r </w:t>
      </w:r>
    </w:p>
    <w:p w14:paraId="05AE8C6D" w14:textId="77777777" w:rsidR="00BB534D" w:rsidRDefault="00B842B1">
      <w:pPr>
        <w:spacing w:before="0" w:after="160" w:line="240" w:lineRule="auto"/>
        <w:jc w:val="both"/>
        <w:rPr>
          <w:sz w:val="24"/>
          <w:szCs w:val="24"/>
        </w:rPr>
      </w:pPr>
      <w:r>
        <w:rPr>
          <w:sz w:val="24"/>
          <w:szCs w:val="24"/>
        </w:rPr>
        <w:t>El Segundo Informe Nacional Voluntario (INV) presentado por Costa Rica en 2020, incorporó procesos de consulta con diversos actores sociales alrededor de los principales avances y desafíos en el proceso de implementación de la Agenda 2030</w:t>
      </w:r>
      <w:r>
        <w:rPr>
          <w:sz w:val="24"/>
          <w:szCs w:val="24"/>
          <w:vertAlign w:val="superscript"/>
        </w:rPr>
        <w:footnoteReference w:id="117"/>
      </w:r>
      <w:r>
        <w:rPr>
          <w:rFonts w:ascii="Arial" w:eastAsia="Arial" w:hAnsi="Arial" w:cs="Arial"/>
          <w:sz w:val="24"/>
          <w:szCs w:val="24"/>
        </w:rPr>
        <w:t xml:space="preserve">.  Entre los desafíos se encuentra la ausencia de visión a largo plazo, además de fortalecer la transparencia, </w:t>
      </w:r>
      <w:proofErr w:type="spellStart"/>
      <w:r>
        <w:rPr>
          <w:rFonts w:ascii="Arial" w:eastAsia="Arial" w:hAnsi="Arial" w:cs="Arial"/>
          <w:sz w:val="24"/>
          <w:szCs w:val="24"/>
        </w:rPr>
        <w:t>comunicación</w:t>
      </w:r>
      <w:proofErr w:type="spellEnd"/>
      <w:r>
        <w:rPr>
          <w:rFonts w:ascii="Arial" w:eastAsia="Arial" w:hAnsi="Arial" w:cs="Arial"/>
          <w:sz w:val="24"/>
          <w:szCs w:val="24"/>
        </w:rPr>
        <w:t xml:space="preserve"> y coordinación intersectorial, así como la estructura de gobernanza, incluyendo el rol del Consejo de Alto Nivel y el </w:t>
      </w:r>
      <w:proofErr w:type="spellStart"/>
      <w:r>
        <w:rPr>
          <w:rFonts w:ascii="Arial" w:eastAsia="Arial" w:hAnsi="Arial" w:cs="Arial"/>
          <w:sz w:val="24"/>
          <w:szCs w:val="24"/>
        </w:rPr>
        <w:t>Comite</w:t>
      </w:r>
      <w:proofErr w:type="spellEnd"/>
      <w:r>
        <w:rPr>
          <w:rFonts w:ascii="Arial" w:eastAsia="Arial" w:hAnsi="Arial" w:cs="Arial"/>
          <w:sz w:val="24"/>
          <w:szCs w:val="24"/>
        </w:rPr>
        <w:t xml:space="preserve">́ Consultivo. </w:t>
      </w:r>
    </w:p>
    <w:p w14:paraId="05AE8C6E" w14:textId="77777777" w:rsidR="00BB534D" w:rsidRDefault="00BB534D">
      <w:pPr>
        <w:spacing w:before="0" w:after="160" w:line="240" w:lineRule="auto"/>
        <w:jc w:val="both"/>
        <w:rPr>
          <w:sz w:val="24"/>
          <w:szCs w:val="24"/>
        </w:rPr>
      </w:pPr>
    </w:p>
    <w:p w14:paraId="05AE8C6F" w14:textId="77777777" w:rsidR="00BB534D" w:rsidRDefault="00BB534D">
      <w:pPr>
        <w:spacing w:before="0" w:after="160" w:line="240" w:lineRule="auto"/>
        <w:jc w:val="both"/>
        <w:rPr>
          <w:sz w:val="24"/>
          <w:szCs w:val="24"/>
        </w:rPr>
      </w:pPr>
    </w:p>
    <w:p w14:paraId="05AE8C70" w14:textId="77777777" w:rsidR="00BB534D" w:rsidRDefault="00BB534D">
      <w:pPr>
        <w:spacing w:before="0" w:after="160" w:line="240" w:lineRule="auto"/>
        <w:jc w:val="both"/>
        <w:rPr>
          <w:sz w:val="24"/>
          <w:szCs w:val="24"/>
        </w:rPr>
      </w:pPr>
    </w:p>
    <w:p w14:paraId="05AE8C71" w14:textId="77777777" w:rsidR="00BB534D" w:rsidRDefault="00BB534D">
      <w:pPr>
        <w:spacing w:before="0" w:after="160" w:line="240" w:lineRule="auto"/>
        <w:jc w:val="both"/>
        <w:rPr>
          <w:sz w:val="24"/>
          <w:szCs w:val="24"/>
        </w:rPr>
      </w:pPr>
    </w:p>
    <w:p w14:paraId="05AE8C72" w14:textId="77777777" w:rsidR="00BB534D" w:rsidRDefault="00BB534D">
      <w:pPr>
        <w:spacing w:before="0" w:after="160" w:line="240" w:lineRule="auto"/>
        <w:jc w:val="both"/>
        <w:rPr>
          <w:sz w:val="24"/>
          <w:szCs w:val="24"/>
        </w:rPr>
      </w:pPr>
    </w:p>
    <w:p w14:paraId="05AE8C73" w14:textId="77777777" w:rsidR="00BB534D" w:rsidRDefault="00BB534D">
      <w:pPr>
        <w:spacing w:before="0" w:after="160" w:line="240" w:lineRule="auto"/>
        <w:jc w:val="both"/>
        <w:rPr>
          <w:sz w:val="24"/>
          <w:szCs w:val="24"/>
        </w:rPr>
      </w:pPr>
    </w:p>
    <w:p w14:paraId="05AE8C74" w14:textId="77777777" w:rsidR="00BB534D" w:rsidRDefault="00BB534D">
      <w:pPr>
        <w:spacing w:before="0" w:after="160" w:line="240" w:lineRule="auto"/>
        <w:jc w:val="both"/>
        <w:rPr>
          <w:sz w:val="24"/>
          <w:szCs w:val="24"/>
        </w:rPr>
      </w:pPr>
    </w:p>
    <w:p w14:paraId="05AE8C75" w14:textId="77777777" w:rsidR="00BB534D" w:rsidRDefault="00BB534D">
      <w:pPr>
        <w:spacing w:before="0" w:after="160" w:line="240" w:lineRule="auto"/>
        <w:jc w:val="both"/>
        <w:rPr>
          <w:sz w:val="24"/>
          <w:szCs w:val="24"/>
        </w:rPr>
      </w:pPr>
    </w:p>
    <w:p w14:paraId="05AE8C76" w14:textId="77777777" w:rsidR="00BB534D" w:rsidRDefault="00BB534D">
      <w:pPr>
        <w:spacing w:before="0" w:after="160" w:line="240" w:lineRule="auto"/>
        <w:jc w:val="both"/>
        <w:rPr>
          <w:sz w:val="24"/>
          <w:szCs w:val="24"/>
        </w:rPr>
      </w:pPr>
    </w:p>
    <w:p w14:paraId="05AE8C77" w14:textId="77777777" w:rsidR="00BB534D" w:rsidRDefault="00BB534D">
      <w:pPr>
        <w:spacing w:before="0" w:after="160" w:line="240" w:lineRule="auto"/>
        <w:jc w:val="both"/>
        <w:rPr>
          <w:sz w:val="24"/>
          <w:szCs w:val="24"/>
        </w:rPr>
      </w:pPr>
    </w:p>
    <w:p w14:paraId="05AE8C78" w14:textId="77777777" w:rsidR="00BB534D" w:rsidRDefault="00BB534D">
      <w:pPr>
        <w:spacing w:before="0" w:after="160" w:line="240" w:lineRule="auto"/>
        <w:jc w:val="both"/>
        <w:rPr>
          <w:sz w:val="24"/>
          <w:szCs w:val="24"/>
        </w:rPr>
      </w:pPr>
    </w:p>
    <w:p w14:paraId="05AE8C79" w14:textId="77777777" w:rsidR="00BB534D" w:rsidRDefault="00BB534D">
      <w:pPr>
        <w:spacing w:before="0" w:after="160" w:line="240" w:lineRule="auto"/>
        <w:jc w:val="both"/>
        <w:rPr>
          <w:sz w:val="24"/>
          <w:szCs w:val="24"/>
        </w:rPr>
      </w:pPr>
    </w:p>
    <w:p w14:paraId="05AE8C7A" w14:textId="77777777" w:rsidR="00BB534D" w:rsidRDefault="00BB534D">
      <w:pPr>
        <w:spacing w:before="0" w:after="160" w:line="240" w:lineRule="auto"/>
        <w:jc w:val="both"/>
        <w:rPr>
          <w:sz w:val="24"/>
          <w:szCs w:val="24"/>
        </w:rPr>
      </w:pPr>
    </w:p>
    <w:p w14:paraId="05AE8C7B" w14:textId="77777777" w:rsidR="00BB534D" w:rsidRDefault="00BB534D">
      <w:pPr>
        <w:spacing w:before="0" w:after="160" w:line="240" w:lineRule="auto"/>
        <w:jc w:val="both"/>
        <w:rPr>
          <w:sz w:val="24"/>
          <w:szCs w:val="24"/>
        </w:rPr>
      </w:pPr>
    </w:p>
    <w:p w14:paraId="05AE8C7C" w14:textId="77777777" w:rsidR="00BB534D" w:rsidRDefault="00BB534D">
      <w:pPr>
        <w:spacing w:before="0" w:after="160" w:line="240" w:lineRule="auto"/>
        <w:jc w:val="both"/>
        <w:rPr>
          <w:sz w:val="24"/>
          <w:szCs w:val="24"/>
        </w:rPr>
      </w:pPr>
    </w:p>
    <w:p w14:paraId="05AE8C7D" w14:textId="77777777" w:rsidR="00BB534D" w:rsidRDefault="00BB534D">
      <w:pPr>
        <w:spacing w:before="0" w:after="160" w:line="240" w:lineRule="auto"/>
        <w:jc w:val="both"/>
        <w:rPr>
          <w:sz w:val="24"/>
          <w:szCs w:val="24"/>
        </w:rPr>
      </w:pPr>
    </w:p>
    <w:p w14:paraId="05AE8C7E" w14:textId="77777777" w:rsidR="00BB534D" w:rsidRDefault="00BB534D">
      <w:pPr>
        <w:spacing w:before="0" w:after="160" w:line="240" w:lineRule="auto"/>
        <w:jc w:val="both"/>
        <w:rPr>
          <w:sz w:val="24"/>
          <w:szCs w:val="24"/>
        </w:rPr>
      </w:pPr>
    </w:p>
    <w:p w14:paraId="05AE8C7F" w14:textId="77777777" w:rsidR="00BB534D" w:rsidRDefault="00BB534D">
      <w:pPr>
        <w:spacing w:before="0" w:after="160" w:line="240" w:lineRule="auto"/>
        <w:jc w:val="both"/>
        <w:rPr>
          <w:sz w:val="24"/>
          <w:szCs w:val="24"/>
        </w:rPr>
      </w:pPr>
    </w:p>
    <w:p w14:paraId="05AE8C80" w14:textId="77777777" w:rsidR="00BB534D" w:rsidRDefault="00B842B1">
      <w:pPr>
        <w:spacing w:before="0" w:after="160" w:line="240" w:lineRule="auto"/>
        <w:jc w:val="both"/>
        <w:rPr>
          <w:b/>
          <w:color w:val="039BE5"/>
          <w:sz w:val="24"/>
          <w:szCs w:val="24"/>
        </w:rPr>
      </w:pPr>
      <w:r>
        <w:rPr>
          <w:b/>
          <w:color w:val="039BE5"/>
          <w:sz w:val="24"/>
          <w:szCs w:val="24"/>
        </w:rPr>
        <w:t>Capítulo V: Prevención y colaboración entre pilares: humanitario, desarrollo y paz</w:t>
      </w:r>
    </w:p>
    <w:p w14:paraId="05AE8C81" w14:textId="77777777" w:rsidR="00BB534D" w:rsidRDefault="00B842B1">
      <w:pPr>
        <w:spacing w:before="0" w:after="160" w:line="240" w:lineRule="auto"/>
        <w:jc w:val="both"/>
        <w:rPr>
          <w:sz w:val="24"/>
          <w:szCs w:val="24"/>
        </w:rPr>
      </w:pPr>
      <w:r>
        <w:rPr>
          <w:sz w:val="24"/>
          <w:szCs w:val="24"/>
        </w:rPr>
        <w:t xml:space="preserve">El país se ha caracterizado por ser una nación de paz en donde se promueve el desarrollo, la conservación medio ambiental y el respeto a los derechos humanos como los pilares más sobresalientes. </w:t>
      </w:r>
    </w:p>
    <w:p w14:paraId="05AE8C82" w14:textId="77777777" w:rsidR="00BB534D" w:rsidRDefault="00B842B1">
      <w:pPr>
        <w:spacing w:before="0" w:after="160" w:line="240" w:lineRule="auto"/>
        <w:jc w:val="both"/>
        <w:rPr>
          <w:sz w:val="24"/>
          <w:szCs w:val="24"/>
        </w:rPr>
      </w:pPr>
      <w:r>
        <w:rPr>
          <w:sz w:val="24"/>
          <w:szCs w:val="24"/>
        </w:rPr>
        <w:t>En los últimos 10 años el país ha experimentado cambios a nivel económico, político y social que han afectado considerablemente la convivencia pacífica, debilitando la atención por parte del Estado a los temas estructurales analizados en capítulos anteriores y poniendo en riesgo el logro de los Objetivos de Desarrollo Sostenible y el pleno disfrute de los derechos humanos.</w:t>
      </w:r>
    </w:p>
    <w:p w14:paraId="05AE8C83" w14:textId="77777777" w:rsidR="00BB534D" w:rsidRDefault="00B842B1">
      <w:pPr>
        <w:spacing w:before="0" w:after="160" w:line="240" w:lineRule="auto"/>
        <w:jc w:val="both"/>
        <w:rPr>
          <w:sz w:val="24"/>
          <w:szCs w:val="24"/>
        </w:rPr>
      </w:pPr>
      <w:r>
        <w:rPr>
          <w:sz w:val="24"/>
          <w:szCs w:val="24"/>
        </w:rPr>
        <w:t>Los riesgos identificados que podrían propiciar alguna crisis nacional son principalmente: riesgos de desastres, tensiones sociales, conflictos de distinta naturaleza y emergencias nacionales relacionadas con la salud pública como la situación de pandemia por la COVID-19. Asimismo, hay otros relacionados con factores externos regionales, como por ejemplo el marcado aumento de movimientos recientes de personas en las Américas y el narcotráfico.  En Costa Rica no ha sido necesaria la intervención amplia y coordinada de actividades humanitarias por parte del Sistema de Naciones Unidas para dar solución a las crisis, con excepción de la creación del MINARE</w:t>
      </w:r>
      <w:r>
        <w:rPr>
          <w:sz w:val="24"/>
          <w:szCs w:val="24"/>
          <w:vertAlign w:val="superscript"/>
        </w:rPr>
        <w:footnoteReference w:id="118"/>
      </w:r>
      <w:r>
        <w:rPr>
          <w:sz w:val="24"/>
          <w:szCs w:val="24"/>
        </w:rPr>
        <w:t>; el cual se creó antes de la crisis migratoria y de personas refugiadas en el 2018 y del “Plan de Acción Integral de los Flujos Migratorios Mixtos 2018-2022” desarrollado específicamente para atender crisis migratorias de forma integral y ordenada</w:t>
      </w:r>
      <w:r>
        <w:rPr>
          <w:sz w:val="24"/>
          <w:szCs w:val="24"/>
          <w:vertAlign w:val="superscript"/>
        </w:rPr>
        <w:footnoteReference w:id="119"/>
      </w:r>
      <w:r>
        <w:rPr>
          <w:sz w:val="24"/>
          <w:szCs w:val="24"/>
        </w:rPr>
        <w:t>.</w:t>
      </w:r>
    </w:p>
    <w:p w14:paraId="05AE8C84" w14:textId="77777777" w:rsidR="00BB534D" w:rsidRDefault="00B842B1">
      <w:pPr>
        <w:spacing w:before="0" w:after="160" w:line="240" w:lineRule="auto"/>
        <w:jc w:val="both"/>
        <w:rPr>
          <w:sz w:val="24"/>
          <w:szCs w:val="24"/>
        </w:rPr>
      </w:pPr>
      <w:r>
        <w:rPr>
          <w:sz w:val="24"/>
          <w:szCs w:val="24"/>
        </w:rPr>
        <w:t xml:space="preserve">El análisis que se realizó es integral y considera las opiniones de las diferentes partes interesadas (recopiladas en la bibliografía), con un enfoque de derechos humanos, igualdad de género y personas en condición de vulnerabilidad, así como sensibilidad al conflicto, principales desafíos para alcanzar los Objetivos de Desarrollo Sostenible relacionados con el tema y el principio de no dejar a nadie atrás. Sin embargo, al ser un análisis técnico se considera con mayor amplitud la respuesta del gobierno nacional y local con el apoyo de la comunidad internacional. </w:t>
      </w:r>
    </w:p>
    <w:p w14:paraId="05AE8C85" w14:textId="77777777" w:rsidR="00BB534D" w:rsidRDefault="00B842B1">
      <w:pPr>
        <w:spacing w:before="0" w:after="160" w:line="240" w:lineRule="auto"/>
        <w:jc w:val="both"/>
        <w:rPr>
          <w:sz w:val="24"/>
          <w:szCs w:val="24"/>
        </w:rPr>
      </w:pPr>
      <w:r>
        <w:rPr>
          <w:sz w:val="24"/>
          <w:szCs w:val="24"/>
        </w:rPr>
        <w:t xml:space="preserve">Para facilitar un entendimiento común sobre el tema, se definió el análisis multidimensional de riesgo como la probabilidad de que un riesgo escale a una crisis y el posible impacto de esa crisis sobre la capacidad de respuesta por parte de todas las partes interesadas, incluyendo las poblaciones que podrían resultar afectadas. En este análisis se consideran los riesgos en una dimensión que pueden afectar otra u otras dimensiones. Por lo anterior, se examinan las causas, posibles escenarios y las consecuencias que podría tener el país ante la escalada de alguno de los riesgos. En ese sentido, se identificaron cinco dimensiones generales: ambiental, económica, política, seguridad y social. Dentro de ellas se anotaron los riesgos específicos y se analizaron, principalmente, aquellos que presentaron un nivel medio o alto de acuerdo con la matriz de evaluación de riesgos utilizada. </w:t>
      </w:r>
    </w:p>
    <w:p w14:paraId="05AE8C86" w14:textId="77777777" w:rsidR="00BB534D" w:rsidRDefault="00B842B1">
      <w:pPr>
        <w:spacing w:before="0" w:after="160" w:line="240" w:lineRule="auto"/>
        <w:jc w:val="both"/>
        <w:rPr>
          <w:sz w:val="24"/>
          <w:szCs w:val="24"/>
        </w:rPr>
      </w:pPr>
      <w:r>
        <w:rPr>
          <w:sz w:val="24"/>
          <w:szCs w:val="24"/>
        </w:rPr>
        <w:t>El análisis consiste en una descripción de las causas, que escenario y consecuencias podrían resultar del riesgo y servirá de base para la creación de estrategia del equipo de país de Naciones Unidas, que incluya mejoras en la capacidad de respuesta, mecanismos de alerta temprana y planes de contingencia para el manejo oportuno de riesgos.</w:t>
      </w:r>
    </w:p>
    <w:p w14:paraId="05AE8C87" w14:textId="77777777" w:rsidR="00BB534D" w:rsidRDefault="00B842B1">
      <w:pPr>
        <w:spacing w:before="360" w:after="120" w:line="240" w:lineRule="auto"/>
        <w:rPr>
          <w:color w:val="039BE5"/>
          <w:sz w:val="24"/>
          <w:szCs w:val="24"/>
        </w:rPr>
      </w:pPr>
      <w:r>
        <w:rPr>
          <w:color w:val="039BE5"/>
          <w:sz w:val="24"/>
          <w:szCs w:val="24"/>
        </w:rPr>
        <w:t>5.1 Factores de riesgo</w:t>
      </w:r>
    </w:p>
    <w:p w14:paraId="05AE8C88" w14:textId="77777777" w:rsidR="00BB534D" w:rsidRDefault="00B842B1">
      <w:pPr>
        <w:spacing w:before="0" w:after="160" w:line="240" w:lineRule="auto"/>
        <w:jc w:val="both"/>
        <w:rPr>
          <w:sz w:val="24"/>
          <w:szCs w:val="24"/>
          <w:u w:val="single"/>
        </w:rPr>
      </w:pPr>
      <w:r>
        <w:rPr>
          <w:sz w:val="24"/>
          <w:szCs w:val="24"/>
        </w:rPr>
        <w:t>En la tabla 1, se incluyeron los riesgos más significativos que podrían afectar al país a nivel de desarrollo y convivencia pacífica, los cuales están lejos de escalar a una crisis que pueda implicar atención humanitaria y que están siendo monitoreados por medio de una estrategia para la prevención por parte de las agencias del SNU. En la matriz de evaluación de riesgos y en capítulos anteriores se contemplan varios factores específicos de riesgo, siendo los principales los siguientes:</w:t>
      </w:r>
    </w:p>
    <w:p w14:paraId="05AE8C89" w14:textId="77777777" w:rsidR="00BB534D" w:rsidRDefault="00B842B1">
      <w:pPr>
        <w:spacing w:before="0" w:after="160" w:line="240" w:lineRule="auto"/>
        <w:jc w:val="both"/>
        <w:rPr>
          <w:sz w:val="24"/>
          <w:szCs w:val="24"/>
          <w:u w:val="single"/>
        </w:rPr>
      </w:pPr>
      <w:r>
        <w:rPr>
          <w:sz w:val="24"/>
          <w:szCs w:val="24"/>
          <w:u w:val="single"/>
        </w:rPr>
        <w:t>Análisis multidimensional de riesgos en Costa Rica</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5"/>
        <w:gridCol w:w="5040"/>
        <w:gridCol w:w="1525"/>
      </w:tblGrid>
      <w:tr w:rsidR="00BB534D" w14:paraId="05AE8C8D" w14:textId="77777777">
        <w:tc>
          <w:tcPr>
            <w:tcW w:w="2785" w:type="dxa"/>
            <w:shd w:val="clear" w:color="auto" w:fill="B4C6E7"/>
          </w:tcPr>
          <w:p w14:paraId="05AE8C8A" w14:textId="77777777" w:rsidR="00BB534D" w:rsidRDefault="00B842B1">
            <w:pPr>
              <w:spacing w:before="0" w:after="160" w:line="240" w:lineRule="auto"/>
              <w:jc w:val="both"/>
              <w:rPr>
                <w:sz w:val="24"/>
                <w:szCs w:val="24"/>
              </w:rPr>
            </w:pPr>
            <w:r>
              <w:rPr>
                <w:sz w:val="24"/>
                <w:szCs w:val="24"/>
              </w:rPr>
              <w:t>Dimensión general del riesgo</w:t>
            </w:r>
          </w:p>
        </w:tc>
        <w:tc>
          <w:tcPr>
            <w:tcW w:w="5040" w:type="dxa"/>
            <w:shd w:val="clear" w:color="auto" w:fill="B4C6E7"/>
          </w:tcPr>
          <w:p w14:paraId="05AE8C8B" w14:textId="77777777" w:rsidR="00BB534D" w:rsidRDefault="00B842B1">
            <w:pPr>
              <w:spacing w:before="0" w:after="160" w:line="240" w:lineRule="auto"/>
              <w:jc w:val="both"/>
              <w:rPr>
                <w:sz w:val="24"/>
                <w:szCs w:val="24"/>
              </w:rPr>
            </w:pPr>
            <w:r>
              <w:rPr>
                <w:sz w:val="24"/>
                <w:szCs w:val="24"/>
              </w:rPr>
              <w:t>Riesgos específicos</w:t>
            </w:r>
          </w:p>
        </w:tc>
        <w:tc>
          <w:tcPr>
            <w:tcW w:w="1525" w:type="dxa"/>
            <w:shd w:val="clear" w:color="auto" w:fill="B4C6E7"/>
          </w:tcPr>
          <w:p w14:paraId="05AE8C8C" w14:textId="77777777" w:rsidR="00BB534D" w:rsidRDefault="00B842B1">
            <w:pPr>
              <w:spacing w:before="0" w:after="160" w:line="240" w:lineRule="auto"/>
              <w:jc w:val="both"/>
              <w:rPr>
                <w:sz w:val="24"/>
                <w:szCs w:val="24"/>
              </w:rPr>
            </w:pPr>
            <w:r>
              <w:rPr>
                <w:sz w:val="24"/>
                <w:szCs w:val="24"/>
              </w:rPr>
              <w:t>Nivel de riesgo</w:t>
            </w:r>
          </w:p>
        </w:tc>
      </w:tr>
      <w:tr w:rsidR="00BB534D" w14:paraId="05AE8C91" w14:textId="77777777">
        <w:tc>
          <w:tcPr>
            <w:tcW w:w="2785" w:type="dxa"/>
          </w:tcPr>
          <w:p w14:paraId="05AE8C8E" w14:textId="77777777" w:rsidR="00BB534D" w:rsidRDefault="00B842B1">
            <w:pPr>
              <w:spacing w:before="0" w:after="160" w:line="240" w:lineRule="auto"/>
              <w:jc w:val="both"/>
              <w:rPr>
                <w:sz w:val="24"/>
                <w:szCs w:val="24"/>
              </w:rPr>
            </w:pPr>
            <w:bookmarkStart w:id="22" w:name="_1fob9te" w:colFirst="0" w:colLast="0"/>
            <w:bookmarkEnd w:id="22"/>
            <w:r>
              <w:rPr>
                <w:sz w:val="24"/>
                <w:szCs w:val="24"/>
              </w:rPr>
              <w:t>Económica</w:t>
            </w:r>
          </w:p>
        </w:tc>
        <w:tc>
          <w:tcPr>
            <w:tcW w:w="5040" w:type="dxa"/>
          </w:tcPr>
          <w:p w14:paraId="05AE8C8F" w14:textId="77777777" w:rsidR="00BB534D" w:rsidRDefault="00B842B1">
            <w:pPr>
              <w:spacing w:before="0" w:after="160" w:line="240" w:lineRule="auto"/>
              <w:jc w:val="both"/>
              <w:rPr>
                <w:sz w:val="24"/>
                <w:szCs w:val="24"/>
              </w:rPr>
            </w:pPr>
            <w:r>
              <w:rPr>
                <w:sz w:val="24"/>
                <w:szCs w:val="24"/>
              </w:rPr>
              <w:t>Profundización de la crisis fiscal y económica</w:t>
            </w:r>
          </w:p>
        </w:tc>
        <w:tc>
          <w:tcPr>
            <w:tcW w:w="1525" w:type="dxa"/>
            <w:shd w:val="clear" w:color="auto" w:fill="ED7D31"/>
          </w:tcPr>
          <w:p w14:paraId="05AE8C90" w14:textId="77777777" w:rsidR="00BB534D" w:rsidRDefault="00B842B1">
            <w:pPr>
              <w:spacing w:before="0" w:after="160" w:line="240" w:lineRule="auto"/>
              <w:jc w:val="both"/>
              <w:rPr>
                <w:sz w:val="24"/>
                <w:szCs w:val="24"/>
              </w:rPr>
            </w:pPr>
            <w:r>
              <w:rPr>
                <w:sz w:val="24"/>
                <w:szCs w:val="24"/>
              </w:rPr>
              <w:t>B</w:t>
            </w:r>
          </w:p>
        </w:tc>
      </w:tr>
      <w:tr w:rsidR="00BB534D" w14:paraId="05AE8C95" w14:textId="77777777">
        <w:tc>
          <w:tcPr>
            <w:tcW w:w="2785" w:type="dxa"/>
          </w:tcPr>
          <w:p w14:paraId="05AE8C92" w14:textId="77777777" w:rsidR="00BB534D" w:rsidRDefault="00B842B1">
            <w:pPr>
              <w:spacing w:before="0" w:after="160" w:line="240" w:lineRule="auto"/>
              <w:jc w:val="both"/>
              <w:rPr>
                <w:sz w:val="24"/>
                <w:szCs w:val="24"/>
              </w:rPr>
            </w:pPr>
            <w:r>
              <w:rPr>
                <w:sz w:val="24"/>
                <w:szCs w:val="24"/>
              </w:rPr>
              <w:t>Seguridad</w:t>
            </w:r>
          </w:p>
        </w:tc>
        <w:tc>
          <w:tcPr>
            <w:tcW w:w="5040" w:type="dxa"/>
          </w:tcPr>
          <w:p w14:paraId="05AE8C93" w14:textId="77777777" w:rsidR="00BB534D" w:rsidRDefault="00B842B1">
            <w:pPr>
              <w:spacing w:before="0" w:after="160" w:line="240" w:lineRule="auto"/>
              <w:jc w:val="both"/>
              <w:rPr>
                <w:sz w:val="24"/>
                <w:szCs w:val="24"/>
              </w:rPr>
            </w:pPr>
            <w:r>
              <w:rPr>
                <w:sz w:val="24"/>
                <w:szCs w:val="24"/>
              </w:rPr>
              <w:t>Aumento en la criminalidad</w:t>
            </w:r>
          </w:p>
        </w:tc>
        <w:tc>
          <w:tcPr>
            <w:tcW w:w="1525" w:type="dxa"/>
            <w:shd w:val="clear" w:color="auto" w:fill="ED7D31"/>
          </w:tcPr>
          <w:p w14:paraId="05AE8C94" w14:textId="77777777" w:rsidR="00BB534D" w:rsidRDefault="00B842B1">
            <w:pPr>
              <w:spacing w:before="0" w:after="160" w:line="240" w:lineRule="auto"/>
              <w:jc w:val="both"/>
              <w:rPr>
                <w:sz w:val="24"/>
                <w:szCs w:val="24"/>
              </w:rPr>
            </w:pPr>
            <w:r>
              <w:rPr>
                <w:sz w:val="24"/>
                <w:szCs w:val="24"/>
              </w:rPr>
              <w:t>B</w:t>
            </w:r>
          </w:p>
        </w:tc>
      </w:tr>
      <w:tr w:rsidR="00BB534D" w14:paraId="05AE8C99" w14:textId="77777777">
        <w:tc>
          <w:tcPr>
            <w:tcW w:w="2785" w:type="dxa"/>
          </w:tcPr>
          <w:p w14:paraId="05AE8C96" w14:textId="77777777" w:rsidR="00BB534D" w:rsidRDefault="00B842B1">
            <w:pPr>
              <w:spacing w:before="0" w:after="160" w:line="240" w:lineRule="auto"/>
              <w:jc w:val="both"/>
              <w:rPr>
                <w:sz w:val="24"/>
                <w:szCs w:val="24"/>
              </w:rPr>
            </w:pPr>
            <w:r>
              <w:rPr>
                <w:sz w:val="24"/>
                <w:szCs w:val="24"/>
              </w:rPr>
              <w:t>Política</w:t>
            </w:r>
          </w:p>
        </w:tc>
        <w:tc>
          <w:tcPr>
            <w:tcW w:w="5040" w:type="dxa"/>
          </w:tcPr>
          <w:p w14:paraId="05AE8C97" w14:textId="77777777" w:rsidR="00BB534D" w:rsidRDefault="00B842B1">
            <w:pPr>
              <w:spacing w:before="0" w:after="160" w:line="240" w:lineRule="auto"/>
              <w:jc w:val="both"/>
              <w:rPr>
                <w:sz w:val="24"/>
                <w:szCs w:val="24"/>
              </w:rPr>
            </w:pPr>
            <w:r>
              <w:rPr>
                <w:sz w:val="24"/>
                <w:szCs w:val="24"/>
              </w:rPr>
              <w:t>Violencia electoral, polarización, corrupción y desorden social</w:t>
            </w:r>
          </w:p>
        </w:tc>
        <w:tc>
          <w:tcPr>
            <w:tcW w:w="1525" w:type="dxa"/>
            <w:shd w:val="clear" w:color="auto" w:fill="ED7D31"/>
          </w:tcPr>
          <w:p w14:paraId="05AE8C98" w14:textId="77777777" w:rsidR="00BB534D" w:rsidRDefault="00B842B1">
            <w:pPr>
              <w:spacing w:before="0" w:after="160" w:line="240" w:lineRule="auto"/>
              <w:jc w:val="both"/>
              <w:rPr>
                <w:sz w:val="24"/>
                <w:szCs w:val="24"/>
              </w:rPr>
            </w:pPr>
            <w:r>
              <w:rPr>
                <w:sz w:val="24"/>
                <w:szCs w:val="24"/>
              </w:rPr>
              <w:t>B</w:t>
            </w:r>
          </w:p>
        </w:tc>
      </w:tr>
      <w:tr w:rsidR="00BB534D" w14:paraId="05AE8C9D" w14:textId="77777777">
        <w:tc>
          <w:tcPr>
            <w:tcW w:w="2785" w:type="dxa"/>
            <w:vMerge w:val="restart"/>
          </w:tcPr>
          <w:p w14:paraId="05AE8C9A" w14:textId="77777777" w:rsidR="00BB534D" w:rsidRDefault="00B842B1">
            <w:pPr>
              <w:spacing w:before="0" w:after="160" w:line="240" w:lineRule="auto"/>
              <w:jc w:val="both"/>
              <w:rPr>
                <w:sz w:val="24"/>
                <w:szCs w:val="24"/>
              </w:rPr>
            </w:pPr>
            <w:bookmarkStart w:id="23" w:name="_3znysh7" w:colFirst="0" w:colLast="0"/>
            <w:bookmarkEnd w:id="23"/>
            <w:r>
              <w:rPr>
                <w:sz w:val="24"/>
                <w:szCs w:val="24"/>
              </w:rPr>
              <w:t>Social</w:t>
            </w:r>
          </w:p>
        </w:tc>
        <w:tc>
          <w:tcPr>
            <w:tcW w:w="5040" w:type="dxa"/>
          </w:tcPr>
          <w:p w14:paraId="05AE8C9B" w14:textId="77777777" w:rsidR="00BB534D" w:rsidRDefault="00B842B1">
            <w:pPr>
              <w:spacing w:before="0" w:after="160" w:line="240" w:lineRule="auto"/>
              <w:jc w:val="both"/>
              <w:rPr>
                <w:sz w:val="24"/>
                <w:szCs w:val="24"/>
              </w:rPr>
            </w:pPr>
            <w:r>
              <w:rPr>
                <w:sz w:val="24"/>
                <w:szCs w:val="24"/>
              </w:rPr>
              <w:t>Crisis de personas refugiadas y migrantes</w:t>
            </w:r>
          </w:p>
        </w:tc>
        <w:tc>
          <w:tcPr>
            <w:tcW w:w="1525" w:type="dxa"/>
            <w:shd w:val="clear" w:color="auto" w:fill="ED7D31"/>
          </w:tcPr>
          <w:p w14:paraId="05AE8C9C" w14:textId="77777777" w:rsidR="00BB534D" w:rsidRDefault="00B842B1">
            <w:pPr>
              <w:spacing w:before="0" w:after="160" w:line="240" w:lineRule="auto"/>
              <w:jc w:val="both"/>
              <w:rPr>
                <w:sz w:val="24"/>
                <w:szCs w:val="24"/>
              </w:rPr>
            </w:pPr>
            <w:r>
              <w:rPr>
                <w:sz w:val="24"/>
                <w:szCs w:val="24"/>
              </w:rPr>
              <w:t>B</w:t>
            </w:r>
          </w:p>
        </w:tc>
      </w:tr>
      <w:tr w:rsidR="00BB534D" w14:paraId="05AE8CA1" w14:textId="77777777">
        <w:tc>
          <w:tcPr>
            <w:tcW w:w="2785" w:type="dxa"/>
            <w:vMerge/>
          </w:tcPr>
          <w:p w14:paraId="05AE8C9E" w14:textId="77777777" w:rsidR="00BB534D" w:rsidRDefault="00BB534D">
            <w:pPr>
              <w:widowControl w:val="0"/>
              <w:spacing w:before="0" w:line="240" w:lineRule="auto"/>
              <w:rPr>
                <w:sz w:val="24"/>
                <w:szCs w:val="24"/>
              </w:rPr>
            </w:pPr>
          </w:p>
        </w:tc>
        <w:tc>
          <w:tcPr>
            <w:tcW w:w="5040" w:type="dxa"/>
          </w:tcPr>
          <w:p w14:paraId="05AE8C9F" w14:textId="77777777" w:rsidR="00BB534D" w:rsidRDefault="00B842B1">
            <w:pPr>
              <w:spacing w:before="0" w:after="160" w:line="240" w:lineRule="auto"/>
              <w:jc w:val="both"/>
              <w:rPr>
                <w:sz w:val="24"/>
                <w:szCs w:val="24"/>
              </w:rPr>
            </w:pPr>
            <w:r>
              <w:rPr>
                <w:sz w:val="24"/>
                <w:szCs w:val="24"/>
              </w:rPr>
              <w:t xml:space="preserve">Tensiones sociales relacionadas con derechos económicos y sociales de los pueblos indígenas </w:t>
            </w:r>
          </w:p>
        </w:tc>
        <w:tc>
          <w:tcPr>
            <w:tcW w:w="1525" w:type="dxa"/>
            <w:shd w:val="clear" w:color="auto" w:fill="ED7D31"/>
          </w:tcPr>
          <w:p w14:paraId="05AE8CA0" w14:textId="77777777" w:rsidR="00BB534D" w:rsidRDefault="00B842B1">
            <w:pPr>
              <w:spacing w:before="0" w:after="160" w:line="240" w:lineRule="auto"/>
              <w:jc w:val="both"/>
              <w:rPr>
                <w:sz w:val="24"/>
                <w:szCs w:val="24"/>
              </w:rPr>
            </w:pPr>
            <w:r>
              <w:rPr>
                <w:sz w:val="24"/>
                <w:szCs w:val="24"/>
              </w:rPr>
              <w:t>B</w:t>
            </w:r>
          </w:p>
        </w:tc>
      </w:tr>
      <w:tr w:rsidR="00BB534D" w14:paraId="05AE8CA5" w14:textId="77777777">
        <w:tc>
          <w:tcPr>
            <w:tcW w:w="2785" w:type="dxa"/>
            <w:vMerge w:val="restart"/>
          </w:tcPr>
          <w:p w14:paraId="05AE8CA2" w14:textId="77777777" w:rsidR="00BB534D" w:rsidRDefault="00B842B1">
            <w:pPr>
              <w:spacing w:before="0" w:after="160" w:line="240" w:lineRule="auto"/>
              <w:jc w:val="both"/>
              <w:rPr>
                <w:sz w:val="24"/>
                <w:szCs w:val="24"/>
              </w:rPr>
            </w:pPr>
            <w:r>
              <w:rPr>
                <w:sz w:val="24"/>
                <w:szCs w:val="24"/>
              </w:rPr>
              <w:t>Ambiental</w:t>
            </w:r>
          </w:p>
        </w:tc>
        <w:tc>
          <w:tcPr>
            <w:tcW w:w="5040" w:type="dxa"/>
          </w:tcPr>
          <w:p w14:paraId="05AE8CA3" w14:textId="77777777" w:rsidR="00BB534D" w:rsidRDefault="00B842B1">
            <w:pPr>
              <w:spacing w:before="0" w:after="160" w:line="240" w:lineRule="auto"/>
              <w:jc w:val="both"/>
              <w:rPr>
                <w:sz w:val="24"/>
                <w:szCs w:val="24"/>
              </w:rPr>
            </w:pPr>
            <w:r>
              <w:rPr>
                <w:sz w:val="24"/>
                <w:szCs w:val="24"/>
              </w:rPr>
              <w:t>Conflicto sector pesca</w:t>
            </w:r>
          </w:p>
        </w:tc>
        <w:tc>
          <w:tcPr>
            <w:tcW w:w="1525" w:type="dxa"/>
            <w:shd w:val="clear" w:color="auto" w:fill="FFFF00"/>
          </w:tcPr>
          <w:p w14:paraId="05AE8CA4" w14:textId="77777777" w:rsidR="00BB534D" w:rsidRDefault="00B842B1">
            <w:pPr>
              <w:spacing w:before="0" w:after="160" w:line="240" w:lineRule="auto"/>
              <w:jc w:val="both"/>
              <w:rPr>
                <w:sz w:val="24"/>
                <w:szCs w:val="24"/>
              </w:rPr>
            </w:pPr>
            <w:r>
              <w:rPr>
                <w:sz w:val="24"/>
                <w:szCs w:val="24"/>
              </w:rPr>
              <w:t>C</w:t>
            </w:r>
          </w:p>
        </w:tc>
      </w:tr>
      <w:tr w:rsidR="00BB534D" w14:paraId="05AE8CA9" w14:textId="77777777">
        <w:tc>
          <w:tcPr>
            <w:tcW w:w="2785" w:type="dxa"/>
            <w:vMerge/>
          </w:tcPr>
          <w:p w14:paraId="05AE8CA6" w14:textId="77777777" w:rsidR="00BB534D" w:rsidRDefault="00BB534D">
            <w:pPr>
              <w:widowControl w:val="0"/>
              <w:spacing w:before="0" w:line="240" w:lineRule="auto"/>
              <w:rPr>
                <w:sz w:val="24"/>
                <w:szCs w:val="24"/>
              </w:rPr>
            </w:pPr>
          </w:p>
        </w:tc>
        <w:tc>
          <w:tcPr>
            <w:tcW w:w="5040" w:type="dxa"/>
          </w:tcPr>
          <w:p w14:paraId="05AE8CA7" w14:textId="77777777" w:rsidR="00BB534D" w:rsidRDefault="00B842B1">
            <w:pPr>
              <w:spacing w:before="0" w:after="160" w:line="240" w:lineRule="auto"/>
              <w:jc w:val="both"/>
              <w:rPr>
                <w:sz w:val="24"/>
                <w:szCs w:val="24"/>
              </w:rPr>
            </w:pPr>
            <w:r>
              <w:rPr>
                <w:sz w:val="24"/>
                <w:szCs w:val="24"/>
              </w:rPr>
              <w:t>Deterioro de la gestión del recurso hídrico nacional</w:t>
            </w:r>
          </w:p>
        </w:tc>
        <w:tc>
          <w:tcPr>
            <w:tcW w:w="1525" w:type="dxa"/>
            <w:shd w:val="clear" w:color="auto" w:fill="ED7D31"/>
          </w:tcPr>
          <w:p w14:paraId="05AE8CA8" w14:textId="77777777" w:rsidR="00BB534D" w:rsidRDefault="00B842B1">
            <w:pPr>
              <w:spacing w:before="0" w:after="160" w:line="240" w:lineRule="auto"/>
              <w:jc w:val="both"/>
              <w:rPr>
                <w:sz w:val="24"/>
                <w:szCs w:val="24"/>
              </w:rPr>
            </w:pPr>
            <w:r>
              <w:rPr>
                <w:sz w:val="24"/>
                <w:szCs w:val="24"/>
              </w:rPr>
              <w:t>B</w:t>
            </w:r>
          </w:p>
        </w:tc>
      </w:tr>
      <w:tr w:rsidR="00BB534D" w14:paraId="05AE8CAD" w14:textId="77777777">
        <w:tc>
          <w:tcPr>
            <w:tcW w:w="2785" w:type="dxa"/>
            <w:vMerge/>
          </w:tcPr>
          <w:p w14:paraId="05AE8CAA" w14:textId="77777777" w:rsidR="00BB534D" w:rsidRDefault="00BB534D">
            <w:pPr>
              <w:widowControl w:val="0"/>
              <w:spacing w:before="0" w:line="240" w:lineRule="auto"/>
              <w:rPr>
                <w:sz w:val="24"/>
                <w:szCs w:val="24"/>
              </w:rPr>
            </w:pPr>
          </w:p>
        </w:tc>
        <w:tc>
          <w:tcPr>
            <w:tcW w:w="5040" w:type="dxa"/>
          </w:tcPr>
          <w:p w14:paraId="05AE8CAB" w14:textId="77777777" w:rsidR="00BB534D" w:rsidRDefault="00B842B1">
            <w:pPr>
              <w:spacing w:before="0" w:after="160" w:line="240" w:lineRule="auto"/>
              <w:jc w:val="both"/>
              <w:rPr>
                <w:sz w:val="24"/>
                <w:szCs w:val="24"/>
              </w:rPr>
            </w:pPr>
            <w:bookmarkStart w:id="24" w:name="_2et92p0" w:colFirst="0" w:colLast="0"/>
            <w:bookmarkEnd w:id="24"/>
            <w:r>
              <w:rPr>
                <w:sz w:val="24"/>
                <w:szCs w:val="24"/>
              </w:rPr>
              <w:t>Riesgo de desastres</w:t>
            </w:r>
          </w:p>
        </w:tc>
        <w:tc>
          <w:tcPr>
            <w:tcW w:w="1525" w:type="dxa"/>
            <w:shd w:val="clear" w:color="auto" w:fill="FF0000"/>
          </w:tcPr>
          <w:p w14:paraId="05AE8CAC" w14:textId="77777777" w:rsidR="00BB534D" w:rsidRDefault="00B842B1">
            <w:pPr>
              <w:spacing w:before="0" w:after="160" w:line="240" w:lineRule="auto"/>
              <w:jc w:val="both"/>
              <w:rPr>
                <w:sz w:val="24"/>
                <w:szCs w:val="24"/>
              </w:rPr>
            </w:pPr>
            <w:r>
              <w:rPr>
                <w:sz w:val="24"/>
                <w:szCs w:val="24"/>
              </w:rPr>
              <w:t>A</w:t>
            </w:r>
          </w:p>
        </w:tc>
      </w:tr>
    </w:tbl>
    <w:p w14:paraId="05AE8CAE" w14:textId="77777777" w:rsidR="00BB534D" w:rsidRDefault="00B842B1">
      <w:pPr>
        <w:spacing w:before="0" w:after="160" w:line="240" w:lineRule="auto"/>
        <w:jc w:val="both"/>
        <w:rPr>
          <w:sz w:val="24"/>
          <w:szCs w:val="24"/>
        </w:rPr>
      </w:pPr>
      <w:r>
        <w:rPr>
          <w:sz w:val="24"/>
          <w:szCs w:val="24"/>
        </w:rPr>
        <w:t>Fuente: Matriz de evaluación de riesgos, SNU</w:t>
      </w:r>
    </w:p>
    <w:p w14:paraId="05AE8CAF" w14:textId="77777777" w:rsidR="00BB534D" w:rsidRDefault="00BB534D">
      <w:pPr>
        <w:spacing w:before="0" w:after="160" w:line="240" w:lineRule="auto"/>
        <w:jc w:val="both"/>
        <w:rPr>
          <w:sz w:val="24"/>
          <w:szCs w:val="24"/>
        </w:rPr>
      </w:pPr>
    </w:p>
    <w:p w14:paraId="05AE8CB0" w14:textId="77777777" w:rsidR="00BB534D" w:rsidRDefault="00B842B1">
      <w:pPr>
        <w:spacing w:before="360" w:after="120" w:line="240" w:lineRule="auto"/>
        <w:jc w:val="both"/>
        <w:rPr>
          <w:color w:val="039BE5"/>
          <w:sz w:val="24"/>
          <w:szCs w:val="24"/>
        </w:rPr>
      </w:pPr>
      <w:r>
        <w:rPr>
          <w:color w:val="039BE5"/>
          <w:sz w:val="24"/>
          <w:szCs w:val="24"/>
        </w:rPr>
        <w:t>5.2 Análisis de las causas profundas de los factores de riesgo identificados en el análisis multidimensional que pueden llevar a una crisis</w:t>
      </w:r>
    </w:p>
    <w:p w14:paraId="05AE8CB1" w14:textId="77777777" w:rsidR="00BB534D" w:rsidRDefault="00B842B1">
      <w:pPr>
        <w:spacing w:before="240" w:line="240" w:lineRule="auto"/>
        <w:jc w:val="both"/>
        <w:rPr>
          <w:color w:val="039BE5"/>
          <w:sz w:val="24"/>
          <w:szCs w:val="24"/>
        </w:rPr>
      </w:pPr>
      <w:r>
        <w:rPr>
          <w:color w:val="039BE5"/>
          <w:sz w:val="24"/>
          <w:szCs w:val="24"/>
        </w:rPr>
        <w:t>5.2.1. Dimensión económica</w:t>
      </w:r>
    </w:p>
    <w:p w14:paraId="05AE8CB2" w14:textId="77777777" w:rsidR="00BB534D" w:rsidRDefault="00B842B1">
      <w:pPr>
        <w:spacing w:before="0" w:after="160" w:line="240" w:lineRule="auto"/>
        <w:jc w:val="both"/>
        <w:rPr>
          <w:sz w:val="24"/>
          <w:szCs w:val="24"/>
        </w:rPr>
      </w:pPr>
      <w:r>
        <w:rPr>
          <w:sz w:val="24"/>
          <w:szCs w:val="24"/>
        </w:rPr>
        <w:t>Profundización de la crisis fiscal y económica (nivel de riesgo medio “B”).</w:t>
      </w:r>
      <w:r>
        <w:rPr>
          <w:color w:val="1F3864"/>
          <w:sz w:val="24"/>
          <w:szCs w:val="24"/>
        </w:rPr>
        <w:t xml:space="preserve"> </w:t>
      </w:r>
      <w:r>
        <w:rPr>
          <w:sz w:val="24"/>
          <w:szCs w:val="24"/>
        </w:rPr>
        <w:t xml:space="preserve">Costa Rica se enfrenta a un panorama fiscal cada vez más alarmante. Después del primer intento fallido de iniciar el diálogo multisectorial, el Poder Ejecutivo y el Poder Legislativo convocaron a un segundo momento de conversaciones e invitaron a más de 60 instituciones de una amplia gama de sectores. Este proceso concluyó en noviembre de 2020 con 58 acuerdos. </w:t>
      </w:r>
    </w:p>
    <w:p w14:paraId="05AE8CB3" w14:textId="77777777" w:rsidR="00BB534D" w:rsidRDefault="00B842B1">
      <w:pPr>
        <w:spacing w:before="0" w:after="160" w:line="240" w:lineRule="auto"/>
        <w:jc w:val="both"/>
        <w:rPr>
          <w:sz w:val="24"/>
          <w:szCs w:val="24"/>
        </w:rPr>
      </w:pPr>
      <w:r>
        <w:rPr>
          <w:sz w:val="24"/>
          <w:szCs w:val="24"/>
        </w:rPr>
        <w:t>Pese a ello, las negociaciones con el FMI siguieron su curso y avanzaron en la Asamblea Legislativa en la Comisión de Hacienda.</w:t>
      </w:r>
    </w:p>
    <w:p w14:paraId="05AE8CB4" w14:textId="77777777" w:rsidR="00BB534D" w:rsidRDefault="00B842B1">
      <w:pPr>
        <w:spacing w:before="0" w:after="160" w:line="240" w:lineRule="auto"/>
        <w:jc w:val="both"/>
        <w:rPr>
          <w:sz w:val="24"/>
          <w:szCs w:val="24"/>
        </w:rPr>
      </w:pPr>
      <w:r>
        <w:rPr>
          <w:sz w:val="24"/>
          <w:szCs w:val="24"/>
        </w:rPr>
        <w:t xml:space="preserve">Como se comentó en el capítulo de transformación económica, el empleo se ha visto afectado negativamente en tres dimensiones: i) la cantidad de empleo disponible, </w:t>
      </w:r>
      <w:proofErr w:type="spellStart"/>
      <w:r>
        <w:rPr>
          <w:sz w:val="24"/>
          <w:szCs w:val="24"/>
        </w:rPr>
        <w:t>ii</w:t>
      </w:r>
      <w:proofErr w:type="spellEnd"/>
      <w:r>
        <w:rPr>
          <w:sz w:val="24"/>
          <w:szCs w:val="24"/>
        </w:rPr>
        <w:t xml:space="preserve">) la calidad del trabajo y </w:t>
      </w:r>
      <w:proofErr w:type="spellStart"/>
      <w:r>
        <w:rPr>
          <w:sz w:val="24"/>
          <w:szCs w:val="24"/>
        </w:rPr>
        <w:t>iii</w:t>
      </w:r>
      <w:proofErr w:type="spellEnd"/>
      <w:r>
        <w:rPr>
          <w:sz w:val="24"/>
          <w:szCs w:val="24"/>
        </w:rPr>
        <w:t>) los efectos en los grupos específicos en condición de vulnerabilidad. En cada una de estas dimensiones se generarán presiones adicionales a las que ya se enfrentaban en la precrisis. Los efectos de la crisis sobre las y los trabajadores y las empresas serán diferenciados. Las personas que trabajan en la economía informal o por cuenta propia, con menores ingresos, así como las empresas micro y pequeñas empresas serán quienes más se vean afectadas; también, podría afectar el financiamiento de programas y servicios públicos claves para el bienestar de la población, con una posible afectación diferenciada para mujeres y grupos específicos.</w:t>
      </w:r>
    </w:p>
    <w:p w14:paraId="05AE8CB5" w14:textId="77777777" w:rsidR="00BB534D" w:rsidRDefault="00B842B1">
      <w:pPr>
        <w:spacing w:before="0" w:after="160" w:line="240" w:lineRule="auto"/>
        <w:jc w:val="both"/>
        <w:rPr>
          <w:sz w:val="24"/>
          <w:szCs w:val="24"/>
        </w:rPr>
      </w:pPr>
      <w:r>
        <w:rPr>
          <w:sz w:val="24"/>
          <w:szCs w:val="24"/>
        </w:rPr>
        <w:t>Si la deteriorada situación fiscal, el aumento de los impuestos y la falta de una hoja de ruta clara para la reactivación económica (incluyendo la creación de empleos) persisten, entonces la inestabilidad social y política podrían causar una crisis generalizada, resultando en mayores conflictos, materializados en manifestaciones que podrían tornarse violentas, bloqueos, surgimiento de movimientos sociales extremistas, afectación en los servicios públicos y el transporte de mercancías, mayor represión del gobierno coartando las libertades individuales para mantener el orden público y provocando eventuales violaciones de los derechos humanos. Hay que tener en cuenta que otros riesgos analizados más adelante podrían escalar y sumarse a las demandas en esta dimensión; sin embargo, hay que señalar que no se prevé una crisis que escale a un nivel donde se necesite una respuesta humanitaria o alguna intervención internacional.</w:t>
      </w:r>
    </w:p>
    <w:p w14:paraId="05AE8CB6" w14:textId="77777777" w:rsidR="00BB534D" w:rsidRDefault="00B842B1">
      <w:pPr>
        <w:spacing w:before="0" w:after="160" w:line="240" w:lineRule="auto"/>
        <w:jc w:val="both"/>
        <w:rPr>
          <w:sz w:val="24"/>
          <w:szCs w:val="24"/>
        </w:rPr>
      </w:pPr>
      <w:r>
        <w:rPr>
          <w:sz w:val="24"/>
          <w:szCs w:val="24"/>
        </w:rPr>
        <w:t xml:space="preserve">La capacidad de respuesta estaría supeditada al Ministerio de Seguridad Pública y, nuevamente, a un diálogo por parte de los Poderes Ejecutivo y Legislativo con varios sectores para atender las demandas de los grupos de presión y llegar a consensos que beneficien al país como un todo. </w:t>
      </w:r>
    </w:p>
    <w:p w14:paraId="05AE8CB7" w14:textId="77777777" w:rsidR="00BB534D" w:rsidRDefault="00B842B1">
      <w:pPr>
        <w:spacing w:before="320" w:after="80" w:line="240" w:lineRule="auto"/>
        <w:rPr>
          <w:color w:val="039BE5"/>
          <w:sz w:val="24"/>
          <w:szCs w:val="24"/>
        </w:rPr>
      </w:pPr>
      <w:r>
        <w:rPr>
          <w:color w:val="039BE5"/>
          <w:sz w:val="24"/>
          <w:szCs w:val="24"/>
        </w:rPr>
        <w:t>5.2.2. Dimensión de seguridad</w:t>
      </w:r>
    </w:p>
    <w:p w14:paraId="05AE8CB8" w14:textId="77777777" w:rsidR="00BB534D" w:rsidRDefault="00B842B1">
      <w:pPr>
        <w:spacing w:before="0" w:after="160" w:line="240" w:lineRule="auto"/>
        <w:jc w:val="both"/>
        <w:rPr>
          <w:sz w:val="24"/>
          <w:szCs w:val="24"/>
        </w:rPr>
      </w:pPr>
      <w:r>
        <w:rPr>
          <w:sz w:val="24"/>
          <w:szCs w:val="24"/>
        </w:rPr>
        <w:t>Aumento en la criminalidad (nivel de riesgo alto “B”).</w:t>
      </w:r>
      <w:r>
        <w:rPr>
          <w:color w:val="1F3864"/>
          <w:sz w:val="24"/>
          <w:szCs w:val="24"/>
        </w:rPr>
        <w:t xml:space="preserve"> </w:t>
      </w:r>
      <w:r>
        <w:rPr>
          <w:sz w:val="24"/>
          <w:szCs w:val="24"/>
        </w:rPr>
        <w:t>En el año 2019 el Organismo de Investigación Judicial (OIJ) recibió un total de 104 531 denuncias, 992 más en comparación con el año 2018 (103 539), la información fue obtenida de la herramienta denominada Informe Policial Homologado (IPH) para lo cual se utilizó como fecha de corte el día 27 de enero de 2020</w:t>
      </w:r>
      <w:r>
        <w:rPr>
          <w:sz w:val="24"/>
          <w:szCs w:val="24"/>
          <w:vertAlign w:val="superscript"/>
        </w:rPr>
        <w:footnoteReference w:id="120"/>
      </w:r>
      <w:r>
        <w:rPr>
          <w:sz w:val="24"/>
          <w:szCs w:val="24"/>
        </w:rPr>
        <w:t>. En relación con la disminución de la tasa de criminalidad y denuncias en el 2020, se deben más a las restricciones impuestas producto de la pandemia donde las personas tenían que permanecer más tiempo en sus hogares y evitando exponerse a hechos de delincuencia; sin embargo, esta tendencia podría acabarse al ir regresando a una nueva normalidad. Todas las denuncias están cuantificadas por género y edad. Las modalidades delictivas se clasifican en:</w:t>
      </w:r>
    </w:p>
    <w:p w14:paraId="05AE8CB9" w14:textId="77777777" w:rsidR="00BB534D" w:rsidRDefault="00B842B1">
      <w:pPr>
        <w:spacing w:before="0" w:after="160" w:line="240" w:lineRule="auto"/>
        <w:jc w:val="both"/>
        <w:rPr>
          <w:sz w:val="24"/>
          <w:szCs w:val="24"/>
        </w:rPr>
      </w:pPr>
      <w:r>
        <w:rPr>
          <w:sz w:val="24"/>
          <w:szCs w:val="24"/>
        </w:rPr>
        <w:t xml:space="preserve">i)  Delitos contra la propiedad (asalto, robo a vivienda, asalto a vivienda, robo a edificación, robo a vehículo, tacha de vehículo, hurto y fraude, </w:t>
      </w:r>
      <w:proofErr w:type="spellStart"/>
      <w:r>
        <w:rPr>
          <w:sz w:val="24"/>
          <w:szCs w:val="24"/>
        </w:rPr>
        <w:t>ii</w:t>
      </w:r>
      <w:proofErr w:type="spellEnd"/>
      <w:r>
        <w:rPr>
          <w:sz w:val="24"/>
          <w:szCs w:val="24"/>
        </w:rPr>
        <w:t>) delitos contra la vida</w:t>
      </w:r>
      <w:r>
        <w:rPr>
          <w:sz w:val="24"/>
          <w:szCs w:val="24"/>
          <w:vertAlign w:val="superscript"/>
        </w:rPr>
        <w:footnoteReference w:id="121"/>
      </w:r>
      <w:r>
        <w:rPr>
          <w:sz w:val="24"/>
          <w:szCs w:val="24"/>
        </w:rPr>
        <w:t xml:space="preserve"> (homicidio doloso y homicidio culposo de tránsito), </w:t>
      </w:r>
      <w:proofErr w:type="spellStart"/>
      <w:r>
        <w:rPr>
          <w:sz w:val="24"/>
          <w:szCs w:val="24"/>
        </w:rPr>
        <w:t>iii</w:t>
      </w:r>
      <w:proofErr w:type="spellEnd"/>
      <w:r>
        <w:rPr>
          <w:sz w:val="24"/>
          <w:szCs w:val="24"/>
        </w:rPr>
        <w:t>) delitos varios (Personas no localizadas, amenazas, daños, abusos de autoridad, ley de armas, extorsiones, delitos contra el ambiente, delitos contra la libertad individual y otros).</w:t>
      </w:r>
    </w:p>
    <w:p w14:paraId="05AE8CBA" w14:textId="77777777" w:rsidR="00BB534D" w:rsidRDefault="00B842B1">
      <w:pPr>
        <w:spacing w:before="0" w:after="160" w:line="240" w:lineRule="auto"/>
        <w:jc w:val="both"/>
        <w:rPr>
          <w:sz w:val="24"/>
          <w:szCs w:val="24"/>
        </w:rPr>
      </w:pPr>
      <w:r>
        <w:rPr>
          <w:sz w:val="24"/>
          <w:szCs w:val="24"/>
        </w:rPr>
        <w:t>Si la tasa de criminalidad sigue en aumento, podría que las ciudades se vuelvan más inseguras, resultando en mayor riesgo para poblaciones vulnerables, se violentan los derechos fundamentales de los ciudadanos, se crea incertidumbre para el sector turismo, aumentan las propuestas demagógicas para una salida rápida, mayor represión por parte de la fuerza policial, aumento del gasto público en seguridad, creación de leyes draconianas que afecten a la población en general, los riesgos de criminalizar la pobreza, viendo en las personas en condiciones desfavorecidas a sospechosas en potencia y, por último, ignorar las causas estructurales de la criminalidad en el país.</w:t>
      </w:r>
    </w:p>
    <w:p w14:paraId="05AE8CBB" w14:textId="77777777" w:rsidR="00BB534D" w:rsidRDefault="00B842B1">
      <w:pPr>
        <w:spacing w:before="0" w:after="160" w:line="240" w:lineRule="auto"/>
        <w:jc w:val="both"/>
        <w:rPr>
          <w:sz w:val="24"/>
          <w:szCs w:val="24"/>
        </w:rPr>
      </w:pPr>
      <w:r>
        <w:rPr>
          <w:sz w:val="24"/>
          <w:szCs w:val="24"/>
        </w:rPr>
        <w:t xml:space="preserve">El tema del narcotráfico tiene serias repercusiones en todas las dimensiones, siendo las más afectadas la de seguridad y la social. </w:t>
      </w:r>
    </w:p>
    <w:p w14:paraId="05AE8CBC" w14:textId="77777777" w:rsidR="00BB534D" w:rsidRDefault="00B842B1">
      <w:pPr>
        <w:spacing w:before="0" w:after="160" w:line="240" w:lineRule="auto"/>
        <w:jc w:val="both"/>
        <w:rPr>
          <w:sz w:val="24"/>
          <w:szCs w:val="24"/>
        </w:rPr>
      </w:pPr>
      <w:r>
        <w:rPr>
          <w:sz w:val="24"/>
          <w:szCs w:val="24"/>
        </w:rPr>
        <w:t>Si el narcotráfico persiste en el país, entonces los hechos delictivos podrían aumentar, resultando en un incremento de la tasa de criminalidad, guerras entre carteles con posibles daños colaterales, corrupción de funcionarios públicos, mayor temor e incertidumbre entre la población y turistas, aumento en el riesgo de enfermedades para consumidores de estupefacientes y saturación de servicios de salud, infiltración de cárteles en manifestaciones y bloqueos de calles tornándose violentos en contra de las fuerzas de seguridad impactando negativamente los derechos humanos de la población.</w:t>
      </w:r>
    </w:p>
    <w:p w14:paraId="05AE8CBD" w14:textId="77777777" w:rsidR="00BB534D" w:rsidRDefault="00B842B1">
      <w:pPr>
        <w:spacing w:before="0" w:after="160" w:line="240" w:lineRule="auto"/>
        <w:jc w:val="both"/>
        <w:rPr>
          <w:sz w:val="24"/>
          <w:szCs w:val="24"/>
        </w:rPr>
      </w:pPr>
      <w:r>
        <w:rPr>
          <w:sz w:val="24"/>
          <w:szCs w:val="24"/>
        </w:rPr>
        <w:t xml:space="preserve">La capacidad de respuesta para este riesgo recae en el Ministerio de Seguridad Pública, el Organismo de Investigación Judicial (OIJ) y el Poder Judicial. La colaboración del Departamento de Estado de los Estados Unidos de América, la Cooperación Europea, Naciones Unidas y otros organismos internacionales y locales son clave para mitigar los riesgos. Sin embargo, las causas profundas enraizadas al deterioro social, y al crecimiento de la pobreza y la desigualdad deben ser atendidas de manera integral por el Gobierno con la ayuda de organismos internacionales y la sociedad civil.  </w:t>
      </w:r>
    </w:p>
    <w:p w14:paraId="05AE8CBE" w14:textId="77777777" w:rsidR="00BB534D" w:rsidRDefault="00B842B1">
      <w:pPr>
        <w:spacing w:before="320" w:after="80" w:line="240" w:lineRule="auto"/>
        <w:rPr>
          <w:color w:val="039BE5"/>
          <w:sz w:val="24"/>
          <w:szCs w:val="24"/>
        </w:rPr>
      </w:pPr>
      <w:r>
        <w:rPr>
          <w:color w:val="039BE5"/>
          <w:sz w:val="24"/>
          <w:szCs w:val="24"/>
        </w:rPr>
        <w:t>5.2.3. Dimensión política</w:t>
      </w:r>
    </w:p>
    <w:p w14:paraId="05AE8CBF" w14:textId="77777777" w:rsidR="00BB534D" w:rsidRDefault="00B842B1">
      <w:pPr>
        <w:spacing w:before="0" w:after="160" w:line="240" w:lineRule="auto"/>
        <w:jc w:val="both"/>
        <w:rPr>
          <w:sz w:val="24"/>
          <w:szCs w:val="24"/>
        </w:rPr>
      </w:pPr>
      <w:r>
        <w:rPr>
          <w:sz w:val="24"/>
          <w:szCs w:val="24"/>
        </w:rPr>
        <w:t>Violencia electoral, polarización, corrupción y desorden social (nivel de riesgo bajo “B”).</w:t>
      </w:r>
      <w:r>
        <w:rPr>
          <w:color w:val="1F3864"/>
          <w:sz w:val="24"/>
          <w:szCs w:val="24"/>
        </w:rPr>
        <w:t xml:space="preserve"> </w:t>
      </w:r>
      <w:r>
        <w:rPr>
          <w:sz w:val="24"/>
          <w:szCs w:val="24"/>
        </w:rPr>
        <w:t>En el capítulo 4 se analizan las elecciones generales en Costa Rica y la conflictividad social, haciendo referencia a la polarización de la sociedad debido a una visión del proyecto de país. Las elecciones en los últimos 60 años no han sido motivo de conflicto y es difícil prever un conflicto debido al proceso electoral. Sin embargo, en este contexto se ha exacerbado el discurso de odio, xenofobia y discriminación contra poblaciones en condiciones de vulnerabilidad como son las personas LGTBT y migrantes, entre otras. No obstante, la polarización política e ideológica hace que el riesgo de una crisis esté latente.</w:t>
      </w:r>
    </w:p>
    <w:p w14:paraId="05AE8CC0" w14:textId="77777777" w:rsidR="00BB534D" w:rsidRDefault="00B842B1">
      <w:pPr>
        <w:spacing w:before="0" w:after="160" w:line="240" w:lineRule="auto"/>
        <w:jc w:val="both"/>
        <w:rPr>
          <w:sz w:val="24"/>
          <w:szCs w:val="24"/>
        </w:rPr>
      </w:pPr>
      <w:r>
        <w:rPr>
          <w:sz w:val="24"/>
          <w:szCs w:val="24"/>
        </w:rPr>
        <w:t>Si la polarización continua, entonces es probable que una crisis escale con conflictos aislados que pueden tornarse violentos en contra de partidarios a bandos contrarios, o contra personas en condiciones de vulnerabilidad, resultando en eventuales violaciones a los derechos humanos, daños a la propiedad pública y privada y el debilitamiento de instituciones democráticas.</w:t>
      </w:r>
    </w:p>
    <w:p w14:paraId="05AE8CC1" w14:textId="77777777" w:rsidR="00BB534D" w:rsidRDefault="00B842B1">
      <w:pPr>
        <w:spacing w:before="0" w:after="160" w:line="240" w:lineRule="auto"/>
        <w:jc w:val="both"/>
        <w:rPr>
          <w:sz w:val="24"/>
          <w:szCs w:val="24"/>
        </w:rPr>
      </w:pPr>
      <w:r>
        <w:rPr>
          <w:sz w:val="24"/>
          <w:szCs w:val="24"/>
        </w:rPr>
        <w:t>Las capacidades de mitigación van a recaer en todos los organismos gubernamentales, la comunidad internacional y la sociedad civil. La estrategia y plan de contingencia para mitigar este riesgo debe ser una prioridad en los siguientes pasos después de este análisis común de país.</w:t>
      </w:r>
    </w:p>
    <w:p w14:paraId="05AE8CC2" w14:textId="77777777" w:rsidR="00BB534D" w:rsidRDefault="00B842B1">
      <w:pPr>
        <w:spacing w:before="320" w:after="80" w:line="240" w:lineRule="auto"/>
        <w:rPr>
          <w:color w:val="039BE5"/>
          <w:sz w:val="24"/>
          <w:szCs w:val="24"/>
        </w:rPr>
      </w:pPr>
      <w:r>
        <w:rPr>
          <w:color w:val="039BE5"/>
          <w:sz w:val="24"/>
          <w:szCs w:val="24"/>
        </w:rPr>
        <w:t>5.2.4. Dimensión social</w:t>
      </w:r>
    </w:p>
    <w:p w14:paraId="05AE8CC3" w14:textId="77777777" w:rsidR="00BB534D" w:rsidRDefault="00B842B1">
      <w:pPr>
        <w:spacing w:before="0" w:after="160" w:line="240" w:lineRule="auto"/>
        <w:jc w:val="both"/>
        <w:rPr>
          <w:sz w:val="24"/>
          <w:szCs w:val="24"/>
        </w:rPr>
      </w:pPr>
      <w:r>
        <w:rPr>
          <w:sz w:val="24"/>
          <w:szCs w:val="24"/>
        </w:rPr>
        <w:t>Crisis de personas refugiadas y migrantes (nivel de riesgo medio “B”).</w:t>
      </w:r>
      <w:r>
        <w:rPr>
          <w:color w:val="1F3864"/>
          <w:sz w:val="24"/>
          <w:szCs w:val="24"/>
        </w:rPr>
        <w:t xml:space="preserve"> </w:t>
      </w:r>
      <w:r>
        <w:rPr>
          <w:sz w:val="24"/>
          <w:szCs w:val="24"/>
        </w:rPr>
        <w:t xml:space="preserve">El Gobierno de Costa Rica ha apoyado activamente los marcos regionales tendentes a mejorar las políticas de protección de las personas refugiadas. </w:t>
      </w:r>
    </w:p>
    <w:p w14:paraId="05AE8CC4" w14:textId="77777777" w:rsidR="00BB534D" w:rsidRDefault="00B842B1">
      <w:pPr>
        <w:spacing w:before="0" w:after="160" w:line="240" w:lineRule="auto"/>
        <w:jc w:val="both"/>
        <w:rPr>
          <w:sz w:val="24"/>
          <w:szCs w:val="24"/>
        </w:rPr>
      </w:pPr>
      <w:r>
        <w:rPr>
          <w:sz w:val="24"/>
          <w:szCs w:val="24"/>
        </w:rPr>
        <w:t>De forma simultánea, ACNUR pasó de una operación estándar enfocada en esfuerzos de incidencia e integración, a una de emergencia habiendo declarado la Emergencia L2 ya en agosto de 2019. Esto se reflejó, entre otras cosas, en la apertura de una Oficina de Terreno en Upala manteniendo al mismo tiempo la búsqueda de soluciones duraderas como un país de acogida. A noviembre del 2020, se estiman 100 600 personas de interés del ACNUR que incluye personas refugiadas, solicitantes de refugio, apátridas y otras de interés, de las cuales la gran mayoría son originarios de Nicaragua (81.6%), Venezuela (6.1%), Cuba (4.2%), Colombia (3.9%), Norte de Centroamérica (3.5%) y otras nacionalidades (0.7%). Se sigue con especial atención los indicadores de alerta temprana que podrían informar sobre un posible ingreso de nicaragüenses por la frontera norte y los movimientos mixtos extrarregionales que ingresan por la frontera sur para continuar su camino a Estados Unidos de América</w:t>
      </w:r>
      <w:r>
        <w:rPr>
          <w:sz w:val="24"/>
          <w:szCs w:val="24"/>
          <w:vertAlign w:val="superscript"/>
        </w:rPr>
        <w:footnoteReference w:id="122"/>
      </w:r>
      <w:r>
        <w:rPr>
          <w:sz w:val="24"/>
          <w:szCs w:val="24"/>
        </w:rPr>
        <w:t xml:space="preserve">. </w:t>
      </w:r>
    </w:p>
    <w:p w14:paraId="05AE8CC5" w14:textId="77777777" w:rsidR="00BB534D" w:rsidRDefault="00B842B1">
      <w:pPr>
        <w:spacing w:before="0" w:after="160" w:line="240" w:lineRule="auto"/>
        <w:jc w:val="both"/>
        <w:rPr>
          <w:sz w:val="24"/>
          <w:szCs w:val="24"/>
        </w:rPr>
      </w:pPr>
      <w:r>
        <w:rPr>
          <w:sz w:val="24"/>
          <w:szCs w:val="24"/>
        </w:rPr>
        <w:t xml:space="preserve"> Las elecciones presidenciales del 7 de noviembre de 2021 en Nicaragua se realizaron de manera ordenada y pacífica; sin embargo, la oposición fue encarcelada previo a las elecciones y permanece encarcelada bajo aparentes cargos de crímenes de odio. Esto generó un ambiente de incertidumbre, por lo cual el número de solicitudes de asilo en Costa Rica aumentó significativamente cuatro meses antes de las elecciones y se prevé un aumento sostenido en los próximos meses. Es necesario monitorear la situación de los Derechos Humanos durante los siguientes seis meses a las elecciones y actualizar un plan de contingencia en caso de que la situación política continúe deteriorándose.</w:t>
      </w:r>
    </w:p>
    <w:p w14:paraId="05AE8CC6" w14:textId="77777777" w:rsidR="00BB534D" w:rsidRDefault="00B842B1">
      <w:pPr>
        <w:spacing w:before="0" w:after="160" w:line="240" w:lineRule="auto"/>
        <w:jc w:val="both"/>
        <w:rPr>
          <w:sz w:val="24"/>
          <w:szCs w:val="24"/>
        </w:rPr>
      </w:pPr>
      <w:r>
        <w:rPr>
          <w:sz w:val="24"/>
          <w:szCs w:val="24"/>
        </w:rPr>
        <w:t>Si hay nuevos movimientos mixtos de personas refugiadas y migrantes, entonces se presentaría una nueva crisis migratoria y humanitaria, resultando en una presión mucho mayor en los servicios públicos, resultando en la necesidad de mayor financiamiento para garantizar los derechos de las personas refugiadas y migrantes, brotes de xenofobia, un mayor retraso en el reconocimiento de la condición de refugiado y un incremento de las actividades de ayuda humanitaria en el país.</w:t>
      </w:r>
    </w:p>
    <w:p w14:paraId="05AE8CC7" w14:textId="77777777" w:rsidR="00BB534D" w:rsidRDefault="00B842B1">
      <w:pPr>
        <w:spacing w:before="0" w:after="160" w:line="240" w:lineRule="auto"/>
        <w:jc w:val="both"/>
        <w:rPr>
          <w:sz w:val="24"/>
          <w:szCs w:val="24"/>
        </w:rPr>
      </w:pPr>
      <w:r>
        <w:rPr>
          <w:sz w:val="24"/>
          <w:szCs w:val="24"/>
        </w:rPr>
        <w:t>La capacidad de respuesta recae principalmente en el Ministerio de Gobernación y Policía, a través de la Dirección General de Migración y Extranjería (DGME), la CONATT</w:t>
      </w:r>
      <w:r>
        <w:rPr>
          <w:sz w:val="24"/>
          <w:szCs w:val="24"/>
          <w:vertAlign w:val="superscript"/>
        </w:rPr>
        <w:footnoteReference w:id="123"/>
      </w:r>
      <w:r>
        <w:rPr>
          <w:sz w:val="24"/>
          <w:szCs w:val="24"/>
        </w:rPr>
        <w:t xml:space="preserve">, la coordinación de la Comisión Nacional de Emergencias (CNE), los Comités de Emergencias Municipales, el Sistema de Naciones Unidas a través de la coordinación con el ACNUR y la OIM; y, por último, el apoyo de la sociedad civil. </w:t>
      </w:r>
    </w:p>
    <w:p w14:paraId="05AE8CC8" w14:textId="77777777" w:rsidR="00BB534D" w:rsidRDefault="00B842B1">
      <w:pPr>
        <w:spacing w:before="0" w:after="160" w:line="240" w:lineRule="auto"/>
        <w:jc w:val="both"/>
        <w:rPr>
          <w:color w:val="0563C1"/>
          <w:sz w:val="24"/>
          <w:szCs w:val="24"/>
          <w:u w:val="single"/>
          <w:vertAlign w:val="superscript"/>
        </w:rPr>
      </w:pPr>
      <w:bookmarkStart w:id="25" w:name="_17dp8vu" w:colFirst="0" w:colLast="0"/>
      <w:bookmarkEnd w:id="25"/>
      <w:r>
        <w:rPr>
          <w:sz w:val="24"/>
          <w:szCs w:val="24"/>
        </w:rPr>
        <w:t>Tensiones sociales relacionadas con derechos económicos y sociales de los pueblos indígenas (nivel de riesgo medio “B”). Como ya fue mencionado, la crisis de la COVID-19 agravó la crisis fiscal</w:t>
      </w:r>
      <w:r>
        <w:rPr>
          <w:sz w:val="24"/>
          <w:szCs w:val="24"/>
          <w:vertAlign w:val="superscript"/>
        </w:rPr>
        <w:footnoteReference w:id="124"/>
      </w:r>
      <w:r>
        <w:rPr>
          <w:sz w:val="24"/>
          <w:szCs w:val="24"/>
        </w:rPr>
        <w:t xml:space="preserve">  resultando en importantes recortes en el gasto público, desafiando la capacidad financiera del Estado para responder adecuadamente a las necesidades sanitarias, económicas y sociales. La población indígena no escapa de ello, lo que se agrava con las dificultades de acceso a los territorios, limitaciones de conectividad, lejanía de los centros de salud y deudas históricas relacionadas con la tenencia de la tierra y el acceso a recursos productivos.</w:t>
      </w:r>
    </w:p>
    <w:p w14:paraId="05AE8CC9" w14:textId="77777777" w:rsidR="00BB534D" w:rsidRDefault="00B842B1">
      <w:pPr>
        <w:spacing w:before="0" w:after="160" w:line="240" w:lineRule="auto"/>
        <w:jc w:val="both"/>
        <w:rPr>
          <w:sz w:val="24"/>
          <w:szCs w:val="24"/>
        </w:rPr>
      </w:pPr>
      <w:r>
        <w:rPr>
          <w:sz w:val="24"/>
          <w:szCs w:val="24"/>
        </w:rPr>
        <w:t>Ante la demora del Estado para poner en regla la titulación de las tierras y territorios, distintas comunidades indígenas iniciaron un proceso de recuperación pacífica por las vías de hecho dejando atrás los demorados mecanismos legales existentes. Esta estrategia para recuperar sus tierras se intensificó a inicios del 2010 generando una mayor tensión con las comunidades no-indígenas, particularmente en los territorios del sur del país. La zona con mayor conflicto es Buenos Aires de Puntarenas. En este contexto, preocupan los asesinatos de dos líderes indígenas en 2019 y 2020 y las amenazas contra las comunidades indígenas en los procesos de recuperación de hecho de las tierras y la falta de avances en las investigaciones</w:t>
      </w:r>
    </w:p>
    <w:p w14:paraId="05AE8CCA" w14:textId="77777777" w:rsidR="00BB534D" w:rsidRDefault="00B842B1">
      <w:pPr>
        <w:spacing w:before="0" w:after="160" w:line="240" w:lineRule="auto"/>
        <w:jc w:val="both"/>
        <w:rPr>
          <w:sz w:val="24"/>
          <w:szCs w:val="24"/>
        </w:rPr>
      </w:pPr>
      <w:r>
        <w:rPr>
          <w:sz w:val="24"/>
          <w:szCs w:val="24"/>
        </w:rPr>
        <w:t>Adicionalmente, frente a los desalojos forzosos de los territorios indígenas, el Comité CEDAW considera preocupante las consecuencias particulares en las mujeres indígenas y recomendó adoptar medidas firmes contra la expropiación de las tierras tradicionalmente ocupadas o utilizadas por ellas y contra los desalojos forzosos de esas mujeres, reforzar las garantías jurídicas y procesales destinadas a protegerlas y velar por su participación significativa en los procesos de adopción de decisiones en relación con el uso de las tierras indígenas tradicionales.</w:t>
      </w:r>
      <w:r>
        <w:rPr>
          <w:sz w:val="24"/>
          <w:szCs w:val="24"/>
          <w:vertAlign w:val="superscript"/>
        </w:rPr>
        <w:t xml:space="preserve"> </w:t>
      </w:r>
    </w:p>
    <w:p w14:paraId="05AE8CCB" w14:textId="77777777" w:rsidR="00BB534D" w:rsidRDefault="00B842B1">
      <w:pPr>
        <w:spacing w:before="0" w:after="160" w:line="240" w:lineRule="auto"/>
        <w:jc w:val="both"/>
        <w:rPr>
          <w:sz w:val="24"/>
          <w:szCs w:val="24"/>
        </w:rPr>
      </w:pPr>
      <w:r>
        <w:rPr>
          <w:sz w:val="24"/>
          <w:szCs w:val="24"/>
        </w:rPr>
        <w:t>De no tomarse las medidas de saneamiento de los territorios indígenas por el Estado los riesgos de conflictividad entre población indígena y no indígenas podrían desencadenar en amenazas a la vida de líderes y lideresas indígenas, resultando en la pérdida de vidas humanas, destrucción y pérdida de bienes materiales y un marcado activismo en favor de estas poblaciones que se podrían traducir en manifestaciones y bloqueos.</w:t>
      </w:r>
    </w:p>
    <w:p w14:paraId="05AE8CCC" w14:textId="77777777" w:rsidR="00BB534D" w:rsidRDefault="00B842B1">
      <w:pPr>
        <w:spacing w:before="0" w:after="160" w:line="240" w:lineRule="auto"/>
        <w:jc w:val="both"/>
        <w:rPr>
          <w:sz w:val="24"/>
          <w:szCs w:val="24"/>
        </w:rPr>
      </w:pPr>
      <w:r>
        <w:rPr>
          <w:sz w:val="24"/>
          <w:szCs w:val="24"/>
        </w:rPr>
        <w:t>La capacidad de respuesta recae sobre el Viceministerio de la Presidencia: Asuntos Políticos y Diálogo Ciudadano con la participación amplia y significativa de las comunidades indígenas y el acompañamiento del Sistema de Naciones Unidas.</w:t>
      </w:r>
    </w:p>
    <w:p w14:paraId="05AE8CCD" w14:textId="77777777" w:rsidR="00BB534D" w:rsidRDefault="00B842B1">
      <w:pPr>
        <w:spacing w:before="320" w:after="80" w:line="240" w:lineRule="auto"/>
        <w:rPr>
          <w:color w:val="039BE5"/>
          <w:sz w:val="24"/>
          <w:szCs w:val="24"/>
        </w:rPr>
      </w:pPr>
      <w:r>
        <w:rPr>
          <w:color w:val="039BE5"/>
          <w:sz w:val="24"/>
          <w:szCs w:val="24"/>
        </w:rPr>
        <w:t>5.2.5. Dimensión ambiental</w:t>
      </w:r>
    </w:p>
    <w:p w14:paraId="05AE8CCE" w14:textId="77777777" w:rsidR="00BB534D" w:rsidRDefault="00B842B1">
      <w:pPr>
        <w:spacing w:before="0" w:after="160" w:line="240" w:lineRule="auto"/>
        <w:jc w:val="both"/>
        <w:rPr>
          <w:sz w:val="24"/>
          <w:szCs w:val="24"/>
        </w:rPr>
      </w:pPr>
      <w:r>
        <w:rPr>
          <w:sz w:val="24"/>
          <w:szCs w:val="24"/>
        </w:rPr>
        <w:t>Conflicto sector pesca (nivel de riesgo bajo “C”).</w:t>
      </w:r>
      <w:r>
        <w:rPr>
          <w:color w:val="1F3864"/>
          <w:sz w:val="24"/>
          <w:szCs w:val="24"/>
        </w:rPr>
        <w:t xml:space="preserve"> </w:t>
      </w:r>
      <w:r>
        <w:rPr>
          <w:sz w:val="24"/>
          <w:szCs w:val="24"/>
        </w:rPr>
        <w:t xml:space="preserve">Se ha identificado un problema central de manejo y gestión inadecuado de la actividad pesquera y acuícola que se atribuye a causas como: i.) un marco normativo disperso y desactualizado; </w:t>
      </w:r>
      <w:proofErr w:type="spellStart"/>
      <w:r>
        <w:rPr>
          <w:sz w:val="24"/>
          <w:szCs w:val="24"/>
        </w:rPr>
        <w:t>ii</w:t>
      </w:r>
      <w:proofErr w:type="spellEnd"/>
      <w:r>
        <w:rPr>
          <w:sz w:val="24"/>
          <w:szCs w:val="24"/>
        </w:rPr>
        <w:t xml:space="preserve">.) una débil y fragmentada institucionalidad; </w:t>
      </w:r>
      <w:proofErr w:type="spellStart"/>
      <w:r>
        <w:rPr>
          <w:sz w:val="24"/>
          <w:szCs w:val="24"/>
        </w:rPr>
        <w:t>iii</w:t>
      </w:r>
      <w:proofErr w:type="spellEnd"/>
      <w:r>
        <w:rPr>
          <w:sz w:val="24"/>
          <w:szCs w:val="24"/>
        </w:rPr>
        <w:t xml:space="preserve">.) poca capacidad y escaso compromiso de los actores privados; </w:t>
      </w:r>
      <w:proofErr w:type="spellStart"/>
      <w:r>
        <w:rPr>
          <w:sz w:val="24"/>
          <w:szCs w:val="24"/>
        </w:rPr>
        <w:t>iv</w:t>
      </w:r>
      <w:proofErr w:type="spellEnd"/>
      <w:r>
        <w:rPr>
          <w:sz w:val="24"/>
          <w:szCs w:val="24"/>
        </w:rPr>
        <w:t xml:space="preserve">.) escasa o mínima inversión pública en infraestructura; v.) pobre o mínima investigación científica, especialmente aquella de interés comercial; vi.) informalidad en la actividad; y </w:t>
      </w:r>
      <w:proofErr w:type="spellStart"/>
      <w:r>
        <w:rPr>
          <w:sz w:val="24"/>
          <w:szCs w:val="24"/>
        </w:rPr>
        <w:t>vii</w:t>
      </w:r>
      <w:proofErr w:type="spellEnd"/>
      <w:r>
        <w:rPr>
          <w:sz w:val="24"/>
          <w:szCs w:val="24"/>
        </w:rPr>
        <w:t xml:space="preserve">.) información y estadística pesquera y acuícola inadecuada. (INCOPESCA, 2019) </w:t>
      </w:r>
    </w:p>
    <w:p w14:paraId="05AE8CCF" w14:textId="77777777" w:rsidR="00BB534D" w:rsidRDefault="00B842B1">
      <w:pPr>
        <w:spacing w:before="0" w:after="160" w:line="240" w:lineRule="auto"/>
        <w:jc w:val="both"/>
        <w:rPr>
          <w:sz w:val="24"/>
          <w:szCs w:val="24"/>
        </w:rPr>
      </w:pPr>
      <w:r>
        <w:rPr>
          <w:sz w:val="24"/>
          <w:szCs w:val="24"/>
        </w:rPr>
        <w:t xml:space="preserve">Actualmente, las limitaciones del sector pesquero y su gobernabilidad, también se ven afectadas por los modelos de  ordenamiento territorial marino en las diferentes pesquerías,  donde se afrontan grandes rezagos de información sobre el estado de los recursos pesqueros y la biodiversidad, esto limita  la mejora en su manejo y tiende a propiciar una explotación poco ordenada e insostenible, a generar pocos controles y monitoreo, así como una escasa comunicación sobre la eficacia de las medidas de manejo, lo que genera recurrentes conflictos sociales e institucionales. (INCOPESCA, 2018) </w:t>
      </w:r>
    </w:p>
    <w:p w14:paraId="05AE8CD0" w14:textId="77777777" w:rsidR="00BB534D" w:rsidRDefault="00B842B1">
      <w:pPr>
        <w:spacing w:before="0" w:after="160" w:line="240" w:lineRule="auto"/>
        <w:jc w:val="both"/>
        <w:rPr>
          <w:sz w:val="24"/>
          <w:szCs w:val="24"/>
        </w:rPr>
      </w:pPr>
      <w:r>
        <w:rPr>
          <w:sz w:val="24"/>
          <w:szCs w:val="24"/>
        </w:rPr>
        <w:t>Esta realidad puede generar situaciones de presión que se ven reflejadas en el aumento de las poblaciones en condición de vulnerabilidad y en riesgo social, aumentando la pobreza y la pobreza extrema, el rezago de las comunidades costeras a nivel social y económico, lo que a su vez se traduce en problemas sociales de seguridad, desempleo, narcotráfico, entre otros.</w:t>
      </w:r>
      <w:r>
        <w:rPr>
          <w:sz w:val="24"/>
          <w:szCs w:val="24"/>
          <w:vertAlign w:val="superscript"/>
        </w:rPr>
        <w:footnoteReference w:id="125"/>
      </w:r>
    </w:p>
    <w:p w14:paraId="05AE8CD1" w14:textId="77777777" w:rsidR="00BB534D" w:rsidRDefault="00B842B1">
      <w:pPr>
        <w:spacing w:before="0" w:after="160" w:line="240" w:lineRule="auto"/>
        <w:jc w:val="both"/>
        <w:rPr>
          <w:sz w:val="24"/>
          <w:szCs w:val="24"/>
        </w:rPr>
      </w:pPr>
      <w:r>
        <w:rPr>
          <w:sz w:val="24"/>
          <w:szCs w:val="24"/>
        </w:rPr>
        <w:t>Deterioro de la gestión del recurso hídrico nacional (nivel de riesgo medio “B”). En 2009, la Experta independiente</w:t>
      </w:r>
      <w:r>
        <w:rPr>
          <w:sz w:val="24"/>
          <w:szCs w:val="24"/>
          <w:vertAlign w:val="superscript"/>
        </w:rPr>
        <w:footnoteReference w:id="126"/>
      </w:r>
      <w:r>
        <w:rPr>
          <w:sz w:val="24"/>
          <w:szCs w:val="24"/>
        </w:rPr>
        <w:t xml:space="preserve"> sobre la cuestión de las obligaciones de derechos humanos relacionadas con el acceso al agua potable y el saneamiento expresó su preocupación por el patrón actual de desarrollo turístico e inmobiliario en el país, especialmente en las zonas costeras del norte, que genera serios conflictos sociales entre la demanda de agua para consumo humano de las comunidades locales y los intereses económicos de inversionistas y promotores inmobiliarios, y corre el riesgo de tener efectos negativos a largo plazo sobre los recursos hídricos de Costa Rica, así como sobre la preservación de su entorno natural. Señaló también </w:t>
      </w:r>
      <w:proofErr w:type="gramStart"/>
      <w:r>
        <w:rPr>
          <w:sz w:val="24"/>
          <w:szCs w:val="24"/>
        </w:rPr>
        <w:t>que</w:t>
      </w:r>
      <w:proofErr w:type="gramEnd"/>
      <w:r>
        <w:rPr>
          <w:sz w:val="24"/>
          <w:szCs w:val="24"/>
        </w:rPr>
        <w:t xml:space="preserve"> en mayo de 2008, el Ministerio de Salud elaboró dos proyectos de decretos ejecutivos para regular el uso de </w:t>
      </w:r>
      <w:proofErr w:type="spellStart"/>
      <w:r>
        <w:rPr>
          <w:sz w:val="24"/>
          <w:szCs w:val="24"/>
        </w:rPr>
        <w:t>Bromacil</w:t>
      </w:r>
      <w:proofErr w:type="spellEnd"/>
      <w:r>
        <w:rPr>
          <w:sz w:val="24"/>
          <w:szCs w:val="24"/>
        </w:rPr>
        <w:t xml:space="preserve"> y </w:t>
      </w:r>
      <w:proofErr w:type="spellStart"/>
      <w:r>
        <w:rPr>
          <w:sz w:val="24"/>
          <w:szCs w:val="24"/>
        </w:rPr>
        <w:t>Diuron</w:t>
      </w:r>
      <w:proofErr w:type="spellEnd"/>
      <w:r>
        <w:rPr>
          <w:sz w:val="24"/>
          <w:szCs w:val="24"/>
        </w:rPr>
        <w:t xml:space="preserve">, estableciendo una dosis máxima admisible de 5 microgramos por litro de agua potable. Las regulaciones aún no se han adoptado, y algunos productores de piña continúan usando dosis más altas de los pesticidas hasta el límite de 90 microgramos por litro de </w:t>
      </w:r>
      <w:proofErr w:type="spellStart"/>
      <w:r>
        <w:rPr>
          <w:sz w:val="24"/>
          <w:szCs w:val="24"/>
        </w:rPr>
        <w:t>bromacil</w:t>
      </w:r>
      <w:proofErr w:type="spellEnd"/>
      <w:r>
        <w:rPr>
          <w:sz w:val="24"/>
          <w:szCs w:val="24"/>
        </w:rPr>
        <w:t xml:space="preserve"> en el agua potable establecido por la Agencia de Protección Ambiental de los Estados Unidos. Esta situación es una fuente de gran preocupación por las comunidades locales, y genera conflictos sociales entre estas y los productores de piña.</w:t>
      </w:r>
    </w:p>
    <w:p w14:paraId="05AE8CD2" w14:textId="77777777" w:rsidR="00BB534D" w:rsidRDefault="00BB534D">
      <w:pPr>
        <w:spacing w:before="0" w:line="240" w:lineRule="auto"/>
        <w:jc w:val="both"/>
        <w:rPr>
          <w:sz w:val="24"/>
          <w:szCs w:val="24"/>
        </w:rPr>
      </w:pPr>
    </w:p>
    <w:p w14:paraId="05AE8CD3" w14:textId="77777777" w:rsidR="00BB534D" w:rsidRDefault="00B842B1">
      <w:pPr>
        <w:spacing w:before="0" w:line="240" w:lineRule="auto"/>
        <w:jc w:val="both"/>
        <w:rPr>
          <w:sz w:val="24"/>
          <w:szCs w:val="24"/>
        </w:rPr>
      </w:pPr>
      <w:r>
        <w:rPr>
          <w:sz w:val="24"/>
          <w:szCs w:val="24"/>
        </w:rPr>
        <w:t>Recomendó a Costa Rica que promulgase una nueva ley de aguas en la que, entre otras cosas, se reconociese que el agua es un recurso natural limitado, se incluyesen mecanismos adecuados para asegurar que el agua y los servicios e instalaciones conexos fueran accesibles a todas las personas y se incluyesen medidas para mejorar y vigilar la calidad del agua potable. La Experta recomendó también a Costa Rica que llevase a cabo una revisión amplia de su marco normativo en materia de saneamiento, con miras a asegurar el establecimiento de un sistema coherente y amplio de recogida, gestión, tratamiento y eliminación de las aguas fecales y las aguas residuales. En esa legislación se debía reconocer explícitamente que el acceso al saneamiento constituye una condición indispensable para el ejercicio efectivo de otros derechos.</w:t>
      </w:r>
      <w:r>
        <w:rPr>
          <w:sz w:val="24"/>
          <w:szCs w:val="24"/>
          <w:vertAlign w:val="superscript"/>
        </w:rPr>
        <w:footnoteReference w:id="127"/>
      </w:r>
    </w:p>
    <w:p w14:paraId="05AE8CD4" w14:textId="77777777" w:rsidR="00BB534D" w:rsidRDefault="00BB534D">
      <w:pPr>
        <w:spacing w:before="0" w:line="240" w:lineRule="auto"/>
        <w:jc w:val="both"/>
        <w:rPr>
          <w:sz w:val="24"/>
          <w:szCs w:val="24"/>
        </w:rPr>
      </w:pPr>
    </w:p>
    <w:p w14:paraId="05AE8CD5" w14:textId="77777777" w:rsidR="00BB534D" w:rsidRDefault="00B842B1">
      <w:pPr>
        <w:spacing w:before="0" w:after="160" w:line="240" w:lineRule="auto"/>
        <w:jc w:val="both"/>
        <w:rPr>
          <w:sz w:val="24"/>
          <w:szCs w:val="24"/>
        </w:rPr>
      </w:pPr>
      <w:r>
        <w:rPr>
          <w:sz w:val="24"/>
          <w:szCs w:val="24"/>
        </w:rPr>
        <w:t>De no implementarse las recomendaciones formuladas por el Relator Especial, las probabilidades que incrementen las tensiones y conflictos sociales entre las comunidades tienden a aumentar generando eventuales violaciones de los derechos humanos. Corresponde a la Asamblea Legislativa revisar su marco normativo para garantizar el derecho al agua.</w:t>
      </w:r>
    </w:p>
    <w:p w14:paraId="05AE8CD6" w14:textId="77777777" w:rsidR="00BB534D" w:rsidRDefault="00B842B1">
      <w:pPr>
        <w:spacing w:before="0" w:after="160" w:line="240" w:lineRule="auto"/>
        <w:jc w:val="both"/>
        <w:rPr>
          <w:sz w:val="24"/>
          <w:szCs w:val="24"/>
        </w:rPr>
      </w:pPr>
      <w:r>
        <w:rPr>
          <w:sz w:val="24"/>
          <w:szCs w:val="24"/>
        </w:rPr>
        <w:t xml:space="preserve"> Riesgo de desastres (nivel de riesgo alto “A”).</w:t>
      </w:r>
      <w:r>
        <w:rPr>
          <w:color w:val="1F3864"/>
          <w:sz w:val="24"/>
          <w:szCs w:val="24"/>
        </w:rPr>
        <w:t xml:space="preserve"> </w:t>
      </w:r>
      <w:r>
        <w:rPr>
          <w:sz w:val="24"/>
          <w:szCs w:val="24"/>
        </w:rPr>
        <w:t>El territorio costarricense se encuentra expuesto a gran cantidad de amenazas naturales asociadas a su ubicación, características climáticas y geológicas. Los efectos del cambio climático ya son perceptibles en Costa Rica, principalmente en la región norte del país, en donde los escenarios de cambio climático prevén que las precipitaciones disminuirán en un 15% en 2020 y 35% hacia 2050. Igualmente, el país se ve también afectado por la variabilidad climática y los fenómenos cíclicos de El Niño y La Niña que resultan en la ocurrencia periódica de aumentos o disminuciones en la cantidad e intensidad de las precipitaciones. Entre 2014 a 2016 la zona norte enfrentó una intensa disminución en el régimen de lluvias, generando el periodo de sequía más intenso desde 1930</w:t>
      </w:r>
      <w:r>
        <w:rPr>
          <w:sz w:val="24"/>
          <w:szCs w:val="24"/>
          <w:vertAlign w:val="superscript"/>
        </w:rPr>
        <w:footnoteReference w:id="128"/>
      </w:r>
      <w:r>
        <w:rPr>
          <w:sz w:val="24"/>
          <w:szCs w:val="24"/>
        </w:rPr>
        <w:t>.</w:t>
      </w:r>
    </w:p>
    <w:p w14:paraId="05AE8CD7" w14:textId="77777777" w:rsidR="00BB534D" w:rsidRDefault="00B842B1">
      <w:pPr>
        <w:spacing w:before="0" w:after="160" w:line="240" w:lineRule="auto"/>
        <w:jc w:val="both"/>
        <w:rPr>
          <w:sz w:val="24"/>
          <w:szCs w:val="24"/>
        </w:rPr>
      </w:pPr>
      <w:r>
        <w:rPr>
          <w:sz w:val="24"/>
          <w:szCs w:val="24"/>
        </w:rPr>
        <w:t xml:space="preserve">En noviembre de 2016 se registró un acontecimiento inédito cuando el huracán Otto tocó tierra en Costa Rica y un año después en octubre 2017 la tormenta Nate azotó con fuerza al 80% del territorio nacional. En noviembre de 2020 se registraron intensas lluvias asociadas al huracán Eta y una semana después, al huracán Iota, principalmente en la zona sur y pacífico. Estos eventos causaron grave destrucción en amplias zonas del país, inhabilitando infraestructura de comunicaciones, de vivienda y múltiples servicios públicos, debido a desbordamientos de ríos, inundaciones, deslizamientos, avalanchas, represamientos de agua y lodo, y procesos erosivos ocasionados por el lavado de los suelos, y han causado grandes pérdidas asociadas a los daños y la caída de actividades productivas. La intensa actividad sísmica y la existencia de numerosos volcanes activos complementan un escenario de riesgo multi amenaza que genera frecuentes situaciones de emergencia y desastres. </w:t>
      </w:r>
    </w:p>
    <w:p w14:paraId="05AE8CD8" w14:textId="77777777" w:rsidR="00BB534D" w:rsidRDefault="00B842B1">
      <w:pPr>
        <w:spacing w:before="0" w:after="160" w:line="240" w:lineRule="auto"/>
        <w:jc w:val="both"/>
        <w:rPr>
          <w:sz w:val="24"/>
          <w:szCs w:val="24"/>
        </w:rPr>
      </w:pPr>
      <w:r>
        <w:rPr>
          <w:sz w:val="24"/>
          <w:szCs w:val="24"/>
        </w:rPr>
        <w:t>Desde el punto de vista de las afectaciones, es notable una reducción de la cantidad de muertes relacionadas con la ocurrencia de eventos desastrosos, a la vez que aumentan los daños y pérdidas en infraestructura y actividades productivas.</w:t>
      </w:r>
      <w:r>
        <w:rPr>
          <w:sz w:val="24"/>
          <w:szCs w:val="24"/>
          <w:vertAlign w:val="superscript"/>
        </w:rPr>
        <w:footnoteReference w:id="129"/>
      </w:r>
    </w:p>
    <w:p w14:paraId="05AE8CD9" w14:textId="77777777" w:rsidR="00BB534D" w:rsidRDefault="00B842B1">
      <w:pPr>
        <w:spacing w:before="0" w:after="160" w:line="240" w:lineRule="auto"/>
        <w:jc w:val="both"/>
        <w:rPr>
          <w:sz w:val="24"/>
          <w:szCs w:val="24"/>
        </w:rPr>
      </w:pPr>
      <w:r>
        <w:rPr>
          <w:sz w:val="24"/>
          <w:szCs w:val="24"/>
        </w:rPr>
        <w:t>De hecho, la Comisión Nacional de Prevención del Riesgo y Atención de Emergencias (CNE) da cuenta de que el valor de los daños por el impacto de los Fenómenos Naturales asciende a más de un billón de colones</w:t>
      </w:r>
      <w:r>
        <w:rPr>
          <w:sz w:val="24"/>
          <w:szCs w:val="24"/>
          <w:vertAlign w:val="superscript"/>
        </w:rPr>
        <w:footnoteReference w:id="130"/>
      </w:r>
      <w:r>
        <w:rPr>
          <w:sz w:val="24"/>
          <w:szCs w:val="24"/>
        </w:rPr>
        <w:t>, monto que se dispararía aún más si se incluyera las pérdidas relacionadas con las periódicas inundaciones, deslizamientos y afectaciones similares de cada época lluviosa en zonas urbanas. Esto se debe, entre otras razones, a que el evidente crecimiento de las inversiones públicas y privadas no siempre cuentan con las previsiones y aseguramientos necesarios (gestión del riesgo y adaptación) para reducir los posibles impactos de la complejidad climática, geográfica y geológica del país, lo cual genera vulnerabilidad por exposición y susceptibilidad a estas inversiones. La reubicación de localidades en riesgo de desastres y la planeación de ciudades seguras deben ser parte de la estrategia para la prevención y colaboración para evitar que las pérdidas por el impacto de los fenómenos naturales afecten la economía del país.</w:t>
      </w:r>
    </w:p>
    <w:p w14:paraId="05AE8CDA" w14:textId="77777777" w:rsidR="00BB534D" w:rsidRDefault="00B842B1">
      <w:pPr>
        <w:spacing w:before="0" w:after="160" w:line="240" w:lineRule="auto"/>
        <w:jc w:val="both"/>
        <w:rPr>
          <w:sz w:val="24"/>
          <w:szCs w:val="24"/>
        </w:rPr>
      </w:pPr>
      <w:r>
        <w:rPr>
          <w:sz w:val="24"/>
          <w:szCs w:val="24"/>
        </w:rPr>
        <w:t>Por su parte, la reducción del impacto en vidas humanas puede deberse a que el país ha mejorado notablemente sus capacidades de respuesta ante los eventos, incluyendo la coordinación para el desarrollo y aplicación de mecanismos de anticipación como simulacros y alerta temprana, el fortalecimiento de la institucionalidad pública y las entidades de primera respuesta para preparar y responder en sus áreas de responsabilidad, y una mayor organización, participación y empoderamiento de capacidades locales, liderados por Comité Municipales y Comunales de Emergencia. Sin embargo, se detectan fisuras importantes en el cumplimiento de las diversas regulaciones relacionadas con la ocupación del territorio y normas constructivas, en parte debido al incremento de la pobreza y las dificultades económica que empujan a la habitación en asentamientos informales y zonas de riesgo, así como inversiones inescrupulosas que omiten dichas responsabilidades. También es requerido un reforzamiento del abordaje durante las emergencias de aspectos como la violencia sexual, la garantía de los derechos en salud sexual y reproductiva, y poblaciones en situación de vulnerabilidad tales como personas con discapacidad, indígenas, migrantes, personas refugiadas, afrodescendientes, entre otras.</w:t>
      </w:r>
    </w:p>
    <w:p w14:paraId="05AE8CDB" w14:textId="77777777" w:rsidR="00BB534D" w:rsidRDefault="00B842B1">
      <w:pPr>
        <w:spacing w:before="360" w:after="120" w:line="240" w:lineRule="auto"/>
        <w:jc w:val="both"/>
        <w:rPr>
          <w:color w:val="039BE5"/>
          <w:sz w:val="24"/>
          <w:szCs w:val="24"/>
        </w:rPr>
      </w:pPr>
      <w:r>
        <w:rPr>
          <w:color w:val="039BE5"/>
          <w:sz w:val="24"/>
          <w:szCs w:val="24"/>
        </w:rPr>
        <w:t>5.3 Colaboración para la prevención y reducción de riesgos</w:t>
      </w:r>
    </w:p>
    <w:p w14:paraId="05AE8CDC" w14:textId="77777777" w:rsidR="00BB534D" w:rsidRDefault="00B842B1">
      <w:pPr>
        <w:spacing w:before="0" w:after="160" w:line="240" w:lineRule="auto"/>
        <w:jc w:val="both"/>
        <w:rPr>
          <w:sz w:val="24"/>
          <w:szCs w:val="24"/>
        </w:rPr>
      </w:pPr>
      <w:r>
        <w:rPr>
          <w:sz w:val="24"/>
          <w:szCs w:val="24"/>
        </w:rPr>
        <w:t xml:space="preserve">En este capítulo se hace un análisis de riesgos y se incluyen las instituciones estatales, agencias de Naciones Unidas y </w:t>
      </w:r>
      <w:proofErr w:type="spellStart"/>
      <w:r>
        <w:rPr>
          <w:sz w:val="24"/>
          <w:szCs w:val="24"/>
        </w:rPr>
        <w:t>ONGs</w:t>
      </w:r>
      <w:proofErr w:type="spellEnd"/>
      <w:r>
        <w:rPr>
          <w:sz w:val="24"/>
          <w:szCs w:val="24"/>
        </w:rPr>
        <w:t xml:space="preserve"> encargadas de dar respuesta a los riesgos identificados. La capacidad organizativa de respuesta ante desastres de Costa Rica está fundamentada en una institucionalidad relativamente fuerte que reacciona oportunamente de acuerdo a su naturaleza y mandato, una buena coordinación de los organismos de primera respuesta mediante procedimientos como el Sistema de Comando de Incidentes, y una red de comités municipales y comunales de emergencia, que como primera línea de respondedores en el nivel local han acumulado experiencia en la atención de numerosos eventos.</w:t>
      </w:r>
    </w:p>
    <w:p w14:paraId="05AE8CDD" w14:textId="77777777" w:rsidR="00BB534D" w:rsidRDefault="00B842B1">
      <w:pPr>
        <w:spacing w:before="0" w:after="160" w:line="240" w:lineRule="auto"/>
        <w:jc w:val="both"/>
        <w:rPr>
          <w:sz w:val="24"/>
          <w:szCs w:val="24"/>
        </w:rPr>
      </w:pPr>
      <w:r>
        <w:rPr>
          <w:sz w:val="24"/>
          <w:szCs w:val="24"/>
        </w:rPr>
        <w:t>Las capacidades logísticas se ven limitadas para responder a desastres de gran magnitud debido a la disponibilidad reducida de recursos de transporte terrestres, aéreos y acuáticos más sofisticados, y los procedimientos actuales pueden ser mejorados mediante alguna herramienta que facilite los diferentes niveles de acción y coordinación de la respuesta logística.</w:t>
      </w:r>
    </w:p>
    <w:p w14:paraId="05AE8CDE" w14:textId="77777777" w:rsidR="00BB534D" w:rsidRDefault="00B842B1">
      <w:pPr>
        <w:spacing w:before="0" w:after="160" w:line="240" w:lineRule="auto"/>
        <w:jc w:val="both"/>
        <w:rPr>
          <w:sz w:val="24"/>
          <w:szCs w:val="24"/>
        </w:rPr>
      </w:pPr>
      <w:r>
        <w:rPr>
          <w:sz w:val="24"/>
          <w:szCs w:val="24"/>
        </w:rPr>
        <w:t xml:space="preserve">El país cuenta con diferentes experiencias de Sistema de Alerta Temprana (SAT), tales como los SAT hidrometeorológicos de Sarapiquí y Upala, uno en desarrollo en Nosara, el sistema de vigilancia del deslizamiento de Santa Ana, el trabajo del </w:t>
      </w:r>
      <w:r>
        <w:rPr>
          <w:sz w:val="24"/>
          <w:szCs w:val="24"/>
          <w:highlight w:val="white"/>
        </w:rPr>
        <w:t>Sistema Nacional de Monitoreo de Tsunamis (</w:t>
      </w:r>
      <w:r>
        <w:rPr>
          <w:sz w:val="24"/>
          <w:szCs w:val="24"/>
        </w:rPr>
        <w:t>SINAMOT-UNA) con preparativos para el Caribe y Pacífico. Sin embargo, estos no están necesariamente vinculados ni obedecen a una política o mecanismo unificado.</w:t>
      </w:r>
    </w:p>
    <w:p w14:paraId="05AE8CDF" w14:textId="77777777" w:rsidR="00BB534D" w:rsidRDefault="00B842B1">
      <w:pPr>
        <w:spacing w:before="0" w:after="160" w:line="240" w:lineRule="auto"/>
        <w:jc w:val="both"/>
        <w:rPr>
          <w:sz w:val="24"/>
          <w:szCs w:val="24"/>
        </w:rPr>
      </w:pPr>
      <w:r>
        <w:rPr>
          <w:sz w:val="24"/>
          <w:szCs w:val="24"/>
        </w:rPr>
        <w:t>El Centro de Operaciones de Emergencia (COE) reúne a representantes de organismos de respuesta e instituciones técnicas pudiéndose expandir para incluir otros actores de acuerdo con las características (naturaleza y dimensión) del evento que se atiende. Es responsable de preparar y coordinar la ejecución de las tareas de primera respuesta en situaciones de emergencia. El modelo de COE actual es susceptible de ajustes y actualizaciones desde el punto de vista de su funcionamiento y las herramientas disponibles de operación para mejorar su desempeño frente a emergencias más complejas, tal y como ha quedado demostrado por los desafíos del manejo desde el punto de emergencia de la epidemia de covid-19. Se debe apoyar el financiamiento para el Fondo de Emergencias.</w:t>
      </w:r>
    </w:p>
    <w:p w14:paraId="05AE8CE0" w14:textId="77777777" w:rsidR="00BB534D" w:rsidRDefault="00B842B1">
      <w:pPr>
        <w:spacing w:before="0" w:after="160" w:line="240" w:lineRule="auto"/>
        <w:jc w:val="both"/>
        <w:rPr>
          <w:sz w:val="26"/>
          <w:szCs w:val="26"/>
        </w:rPr>
      </w:pPr>
      <w:r>
        <w:rPr>
          <w:sz w:val="24"/>
          <w:szCs w:val="24"/>
        </w:rPr>
        <w:t>La acción coordinada del Ministerio de Seguridad, Salud y Gobernación en conjunto con la CNE ha sido vital para la respuesta a desastres, movimientos mixtos y el manejo de la pandemia COVID-19. Estas y otras dependencias del gobierno pueden ser fortalecidas con el apoyo técnico de Naciones Unidas en áreas como el manejo de riesgos, sistemas de alerta temprana, incluyendo el monitoreo de indicadores de riesgo, gestión de la información de desastres y la participación y el rendimiento de cuentas a las poblaciones afectadas.</w:t>
      </w:r>
    </w:p>
    <w:p w14:paraId="05AE8CE1" w14:textId="77777777" w:rsidR="00BB534D" w:rsidRDefault="00BB534D">
      <w:pPr>
        <w:spacing w:before="0" w:line="240" w:lineRule="auto"/>
        <w:rPr>
          <w:rFonts w:ascii="Arial" w:eastAsia="Arial" w:hAnsi="Arial" w:cs="Arial"/>
        </w:rPr>
      </w:pPr>
      <w:bookmarkStart w:id="26" w:name="_lnxbz9" w:colFirst="0" w:colLast="0"/>
      <w:bookmarkEnd w:id="26"/>
    </w:p>
    <w:p w14:paraId="05AE8CE2" w14:textId="77777777" w:rsidR="00BB534D" w:rsidRDefault="00BB534D">
      <w:pPr>
        <w:spacing w:before="0" w:line="240" w:lineRule="auto"/>
        <w:jc w:val="both"/>
        <w:rPr>
          <w:sz w:val="24"/>
          <w:szCs w:val="24"/>
        </w:rPr>
      </w:pPr>
    </w:p>
    <w:p w14:paraId="05AE8CE3" w14:textId="77777777" w:rsidR="00BB534D" w:rsidRDefault="00BB534D">
      <w:pPr>
        <w:spacing w:before="0" w:line="240" w:lineRule="auto"/>
        <w:jc w:val="both"/>
        <w:rPr>
          <w:sz w:val="24"/>
          <w:szCs w:val="24"/>
        </w:rPr>
      </w:pPr>
    </w:p>
    <w:p w14:paraId="05AE8CE4" w14:textId="77777777" w:rsidR="00BB534D" w:rsidRDefault="00BB534D">
      <w:pPr>
        <w:spacing w:before="0" w:line="240" w:lineRule="auto"/>
        <w:jc w:val="both"/>
        <w:rPr>
          <w:sz w:val="24"/>
          <w:szCs w:val="24"/>
        </w:rPr>
      </w:pPr>
    </w:p>
    <w:p w14:paraId="05AE8CE5" w14:textId="77777777" w:rsidR="00BB534D" w:rsidRDefault="00BB534D">
      <w:pPr>
        <w:spacing w:before="0" w:line="240" w:lineRule="auto"/>
        <w:jc w:val="both"/>
        <w:rPr>
          <w:sz w:val="24"/>
          <w:szCs w:val="24"/>
        </w:rPr>
      </w:pPr>
    </w:p>
    <w:p w14:paraId="05AE8CE6" w14:textId="77777777" w:rsidR="00BB534D" w:rsidRDefault="00BB534D">
      <w:pPr>
        <w:spacing w:before="0" w:line="240" w:lineRule="auto"/>
        <w:jc w:val="both"/>
        <w:rPr>
          <w:sz w:val="24"/>
          <w:szCs w:val="24"/>
        </w:rPr>
      </w:pPr>
    </w:p>
    <w:p w14:paraId="05AE8CE7" w14:textId="77777777" w:rsidR="00BB534D" w:rsidRDefault="00BB534D">
      <w:pPr>
        <w:spacing w:before="0" w:line="240" w:lineRule="auto"/>
        <w:jc w:val="both"/>
        <w:rPr>
          <w:sz w:val="24"/>
          <w:szCs w:val="24"/>
        </w:rPr>
      </w:pPr>
    </w:p>
    <w:p w14:paraId="05AE8CE8" w14:textId="77777777" w:rsidR="00BB534D" w:rsidRDefault="00BB534D">
      <w:pPr>
        <w:spacing w:before="0" w:line="240" w:lineRule="auto"/>
        <w:jc w:val="both"/>
        <w:rPr>
          <w:sz w:val="24"/>
          <w:szCs w:val="24"/>
        </w:rPr>
      </w:pPr>
    </w:p>
    <w:p w14:paraId="05AE8CE9" w14:textId="77777777" w:rsidR="00BB534D" w:rsidRDefault="00BB534D">
      <w:pPr>
        <w:spacing w:before="0" w:line="240" w:lineRule="auto"/>
        <w:jc w:val="both"/>
        <w:rPr>
          <w:sz w:val="24"/>
          <w:szCs w:val="24"/>
        </w:rPr>
      </w:pPr>
    </w:p>
    <w:p w14:paraId="05AE8CEA" w14:textId="77777777" w:rsidR="00BB534D" w:rsidRDefault="00BB534D">
      <w:pPr>
        <w:spacing w:before="0" w:line="240" w:lineRule="auto"/>
        <w:jc w:val="both"/>
        <w:rPr>
          <w:sz w:val="24"/>
          <w:szCs w:val="24"/>
        </w:rPr>
      </w:pPr>
    </w:p>
    <w:p w14:paraId="05AE8CEB" w14:textId="77777777" w:rsidR="00BB534D" w:rsidRDefault="00BB534D">
      <w:pPr>
        <w:spacing w:before="0" w:line="240" w:lineRule="auto"/>
        <w:jc w:val="both"/>
        <w:rPr>
          <w:sz w:val="24"/>
          <w:szCs w:val="24"/>
        </w:rPr>
      </w:pPr>
    </w:p>
    <w:p w14:paraId="05AE8CEC" w14:textId="77777777" w:rsidR="00BB534D" w:rsidRDefault="00BB534D">
      <w:pPr>
        <w:spacing w:before="0" w:line="240" w:lineRule="auto"/>
        <w:jc w:val="both"/>
        <w:rPr>
          <w:sz w:val="24"/>
          <w:szCs w:val="24"/>
        </w:rPr>
      </w:pPr>
    </w:p>
    <w:p w14:paraId="05AE8CED" w14:textId="77777777" w:rsidR="00BB534D" w:rsidRDefault="00BB534D">
      <w:pPr>
        <w:spacing w:before="0" w:line="240" w:lineRule="auto"/>
        <w:jc w:val="both"/>
        <w:rPr>
          <w:sz w:val="24"/>
          <w:szCs w:val="24"/>
        </w:rPr>
      </w:pPr>
    </w:p>
    <w:p w14:paraId="05AE8CEE" w14:textId="77777777" w:rsidR="00BB534D" w:rsidRDefault="00BB534D">
      <w:pPr>
        <w:spacing w:before="0" w:line="240" w:lineRule="auto"/>
        <w:jc w:val="both"/>
        <w:rPr>
          <w:sz w:val="24"/>
          <w:szCs w:val="24"/>
        </w:rPr>
      </w:pPr>
    </w:p>
    <w:p w14:paraId="05AE8CEF" w14:textId="77777777" w:rsidR="00BB534D" w:rsidRDefault="00BB534D">
      <w:pPr>
        <w:spacing w:before="0" w:line="240" w:lineRule="auto"/>
        <w:jc w:val="both"/>
        <w:rPr>
          <w:sz w:val="24"/>
          <w:szCs w:val="24"/>
        </w:rPr>
      </w:pPr>
    </w:p>
    <w:p w14:paraId="05AE8CF0" w14:textId="77777777" w:rsidR="00BB534D" w:rsidRDefault="00BB534D">
      <w:pPr>
        <w:spacing w:before="0" w:line="240" w:lineRule="auto"/>
        <w:jc w:val="both"/>
        <w:rPr>
          <w:sz w:val="24"/>
          <w:szCs w:val="24"/>
        </w:rPr>
      </w:pPr>
    </w:p>
    <w:p w14:paraId="05AE8CF1" w14:textId="77777777" w:rsidR="00BB534D" w:rsidRDefault="00BB534D">
      <w:pPr>
        <w:spacing w:before="0" w:line="240" w:lineRule="auto"/>
        <w:jc w:val="both"/>
        <w:rPr>
          <w:sz w:val="24"/>
          <w:szCs w:val="24"/>
        </w:rPr>
      </w:pPr>
    </w:p>
    <w:p w14:paraId="05AE8CF2" w14:textId="77777777" w:rsidR="00BB534D" w:rsidRDefault="00BB534D">
      <w:pPr>
        <w:spacing w:before="0" w:line="240" w:lineRule="auto"/>
        <w:jc w:val="both"/>
        <w:rPr>
          <w:sz w:val="24"/>
          <w:szCs w:val="24"/>
        </w:rPr>
      </w:pPr>
    </w:p>
    <w:p w14:paraId="05AE8CF3" w14:textId="77777777" w:rsidR="00BB534D" w:rsidRDefault="00BB534D">
      <w:pPr>
        <w:spacing w:before="0" w:line="240" w:lineRule="auto"/>
        <w:jc w:val="both"/>
        <w:rPr>
          <w:sz w:val="24"/>
          <w:szCs w:val="24"/>
        </w:rPr>
      </w:pPr>
    </w:p>
    <w:p w14:paraId="05AE8CF4" w14:textId="77777777" w:rsidR="00BB534D" w:rsidRDefault="00BB534D">
      <w:pPr>
        <w:spacing w:before="0" w:line="240" w:lineRule="auto"/>
        <w:jc w:val="both"/>
        <w:rPr>
          <w:sz w:val="24"/>
          <w:szCs w:val="24"/>
        </w:rPr>
      </w:pPr>
    </w:p>
    <w:p w14:paraId="05AE8CF5" w14:textId="77777777" w:rsidR="00BB534D" w:rsidRDefault="00BB534D">
      <w:pPr>
        <w:spacing w:before="0" w:line="240" w:lineRule="auto"/>
        <w:jc w:val="both"/>
        <w:rPr>
          <w:sz w:val="24"/>
          <w:szCs w:val="24"/>
        </w:rPr>
      </w:pPr>
    </w:p>
    <w:p w14:paraId="05AE8CF6" w14:textId="77777777" w:rsidR="00BB534D" w:rsidRDefault="00BB534D">
      <w:pPr>
        <w:spacing w:before="0" w:line="240" w:lineRule="auto"/>
        <w:jc w:val="both"/>
        <w:rPr>
          <w:sz w:val="24"/>
          <w:szCs w:val="24"/>
        </w:rPr>
      </w:pPr>
    </w:p>
    <w:p w14:paraId="05AE8CF7" w14:textId="77777777" w:rsidR="00BB534D" w:rsidRDefault="00BB534D">
      <w:pPr>
        <w:spacing w:before="0" w:line="240" w:lineRule="auto"/>
        <w:jc w:val="both"/>
        <w:rPr>
          <w:sz w:val="24"/>
          <w:szCs w:val="24"/>
        </w:rPr>
      </w:pPr>
    </w:p>
    <w:p w14:paraId="05AE8CF8" w14:textId="77777777" w:rsidR="00BB534D" w:rsidRDefault="00BB534D">
      <w:pPr>
        <w:spacing w:before="0" w:line="240" w:lineRule="auto"/>
        <w:jc w:val="both"/>
        <w:rPr>
          <w:sz w:val="24"/>
          <w:szCs w:val="24"/>
        </w:rPr>
      </w:pPr>
    </w:p>
    <w:p w14:paraId="05AE8CF9" w14:textId="77777777" w:rsidR="00BB534D" w:rsidRDefault="00BB534D">
      <w:pPr>
        <w:spacing w:before="0" w:line="240" w:lineRule="auto"/>
        <w:jc w:val="both"/>
        <w:rPr>
          <w:sz w:val="24"/>
          <w:szCs w:val="24"/>
        </w:rPr>
      </w:pPr>
    </w:p>
    <w:p w14:paraId="05AE8CFA" w14:textId="77777777" w:rsidR="00BB534D" w:rsidRDefault="00BB534D">
      <w:pPr>
        <w:spacing w:before="0" w:line="240" w:lineRule="auto"/>
        <w:jc w:val="both"/>
        <w:rPr>
          <w:sz w:val="24"/>
          <w:szCs w:val="24"/>
        </w:rPr>
      </w:pPr>
    </w:p>
    <w:p w14:paraId="05AE8CFB" w14:textId="77777777" w:rsidR="00BB534D" w:rsidRDefault="00BB534D">
      <w:pPr>
        <w:spacing w:before="0" w:line="240" w:lineRule="auto"/>
        <w:jc w:val="both"/>
        <w:rPr>
          <w:sz w:val="24"/>
          <w:szCs w:val="24"/>
        </w:rPr>
      </w:pPr>
    </w:p>
    <w:p w14:paraId="05AE8CFC" w14:textId="77777777" w:rsidR="00BB534D" w:rsidRDefault="00BB534D">
      <w:pPr>
        <w:spacing w:before="0" w:line="240" w:lineRule="auto"/>
        <w:jc w:val="both"/>
        <w:rPr>
          <w:sz w:val="24"/>
          <w:szCs w:val="24"/>
        </w:rPr>
      </w:pPr>
    </w:p>
    <w:p w14:paraId="05AE8CFD" w14:textId="77777777" w:rsidR="00BB534D" w:rsidRDefault="00BB534D">
      <w:pPr>
        <w:spacing w:before="0" w:line="240" w:lineRule="auto"/>
        <w:jc w:val="both"/>
        <w:rPr>
          <w:sz w:val="24"/>
          <w:szCs w:val="24"/>
        </w:rPr>
      </w:pPr>
    </w:p>
    <w:p w14:paraId="05AE8CFE" w14:textId="77777777" w:rsidR="00BB534D" w:rsidRDefault="00BB534D">
      <w:pPr>
        <w:spacing w:before="0" w:line="240" w:lineRule="auto"/>
        <w:jc w:val="both"/>
        <w:rPr>
          <w:sz w:val="24"/>
          <w:szCs w:val="24"/>
        </w:rPr>
      </w:pPr>
    </w:p>
    <w:p w14:paraId="05AE8CFF" w14:textId="77777777" w:rsidR="00BB534D" w:rsidRDefault="00BB534D">
      <w:pPr>
        <w:spacing w:before="0" w:line="240" w:lineRule="auto"/>
        <w:jc w:val="both"/>
        <w:rPr>
          <w:sz w:val="24"/>
          <w:szCs w:val="24"/>
        </w:rPr>
      </w:pPr>
    </w:p>
    <w:p w14:paraId="05AE8D00" w14:textId="77777777" w:rsidR="00BB534D" w:rsidRDefault="00BB534D">
      <w:pPr>
        <w:spacing w:before="0" w:line="240" w:lineRule="auto"/>
        <w:jc w:val="both"/>
        <w:rPr>
          <w:sz w:val="24"/>
          <w:szCs w:val="24"/>
        </w:rPr>
      </w:pPr>
    </w:p>
    <w:p w14:paraId="05AE8D01" w14:textId="77777777" w:rsidR="00BB534D" w:rsidRDefault="00BB534D">
      <w:pPr>
        <w:spacing w:before="0" w:line="240" w:lineRule="auto"/>
        <w:jc w:val="both"/>
        <w:rPr>
          <w:sz w:val="24"/>
          <w:szCs w:val="24"/>
        </w:rPr>
      </w:pPr>
    </w:p>
    <w:p w14:paraId="05AE8D02" w14:textId="77777777" w:rsidR="00BB534D" w:rsidRDefault="00B842B1">
      <w:pPr>
        <w:spacing w:before="0" w:line="240" w:lineRule="auto"/>
        <w:jc w:val="both"/>
        <w:rPr>
          <w:b/>
          <w:color w:val="039BE5"/>
          <w:sz w:val="24"/>
          <w:szCs w:val="24"/>
        </w:rPr>
      </w:pPr>
      <w:r>
        <w:rPr>
          <w:b/>
          <w:color w:val="039BE5"/>
          <w:sz w:val="24"/>
          <w:szCs w:val="24"/>
        </w:rPr>
        <w:t xml:space="preserve">Capítulo VI: Financiamiento para el desarrollo </w:t>
      </w:r>
    </w:p>
    <w:p w14:paraId="05AE8D03" w14:textId="77777777" w:rsidR="00BB534D" w:rsidRDefault="00BB534D">
      <w:pPr>
        <w:spacing w:before="0" w:line="240" w:lineRule="auto"/>
        <w:jc w:val="both"/>
        <w:rPr>
          <w:b/>
          <w:color w:val="039BE5"/>
          <w:sz w:val="24"/>
          <w:szCs w:val="24"/>
        </w:rPr>
      </w:pPr>
    </w:p>
    <w:p w14:paraId="05AE8D04" w14:textId="77777777" w:rsidR="00BB534D" w:rsidRDefault="00B842B1">
      <w:pPr>
        <w:spacing w:before="0" w:line="240" w:lineRule="auto"/>
        <w:jc w:val="both"/>
        <w:rPr>
          <w:sz w:val="24"/>
          <w:szCs w:val="24"/>
        </w:rPr>
      </w:pPr>
      <w:r>
        <w:rPr>
          <w:sz w:val="24"/>
          <w:szCs w:val="24"/>
        </w:rPr>
        <w:t>La Agenda 2030 pone de manifiesto la necesidad de que el Sistema de las Naciones Unidas reflexione sobre cómo debe orientarse para crear el máximo valor para las personas, el planeta y la prosperidad y acercarnos así a la consecución de los objetivos de la Agenda. En este contexto el SNU debe adoptar un rol más catalizador y no solo de ejecutor en nombre de los donantes. De hecho, gracias a su capacidad para involucrar a todos los sectores de la sociedad y de alinear los recursos, el SNU puede y debe ampliar sus actividades más allá de la prestación de servicios básicos y apoyo técnico para orientarse hacia el asesoramiento político integrado y la provisión de espacios para el diálogo social sobre soluciones innovadoras y contextualizadas a los complejos retos del desarrollo.</w:t>
      </w:r>
    </w:p>
    <w:p w14:paraId="05AE8D05" w14:textId="77777777" w:rsidR="00BB534D" w:rsidRDefault="00BB534D">
      <w:pPr>
        <w:spacing w:before="0" w:line="240" w:lineRule="auto"/>
        <w:jc w:val="both"/>
        <w:rPr>
          <w:sz w:val="24"/>
          <w:szCs w:val="24"/>
        </w:rPr>
      </w:pPr>
    </w:p>
    <w:p w14:paraId="05AE8D06" w14:textId="77777777" w:rsidR="00BB534D" w:rsidRDefault="00B842B1">
      <w:pPr>
        <w:spacing w:before="0" w:line="240" w:lineRule="auto"/>
        <w:jc w:val="both"/>
        <w:rPr>
          <w:sz w:val="24"/>
          <w:szCs w:val="24"/>
        </w:rPr>
      </w:pPr>
      <w:r>
        <w:rPr>
          <w:sz w:val="24"/>
          <w:szCs w:val="24"/>
        </w:rPr>
        <w:t>Por su parte, la Agenda de Acción de Addis Abeba para la Financiación del Desarrollo de 2015 introdujo el concepto de Marco Nacional de Financiación Integrado (MNFI) como herramienta para ayudar a las autoridades nacionales a identificar, movilizar y alinear las fuentes de financiación (públicas, privadas, internas y externas).  La implementación de un MNFI consta de 4 fases</w:t>
      </w:r>
      <w:r>
        <w:rPr>
          <w:sz w:val="24"/>
          <w:szCs w:val="24"/>
          <w:vertAlign w:val="superscript"/>
        </w:rPr>
        <w:footnoteReference w:id="131"/>
      </w:r>
      <w:r>
        <w:rPr>
          <w:sz w:val="24"/>
          <w:szCs w:val="24"/>
        </w:rPr>
        <w:t xml:space="preserve">- i) evaluación y diagnóstico; </w:t>
      </w:r>
      <w:proofErr w:type="spellStart"/>
      <w:r>
        <w:rPr>
          <w:sz w:val="24"/>
          <w:szCs w:val="24"/>
        </w:rPr>
        <w:t>ii</w:t>
      </w:r>
      <w:proofErr w:type="spellEnd"/>
      <w:r>
        <w:rPr>
          <w:sz w:val="24"/>
          <w:szCs w:val="24"/>
        </w:rPr>
        <w:t xml:space="preserve">) diseño de la estrategia de financiación; </w:t>
      </w:r>
      <w:proofErr w:type="spellStart"/>
      <w:r>
        <w:rPr>
          <w:sz w:val="24"/>
          <w:szCs w:val="24"/>
        </w:rPr>
        <w:t>iii</w:t>
      </w:r>
      <w:proofErr w:type="spellEnd"/>
      <w:r>
        <w:rPr>
          <w:sz w:val="24"/>
          <w:szCs w:val="24"/>
        </w:rPr>
        <w:t xml:space="preserve">) mecanismos de seguimiento, revisión y rendición de cuentas y; </w:t>
      </w:r>
      <w:proofErr w:type="spellStart"/>
      <w:r>
        <w:rPr>
          <w:sz w:val="24"/>
          <w:szCs w:val="24"/>
        </w:rPr>
        <w:t>iv</w:t>
      </w:r>
      <w:proofErr w:type="spellEnd"/>
      <w:r>
        <w:rPr>
          <w:sz w:val="24"/>
          <w:szCs w:val="24"/>
        </w:rPr>
        <w:t xml:space="preserve">) mecanismos de gobernanza y coordinación-. El SNU ya ha apoyado al Gobierno de Costa Rica en el desarrollo del primero de esos módulos a través de la Evaluación de las Finanzas para el Desarrollo (EFD), documento en el que podemos encontrar varias áreas de mejora en las que el SNU contribuir para favorecer la financiación de los ODS y las prioridades nacionales del país. </w:t>
      </w:r>
      <w:r>
        <w:rPr>
          <w:noProof/>
        </w:rPr>
        <w:drawing>
          <wp:anchor distT="0" distB="0" distL="114300" distR="114300" simplePos="0" relativeHeight="251658240" behindDoc="0" locked="0" layoutInCell="1" hidden="0" allowOverlap="1" wp14:anchorId="05AE8D3B" wp14:editId="05AE8D3C">
            <wp:simplePos x="0" y="0"/>
            <wp:positionH relativeFrom="column">
              <wp:posOffset>1</wp:posOffset>
            </wp:positionH>
            <wp:positionV relativeFrom="paragraph">
              <wp:posOffset>586271</wp:posOffset>
            </wp:positionV>
            <wp:extent cx="2949575" cy="2912110"/>
            <wp:effectExtent l="0" t="0" r="0" b="0"/>
            <wp:wrapSquare wrapText="bothSides" distT="0" distB="0" distL="114300" distR="114300"/>
            <wp:docPr id="1" name="image6.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Diagram&#10;&#10;Description automatically generated"/>
                    <pic:cNvPicPr preferRelativeResize="0"/>
                  </pic:nvPicPr>
                  <pic:blipFill>
                    <a:blip r:embed="rId13"/>
                    <a:srcRect/>
                    <a:stretch>
                      <a:fillRect/>
                    </a:stretch>
                  </pic:blipFill>
                  <pic:spPr>
                    <a:xfrm>
                      <a:off x="0" y="0"/>
                      <a:ext cx="2949575" cy="2912110"/>
                    </a:xfrm>
                    <a:prstGeom prst="rect">
                      <a:avLst/>
                    </a:prstGeom>
                    <a:ln/>
                  </pic:spPr>
                </pic:pic>
              </a:graphicData>
            </a:graphic>
          </wp:anchor>
        </w:drawing>
      </w:r>
    </w:p>
    <w:p w14:paraId="05AE8D07" w14:textId="77777777" w:rsidR="00BB534D" w:rsidRDefault="00BB534D">
      <w:pPr>
        <w:spacing w:before="0" w:line="240" w:lineRule="auto"/>
        <w:jc w:val="both"/>
        <w:rPr>
          <w:sz w:val="24"/>
          <w:szCs w:val="24"/>
        </w:rPr>
      </w:pPr>
    </w:p>
    <w:p w14:paraId="05AE8D08" w14:textId="77777777" w:rsidR="00BB534D" w:rsidRDefault="00B842B1">
      <w:pPr>
        <w:spacing w:before="0" w:line="240" w:lineRule="auto"/>
        <w:jc w:val="both"/>
        <w:rPr>
          <w:sz w:val="24"/>
          <w:szCs w:val="24"/>
        </w:rPr>
      </w:pPr>
      <w:r>
        <w:rPr>
          <w:sz w:val="24"/>
          <w:szCs w:val="24"/>
        </w:rPr>
        <w:t xml:space="preserve">Entre las acciones que el SNU puede apoyar se encuentran aquellas que favorezcan la contención del gasto público, mejorando también su calidad en salud, educación y pobreza. En este sentido, la implementación del proyecto del </w:t>
      </w:r>
      <w:r>
        <w:rPr>
          <w:i/>
          <w:sz w:val="24"/>
          <w:szCs w:val="24"/>
        </w:rPr>
        <w:t xml:space="preserve">SDG </w:t>
      </w:r>
      <w:proofErr w:type="spellStart"/>
      <w:r>
        <w:rPr>
          <w:i/>
          <w:sz w:val="24"/>
          <w:szCs w:val="24"/>
        </w:rPr>
        <w:t>Fund</w:t>
      </w:r>
      <w:proofErr w:type="spellEnd"/>
      <w:r>
        <w:rPr>
          <w:i/>
          <w:sz w:val="24"/>
          <w:szCs w:val="24"/>
        </w:rPr>
        <w:t xml:space="preserve"> componente 1</w:t>
      </w:r>
      <w:r>
        <w:rPr>
          <w:sz w:val="24"/>
          <w:szCs w:val="24"/>
        </w:rPr>
        <w:t xml:space="preserve">, tiene previsto llevar a cabo, en alianza con el Banco Interamericano de Desarrollo (BID), una revisión del gasto en el sector educativo que, </w:t>
      </w:r>
      <w:proofErr w:type="gramStart"/>
      <w:r>
        <w:rPr>
          <w:sz w:val="24"/>
          <w:szCs w:val="24"/>
        </w:rPr>
        <w:t>sin lugar a dudas</w:t>
      </w:r>
      <w:proofErr w:type="gramEnd"/>
      <w:r>
        <w:rPr>
          <w:sz w:val="24"/>
          <w:szCs w:val="24"/>
        </w:rPr>
        <w:t>, aportará nuevas pistas para un posterior apoyo dentro del nuevo marco de cooperación. Para reforzar la alianza con el BID se podría considerar planificar un futuro apoyo en el área de educación de forma conjunta, ya que el BID también estará preparando su estrategia de cooperación durante el año 2022. Al mismo tiempo, está previsto llevar a cabo una Revisión del Gasto Público y Responsabilidad Financiera (PEFA, por sus siglas en inglés), que también arrojará recomendaciones susceptibles de apoyo por parte del SNU.</w:t>
      </w:r>
    </w:p>
    <w:p w14:paraId="05AE8D09" w14:textId="77777777" w:rsidR="00BB534D" w:rsidRDefault="00BB534D">
      <w:pPr>
        <w:spacing w:before="0" w:line="240" w:lineRule="auto"/>
        <w:jc w:val="both"/>
        <w:rPr>
          <w:sz w:val="24"/>
          <w:szCs w:val="24"/>
        </w:rPr>
      </w:pPr>
    </w:p>
    <w:p w14:paraId="05AE8D0A" w14:textId="77777777" w:rsidR="00BB534D" w:rsidRDefault="00B842B1">
      <w:pPr>
        <w:spacing w:before="0" w:line="240" w:lineRule="auto"/>
        <w:jc w:val="both"/>
        <w:rPr>
          <w:sz w:val="24"/>
          <w:szCs w:val="24"/>
        </w:rPr>
      </w:pPr>
      <w:r>
        <w:rPr>
          <w:sz w:val="24"/>
          <w:szCs w:val="24"/>
        </w:rPr>
        <w:t xml:space="preserve">Por otro lado, el actual contexto macroeconómico, marcado por una situación fiscal que limita las posibilidades de endeudamiento del país, requerirá no solo de ajustes en el gasto público, sino también en la gestión de los ingresos con un enfoque de mediano y largo plazo. Tomando como base las recomendaciones de la EFD, el SNU podría facilitar asistencia técnica para reforzar la fiscalización de la evasión y elusión de impuestos, así como facilitar la formalización de una buena parte de la economía. Además, la revisión de la regla fiscal y, en definitiva, de toda la estructura tributaria actual con un enfoque en una economía “carbono neutral”, constituyen un área donde el SNU debería posicionarse de cara al nuevo marco de cooperación. Este posicionamiento favorecería también la construcción de alianzas con instituciones multilaterales como el Banco Mundial o el Fondo Monetario Internacional. </w:t>
      </w:r>
    </w:p>
    <w:p w14:paraId="05AE8D0B" w14:textId="77777777" w:rsidR="00BB534D" w:rsidRDefault="00BB534D">
      <w:pPr>
        <w:spacing w:before="0" w:line="240" w:lineRule="auto"/>
        <w:jc w:val="both"/>
        <w:rPr>
          <w:sz w:val="24"/>
          <w:szCs w:val="24"/>
        </w:rPr>
      </w:pPr>
    </w:p>
    <w:p w14:paraId="05AE8D0C" w14:textId="77777777" w:rsidR="00BB534D" w:rsidRDefault="00B842B1">
      <w:pPr>
        <w:spacing w:before="0" w:line="240" w:lineRule="auto"/>
        <w:jc w:val="both"/>
        <w:rPr>
          <w:sz w:val="24"/>
          <w:szCs w:val="24"/>
        </w:rPr>
      </w:pPr>
      <w:r>
        <w:rPr>
          <w:sz w:val="24"/>
          <w:szCs w:val="24"/>
        </w:rPr>
        <w:t xml:space="preserve">No menos importante es la necesidad de contar con una estrategia integrada de financiamiento que proporcione viabilidad a los planes de largo plazo de Costa Rica. Dicha estrategia no pasa solamente por alinear los diferentes flujos de financiamiento públicos y privados, internos y externos, sino también por llevar a cabo las reformas necesarias que permitan dicho alineamiento. Una vez más, la EFD pone de manifiesto las carencias del gobierno en esa área donde, a pesar de poseer el control sobre las finanzas públicas, experimenta también problemas de competencia y coordinación entre los diferentes niveles de la administración. Del mismo modo, el gobierno puede facilitar y alentar la </w:t>
      </w:r>
      <w:proofErr w:type="spellStart"/>
      <w:r>
        <w:rPr>
          <w:sz w:val="24"/>
          <w:szCs w:val="24"/>
        </w:rPr>
        <w:t>co-inversión</w:t>
      </w:r>
      <w:proofErr w:type="spellEnd"/>
      <w:r>
        <w:rPr>
          <w:sz w:val="24"/>
          <w:szCs w:val="24"/>
        </w:rPr>
        <w:t xml:space="preserve"> privada en alianzas con el sector público, pero sin embargo carece de las políticas y capacidades adecuadas para ello. Algunas de las acciones en las que el SNU podría apoyar a lo largo del próximo ciclo de cooperación pasar por trabajar en crear un ecosistema favorable a la utilización de Asociaciones Público-Privadas como, por ejemplo: </w:t>
      </w:r>
    </w:p>
    <w:p w14:paraId="05AE8D0D" w14:textId="77777777" w:rsidR="00BB534D" w:rsidRDefault="00BB534D">
      <w:pPr>
        <w:spacing w:before="0" w:line="240" w:lineRule="auto"/>
        <w:jc w:val="both"/>
        <w:rPr>
          <w:sz w:val="24"/>
          <w:szCs w:val="24"/>
        </w:rPr>
      </w:pPr>
    </w:p>
    <w:p w14:paraId="05AE8D0E" w14:textId="77777777" w:rsidR="00BB534D" w:rsidRDefault="00B842B1">
      <w:pPr>
        <w:numPr>
          <w:ilvl w:val="0"/>
          <w:numId w:val="18"/>
        </w:numPr>
        <w:spacing w:before="0" w:line="240" w:lineRule="auto"/>
        <w:jc w:val="both"/>
        <w:rPr>
          <w:sz w:val="24"/>
          <w:szCs w:val="24"/>
        </w:rPr>
      </w:pPr>
      <w:r>
        <w:rPr>
          <w:sz w:val="24"/>
          <w:szCs w:val="24"/>
        </w:rPr>
        <w:t xml:space="preserve">Apoyar acciones encaminadas a mejorar la toma de decisiones de alto nivel y la planificación estratégica de las </w:t>
      </w:r>
      <w:proofErr w:type="spellStart"/>
      <w:r>
        <w:rPr>
          <w:sz w:val="24"/>
          <w:szCs w:val="24"/>
        </w:rPr>
        <w:t>APPs</w:t>
      </w:r>
      <w:proofErr w:type="spellEnd"/>
      <w:r>
        <w:rPr>
          <w:sz w:val="24"/>
          <w:szCs w:val="24"/>
        </w:rPr>
        <w:t>;</w:t>
      </w:r>
    </w:p>
    <w:p w14:paraId="05AE8D0F" w14:textId="77777777" w:rsidR="00BB534D" w:rsidRDefault="00B842B1">
      <w:pPr>
        <w:numPr>
          <w:ilvl w:val="0"/>
          <w:numId w:val="18"/>
        </w:numPr>
        <w:spacing w:before="0" w:line="240" w:lineRule="auto"/>
        <w:jc w:val="both"/>
        <w:rPr>
          <w:sz w:val="24"/>
          <w:szCs w:val="24"/>
        </w:rPr>
      </w:pPr>
      <w:r>
        <w:rPr>
          <w:sz w:val="24"/>
          <w:szCs w:val="24"/>
        </w:rPr>
        <w:t xml:space="preserve">Fortalecer la capacidad centralizada de gestión de las </w:t>
      </w:r>
      <w:proofErr w:type="spellStart"/>
      <w:r>
        <w:rPr>
          <w:sz w:val="24"/>
          <w:szCs w:val="24"/>
        </w:rPr>
        <w:t>APPs</w:t>
      </w:r>
      <w:proofErr w:type="spellEnd"/>
      <w:r>
        <w:rPr>
          <w:sz w:val="24"/>
          <w:szCs w:val="24"/>
        </w:rPr>
        <w:t xml:space="preserve"> y de gestión de riesgos;</w:t>
      </w:r>
    </w:p>
    <w:p w14:paraId="05AE8D10" w14:textId="77777777" w:rsidR="00BB534D" w:rsidRDefault="00B842B1">
      <w:pPr>
        <w:numPr>
          <w:ilvl w:val="0"/>
          <w:numId w:val="18"/>
        </w:numPr>
        <w:spacing w:before="0" w:line="240" w:lineRule="auto"/>
        <w:jc w:val="both"/>
        <w:rPr>
          <w:sz w:val="24"/>
          <w:szCs w:val="24"/>
        </w:rPr>
      </w:pPr>
      <w:r>
        <w:rPr>
          <w:sz w:val="24"/>
          <w:szCs w:val="24"/>
        </w:rPr>
        <w:t>Fortalecer la capacidad de las unidades de APP en ministerios y empresas públicas;</w:t>
      </w:r>
    </w:p>
    <w:p w14:paraId="05AE8D11" w14:textId="77777777" w:rsidR="00BB534D" w:rsidRDefault="00B842B1">
      <w:pPr>
        <w:numPr>
          <w:ilvl w:val="0"/>
          <w:numId w:val="18"/>
        </w:numPr>
        <w:spacing w:before="0" w:line="240" w:lineRule="auto"/>
        <w:jc w:val="both"/>
        <w:rPr>
          <w:sz w:val="24"/>
          <w:szCs w:val="24"/>
        </w:rPr>
      </w:pPr>
      <w:r>
        <w:rPr>
          <w:sz w:val="24"/>
          <w:szCs w:val="24"/>
        </w:rPr>
        <w:t xml:space="preserve">Contribuir en la mejora de la fiscalización de las </w:t>
      </w:r>
      <w:proofErr w:type="spellStart"/>
      <w:r>
        <w:rPr>
          <w:sz w:val="24"/>
          <w:szCs w:val="24"/>
        </w:rPr>
        <w:t>APPs</w:t>
      </w:r>
      <w:proofErr w:type="spellEnd"/>
      <w:r>
        <w:rPr>
          <w:sz w:val="24"/>
          <w:szCs w:val="24"/>
        </w:rPr>
        <w:t>;</w:t>
      </w:r>
    </w:p>
    <w:p w14:paraId="05AE8D12" w14:textId="77777777" w:rsidR="00BB534D" w:rsidRDefault="00B842B1">
      <w:pPr>
        <w:numPr>
          <w:ilvl w:val="0"/>
          <w:numId w:val="18"/>
        </w:numPr>
        <w:spacing w:before="0" w:line="240" w:lineRule="auto"/>
        <w:jc w:val="both"/>
        <w:rPr>
          <w:sz w:val="24"/>
          <w:szCs w:val="24"/>
        </w:rPr>
      </w:pPr>
      <w:r>
        <w:rPr>
          <w:sz w:val="24"/>
          <w:szCs w:val="24"/>
        </w:rPr>
        <w:t>Colaborar en la generación de políticas para la construcción de ecosistemas que permitan el desarrollo de inversiones de impacto.</w:t>
      </w:r>
    </w:p>
    <w:p w14:paraId="05AE8D13" w14:textId="77777777" w:rsidR="00BB534D" w:rsidRDefault="00BB534D">
      <w:pPr>
        <w:spacing w:before="0" w:line="240" w:lineRule="auto"/>
        <w:jc w:val="both"/>
        <w:rPr>
          <w:sz w:val="24"/>
          <w:szCs w:val="24"/>
        </w:rPr>
      </w:pPr>
    </w:p>
    <w:p w14:paraId="05AE8D14" w14:textId="77777777" w:rsidR="00BB534D" w:rsidRDefault="00B842B1">
      <w:pPr>
        <w:spacing w:before="0" w:line="240" w:lineRule="auto"/>
        <w:jc w:val="both"/>
        <w:rPr>
          <w:sz w:val="24"/>
          <w:szCs w:val="24"/>
        </w:rPr>
      </w:pPr>
      <w:r>
        <w:rPr>
          <w:sz w:val="24"/>
          <w:szCs w:val="24"/>
        </w:rPr>
        <w:t xml:space="preserve">Por lo que se refiere al financiamiento privado, se considera que su participación en la consecución de los Objetivos de Desarrollo Sostenible debe jugar un papel clave en los próximos años, por lo que se hace imperativo tomar las medidas necesarias que le faciliten ese rol. Algunas de esas medidas son bastante sencillas de llevar a cabo, como por ejemplo la formación del capital humano en áreas de ingeniería, carreras técnicas o personal bilingüe que requieren determinadas empresas para instalarse en Costa Rica. Una vez más, el posicionamiento del país como una economía “carbono neutral” beneficiaría la llegada de inversores extranjeros posicionados en ese segmento del mercado. </w:t>
      </w:r>
    </w:p>
    <w:p w14:paraId="05AE8D15" w14:textId="77777777" w:rsidR="00BB534D" w:rsidRDefault="00BB534D">
      <w:pPr>
        <w:spacing w:before="0" w:line="240" w:lineRule="auto"/>
        <w:jc w:val="both"/>
        <w:rPr>
          <w:sz w:val="24"/>
          <w:szCs w:val="24"/>
        </w:rPr>
      </w:pPr>
    </w:p>
    <w:p w14:paraId="05AE8D16" w14:textId="77777777" w:rsidR="00BB534D" w:rsidRDefault="00B842B1">
      <w:pPr>
        <w:spacing w:before="0" w:line="240" w:lineRule="auto"/>
        <w:jc w:val="both"/>
        <w:rPr>
          <w:sz w:val="24"/>
          <w:szCs w:val="24"/>
        </w:rPr>
      </w:pPr>
      <w:r>
        <w:rPr>
          <w:sz w:val="24"/>
          <w:szCs w:val="24"/>
        </w:rPr>
        <w:t>Al mismo tiempo, la creación de un ecosistema que favorezca la utilización de nuevos instrumentos de financiamiento como la financiación mixta (</w:t>
      </w:r>
      <w:proofErr w:type="spellStart"/>
      <w:r>
        <w:rPr>
          <w:i/>
          <w:sz w:val="24"/>
          <w:szCs w:val="24"/>
        </w:rPr>
        <w:t>blended</w:t>
      </w:r>
      <w:proofErr w:type="spellEnd"/>
      <w:r>
        <w:rPr>
          <w:i/>
          <w:sz w:val="24"/>
          <w:szCs w:val="24"/>
        </w:rPr>
        <w:t xml:space="preserve"> </w:t>
      </w:r>
      <w:proofErr w:type="spellStart"/>
      <w:r>
        <w:rPr>
          <w:i/>
          <w:sz w:val="24"/>
          <w:szCs w:val="24"/>
        </w:rPr>
        <w:t>finance</w:t>
      </w:r>
      <w:proofErr w:type="spellEnd"/>
      <w:r>
        <w:rPr>
          <w:sz w:val="24"/>
          <w:szCs w:val="24"/>
        </w:rPr>
        <w:t>) y las inversiones de impacto (</w:t>
      </w:r>
      <w:proofErr w:type="spellStart"/>
      <w:r>
        <w:rPr>
          <w:i/>
          <w:sz w:val="24"/>
          <w:szCs w:val="24"/>
        </w:rPr>
        <w:t>impact</w:t>
      </w:r>
      <w:proofErr w:type="spellEnd"/>
      <w:r>
        <w:rPr>
          <w:i/>
          <w:sz w:val="24"/>
          <w:szCs w:val="24"/>
        </w:rPr>
        <w:t xml:space="preserve"> </w:t>
      </w:r>
      <w:proofErr w:type="spellStart"/>
      <w:r>
        <w:rPr>
          <w:i/>
          <w:sz w:val="24"/>
          <w:szCs w:val="24"/>
        </w:rPr>
        <w:t>investment</w:t>
      </w:r>
      <w:proofErr w:type="spellEnd"/>
      <w:r>
        <w:rPr>
          <w:sz w:val="24"/>
          <w:szCs w:val="24"/>
        </w:rPr>
        <w:t xml:space="preserve">) debe ser una prioridad para el país, por lo que el SNU debería posicionarse como un socio estratégico del gobierno para ayudarle a canalizar recursos mediante esos mecanismos. </w:t>
      </w:r>
    </w:p>
    <w:p w14:paraId="05AE8D17" w14:textId="77777777" w:rsidR="00BB534D" w:rsidRDefault="00BB534D">
      <w:pPr>
        <w:spacing w:before="0" w:line="240" w:lineRule="auto"/>
        <w:jc w:val="both"/>
        <w:rPr>
          <w:sz w:val="24"/>
          <w:szCs w:val="24"/>
        </w:rPr>
      </w:pPr>
    </w:p>
    <w:p w14:paraId="05AE8D18" w14:textId="77777777" w:rsidR="00BB534D" w:rsidRDefault="00B842B1">
      <w:pPr>
        <w:spacing w:before="0" w:line="240" w:lineRule="auto"/>
        <w:jc w:val="both"/>
        <w:rPr>
          <w:sz w:val="24"/>
          <w:szCs w:val="24"/>
        </w:rPr>
      </w:pPr>
      <w:r>
        <w:rPr>
          <w:sz w:val="24"/>
          <w:szCs w:val="24"/>
        </w:rPr>
        <w:t xml:space="preserve">El primero de esos mecanismos, - el mercado de los inversores de impacto -, se ha convertido en una fuente creciente de financiamiento para el desarrollo en los últimos años. De acuerdo con las cifras de la Red de Inversión de Impacto Global (GIIN) en su encuesta correspondiente al año 2020, se trata de un mercado estimado en 715 billones de dólares anuales. Solo los 294 principales inversores de impacto del mundo que respondieron a esa encuesta manejan 404 billones en activos de ese mercado. Estas inversiones están alineadas con los Objetivos de Desarrollo Sostenible y su rápida extensión en Estados Unidos y Europa durante los últimos años permite pensar que podría ser una modalidad aplicable en Costa Rica por el potencial que representa el Plan de Descarbonización como instrumento de atracción.  </w:t>
      </w:r>
    </w:p>
    <w:p w14:paraId="05AE8D19" w14:textId="77777777" w:rsidR="00BB534D" w:rsidRDefault="00BB534D">
      <w:pPr>
        <w:spacing w:before="0" w:line="240" w:lineRule="auto"/>
        <w:jc w:val="both"/>
        <w:rPr>
          <w:sz w:val="24"/>
          <w:szCs w:val="24"/>
        </w:rPr>
      </w:pPr>
    </w:p>
    <w:p w14:paraId="05AE8D1A" w14:textId="77777777" w:rsidR="00BB534D" w:rsidRDefault="00B842B1">
      <w:pPr>
        <w:spacing w:before="0" w:line="240" w:lineRule="auto"/>
        <w:jc w:val="both"/>
        <w:rPr>
          <w:i/>
          <w:sz w:val="24"/>
          <w:szCs w:val="24"/>
        </w:rPr>
      </w:pPr>
      <w:r>
        <w:rPr>
          <w:sz w:val="24"/>
          <w:szCs w:val="24"/>
        </w:rPr>
        <w:t>En cuanto al “</w:t>
      </w:r>
      <w:proofErr w:type="spellStart"/>
      <w:r>
        <w:rPr>
          <w:sz w:val="24"/>
          <w:szCs w:val="24"/>
        </w:rPr>
        <w:t>blended</w:t>
      </w:r>
      <w:proofErr w:type="spellEnd"/>
      <w:r>
        <w:rPr>
          <w:sz w:val="24"/>
          <w:szCs w:val="24"/>
        </w:rPr>
        <w:t xml:space="preserve"> </w:t>
      </w:r>
      <w:proofErr w:type="spellStart"/>
      <w:r>
        <w:rPr>
          <w:sz w:val="24"/>
          <w:szCs w:val="24"/>
        </w:rPr>
        <w:t>finance</w:t>
      </w:r>
      <w:proofErr w:type="spellEnd"/>
      <w:r>
        <w:rPr>
          <w:sz w:val="24"/>
          <w:szCs w:val="24"/>
        </w:rPr>
        <w:t xml:space="preserve">”, se trata de un enfoque de estructuración de capital que suele combinar el uso catalítico y estratégico del financiamiento público o para el desarrollo (ya sea concesional o no) para atraer a un tipo de financiamiento privado, incrementando de esta forma el total del capital disponible para el desarrollo sostenible. El </w:t>
      </w:r>
      <w:proofErr w:type="spellStart"/>
      <w:r>
        <w:rPr>
          <w:i/>
          <w:sz w:val="24"/>
          <w:szCs w:val="24"/>
        </w:rPr>
        <w:t>blending</w:t>
      </w:r>
      <w:proofErr w:type="spellEnd"/>
      <w:r>
        <w:rPr>
          <w:sz w:val="24"/>
          <w:szCs w:val="24"/>
        </w:rPr>
        <w:t xml:space="preserve"> puede realizarse usando diferentes herramientas de financiamiento (garantías, </w:t>
      </w:r>
      <w:proofErr w:type="spellStart"/>
      <w:r>
        <w:rPr>
          <w:i/>
          <w:sz w:val="24"/>
          <w:szCs w:val="24"/>
        </w:rPr>
        <w:t>syndicated</w:t>
      </w:r>
      <w:proofErr w:type="spellEnd"/>
      <w:r>
        <w:rPr>
          <w:i/>
          <w:sz w:val="24"/>
          <w:szCs w:val="24"/>
        </w:rPr>
        <w:t xml:space="preserve"> </w:t>
      </w:r>
      <w:proofErr w:type="spellStart"/>
      <w:r>
        <w:rPr>
          <w:i/>
          <w:sz w:val="24"/>
          <w:szCs w:val="24"/>
        </w:rPr>
        <w:t>loans</w:t>
      </w:r>
      <w:proofErr w:type="spellEnd"/>
      <w:r>
        <w:rPr>
          <w:sz w:val="24"/>
          <w:szCs w:val="24"/>
        </w:rPr>
        <w:t xml:space="preserve">, líneas de crédito, inversión directa en empresas y fondos de inversión) y la gran mayoría de ellas tiene aplicación en Costa Rica. Los fondos comerciales privados que participan en estos instrumentos mixtos lo hacen porque se trata de un buen negocio y no necesariamente por el impacto positivo que su inversión pueda generar en la sociedad. En estos instrumentos mixtos, suelen participar inversores de impacto en cualquiera de los niveles de riesgo-retorno que se estructuren, pero esta participación no es una condición necesaria para la realización de estas operaciones. </w:t>
      </w:r>
      <w:proofErr w:type="gramStart"/>
      <w:r>
        <w:rPr>
          <w:sz w:val="24"/>
          <w:szCs w:val="24"/>
        </w:rPr>
        <w:t>De acuerdo a</w:t>
      </w:r>
      <w:proofErr w:type="gramEnd"/>
      <w:r>
        <w:rPr>
          <w:sz w:val="24"/>
          <w:szCs w:val="24"/>
        </w:rPr>
        <w:t xml:space="preserve"> las cifras que maneja </w:t>
      </w:r>
      <w:proofErr w:type="spellStart"/>
      <w:r>
        <w:rPr>
          <w:i/>
          <w:sz w:val="24"/>
          <w:szCs w:val="24"/>
        </w:rPr>
        <w:t>Convergence</w:t>
      </w:r>
      <w:proofErr w:type="spellEnd"/>
      <w:r>
        <w:rPr>
          <w:sz w:val="24"/>
          <w:szCs w:val="24"/>
        </w:rPr>
        <w:t xml:space="preserve">, - la red mundial de </w:t>
      </w:r>
      <w:proofErr w:type="spellStart"/>
      <w:r>
        <w:rPr>
          <w:i/>
          <w:sz w:val="24"/>
          <w:szCs w:val="24"/>
        </w:rPr>
        <w:t>blended</w:t>
      </w:r>
      <w:proofErr w:type="spellEnd"/>
      <w:r>
        <w:rPr>
          <w:i/>
          <w:sz w:val="24"/>
          <w:szCs w:val="24"/>
        </w:rPr>
        <w:t xml:space="preserve"> </w:t>
      </w:r>
      <w:proofErr w:type="spellStart"/>
      <w:r>
        <w:rPr>
          <w:i/>
          <w:sz w:val="24"/>
          <w:szCs w:val="24"/>
        </w:rPr>
        <w:t>finance</w:t>
      </w:r>
      <w:proofErr w:type="spellEnd"/>
      <w:r>
        <w:rPr>
          <w:i/>
          <w:sz w:val="24"/>
          <w:szCs w:val="24"/>
        </w:rPr>
        <w:t xml:space="preserve"> -</w:t>
      </w:r>
      <w:r>
        <w:rPr>
          <w:sz w:val="24"/>
          <w:szCs w:val="24"/>
        </w:rPr>
        <w:t xml:space="preserve">, el volumen anual de este mercado es de alrededor de nueve billones de dólares anuales.  Un ejemplo del tipo de ingeniería financiera innovadora que podría utilizarse con estos mecanismos lo encontramos en el </w:t>
      </w:r>
      <w:r>
        <w:rPr>
          <w:i/>
          <w:sz w:val="24"/>
          <w:szCs w:val="24"/>
        </w:rPr>
        <w:t xml:space="preserve">Shandong Green </w:t>
      </w:r>
      <w:proofErr w:type="spellStart"/>
      <w:r>
        <w:rPr>
          <w:i/>
          <w:sz w:val="24"/>
          <w:szCs w:val="24"/>
        </w:rPr>
        <w:t>Development</w:t>
      </w:r>
      <w:proofErr w:type="spellEnd"/>
      <w:r>
        <w:rPr>
          <w:i/>
          <w:sz w:val="24"/>
          <w:szCs w:val="24"/>
        </w:rPr>
        <w:t xml:space="preserve"> </w:t>
      </w:r>
      <w:proofErr w:type="spellStart"/>
      <w:r>
        <w:rPr>
          <w:i/>
          <w:sz w:val="24"/>
          <w:szCs w:val="24"/>
        </w:rPr>
        <w:t>Fund</w:t>
      </w:r>
      <w:proofErr w:type="spellEnd"/>
      <w:r>
        <w:rPr>
          <w:i/>
          <w:sz w:val="24"/>
          <w:szCs w:val="24"/>
          <w:vertAlign w:val="superscript"/>
        </w:rPr>
        <w:footnoteReference w:id="132"/>
      </w:r>
      <w:r>
        <w:rPr>
          <w:sz w:val="24"/>
          <w:szCs w:val="24"/>
        </w:rPr>
        <w:t xml:space="preserve"> de China mencionado en el documento “Oportunidades para la construcción de un Marco Nacional e Integrado para el Financiamiento (MNFI) del desarrollo en Costa Rica”</w:t>
      </w:r>
      <w:r>
        <w:rPr>
          <w:sz w:val="24"/>
          <w:szCs w:val="24"/>
          <w:vertAlign w:val="superscript"/>
        </w:rPr>
        <w:footnoteReference w:id="133"/>
      </w:r>
      <w:r>
        <w:rPr>
          <w:sz w:val="24"/>
          <w:szCs w:val="24"/>
        </w:rPr>
        <w:t xml:space="preserve">. Una vez más, Costa Rica debería ser capaz de aprovechar la atracción que posee a nivel internacional para canalizar inversiones utilizando este tipo de mecanismos. Es, además, una nueva forma de relacionarse con donantes tradicionales de Costa Rica, toda vez que su dinámica de intervención en el país está cambiando por la pertenencia a la categoría de país de ingreso medio-alto y a la reciente adhesión a la OCDE. Adicionalmente, muchas fundaciones están también interesadas en la utilización de instrumentos como el </w:t>
      </w:r>
      <w:proofErr w:type="spellStart"/>
      <w:r>
        <w:rPr>
          <w:i/>
          <w:sz w:val="24"/>
          <w:szCs w:val="24"/>
        </w:rPr>
        <w:t>blended</w:t>
      </w:r>
      <w:proofErr w:type="spellEnd"/>
      <w:r>
        <w:rPr>
          <w:i/>
          <w:sz w:val="24"/>
          <w:szCs w:val="24"/>
        </w:rPr>
        <w:t xml:space="preserve"> </w:t>
      </w:r>
      <w:proofErr w:type="spellStart"/>
      <w:r>
        <w:rPr>
          <w:i/>
          <w:sz w:val="24"/>
          <w:szCs w:val="24"/>
        </w:rPr>
        <w:t>finance</w:t>
      </w:r>
      <w:proofErr w:type="spellEnd"/>
      <w:r>
        <w:rPr>
          <w:i/>
          <w:sz w:val="24"/>
          <w:szCs w:val="24"/>
        </w:rPr>
        <w:t>.</w:t>
      </w:r>
    </w:p>
    <w:p w14:paraId="05AE8D1B" w14:textId="77777777" w:rsidR="00BB534D" w:rsidRDefault="00BB534D">
      <w:pPr>
        <w:spacing w:before="0" w:line="240" w:lineRule="auto"/>
        <w:jc w:val="both"/>
        <w:rPr>
          <w:sz w:val="24"/>
          <w:szCs w:val="24"/>
        </w:rPr>
      </w:pPr>
    </w:p>
    <w:p w14:paraId="05AE8D1C" w14:textId="77777777" w:rsidR="00BB534D" w:rsidRDefault="00B842B1">
      <w:pPr>
        <w:spacing w:before="0" w:line="240" w:lineRule="auto"/>
        <w:jc w:val="both"/>
        <w:rPr>
          <w:sz w:val="24"/>
          <w:szCs w:val="24"/>
        </w:rPr>
      </w:pPr>
      <w:r>
        <w:rPr>
          <w:sz w:val="24"/>
          <w:szCs w:val="24"/>
        </w:rPr>
        <w:t xml:space="preserve">De hecho, el trabajo que se está llevando a cabo dentro del proyecto del </w:t>
      </w:r>
      <w:r>
        <w:rPr>
          <w:i/>
          <w:sz w:val="24"/>
          <w:szCs w:val="24"/>
        </w:rPr>
        <w:t xml:space="preserve">SDG </w:t>
      </w:r>
      <w:proofErr w:type="spellStart"/>
      <w:r>
        <w:rPr>
          <w:i/>
          <w:sz w:val="24"/>
          <w:szCs w:val="24"/>
        </w:rPr>
        <w:t>Fund</w:t>
      </w:r>
      <w:proofErr w:type="spellEnd"/>
      <w:r>
        <w:rPr>
          <w:i/>
          <w:sz w:val="24"/>
          <w:szCs w:val="24"/>
        </w:rPr>
        <w:t xml:space="preserve"> componente 1</w:t>
      </w:r>
      <w:r>
        <w:rPr>
          <w:sz w:val="24"/>
          <w:szCs w:val="24"/>
        </w:rPr>
        <w:t xml:space="preserve"> mencionado con anterioridad, va en esa línea de trabajo con los estudios de prefactibilidad de cuatro instrumentos financieros innovadores: </w:t>
      </w:r>
    </w:p>
    <w:p w14:paraId="05AE8D1D" w14:textId="77777777" w:rsidR="00BB534D" w:rsidRDefault="00BB534D">
      <w:pPr>
        <w:spacing w:before="0" w:line="240" w:lineRule="auto"/>
        <w:rPr>
          <w:sz w:val="24"/>
          <w:szCs w:val="24"/>
        </w:rPr>
      </w:pPr>
    </w:p>
    <w:p w14:paraId="05AE8D1E" w14:textId="77777777" w:rsidR="00BB534D" w:rsidRDefault="00B842B1">
      <w:pPr>
        <w:numPr>
          <w:ilvl w:val="0"/>
          <w:numId w:val="21"/>
        </w:numPr>
        <w:spacing w:before="0" w:line="240" w:lineRule="auto"/>
        <w:jc w:val="both"/>
        <w:rPr>
          <w:sz w:val="24"/>
          <w:szCs w:val="24"/>
        </w:rPr>
      </w:pPr>
      <w:r>
        <w:rPr>
          <w:sz w:val="24"/>
          <w:szCs w:val="24"/>
        </w:rPr>
        <w:t xml:space="preserve">Un </w:t>
      </w:r>
      <w:proofErr w:type="spellStart"/>
      <w:r>
        <w:rPr>
          <w:i/>
          <w:sz w:val="24"/>
          <w:szCs w:val="24"/>
        </w:rPr>
        <w:t>Private</w:t>
      </w:r>
      <w:proofErr w:type="spellEnd"/>
      <w:r>
        <w:rPr>
          <w:i/>
          <w:sz w:val="24"/>
          <w:szCs w:val="24"/>
        </w:rPr>
        <w:t xml:space="preserve"> </w:t>
      </w:r>
      <w:proofErr w:type="spellStart"/>
      <w:r>
        <w:rPr>
          <w:i/>
          <w:sz w:val="24"/>
          <w:szCs w:val="24"/>
        </w:rPr>
        <w:t>Equity</w:t>
      </w:r>
      <w:proofErr w:type="spellEnd"/>
      <w:r>
        <w:rPr>
          <w:i/>
          <w:sz w:val="24"/>
          <w:szCs w:val="24"/>
        </w:rPr>
        <w:t xml:space="preserve"> </w:t>
      </w:r>
      <w:proofErr w:type="spellStart"/>
      <w:r>
        <w:rPr>
          <w:i/>
          <w:sz w:val="24"/>
          <w:szCs w:val="24"/>
        </w:rPr>
        <w:t>Fund</w:t>
      </w:r>
      <w:proofErr w:type="spellEnd"/>
      <w:r>
        <w:rPr>
          <w:sz w:val="24"/>
          <w:szCs w:val="24"/>
        </w:rPr>
        <w:t xml:space="preserve"> que permita incrementar la participación del sector privado en la financiación de las prioridades nacionales identificadas. </w:t>
      </w:r>
    </w:p>
    <w:p w14:paraId="05AE8D1F" w14:textId="77777777" w:rsidR="00BB534D" w:rsidRDefault="00B842B1">
      <w:pPr>
        <w:numPr>
          <w:ilvl w:val="0"/>
          <w:numId w:val="21"/>
        </w:numPr>
        <w:spacing w:before="0" w:line="240" w:lineRule="auto"/>
        <w:jc w:val="both"/>
        <w:rPr>
          <w:sz w:val="24"/>
          <w:szCs w:val="24"/>
        </w:rPr>
      </w:pPr>
      <w:r>
        <w:rPr>
          <w:sz w:val="24"/>
          <w:szCs w:val="24"/>
        </w:rPr>
        <w:t>Con el Ministerio de la Vivienda y el Banco de la Vivienda se analizará la factibilidad de implementar un mecanismo que permita el acceso a viviendas de calidad resilientes al cambio climático a través de un mecanismo de financiación mixta.</w:t>
      </w:r>
    </w:p>
    <w:p w14:paraId="05AE8D20" w14:textId="77777777" w:rsidR="00BB534D" w:rsidRDefault="00B842B1">
      <w:pPr>
        <w:numPr>
          <w:ilvl w:val="0"/>
          <w:numId w:val="21"/>
        </w:numPr>
        <w:spacing w:before="0" w:line="240" w:lineRule="auto"/>
        <w:jc w:val="both"/>
        <w:rPr>
          <w:sz w:val="24"/>
          <w:szCs w:val="24"/>
        </w:rPr>
      </w:pPr>
      <w:r>
        <w:rPr>
          <w:sz w:val="24"/>
          <w:szCs w:val="24"/>
        </w:rPr>
        <w:t xml:space="preserve">Se está en conversaciones con la Fundación Banco Ambiental (FUNBAM) para diseñar un mecanismo de financiación mixta que permita atraer recursos para financiar actividades del plan de descarbonización. </w:t>
      </w:r>
    </w:p>
    <w:p w14:paraId="05AE8D21" w14:textId="77777777" w:rsidR="00BB534D" w:rsidRDefault="00B842B1">
      <w:pPr>
        <w:numPr>
          <w:ilvl w:val="0"/>
          <w:numId w:val="21"/>
        </w:numPr>
        <w:spacing w:before="0" w:line="240" w:lineRule="auto"/>
        <w:jc w:val="both"/>
        <w:rPr>
          <w:sz w:val="24"/>
          <w:szCs w:val="24"/>
        </w:rPr>
      </w:pPr>
      <w:r>
        <w:rPr>
          <w:sz w:val="24"/>
          <w:szCs w:val="24"/>
        </w:rPr>
        <w:t xml:space="preserve">El cuarto mecanismo está pensado para un sistema de pago por resultados en el sector educativo o laboral. </w:t>
      </w:r>
    </w:p>
    <w:p w14:paraId="05AE8D22" w14:textId="77777777" w:rsidR="00BB534D" w:rsidRDefault="00BB534D">
      <w:pPr>
        <w:spacing w:before="0" w:line="240" w:lineRule="auto"/>
        <w:jc w:val="both"/>
        <w:rPr>
          <w:sz w:val="24"/>
          <w:szCs w:val="24"/>
        </w:rPr>
      </w:pPr>
    </w:p>
    <w:p w14:paraId="05AE8D23" w14:textId="77777777" w:rsidR="00BB534D" w:rsidRDefault="00B842B1">
      <w:pPr>
        <w:spacing w:before="0" w:line="240" w:lineRule="auto"/>
        <w:jc w:val="both"/>
        <w:rPr>
          <w:sz w:val="24"/>
          <w:szCs w:val="24"/>
        </w:rPr>
      </w:pPr>
      <w:r>
        <w:rPr>
          <w:sz w:val="24"/>
          <w:szCs w:val="24"/>
        </w:rPr>
        <w:t xml:space="preserve">De forma adicional, el proyecto tiene también previsto llevar a cabo un foro de inversión con el objetivo de movilizar nuevas inversiones de impacto que puedan asegurar los ODS y acelerar una recuperación económica inclusiva de la crisis generada por el COVID 19. La intención es capitalizar el liderazgo mostrado por el país a nivel internacional en temas de cambio climático para atraer la atención de líderes mundiales del sector público y privado e iniciar un proceso de promoción internacional de la inversión privada de impacto con el fin de movilizar los recursos necesarios para conseguir los objetivos de largo plazo del país. </w:t>
      </w:r>
    </w:p>
    <w:p w14:paraId="05AE8D24" w14:textId="77777777" w:rsidR="00BB534D" w:rsidRDefault="00BB534D">
      <w:pPr>
        <w:spacing w:before="0" w:line="240" w:lineRule="auto"/>
        <w:jc w:val="both"/>
        <w:rPr>
          <w:sz w:val="24"/>
          <w:szCs w:val="24"/>
        </w:rPr>
      </w:pPr>
    </w:p>
    <w:p w14:paraId="05AE8D25" w14:textId="77777777" w:rsidR="00BB534D" w:rsidRDefault="00B842B1">
      <w:pPr>
        <w:spacing w:before="0" w:line="240" w:lineRule="auto"/>
        <w:jc w:val="both"/>
        <w:rPr>
          <w:sz w:val="24"/>
          <w:szCs w:val="24"/>
        </w:rPr>
      </w:pPr>
      <w:r>
        <w:rPr>
          <w:sz w:val="24"/>
          <w:szCs w:val="24"/>
        </w:rPr>
        <w:t xml:space="preserve">El SDG </w:t>
      </w:r>
      <w:proofErr w:type="spellStart"/>
      <w:r>
        <w:rPr>
          <w:sz w:val="24"/>
          <w:szCs w:val="24"/>
        </w:rPr>
        <w:t>Fund</w:t>
      </w:r>
      <w:proofErr w:type="spellEnd"/>
      <w:r>
        <w:rPr>
          <w:sz w:val="24"/>
          <w:szCs w:val="24"/>
        </w:rPr>
        <w:t xml:space="preserve"> componente 1 está trabajando también en el segundo de los módulos que componen el Marco Nacional de Financiamiento Integrado: la estrategia de financiamiento, cuyo desarrollo deberá seguir siendo objeto de apoyo por parte del SNU, una vez haya finalizado la consultoría que se está llevando a cabo dentro del proyecto. Es necesario destacar que aún está por determinar el sector que priorizará el gobierno para esta estrategia, la cual requerirá de acciones transversales coordinadas entre varios ministerios y entidades públicas tanto en términos de políticas como de flujos de financiamiento.      </w:t>
      </w:r>
    </w:p>
    <w:p w14:paraId="05AE8D26" w14:textId="77777777" w:rsidR="00BB534D" w:rsidRDefault="00BB534D">
      <w:pPr>
        <w:spacing w:before="0" w:line="240" w:lineRule="auto"/>
        <w:jc w:val="both"/>
        <w:rPr>
          <w:sz w:val="24"/>
          <w:szCs w:val="24"/>
        </w:rPr>
      </w:pPr>
    </w:p>
    <w:p w14:paraId="05AE8D27" w14:textId="77777777" w:rsidR="00BB534D" w:rsidRDefault="00B842B1">
      <w:pPr>
        <w:spacing w:before="0" w:line="240" w:lineRule="auto"/>
        <w:jc w:val="both"/>
        <w:rPr>
          <w:sz w:val="24"/>
          <w:szCs w:val="24"/>
        </w:rPr>
      </w:pPr>
      <w:r>
        <w:rPr>
          <w:sz w:val="24"/>
          <w:szCs w:val="24"/>
        </w:rPr>
        <w:t xml:space="preserve">De hecho, las oportunidades de contribuir a esa estrategia son múltiples y, por ejemplo, el apoyo que en la actualidad están realizando al Ministerio de Hacienda UNDESA y CEPAL a través de la capacitación técnica de las unidades encargadas de la eventual emisión de un bono soberano, es solo una muestra de lo que implica la estrategia de financiamiento. </w:t>
      </w:r>
    </w:p>
    <w:p w14:paraId="05AE8D28" w14:textId="77777777" w:rsidR="00BB534D" w:rsidRDefault="00BB534D">
      <w:pPr>
        <w:spacing w:before="0" w:line="240" w:lineRule="auto"/>
        <w:jc w:val="both"/>
        <w:rPr>
          <w:sz w:val="24"/>
          <w:szCs w:val="24"/>
        </w:rPr>
      </w:pPr>
    </w:p>
    <w:p w14:paraId="05AE8D29" w14:textId="77777777" w:rsidR="00BB534D" w:rsidRDefault="00B842B1">
      <w:pPr>
        <w:spacing w:before="0" w:line="240" w:lineRule="auto"/>
        <w:jc w:val="both"/>
        <w:rPr>
          <w:sz w:val="24"/>
          <w:szCs w:val="24"/>
        </w:rPr>
      </w:pPr>
      <w:r>
        <w:rPr>
          <w:sz w:val="24"/>
          <w:szCs w:val="24"/>
        </w:rPr>
        <w:t>Además de esa posible emisión soberana se debe considerar también la factibilidad de emisión de bonos privados en cualquiera de sus modalidades: verdes, azules, de género, etc. De hecho, el último informe de la Corporación Financiera Internacional del Banco Mundial señala que el apetito de los inversores por los bonos verdes en los mercados emergentes fue resistente frente a la agitación económica causada por la pandemia de COVID-19. Es más, el uso de estos instrumentos se incrementó un 21% con respecto al año 2019</w:t>
      </w:r>
      <w:r>
        <w:rPr>
          <w:sz w:val="24"/>
          <w:szCs w:val="24"/>
          <w:vertAlign w:val="superscript"/>
        </w:rPr>
        <w:footnoteReference w:id="134"/>
      </w:r>
      <w:r>
        <w:rPr>
          <w:sz w:val="24"/>
          <w:szCs w:val="24"/>
        </w:rPr>
        <w:t xml:space="preserve">. De la misma forma, el mercado de los bonos sociales y sostenibles, si bien menor que el mercado de los bonos verdes, también ha experimentado un crecimiento los últimos años y </w:t>
      </w:r>
      <w:r>
        <w:rPr>
          <w:i/>
          <w:sz w:val="24"/>
          <w:szCs w:val="24"/>
        </w:rPr>
        <w:t>la utilización de normas e informes adecuados en este mercado representa una oportunidad potencial para aumentar la financiación privada</w:t>
      </w:r>
      <w:r>
        <w:rPr>
          <w:i/>
          <w:sz w:val="24"/>
          <w:szCs w:val="24"/>
          <w:vertAlign w:val="superscript"/>
        </w:rPr>
        <w:footnoteReference w:id="135"/>
      </w:r>
      <w:r>
        <w:rPr>
          <w:sz w:val="24"/>
          <w:szCs w:val="24"/>
        </w:rPr>
        <w:t>. Por su parte, el informe de las inversiones en el mundo de la UNCTAD también menciona el crecimiento experimentado por este tipo de instrumentos durante los últimos años, incluido el pasado 2020.</w:t>
      </w:r>
      <w:r>
        <w:rPr>
          <w:sz w:val="24"/>
          <w:szCs w:val="24"/>
          <w:vertAlign w:val="superscript"/>
        </w:rPr>
        <w:footnoteReference w:id="136"/>
      </w:r>
    </w:p>
    <w:p w14:paraId="05AE8D2A" w14:textId="77777777" w:rsidR="00BB534D" w:rsidRDefault="00BB534D">
      <w:pPr>
        <w:spacing w:before="0" w:line="240" w:lineRule="auto"/>
        <w:jc w:val="both"/>
        <w:rPr>
          <w:sz w:val="24"/>
          <w:szCs w:val="24"/>
        </w:rPr>
      </w:pPr>
    </w:p>
    <w:p w14:paraId="05AE8D2B" w14:textId="77777777" w:rsidR="00BB534D" w:rsidRDefault="00B842B1">
      <w:pPr>
        <w:spacing w:before="0" w:line="240" w:lineRule="auto"/>
        <w:jc w:val="both"/>
        <w:rPr>
          <w:sz w:val="24"/>
          <w:szCs w:val="24"/>
        </w:rPr>
      </w:pPr>
      <w:r>
        <w:rPr>
          <w:sz w:val="24"/>
          <w:szCs w:val="24"/>
        </w:rPr>
        <w:t xml:space="preserve">Al mismo tiempo, existe también un creciente interés por parte de las empresas en comprender y adoptar enfoques sostenibles como los principios Medioambientales, Sociales y de Gobernabilidad (ASG – ESG, por sus siglas en inglés) y de impacto. En este sentido, los ODS constituyen una guía, un mapa que permitirá a las empresas y al sector privado en general, identificar si su impacto social, económico y medioambiental aporta valor a la sociedad. Es aquí donde el SNU puede desempeñar un papel importante abogando para que el desarrollo sostenible esté plenamente integrado en el modelo de los mercados financieros y la cultura de la inversión lo que, en definitiva, redundará en un fortalecimiento de su reputación con los distintos grupos de interés. El Observatorio Mundial de las Finanzas Sostenibles de la UNCTAD, de reciente creación, va en esa línea al tratar de promover que la inversión sostenible pase de ser un </w:t>
      </w:r>
      <w:r>
        <w:rPr>
          <w:i/>
          <w:sz w:val="24"/>
          <w:szCs w:val="24"/>
        </w:rPr>
        <w:t>nicho</w:t>
      </w:r>
      <w:r>
        <w:rPr>
          <w:sz w:val="24"/>
          <w:szCs w:val="24"/>
        </w:rPr>
        <w:t xml:space="preserve"> de mercado a convertirse en una </w:t>
      </w:r>
      <w:r>
        <w:rPr>
          <w:i/>
          <w:sz w:val="24"/>
          <w:szCs w:val="24"/>
        </w:rPr>
        <w:t>norma</w:t>
      </w:r>
      <w:r>
        <w:rPr>
          <w:sz w:val="24"/>
          <w:szCs w:val="24"/>
        </w:rPr>
        <w:t xml:space="preserve"> de mercado, favoreciendo también la creación de estándares en la medición y divulgación de información referida a la sostenibilidad en los estados financieros e informes del sector privado. </w:t>
      </w:r>
    </w:p>
    <w:p w14:paraId="05AE8D2C" w14:textId="77777777" w:rsidR="00BB534D" w:rsidRDefault="00BB534D">
      <w:pPr>
        <w:spacing w:before="0" w:line="240" w:lineRule="auto"/>
        <w:jc w:val="both"/>
        <w:rPr>
          <w:sz w:val="24"/>
          <w:szCs w:val="24"/>
        </w:rPr>
      </w:pPr>
    </w:p>
    <w:p w14:paraId="05AE8D2D" w14:textId="77777777" w:rsidR="00BB534D" w:rsidRDefault="00B842B1">
      <w:pPr>
        <w:spacing w:before="0" w:line="240" w:lineRule="auto"/>
        <w:jc w:val="both"/>
        <w:rPr>
          <w:sz w:val="24"/>
          <w:szCs w:val="24"/>
        </w:rPr>
      </w:pPr>
      <w:r>
        <w:rPr>
          <w:sz w:val="24"/>
          <w:szCs w:val="24"/>
        </w:rPr>
        <w:t xml:space="preserve">Finalmente, el SNU puede y debe ser un socio clave para el gobierno aconsejándole sobre las opciones de aprovechar estratégicamente la limitada financiación pública disponible, lo que en muchos casos pasará por apoyar el desarrollo de marcos normativos y la ayuda para eliminar posibles obstáculos para la utilización de esos recursos. Estos aspectos pueden incluir la mejora de las capacidades nacionales y subnacionales en áreas como movilización de recursos internos, la garantía de la calidad del gasto público, la gestión fiscal y de la deuda fiscal y de la deuda, la distribución del riesgo de las inversiones, el desarrollo de los mercados de capitales o el fomento de entornos empresariales de calidad para la inversión privada. </w:t>
      </w:r>
    </w:p>
    <w:p w14:paraId="05AE8D2E" w14:textId="77777777" w:rsidR="00BB534D" w:rsidRDefault="00BB534D">
      <w:pPr>
        <w:spacing w:before="0" w:line="240" w:lineRule="auto"/>
        <w:jc w:val="both"/>
        <w:rPr>
          <w:sz w:val="24"/>
          <w:szCs w:val="24"/>
        </w:rPr>
      </w:pPr>
    </w:p>
    <w:p w14:paraId="05AE8D2F" w14:textId="77777777" w:rsidR="00BB534D" w:rsidRDefault="00BB534D">
      <w:pPr>
        <w:spacing w:before="0" w:line="240" w:lineRule="auto"/>
        <w:jc w:val="both"/>
        <w:rPr>
          <w:rFonts w:ascii="Arial" w:eastAsia="Arial" w:hAnsi="Arial" w:cs="Arial"/>
        </w:rPr>
      </w:pPr>
    </w:p>
    <w:p w14:paraId="05AE8D30" w14:textId="77777777" w:rsidR="00BB534D" w:rsidRDefault="00BB534D">
      <w:pPr>
        <w:spacing w:before="0" w:line="240" w:lineRule="auto"/>
        <w:jc w:val="both"/>
        <w:rPr>
          <w:rFonts w:ascii="Arial" w:eastAsia="Arial" w:hAnsi="Arial" w:cs="Arial"/>
          <w:sz w:val="24"/>
          <w:szCs w:val="24"/>
        </w:rPr>
      </w:pPr>
    </w:p>
    <w:p w14:paraId="05AE8D31" w14:textId="77777777" w:rsidR="00BB534D" w:rsidRDefault="00BB534D">
      <w:pPr>
        <w:spacing w:before="0" w:line="240" w:lineRule="auto"/>
        <w:jc w:val="both"/>
        <w:rPr>
          <w:rFonts w:ascii="Arial" w:eastAsia="Arial" w:hAnsi="Arial" w:cs="Arial"/>
          <w:sz w:val="24"/>
          <w:szCs w:val="24"/>
        </w:rPr>
      </w:pPr>
    </w:p>
    <w:p w14:paraId="05AE8D32" w14:textId="77777777" w:rsidR="00BB534D" w:rsidRDefault="00B842B1">
      <w:pPr>
        <w:spacing w:before="0" w:line="240" w:lineRule="auto"/>
        <w:jc w:val="both"/>
        <w:rPr>
          <w:rFonts w:ascii="Arial" w:eastAsia="Arial" w:hAnsi="Arial" w:cs="Arial"/>
        </w:rPr>
      </w:pPr>
      <w:r>
        <w:rPr>
          <w:rFonts w:ascii="Arial" w:eastAsia="Arial" w:hAnsi="Arial" w:cs="Arial"/>
        </w:rPr>
        <w:t xml:space="preserve">. </w:t>
      </w:r>
    </w:p>
    <w:p w14:paraId="05AE8D33" w14:textId="77777777" w:rsidR="00BB534D" w:rsidRDefault="00BB534D">
      <w:pPr>
        <w:spacing w:before="0" w:line="240" w:lineRule="auto"/>
        <w:jc w:val="both"/>
        <w:rPr>
          <w:rFonts w:ascii="Arial" w:eastAsia="Arial" w:hAnsi="Arial" w:cs="Arial"/>
          <w:sz w:val="24"/>
          <w:szCs w:val="24"/>
        </w:rPr>
      </w:pPr>
    </w:p>
    <w:p w14:paraId="05AE8D34" w14:textId="77777777" w:rsidR="00BB534D" w:rsidRDefault="00BB534D">
      <w:pPr>
        <w:spacing w:before="0" w:line="240" w:lineRule="auto"/>
        <w:jc w:val="both"/>
        <w:rPr>
          <w:color w:val="404040"/>
          <w:sz w:val="24"/>
          <w:szCs w:val="24"/>
        </w:rPr>
      </w:pPr>
    </w:p>
    <w:sectPr w:rsidR="00BB534D">
      <w:headerReference w:type="default" r:id="rId14"/>
      <w:footerReference w:type="default" r:id="rId15"/>
      <w:headerReference w:type="first" r:id="rId16"/>
      <w:footerReference w:type="first" r:id="rId17"/>
      <w:pgSz w:w="12240" w:h="15840"/>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CD0B0" w14:textId="77777777" w:rsidR="00420777" w:rsidRDefault="00420777">
      <w:pPr>
        <w:spacing w:before="0" w:line="240" w:lineRule="auto"/>
      </w:pPr>
      <w:r>
        <w:separator/>
      </w:r>
    </w:p>
  </w:endnote>
  <w:endnote w:type="continuationSeparator" w:id="0">
    <w:p w14:paraId="4CE44470" w14:textId="77777777" w:rsidR="00420777" w:rsidRDefault="0042077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Proxima Nova">
    <w:altName w:val="Tahoma"/>
    <w:charset w:val="00"/>
    <w:family w:val="auto"/>
    <w:pitch w:val="default"/>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8D3F" w14:textId="25243E19" w:rsidR="00BB534D" w:rsidRDefault="00B842B1">
    <w:pPr>
      <w:pBdr>
        <w:top w:val="nil"/>
        <w:left w:val="nil"/>
        <w:bottom w:val="nil"/>
        <w:right w:val="nil"/>
        <w:between w:val="nil"/>
      </w:pBdr>
      <w:jc w:val="right"/>
    </w:pPr>
    <w:r>
      <w:fldChar w:fldCharType="begin"/>
    </w:r>
    <w:r>
      <w:instrText>PAGE</w:instrText>
    </w:r>
    <w:r>
      <w:fldChar w:fldCharType="separate"/>
    </w:r>
    <w:r w:rsidR="009C4A99">
      <w:rPr>
        <w:noProof/>
      </w:rPr>
      <w:t>1</w:t>
    </w:r>
    <w:r>
      <w:fldChar w:fldCharType="end"/>
    </w:r>
    <w:r>
      <w:rPr>
        <w:noProof/>
      </w:rPr>
      <w:drawing>
        <wp:anchor distT="0" distB="0" distL="0" distR="0" simplePos="0" relativeHeight="251661312" behindDoc="0" locked="0" layoutInCell="1" hidden="0" allowOverlap="1" wp14:anchorId="05AE8D48" wp14:editId="05AE8D49">
          <wp:simplePos x="0" y="0"/>
          <wp:positionH relativeFrom="column">
            <wp:posOffset>-914399</wp:posOffset>
          </wp:positionH>
          <wp:positionV relativeFrom="paragraph">
            <wp:posOffset>438150</wp:posOffset>
          </wp:positionV>
          <wp:extent cx="7781925" cy="409575"/>
          <wp:effectExtent l="0" t="0" r="0" b="0"/>
          <wp:wrapTopAndBottom distT="0" distB="0"/>
          <wp:docPr id="2" name="image1.png" descr="pie de página"/>
          <wp:cNvGraphicFramePr/>
          <a:graphic xmlns:a="http://schemas.openxmlformats.org/drawingml/2006/main">
            <a:graphicData uri="http://schemas.openxmlformats.org/drawingml/2006/picture">
              <pic:pic xmlns:pic="http://schemas.openxmlformats.org/drawingml/2006/picture">
                <pic:nvPicPr>
                  <pic:cNvPr id="0" name="image1.png" descr="pie de página"/>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8D41" w14:textId="77777777" w:rsidR="00BB534D" w:rsidRDefault="00B842B1">
    <w:pPr>
      <w:pBdr>
        <w:top w:val="nil"/>
        <w:left w:val="nil"/>
        <w:bottom w:val="nil"/>
        <w:right w:val="nil"/>
        <w:between w:val="nil"/>
      </w:pBdr>
      <w:jc w:val="right"/>
    </w:pPr>
    <w:r>
      <w:rPr>
        <w:noProof/>
      </w:rPr>
      <w:drawing>
        <wp:anchor distT="0" distB="0" distL="0" distR="0" simplePos="0" relativeHeight="251662336" behindDoc="0" locked="0" layoutInCell="1" hidden="0" allowOverlap="1" wp14:anchorId="05AE8D4C" wp14:editId="05AE8D4D">
          <wp:simplePos x="0" y="0"/>
          <wp:positionH relativeFrom="column">
            <wp:posOffset>-914399</wp:posOffset>
          </wp:positionH>
          <wp:positionV relativeFrom="paragraph">
            <wp:posOffset>438150</wp:posOffset>
          </wp:positionV>
          <wp:extent cx="7781925" cy="409575"/>
          <wp:effectExtent l="0" t="0" r="0" b="0"/>
          <wp:wrapTopAndBottom distT="0" distB="0"/>
          <wp:docPr id="4" name="image1.png" descr="pie de página"/>
          <wp:cNvGraphicFramePr/>
          <a:graphic xmlns:a="http://schemas.openxmlformats.org/drawingml/2006/main">
            <a:graphicData uri="http://schemas.openxmlformats.org/drawingml/2006/picture">
              <pic:pic xmlns:pic="http://schemas.openxmlformats.org/drawingml/2006/picture">
                <pic:nvPicPr>
                  <pic:cNvPr id="0" name="image1.png" descr="pie de página"/>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85B51" w14:textId="77777777" w:rsidR="00420777" w:rsidRDefault="00420777">
      <w:pPr>
        <w:spacing w:before="0" w:line="240" w:lineRule="auto"/>
      </w:pPr>
      <w:r>
        <w:separator/>
      </w:r>
    </w:p>
  </w:footnote>
  <w:footnote w:type="continuationSeparator" w:id="0">
    <w:p w14:paraId="321ECB11" w14:textId="77777777" w:rsidR="00420777" w:rsidRDefault="00420777">
      <w:pPr>
        <w:spacing w:before="0" w:line="240" w:lineRule="auto"/>
      </w:pPr>
      <w:r>
        <w:continuationSeparator/>
      </w:r>
    </w:p>
  </w:footnote>
  <w:footnote w:id="1">
    <w:p w14:paraId="05AE8D4E" w14:textId="77777777" w:rsidR="00BB534D" w:rsidRDefault="00B842B1">
      <w:pPr>
        <w:spacing w:before="0" w:line="240" w:lineRule="auto"/>
        <w:jc w:val="both"/>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CEPAL (2021). </w:t>
      </w:r>
      <w:hyperlink r:id="rId1">
        <w:r>
          <w:rPr>
            <w:rFonts w:ascii="Times New Roman" w:eastAsia="Times New Roman" w:hAnsi="Times New Roman" w:cs="Times New Roman"/>
            <w:color w:val="1155CC"/>
            <w:sz w:val="20"/>
            <w:szCs w:val="20"/>
            <w:u w:val="single"/>
          </w:rPr>
          <w:t>La paradoja de la recuperación en América Latina y el Caribe. Crecimiento con persistentes problemas estructurales: desigualdad, pobreza, poca inversión y baja productividad.</w:t>
        </w:r>
      </w:hyperlink>
    </w:p>
  </w:footnote>
  <w:footnote w:id="2">
    <w:p w14:paraId="05AE8D4F"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Calibri" w:eastAsia="Calibri" w:hAnsi="Calibri" w:cs="Calibri"/>
          <w:sz w:val="18"/>
          <w:szCs w:val="18"/>
        </w:rPr>
        <w:t xml:space="preserve"> </w:t>
      </w:r>
      <w:proofErr w:type="gramStart"/>
      <w:r>
        <w:rPr>
          <w:rFonts w:ascii="Times New Roman" w:eastAsia="Times New Roman" w:hAnsi="Times New Roman" w:cs="Times New Roman"/>
          <w:sz w:val="20"/>
          <w:szCs w:val="20"/>
        </w:rPr>
        <w:t>CEPAL  (</w:t>
      </w:r>
      <w:proofErr w:type="gramEnd"/>
      <w:r>
        <w:rPr>
          <w:rFonts w:ascii="Times New Roman" w:eastAsia="Times New Roman" w:hAnsi="Times New Roman" w:cs="Times New Roman"/>
          <w:sz w:val="20"/>
          <w:szCs w:val="20"/>
        </w:rPr>
        <w:t xml:space="preserve">2019). </w:t>
      </w:r>
      <w:hyperlink r:id="rId2">
        <w:r>
          <w:rPr>
            <w:rFonts w:ascii="Times New Roman" w:eastAsia="Times New Roman" w:hAnsi="Times New Roman" w:cs="Times New Roman"/>
            <w:color w:val="1155CC"/>
            <w:sz w:val="20"/>
            <w:szCs w:val="20"/>
            <w:u w:val="single"/>
          </w:rPr>
          <w:t>Panorama Social de América Latina.</w:t>
        </w:r>
      </w:hyperlink>
    </w:p>
  </w:footnote>
  <w:footnote w:id="3">
    <w:p w14:paraId="05AE8D50" w14:textId="77777777" w:rsidR="00BB534D" w:rsidRPr="009C4A99" w:rsidRDefault="00B842B1">
      <w:pPr>
        <w:spacing w:before="0" w:line="240" w:lineRule="auto"/>
        <w:rPr>
          <w:rFonts w:ascii="Times New Roman" w:eastAsia="Times New Roman" w:hAnsi="Times New Roman" w:cs="Times New Roman"/>
          <w:sz w:val="20"/>
          <w:szCs w:val="20"/>
          <w:lang w:val="en-US"/>
        </w:rPr>
      </w:pPr>
      <w:r>
        <w:rPr>
          <w:vertAlign w:val="superscript"/>
        </w:rPr>
        <w:footnoteRef/>
      </w:r>
      <w:r w:rsidRPr="009C4A99">
        <w:rPr>
          <w:rFonts w:ascii="Times New Roman" w:eastAsia="Times New Roman" w:hAnsi="Times New Roman" w:cs="Times New Roman"/>
          <w:sz w:val="20"/>
          <w:szCs w:val="20"/>
          <w:lang w:val="en-US"/>
        </w:rPr>
        <w:t xml:space="preserve"> INEC (2021) </w:t>
      </w:r>
      <w:hyperlink r:id="rId3">
        <w:r w:rsidRPr="009C4A99">
          <w:rPr>
            <w:rFonts w:ascii="Times New Roman" w:eastAsia="Times New Roman" w:hAnsi="Times New Roman" w:cs="Times New Roman"/>
            <w:color w:val="0000FF"/>
            <w:sz w:val="20"/>
            <w:szCs w:val="20"/>
            <w:u w:val="single"/>
            <w:lang w:val="en-US"/>
          </w:rPr>
          <w:t>https://www.inec.cr/sites/default/files/documetos-biblioteca-virtual/coestdem2020.pdf</w:t>
        </w:r>
      </w:hyperlink>
    </w:p>
  </w:footnote>
  <w:footnote w:id="4">
    <w:p w14:paraId="05AE8D51"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sidRPr="009C4A99">
        <w:rPr>
          <w:rFonts w:ascii="Times New Roman" w:eastAsia="Times New Roman" w:hAnsi="Times New Roman" w:cs="Times New Roman"/>
          <w:sz w:val="20"/>
          <w:szCs w:val="20"/>
          <w:lang w:val="en-US"/>
        </w:rPr>
        <w:t xml:space="preserve">  MIDEPLAN (2019). </w:t>
      </w:r>
      <w:hyperlink r:id="rId4">
        <w:r>
          <w:rPr>
            <w:rFonts w:ascii="Times New Roman" w:eastAsia="Times New Roman" w:hAnsi="Times New Roman" w:cs="Times New Roman"/>
            <w:color w:val="1155CC"/>
            <w:sz w:val="20"/>
            <w:szCs w:val="20"/>
            <w:u w:val="single"/>
          </w:rPr>
          <w:t>Costa Rica: Perspectiva del cambio demográfico al 2045.</w:t>
        </w:r>
      </w:hyperlink>
      <w:r>
        <w:rPr>
          <w:rFonts w:ascii="Times New Roman" w:eastAsia="Times New Roman" w:hAnsi="Times New Roman" w:cs="Times New Roman"/>
          <w:sz w:val="20"/>
          <w:szCs w:val="20"/>
        </w:rPr>
        <w:t xml:space="preserve"> </w:t>
      </w:r>
    </w:p>
    <w:p w14:paraId="05AE8D52" w14:textId="77777777" w:rsidR="00BB534D" w:rsidRDefault="00B842B1">
      <w:pPr>
        <w:spacing w:before="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Según el Ministerio de Planificación Nacional y Política Económica (MIDEPLAN): “Se espera que en el 2025 la </w:t>
      </w:r>
      <w:proofErr w:type="spellStart"/>
      <w:r>
        <w:rPr>
          <w:rFonts w:ascii="Times New Roman" w:eastAsia="Times New Roman" w:hAnsi="Times New Roman" w:cs="Times New Roman"/>
          <w:sz w:val="20"/>
          <w:szCs w:val="20"/>
        </w:rPr>
        <w:t>población</w:t>
      </w:r>
      <w:proofErr w:type="spellEnd"/>
      <w:r>
        <w:rPr>
          <w:rFonts w:ascii="Times New Roman" w:eastAsia="Times New Roman" w:hAnsi="Times New Roman" w:cs="Times New Roman"/>
          <w:sz w:val="20"/>
          <w:szCs w:val="20"/>
        </w:rPr>
        <w:t xml:space="preserve"> tenga una edad promedio de 34,4 </w:t>
      </w:r>
      <w:proofErr w:type="spellStart"/>
      <w:r>
        <w:rPr>
          <w:rFonts w:ascii="Times New Roman" w:eastAsia="Times New Roman" w:hAnsi="Times New Roman" w:cs="Times New Roman"/>
          <w:sz w:val="20"/>
          <w:szCs w:val="20"/>
        </w:rPr>
        <w:t>años</w:t>
      </w:r>
      <w:proofErr w:type="spellEnd"/>
      <w:r>
        <w:rPr>
          <w:rFonts w:ascii="Times New Roman" w:eastAsia="Times New Roman" w:hAnsi="Times New Roman" w:cs="Times New Roman"/>
          <w:sz w:val="20"/>
          <w:szCs w:val="20"/>
        </w:rPr>
        <w:t xml:space="preserve">, lo que quiere decir que el 50% de la </w:t>
      </w:r>
      <w:proofErr w:type="spellStart"/>
      <w:r>
        <w:rPr>
          <w:rFonts w:ascii="Times New Roman" w:eastAsia="Times New Roman" w:hAnsi="Times New Roman" w:cs="Times New Roman"/>
          <w:sz w:val="20"/>
          <w:szCs w:val="20"/>
        </w:rPr>
        <w:t>población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tendra</w:t>
      </w:r>
      <w:proofErr w:type="spellEnd"/>
      <w:r>
        <w:rPr>
          <w:rFonts w:ascii="Times New Roman" w:eastAsia="Times New Roman" w:hAnsi="Times New Roman" w:cs="Times New Roman"/>
          <w:sz w:val="20"/>
          <w:szCs w:val="20"/>
        </w:rPr>
        <w:t xml:space="preserve">́ edades menores de 34,4 </w:t>
      </w:r>
      <w:proofErr w:type="spellStart"/>
      <w:r>
        <w:rPr>
          <w:rFonts w:ascii="Times New Roman" w:eastAsia="Times New Roman" w:hAnsi="Times New Roman" w:cs="Times New Roman"/>
          <w:sz w:val="20"/>
          <w:szCs w:val="20"/>
        </w:rPr>
        <w:t>años</w:t>
      </w:r>
      <w:proofErr w:type="spellEnd"/>
      <w:r>
        <w:rPr>
          <w:rFonts w:ascii="Times New Roman" w:eastAsia="Times New Roman" w:hAnsi="Times New Roman" w:cs="Times New Roman"/>
          <w:sz w:val="20"/>
          <w:szCs w:val="20"/>
        </w:rPr>
        <w:t xml:space="preserve"> (aumentando casi un </w:t>
      </w:r>
      <w:proofErr w:type="spellStart"/>
      <w:r>
        <w:rPr>
          <w:rFonts w:ascii="Times New Roman" w:eastAsia="Times New Roman" w:hAnsi="Times New Roman" w:cs="Times New Roman"/>
          <w:sz w:val="20"/>
          <w:szCs w:val="20"/>
        </w:rPr>
        <w:t>año</w:t>
      </w:r>
      <w:proofErr w:type="spellEnd"/>
      <w:r>
        <w:rPr>
          <w:rFonts w:ascii="Times New Roman" w:eastAsia="Times New Roman" w:hAnsi="Times New Roman" w:cs="Times New Roman"/>
          <w:sz w:val="20"/>
          <w:szCs w:val="20"/>
        </w:rPr>
        <w:t xml:space="preserve"> la edad promedio anual)”. Convirtiéndose Costa Rica en un </w:t>
      </w:r>
      <w:proofErr w:type="spellStart"/>
      <w:r>
        <w:rPr>
          <w:rFonts w:ascii="Times New Roman" w:eastAsia="Times New Roman" w:hAnsi="Times New Roman" w:cs="Times New Roman"/>
          <w:sz w:val="20"/>
          <w:szCs w:val="20"/>
        </w:rPr>
        <w:t>país</w:t>
      </w:r>
      <w:proofErr w:type="spellEnd"/>
      <w:r>
        <w:rPr>
          <w:rFonts w:ascii="Times New Roman" w:eastAsia="Times New Roman" w:hAnsi="Times New Roman" w:cs="Times New Roman"/>
          <w:sz w:val="20"/>
          <w:szCs w:val="20"/>
        </w:rPr>
        <w:t xml:space="preserve"> con una </w:t>
      </w:r>
      <w:proofErr w:type="spellStart"/>
      <w:r>
        <w:rPr>
          <w:rFonts w:ascii="Times New Roman" w:eastAsia="Times New Roman" w:hAnsi="Times New Roman" w:cs="Times New Roman"/>
          <w:sz w:val="20"/>
          <w:szCs w:val="20"/>
        </w:rPr>
        <w:t>economía</w:t>
      </w:r>
      <w:proofErr w:type="spellEnd"/>
      <w:r>
        <w:rPr>
          <w:rFonts w:ascii="Times New Roman" w:eastAsia="Times New Roman" w:hAnsi="Times New Roman" w:cs="Times New Roman"/>
          <w:sz w:val="20"/>
          <w:szCs w:val="20"/>
        </w:rPr>
        <w:t xml:space="preserve"> envejecida (CELADE 2013). </w:t>
      </w:r>
    </w:p>
  </w:footnote>
  <w:footnote w:id="5">
    <w:p w14:paraId="05AE8D53"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vertAlign w:val="superscript"/>
        </w:rPr>
        <w:t xml:space="preserve"> </w:t>
      </w:r>
      <w:r>
        <w:rPr>
          <w:rFonts w:ascii="Times New Roman" w:eastAsia="Times New Roman" w:hAnsi="Times New Roman" w:cs="Times New Roman"/>
          <w:sz w:val="20"/>
          <w:szCs w:val="20"/>
        </w:rPr>
        <w:t>UNFPA e INEC (2021) https://costarica.unfpa.org/nacimientos</w:t>
      </w:r>
    </w:p>
  </w:footnote>
  <w:footnote w:id="6">
    <w:p w14:paraId="05AE8D54" w14:textId="77777777" w:rsidR="00BB534D" w:rsidRDefault="00B842B1">
      <w:pPr>
        <w:spacing w:before="0" w:line="240" w:lineRule="auto"/>
        <w:jc w:val="both"/>
        <w:rPr>
          <w:rFonts w:ascii="Times New Roman" w:eastAsia="Times New Roman" w:hAnsi="Times New Roman" w:cs="Times New Roman"/>
        </w:rPr>
      </w:pPr>
      <w:r>
        <w:rPr>
          <w:vertAlign w:val="superscript"/>
        </w:rPr>
        <w:footnoteRef/>
      </w:r>
      <w:r>
        <w:rPr>
          <w:rFonts w:ascii="Times New Roman" w:eastAsia="Times New Roman" w:hAnsi="Times New Roman" w:cs="Times New Roman"/>
          <w:sz w:val="20"/>
          <w:szCs w:val="20"/>
        </w:rPr>
        <w:t xml:space="preserve"> INEC (2021) Estadísticas vitales 2020, nacimientos, defunciones y matrimonios.</w:t>
      </w:r>
    </w:p>
  </w:footnote>
  <w:footnote w:id="7">
    <w:p w14:paraId="05AE8D55" w14:textId="77777777" w:rsidR="00BB534D" w:rsidRDefault="00B842B1">
      <w:pPr>
        <w:spacing w:before="0" w:line="240" w:lineRule="auto"/>
        <w:rPr>
          <w:rFonts w:ascii="Arial" w:eastAsia="Arial" w:hAnsi="Arial" w:cs="Arial"/>
          <w:sz w:val="20"/>
          <w:szCs w:val="20"/>
        </w:rPr>
      </w:pPr>
      <w:r>
        <w:rPr>
          <w:vertAlign w:val="superscript"/>
        </w:rPr>
        <w:footnoteRef/>
      </w:r>
      <w:r>
        <w:rPr>
          <w:rFonts w:ascii="Times New Roman" w:eastAsia="Times New Roman" w:hAnsi="Times New Roman" w:cs="Times New Roman"/>
          <w:sz w:val="20"/>
          <w:szCs w:val="20"/>
        </w:rPr>
        <w:t xml:space="preserve"> INEC (2021) Mortalidad materna y su evolución reciente 2020.</w:t>
      </w:r>
    </w:p>
  </w:footnote>
  <w:footnote w:id="8">
    <w:p w14:paraId="05AE8D56"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Es importante comprender que hay dos grupos de tecnologías: las de automatización, y las de intermediación. Las tecnologías de automatización sirven para automatizar tareas realizadas por personas (uso de robots, e inteligencia artificial), y tienen por tanto mayores efectos disruptivos. Mientras que las tecnologías de intermediación son aquellas que aumentan la capacidad de conectar la oferta y la demanda (por ejemplo, las plataformas de transporte compartido y de trabajo digital).</w:t>
      </w:r>
    </w:p>
  </w:footnote>
  <w:footnote w:id="9">
    <w:p w14:paraId="05AE8D57" w14:textId="77777777" w:rsidR="00BB534D" w:rsidRDefault="00B842B1">
      <w:pPr>
        <w:spacing w:before="0" w:line="240" w:lineRule="auto"/>
        <w:rPr>
          <w:rFonts w:ascii="Times New Roman" w:eastAsia="Times New Roman" w:hAnsi="Times New Roman" w:cs="Times New Roman"/>
          <w:color w:val="1155CC"/>
          <w:sz w:val="20"/>
          <w:szCs w:val="20"/>
          <w:u w:val="single"/>
        </w:rPr>
      </w:pPr>
      <w:r>
        <w:rPr>
          <w:vertAlign w:val="superscript"/>
        </w:rPr>
        <w:footnoteRef/>
      </w:r>
      <w:r>
        <w:rPr>
          <w:rFonts w:ascii="Arial" w:eastAsia="Arial" w:hAnsi="Arial" w:cs="Arial"/>
          <w:sz w:val="20"/>
          <w:szCs w:val="20"/>
        </w:rPr>
        <w:t xml:space="preserve"> </w:t>
      </w:r>
      <w:proofErr w:type="gramStart"/>
      <w:r>
        <w:rPr>
          <w:rFonts w:ascii="Arial" w:eastAsia="Arial" w:hAnsi="Arial" w:cs="Arial"/>
          <w:sz w:val="20"/>
          <w:szCs w:val="20"/>
        </w:rPr>
        <w:t>OIT(</w:t>
      </w:r>
      <w:proofErr w:type="gramEnd"/>
      <w:r>
        <w:rPr>
          <w:rFonts w:ascii="Arial" w:eastAsia="Arial" w:hAnsi="Arial" w:cs="Arial"/>
          <w:sz w:val="20"/>
          <w:szCs w:val="20"/>
        </w:rPr>
        <w:t xml:space="preserve">2019). </w:t>
      </w:r>
      <w:r>
        <w:rPr>
          <w:rFonts w:ascii="Times New Roman" w:eastAsia="Times New Roman" w:hAnsi="Times New Roman" w:cs="Times New Roman"/>
          <w:color w:val="1155CC"/>
          <w:sz w:val="20"/>
          <w:szCs w:val="20"/>
          <w:u w:val="single"/>
        </w:rPr>
        <w:t>Memoria Foro Trabajar para un futuro más prometedor Diálogos sobre el futuro del trabajo.</w:t>
      </w:r>
    </w:p>
  </w:footnote>
  <w:footnote w:id="10">
    <w:p w14:paraId="05AE8D58"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p>
  </w:footnote>
  <w:footnote w:id="11">
    <w:p w14:paraId="05AE8D59"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(2020). </w:t>
      </w:r>
      <w:hyperlink r:id="rId5">
        <w:r>
          <w:rPr>
            <w:rFonts w:ascii="Times New Roman" w:eastAsia="Times New Roman" w:hAnsi="Times New Roman" w:cs="Times New Roman"/>
            <w:color w:val="1155CC"/>
            <w:sz w:val="20"/>
            <w:szCs w:val="20"/>
            <w:u w:val="single"/>
          </w:rPr>
          <w:t>Encuesta Nacional de Hogares, Artefactos de tecnologías de la información y la comunicación en la vivienda.</w:t>
        </w:r>
      </w:hyperlink>
    </w:p>
  </w:footnote>
  <w:footnote w:id="12">
    <w:p w14:paraId="05AE8D5A"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OIT (2019). </w:t>
      </w:r>
      <w:r>
        <w:rPr>
          <w:rFonts w:ascii="Times New Roman" w:eastAsia="Times New Roman" w:hAnsi="Times New Roman" w:cs="Times New Roman"/>
          <w:color w:val="1155CC"/>
          <w:sz w:val="20"/>
          <w:szCs w:val="20"/>
          <w:u w:val="single"/>
        </w:rPr>
        <w:t>Trabajar para un futuro más prometedor.</w:t>
      </w:r>
    </w:p>
  </w:footnote>
  <w:footnote w:id="13">
    <w:p w14:paraId="05AE8D5B"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Calibri" w:eastAsia="Calibri" w:hAnsi="Calibri" w:cs="Calibri"/>
          <w:sz w:val="18"/>
          <w:szCs w:val="18"/>
        </w:rPr>
        <w:t xml:space="preserve"> </w:t>
      </w:r>
      <w:r>
        <w:rPr>
          <w:rFonts w:ascii="Times New Roman" w:eastAsia="Times New Roman" w:hAnsi="Times New Roman" w:cs="Times New Roman"/>
          <w:sz w:val="20"/>
          <w:szCs w:val="20"/>
        </w:rPr>
        <w:t xml:space="preserve">En América Latina y el Caribe – las regiones con mayor biodiversidad del mundo, la OIT y el BID estiman que   la transición hacia un modelo económico basado en cero emisiones netas de carbono podría crear 15 nuevos millones de empleos (netos) para la región de aquí a 2030: serían 22,5 millones de nuevos empleos en los sectores de la agricultura, la producción de alimentos de origen vegetal, las energías renovables, la silvicultura, la construcción y la manufactura; mientras que se destruirían 7,5 millones de empleos en la electricidad a partir de combustibles fósiles y la producción de alimentos. En ese sentido ver informe: BID y OIT (2020). </w:t>
      </w:r>
      <w:hyperlink r:id="rId6">
        <w:r>
          <w:rPr>
            <w:rFonts w:ascii="Times New Roman" w:eastAsia="Times New Roman" w:hAnsi="Times New Roman" w:cs="Times New Roman"/>
            <w:color w:val="1155CC"/>
            <w:sz w:val="20"/>
            <w:szCs w:val="20"/>
            <w:u w:val="single"/>
          </w:rPr>
          <w:t>El empleo en un futuro de cero emisiones netas en América Latina y el Caribe.</w:t>
        </w:r>
      </w:hyperlink>
    </w:p>
  </w:footnote>
  <w:footnote w:id="14">
    <w:p w14:paraId="05AE8D5C"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IMF (2020). Política tributaria para un crecimiento inclusivo después de la pandemia.</w:t>
      </w:r>
    </w:p>
  </w:footnote>
  <w:footnote w:id="15">
    <w:p w14:paraId="05AE8D5D"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sidRPr="009C4A99">
        <w:rPr>
          <w:rFonts w:ascii="Calibri" w:eastAsia="Calibri" w:hAnsi="Calibri" w:cs="Calibri"/>
          <w:sz w:val="20"/>
          <w:szCs w:val="20"/>
          <w:lang w:val="en-US"/>
        </w:rPr>
        <w:t xml:space="preserve"> </w:t>
      </w:r>
      <w:r w:rsidRPr="009C4A99">
        <w:rPr>
          <w:rFonts w:ascii="Times New Roman" w:eastAsia="Times New Roman" w:hAnsi="Times New Roman" w:cs="Times New Roman"/>
          <w:sz w:val="20"/>
          <w:szCs w:val="20"/>
          <w:lang w:val="en-US"/>
        </w:rPr>
        <w:t xml:space="preserve">Sauma (2019). Costa Rica country study: SDGs and employment policies: Macroeconomic, </w:t>
      </w:r>
      <w:proofErr w:type="gramStart"/>
      <w:r w:rsidRPr="009C4A99">
        <w:rPr>
          <w:rFonts w:ascii="Times New Roman" w:eastAsia="Times New Roman" w:hAnsi="Times New Roman" w:cs="Times New Roman"/>
          <w:sz w:val="20"/>
          <w:szCs w:val="20"/>
          <w:lang w:val="en-US"/>
        </w:rPr>
        <w:t>sectoral</w:t>
      </w:r>
      <w:proofErr w:type="gramEnd"/>
      <w:r w:rsidRPr="009C4A99">
        <w:rPr>
          <w:rFonts w:ascii="Times New Roman" w:eastAsia="Times New Roman" w:hAnsi="Times New Roman" w:cs="Times New Roman"/>
          <w:sz w:val="20"/>
          <w:szCs w:val="20"/>
          <w:lang w:val="en-US"/>
        </w:rPr>
        <w:t xml:space="preserve"> and </w:t>
      </w:r>
      <w:proofErr w:type="spellStart"/>
      <w:r w:rsidRPr="009C4A99">
        <w:rPr>
          <w:rFonts w:ascii="Times New Roman" w:eastAsia="Times New Roman" w:hAnsi="Times New Roman" w:cs="Times New Roman"/>
          <w:sz w:val="20"/>
          <w:szCs w:val="20"/>
          <w:lang w:val="en-US"/>
        </w:rPr>
        <w:t>labour</w:t>
      </w:r>
      <w:proofErr w:type="spellEnd"/>
      <w:r w:rsidRPr="009C4A99">
        <w:rPr>
          <w:rFonts w:ascii="Times New Roman" w:eastAsia="Times New Roman" w:hAnsi="Times New Roman" w:cs="Times New Roman"/>
          <w:sz w:val="20"/>
          <w:szCs w:val="20"/>
          <w:lang w:val="en-US"/>
        </w:rPr>
        <w:t xml:space="preserve"> market policies for structural transformation and full and productive employment. </w:t>
      </w:r>
      <w:r>
        <w:rPr>
          <w:rFonts w:ascii="Times New Roman" w:eastAsia="Times New Roman" w:hAnsi="Times New Roman" w:cs="Times New Roman"/>
          <w:shd w:val="clear" w:color="auto" w:fill="F8F9FA"/>
        </w:rPr>
        <w:t>[</w:t>
      </w:r>
      <w:r>
        <w:rPr>
          <w:rFonts w:ascii="Times New Roman" w:eastAsia="Times New Roman" w:hAnsi="Times New Roman" w:cs="Times New Roman"/>
          <w:sz w:val="20"/>
          <w:szCs w:val="20"/>
        </w:rPr>
        <w:t>Consultoría elaborada para la OIT</w:t>
      </w:r>
      <w:r>
        <w:rPr>
          <w:rFonts w:ascii="Times New Roman" w:eastAsia="Times New Roman" w:hAnsi="Times New Roman" w:cs="Times New Roman"/>
          <w:sz w:val="20"/>
          <w:szCs w:val="20"/>
          <w:shd w:val="clear" w:color="auto" w:fill="F8F9FA"/>
        </w:rPr>
        <w:t>].</w:t>
      </w:r>
      <w:r>
        <w:rPr>
          <w:rFonts w:ascii="Times New Roman" w:eastAsia="Times New Roman" w:hAnsi="Times New Roman" w:cs="Times New Roman"/>
          <w:sz w:val="20"/>
          <w:szCs w:val="20"/>
        </w:rPr>
        <w:t xml:space="preserve"> </w:t>
      </w:r>
    </w:p>
  </w:footnote>
  <w:footnote w:id="16">
    <w:p w14:paraId="05AE8D5E" w14:textId="77777777" w:rsidR="00BB534D" w:rsidRDefault="00B842B1">
      <w:pPr>
        <w:spacing w:before="0" w:line="240" w:lineRule="auto"/>
        <w:jc w:val="both"/>
        <w:rPr>
          <w:rFonts w:ascii="Times New Roman" w:eastAsia="Times New Roman" w:hAnsi="Times New Roman" w:cs="Times New Roman"/>
        </w:rPr>
      </w:pPr>
      <w:r>
        <w:rPr>
          <w:vertAlign w:val="superscript"/>
        </w:rPr>
        <w:footnoteRef/>
      </w:r>
      <w:r>
        <w:rPr>
          <w:rFonts w:ascii="Times New Roman" w:eastAsia="Times New Roman" w:hAnsi="Times New Roman" w:cs="Times New Roman"/>
          <w:sz w:val="20"/>
          <w:szCs w:val="20"/>
        </w:rPr>
        <w:t xml:space="preserve"> Las cifras de producción nacional corresponden al Banco Central de Costa Rica, y las de empleo a los Censos de Población de 1950 y 2000 (Instituto Nacional de Estadística y Censos).</w:t>
      </w:r>
    </w:p>
  </w:footnote>
  <w:footnote w:id="17">
    <w:p w14:paraId="05AE8D5F" w14:textId="77777777" w:rsidR="00BB534D" w:rsidRDefault="00B842B1">
      <w:pPr>
        <w:spacing w:before="0" w:line="240" w:lineRule="auto"/>
        <w:jc w:val="both"/>
        <w:rPr>
          <w:rFonts w:ascii="Calibri" w:eastAsia="Calibri" w:hAnsi="Calibri" w:cs="Calibri"/>
          <w:sz w:val="20"/>
          <w:szCs w:val="20"/>
        </w:rPr>
      </w:pPr>
      <w:r>
        <w:rPr>
          <w:vertAlign w:val="superscript"/>
        </w:rPr>
        <w:footnoteRef/>
      </w:r>
      <w:r w:rsidRPr="009C4A99">
        <w:rPr>
          <w:rFonts w:ascii="Calibri" w:eastAsia="Calibri" w:hAnsi="Calibri" w:cs="Calibri"/>
          <w:sz w:val="20"/>
          <w:szCs w:val="20"/>
          <w:lang w:val="en-US"/>
        </w:rPr>
        <w:t xml:space="preserve"> </w:t>
      </w:r>
      <w:r w:rsidRPr="009C4A99">
        <w:rPr>
          <w:rFonts w:ascii="Times New Roman" w:eastAsia="Times New Roman" w:hAnsi="Times New Roman" w:cs="Times New Roman"/>
          <w:sz w:val="20"/>
          <w:szCs w:val="20"/>
          <w:lang w:val="en-US"/>
        </w:rPr>
        <w:t xml:space="preserve">Sauma (2019, p. 6). Costa Rica country study: SDGs and employment policies: Macroeconomic, </w:t>
      </w:r>
      <w:proofErr w:type="gramStart"/>
      <w:r w:rsidRPr="009C4A99">
        <w:rPr>
          <w:rFonts w:ascii="Times New Roman" w:eastAsia="Times New Roman" w:hAnsi="Times New Roman" w:cs="Times New Roman"/>
          <w:sz w:val="20"/>
          <w:szCs w:val="20"/>
          <w:lang w:val="en-US"/>
        </w:rPr>
        <w:t>sectoral</w:t>
      </w:r>
      <w:proofErr w:type="gramEnd"/>
      <w:r w:rsidRPr="009C4A99">
        <w:rPr>
          <w:rFonts w:ascii="Times New Roman" w:eastAsia="Times New Roman" w:hAnsi="Times New Roman" w:cs="Times New Roman"/>
          <w:sz w:val="20"/>
          <w:szCs w:val="20"/>
          <w:lang w:val="en-US"/>
        </w:rPr>
        <w:t xml:space="preserve"> and </w:t>
      </w:r>
      <w:proofErr w:type="spellStart"/>
      <w:r w:rsidRPr="009C4A99">
        <w:rPr>
          <w:rFonts w:ascii="Times New Roman" w:eastAsia="Times New Roman" w:hAnsi="Times New Roman" w:cs="Times New Roman"/>
          <w:sz w:val="20"/>
          <w:szCs w:val="20"/>
          <w:lang w:val="en-US"/>
        </w:rPr>
        <w:t>labour</w:t>
      </w:r>
      <w:proofErr w:type="spellEnd"/>
      <w:r w:rsidRPr="009C4A99">
        <w:rPr>
          <w:rFonts w:ascii="Times New Roman" w:eastAsia="Times New Roman" w:hAnsi="Times New Roman" w:cs="Times New Roman"/>
          <w:sz w:val="20"/>
          <w:szCs w:val="20"/>
          <w:lang w:val="en-US"/>
        </w:rPr>
        <w:t xml:space="preserve"> market policies for structural transformation and full and productive employment. </w:t>
      </w:r>
      <w:r>
        <w:rPr>
          <w:rFonts w:ascii="Times New Roman" w:eastAsia="Times New Roman" w:hAnsi="Times New Roman" w:cs="Times New Roman"/>
          <w:shd w:val="clear" w:color="auto" w:fill="F8F9FA"/>
        </w:rPr>
        <w:t>[</w:t>
      </w:r>
      <w:r>
        <w:rPr>
          <w:rFonts w:ascii="Times New Roman" w:eastAsia="Times New Roman" w:hAnsi="Times New Roman" w:cs="Times New Roman"/>
          <w:sz w:val="20"/>
          <w:szCs w:val="20"/>
        </w:rPr>
        <w:t>Consultoría elaborada para la OIT</w:t>
      </w:r>
      <w:r>
        <w:rPr>
          <w:rFonts w:ascii="Times New Roman" w:eastAsia="Times New Roman" w:hAnsi="Times New Roman" w:cs="Times New Roman"/>
          <w:sz w:val="20"/>
          <w:szCs w:val="20"/>
          <w:shd w:val="clear" w:color="auto" w:fill="F8F9FA"/>
        </w:rPr>
        <w:t>].</w:t>
      </w:r>
      <w:r>
        <w:rPr>
          <w:rFonts w:ascii="Times New Roman" w:eastAsia="Times New Roman" w:hAnsi="Times New Roman" w:cs="Times New Roman"/>
          <w:sz w:val="20"/>
          <w:szCs w:val="20"/>
        </w:rPr>
        <w:t xml:space="preserve"> </w:t>
      </w:r>
    </w:p>
  </w:footnote>
  <w:footnote w:id="18">
    <w:p w14:paraId="05AE8D60"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Programa Estado de la Nación (2020). </w:t>
      </w:r>
      <w:hyperlink r:id="rId7">
        <w:r>
          <w:rPr>
            <w:rFonts w:ascii="Times New Roman" w:eastAsia="Times New Roman" w:hAnsi="Times New Roman" w:cs="Times New Roman"/>
            <w:color w:val="1155CC"/>
            <w:sz w:val="20"/>
            <w:szCs w:val="20"/>
            <w:u w:val="single"/>
          </w:rPr>
          <w:t>Estado de la Nación.</w:t>
        </w:r>
      </w:hyperlink>
    </w:p>
  </w:footnote>
  <w:footnote w:id="19">
    <w:p w14:paraId="05AE8D61"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Aliarse</w:t>
      </w:r>
      <w:r>
        <w:rPr>
          <w:rFonts w:ascii="Arial" w:eastAsia="Arial" w:hAnsi="Arial" w:cs="Arial"/>
        </w:rPr>
        <w:t xml:space="preserve"> (2021). </w:t>
      </w:r>
      <w:r>
        <w:rPr>
          <w:rFonts w:ascii="Times New Roman" w:eastAsia="Times New Roman" w:hAnsi="Times New Roman" w:cs="Times New Roman"/>
          <w:sz w:val="20"/>
          <w:szCs w:val="20"/>
        </w:rPr>
        <w:t>Estado de las alianzas público-privadas en Costa Rica 2020.</w:t>
      </w:r>
      <w:r>
        <w:rPr>
          <w:rFonts w:ascii="Arial" w:eastAsia="Arial" w:hAnsi="Arial" w:cs="Arial"/>
        </w:rPr>
        <w:t xml:space="preserve"> </w:t>
      </w:r>
    </w:p>
  </w:footnote>
  <w:footnote w:id="20">
    <w:p w14:paraId="05AE8D62"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 COMEX (2019). </w:t>
      </w:r>
      <w:hyperlink r:id="rId8">
        <w:r>
          <w:rPr>
            <w:rFonts w:ascii="Times New Roman" w:eastAsia="Times New Roman" w:hAnsi="Times New Roman" w:cs="Times New Roman"/>
            <w:color w:val="1155CC"/>
            <w:sz w:val="20"/>
            <w:szCs w:val="20"/>
            <w:u w:val="single"/>
          </w:rPr>
          <w:t>Análisis sobre la evolución del comercio exterior e IED en Costa Rica.</w:t>
        </w:r>
      </w:hyperlink>
    </w:p>
  </w:footnote>
  <w:footnote w:id="21">
    <w:p w14:paraId="05AE8D63"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(2020). </w:t>
      </w:r>
      <w:hyperlink r:id="rId9">
        <w:r>
          <w:rPr>
            <w:rFonts w:ascii="Times New Roman" w:eastAsia="Times New Roman" w:hAnsi="Times New Roman" w:cs="Times New Roman"/>
            <w:color w:val="1155CC"/>
            <w:sz w:val="20"/>
            <w:szCs w:val="20"/>
            <w:u w:val="single"/>
          </w:rPr>
          <w:t xml:space="preserve">Coeficiente de </w:t>
        </w:r>
        <w:proofErr w:type="gramStart"/>
        <w:r>
          <w:rPr>
            <w:rFonts w:ascii="Times New Roman" w:eastAsia="Times New Roman" w:hAnsi="Times New Roman" w:cs="Times New Roman"/>
            <w:color w:val="1155CC"/>
            <w:sz w:val="20"/>
            <w:szCs w:val="20"/>
            <w:u w:val="single"/>
          </w:rPr>
          <w:t>Gini  Costa</w:t>
        </w:r>
        <w:proofErr w:type="gramEnd"/>
        <w:r>
          <w:rPr>
            <w:rFonts w:ascii="Times New Roman" w:eastAsia="Times New Roman" w:hAnsi="Times New Roman" w:cs="Times New Roman"/>
            <w:color w:val="1155CC"/>
            <w:sz w:val="20"/>
            <w:szCs w:val="20"/>
            <w:u w:val="single"/>
          </w:rPr>
          <w:t xml:space="preserve"> Rica. </w:t>
        </w:r>
      </w:hyperlink>
    </w:p>
  </w:footnote>
  <w:footnote w:id="22">
    <w:p w14:paraId="05AE8D64" w14:textId="77777777" w:rsidR="00BB534D" w:rsidRDefault="00B842B1">
      <w:pPr>
        <w:spacing w:before="0" w:line="240" w:lineRule="auto"/>
        <w:rPr>
          <w:rFonts w:ascii="Arial" w:eastAsia="Arial" w:hAnsi="Arial" w:cs="Arial"/>
          <w:color w:val="FF0000"/>
          <w:sz w:val="20"/>
          <w:szCs w:val="20"/>
          <w:highlight w:val="yellow"/>
        </w:rPr>
      </w:pPr>
      <w:r>
        <w:rPr>
          <w:vertAlign w:val="superscript"/>
        </w:rPr>
        <w:footnoteRef/>
      </w:r>
      <w:r>
        <w:rPr>
          <w:rFonts w:ascii="Times New Roman" w:eastAsia="Times New Roman" w:hAnsi="Times New Roman" w:cs="Times New Roman"/>
          <w:sz w:val="20"/>
          <w:szCs w:val="20"/>
        </w:rPr>
        <w:t xml:space="preserve"> </w:t>
      </w:r>
      <w:hyperlink r:id="rId10">
        <w:r>
          <w:rPr>
            <w:rFonts w:ascii="Times New Roman" w:eastAsia="Times New Roman" w:hAnsi="Times New Roman" w:cs="Times New Roman"/>
            <w:color w:val="0000FF"/>
            <w:sz w:val="20"/>
            <w:szCs w:val="20"/>
            <w:u w:val="single"/>
          </w:rPr>
          <w:t xml:space="preserve">Ver E/C.12/CRI/CO/5, </w:t>
        </w:r>
        <w:proofErr w:type="spellStart"/>
        <w:r>
          <w:rPr>
            <w:rFonts w:ascii="Times New Roman" w:eastAsia="Times New Roman" w:hAnsi="Times New Roman" w:cs="Times New Roman"/>
            <w:color w:val="0000FF"/>
            <w:sz w:val="20"/>
            <w:szCs w:val="20"/>
            <w:u w:val="single"/>
          </w:rPr>
          <w:t>parráfo</w:t>
        </w:r>
        <w:proofErr w:type="spellEnd"/>
        <w:r>
          <w:rPr>
            <w:rFonts w:ascii="Times New Roman" w:eastAsia="Times New Roman" w:hAnsi="Times New Roman" w:cs="Times New Roman"/>
            <w:color w:val="0000FF"/>
            <w:sz w:val="20"/>
            <w:szCs w:val="20"/>
            <w:u w:val="single"/>
          </w:rPr>
          <w:t xml:space="preserve"> 22 y 23 a)</w:t>
        </w:r>
      </w:hyperlink>
    </w:p>
  </w:footnote>
  <w:footnote w:id="23">
    <w:p w14:paraId="05AE8D65"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Programa Estado de la Nación (2020). </w:t>
      </w:r>
      <w:hyperlink r:id="rId11">
        <w:r>
          <w:rPr>
            <w:rFonts w:ascii="Times New Roman" w:eastAsia="Times New Roman" w:hAnsi="Times New Roman" w:cs="Times New Roman"/>
            <w:color w:val="1155CC"/>
            <w:sz w:val="20"/>
            <w:szCs w:val="20"/>
            <w:u w:val="single"/>
          </w:rPr>
          <w:t>Estado de la Nación.</w:t>
        </w:r>
      </w:hyperlink>
    </w:p>
  </w:footnote>
  <w:footnote w:id="24">
    <w:p w14:paraId="05AE8D66"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INEC (2020). </w:t>
      </w:r>
      <w:hyperlink r:id="rId12">
        <w:r>
          <w:rPr>
            <w:rFonts w:ascii="Times New Roman" w:eastAsia="Times New Roman" w:hAnsi="Times New Roman" w:cs="Times New Roman"/>
            <w:color w:val="1155CC"/>
            <w:sz w:val="20"/>
            <w:szCs w:val="20"/>
            <w:u w:val="single"/>
          </w:rPr>
          <w:t xml:space="preserve">Encuesta Nacional de Hogares 2020. </w:t>
        </w:r>
      </w:hyperlink>
    </w:p>
  </w:footnote>
  <w:footnote w:id="25">
    <w:p w14:paraId="05AE8D67"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Fernández, Andrés y Jiménez, </w:t>
      </w:r>
      <w:proofErr w:type="spellStart"/>
      <w:r>
        <w:rPr>
          <w:rFonts w:ascii="Times New Roman" w:eastAsia="Times New Roman" w:hAnsi="Times New Roman" w:cs="Times New Roman"/>
          <w:sz w:val="20"/>
          <w:szCs w:val="20"/>
        </w:rPr>
        <w:t>Ronulfo</w:t>
      </w:r>
      <w:proofErr w:type="spellEnd"/>
      <w:r>
        <w:rPr>
          <w:rFonts w:ascii="Times New Roman" w:eastAsia="Times New Roman" w:hAnsi="Times New Roman" w:cs="Times New Roman"/>
          <w:sz w:val="20"/>
          <w:szCs w:val="20"/>
        </w:rPr>
        <w:t xml:space="preserve"> (2021, CEPAL). Incidencia de la pobreza en Costa Rica entre 1987 y </w:t>
      </w:r>
      <w:proofErr w:type="gramStart"/>
      <w:r>
        <w:rPr>
          <w:rFonts w:ascii="Times New Roman" w:eastAsia="Times New Roman" w:hAnsi="Times New Roman" w:cs="Times New Roman"/>
          <w:sz w:val="20"/>
          <w:szCs w:val="20"/>
        </w:rPr>
        <w:t>2017:¿</w:t>
      </w:r>
      <w:proofErr w:type="gramEnd"/>
      <w:r>
        <w:rPr>
          <w:rFonts w:ascii="Times New Roman" w:eastAsia="Times New Roman" w:hAnsi="Times New Roman" w:cs="Times New Roman"/>
          <w:sz w:val="20"/>
          <w:szCs w:val="20"/>
        </w:rPr>
        <w:t xml:space="preserve">estancamiento o reducción?. </w:t>
      </w:r>
    </w:p>
  </w:footnote>
  <w:footnote w:id="26">
    <w:p w14:paraId="05AE8D68"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(2021). Encuesta Nacional de Hogares 2021.</w:t>
      </w:r>
    </w:p>
  </w:footnote>
  <w:footnote w:id="27">
    <w:p w14:paraId="05AE8D69"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(2021). Encuesta Nacional de Hogares 2021.</w:t>
      </w:r>
    </w:p>
  </w:footnote>
  <w:footnote w:id="28">
    <w:p w14:paraId="05AE8D6A" w14:textId="77777777" w:rsidR="00BB534D" w:rsidRDefault="00B842B1">
      <w:pPr>
        <w:spacing w:before="0" w:line="240" w:lineRule="auto"/>
        <w:rPr>
          <w:rFonts w:ascii="Times New Roman" w:eastAsia="Times New Roman" w:hAnsi="Times New Roman" w:cs="Times New Roman"/>
        </w:rPr>
      </w:pPr>
      <w:r>
        <w:rPr>
          <w:vertAlign w:val="superscript"/>
        </w:rPr>
        <w:footnoteRef/>
      </w:r>
      <w:r>
        <w:rPr>
          <w:rFonts w:ascii="Calibri" w:eastAsia="Calibri" w:hAnsi="Calibri" w:cs="Calibri"/>
          <w:sz w:val="18"/>
          <w:szCs w:val="18"/>
        </w:rPr>
        <w:t xml:space="preserve"> </w:t>
      </w:r>
      <w:r>
        <w:rPr>
          <w:rFonts w:ascii="Times New Roman" w:eastAsia="Times New Roman" w:hAnsi="Times New Roman" w:cs="Times New Roman"/>
          <w:sz w:val="20"/>
          <w:szCs w:val="20"/>
        </w:rPr>
        <w:t xml:space="preserve">INEC (2020). </w:t>
      </w:r>
      <w:hyperlink r:id="rId13">
        <w:r>
          <w:rPr>
            <w:rFonts w:ascii="Times New Roman" w:eastAsia="Times New Roman" w:hAnsi="Times New Roman" w:cs="Times New Roman"/>
            <w:color w:val="1155CC"/>
            <w:sz w:val="20"/>
            <w:szCs w:val="20"/>
            <w:u w:val="single"/>
          </w:rPr>
          <w:t xml:space="preserve">Encuesta Nacional de Hogares 2020. </w:t>
        </w:r>
      </w:hyperlink>
    </w:p>
  </w:footnote>
  <w:footnote w:id="29">
    <w:p w14:paraId="05AE8D6B"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FAO (2016). </w:t>
      </w:r>
      <w:hyperlink r:id="rId14">
        <w:r>
          <w:rPr>
            <w:rFonts w:ascii="Times New Roman" w:eastAsia="Times New Roman" w:hAnsi="Times New Roman" w:cs="Times New Roman"/>
            <w:color w:val="1155CC"/>
            <w:sz w:val="20"/>
            <w:szCs w:val="20"/>
            <w:u w:val="single"/>
          </w:rPr>
          <w:t>Costa Rica evidencia un aumento del 54% en su superficie forestal</w:t>
        </w:r>
      </w:hyperlink>
    </w:p>
  </w:footnote>
  <w:footnote w:id="30">
    <w:p w14:paraId="05AE8D6C"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BID (2018). </w:t>
      </w:r>
      <w:hyperlink r:id="rId15">
        <w:r>
          <w:rPr>
            <w:rFonts w:ascii="Times New Roman" w:eastAsia="Times New Roman" w:hAnsi="Times New Roman" w:cs="Times New Roman"/>
            <w:color w:val="0000FF"/>
            <w:sz w:val="20"/>
            <w:szCs w:val="20"/>
            <w:u w:val="single"/>
          </w:rPr>
          <w:t>Retos ambientales de Costa Rica</w:t>
        </w:r>
      </w:hyperlink>
    </w:p>
  </w:footnote>
  <w:footnote w:id="31">
    <w:p w14:paraId="05AE8D6D" w14:textId="77777777" w:rsidR="00BB534D" w:rsidRDefault="00B842B1">
      <w:pPr>
        <w:spacing w:before="0" w:line="240" w:lineRule="auto"/>
        <w:jc w:val="both"/>
        <w:rPr>
          <w:rFonts w:ascii="Calibri" w:eastAsia="Calibri" w:hAnsi="Calibri" w:cs="Calibri"/>
          <w:sz w:val="20"/>
          <w:szCs w:val="20"/>
        </w:rPr>
      </w:pPr>
      <w:r>
        <w:rPr>
          <w:vertAlign w:val="superscript"/>
        </w:rPr>
        <w:footnoteRef/>
      </w:r>
      <w:r w:rsidRPr="009C4A99">
        <w:rPr>
          <w:rFonts w:ascii="Calibri" w:eastAsia="Calibri" w:hAnsi="Calibri" w:cs="Calibri"/>
          <w:sz w:val="20"/>
          <w:szCs w:val="20"/>
          <w:lang w:val="en-US"/>
        </w:rPr>
        <w:t xml:space="preserve"> </w:t>
      </w:r>
      <w:r w:rsidRPr="009C4A99">
        <w:rPr>
          <w:rFonts w:ascii="Times New Roman" w:eastAsia="Times New Roman" w:hAnsi="Times New Roman" w:cs="Times New Roman"/>
          <w:sz w:val="20"/>
          <w:szCs w:val="20"/>
          <w:lang w:val="en-US"/>
        </w:rPr>
        <w:t xml:space="preserve">Sauma (2019). Costa Rica country study: SDGs and employment policies: Macroeconomic, </w:t>
      </w:r>
      <w:proofErr w:type="gramStart"/>
      <w:r w:rsidRPr="009C4A99">
        <w:rPr>
          <w:rFonts w:ascii="Times New Roman" w:eastAsia="Times New Roman" w:hAnsi="Times New Roman" w:cs="Times New Roman"/>
          <w:sz w:val="20"/>
          <w:szCs w:val="20"/>
          <w:lang w:val="en-US"/>
        </w:rPr>
        <w:t>sectoral</w:t>
      </w:r>
      <w:proofErr w:type="gramEnd"/>
      <w:r w:rsidRPr="009C4A99">
        <w:rPr>
          <w:rFonts w:ascii="Times New Roman" w:eastAsia="Times New Roman" w:hAnsi="Times New Roman" w:cs="Times New Roman"/>
          <w:sz w:val="20"/>
          <w:szCs w:val="20"/>
          <w:lang w:val="en-US"/>
        </w:rPr>
        <w:t xml:space="preserve"> and </w:t>
      </w:r>
      <w:proofErr w:type="spellStart"/>
      <w:r w:rsidRPr="009C4A99">
        <w:rPr>
          <w:rFonts w:ascii="Times New Roman" w:eastAsia="Times New Roman" w:hAnsi="Times New Roman" w:cs="Times New Roman"/>
          <w:sz w:val="20"/>
          <w:szCs w:val="20"/>
          <w:lang w:val="en-US"/>
        </w:rPr>
        <w:t>labour</w:t>
      </w:r>
      <w:proofErr w:type="spellEnd"/>
      <w:r w:rsidRPr="009C4A99">
        <w:rPr>
          <w:rFonts w:ascii="Times New Roman" w:eastAsia="Times New Roman" w:hAnsi="Times New Roman" w:cs="Times New Roman"/>
          <w:sz w:val="20"/>
          <w:szCs w:val="20"/>
          <w:lang w:val="en-US"/>
        </w:rPr>
        <w:t xml:space="preserve"> market policies for structural transformation and full and productive employment. </w:t>
      </w:r>
      <w:r>
        <w:rPr>
          <w:rFonts w:ascii="Times New Roman" w:eastAsia="Times New Roman" w:hAnsi="Times New Roman" w:cs="Times New Roman"/>
          <w:shd w:val="clear" w:color="auto" w:fill="F8F9FA"/>
        </w:rPr>
        <w:t>[</w:t>
      </w:r>
      <w:r>
        <w:rPr>
          <w:rFonts w:ascii="Times New Roman" w:eastAsia="Times New Roman" w:hAnsi="Times New Roman" w:cs="Times New Roman"/>
          <w:sz w:val="20"/>
          <w:szCs w:val="20"/>
        </w:rPr>
        <w:t>Consultoría elaborada para la OIT</w:t>
      </w:r>
      <w:r>
        <w:rPr>
          <w:rFonts w:ascii="Times New Roman" w:eastAsia="Times New Roman" w:hAnsi="Times New Roman" w:cs="Times New Roman"/>
          <w:sz w:val="20"/>
          <w:szCs w:val="20"/>
          <w:shd w:val="clear" w:color="auto" w:fill="F8F9FA"/>
        </w:rPr>
        <w:t>].</w:t>
      </w:r>
      <w:r>
        <w:rPr>
          <w:rFonts w:ascii="Times New Roman" w:eastAsia="Times New Roman" w:hAnsi="Times New Roman" w:cs="Times New Roman"/>
          <w:sz w:val="20"/>
          <w:szCs w:val="20"/>
        </w:rPr>
        <w:t xml:space="preserve"> </w:t>
      </w:r>
    </w:p>
  </w:footnote>
  <w:footnote w:id="32">
    <w:p w14:paraId="05AE8D6E" w14:textId="77777777" w:rsidR="00BB534D" w:rsidRDefault="00B842B1">
      <w:pPr>
        <w:spacing w:before="0" w:line="240" w:lineRule="auto"/>
        <w:rPr>
          <w:rFonts w:ascii="Calibri" w:eastAsia="Calibri" w:hAnsi="Calibri" w:cs="Calibri"/>
          <w:sz w:val="20"/>
          <w:szCs w:val="20"/>
        </w:rPr>
      </w:pPr>
      <w:r>
        <w:rPr>
          <w:vertAlign w:val="superscript"/>
        </w:rPr>
        <w:footnoteRef/>
      </w:r>
      <w:r>
        <w:rPr>
          <w:rFonts w:ascii="Times New Roman" w:eastAsia="Times New Roman" w:hAnsi="Times New Roman" w:cs="Times New Roman"/>
          <w:sz w:val="20"/>
          <w:szCs w:val="20"/>
        </w:rPr>
        <w:t xml:space="preserve"> Consejo de Derechos Humanos (2019). </w:t>
      </w:r>
      <w:hyperlink r:id="rId16">
        <w:r>
          <w:rPr>
            <w:rFonts w:ascii="Times New Roman" w:eastAsia="Times New Roman" w:hAnsi="Times New Roman" w:cs="Times New Roman"/>
            <w:color w:val="1155CC"/>
            <w:sz w:val="20"/>
            <w:szCs w:val="20"/>
            <w:u w:val="single"/>
          </w:rPr>
          <w:t xml:space="preserve">Examen </w:t>
        </w:r>
        <w:proofErr w:type="spellStart"/>
        <w:r>
          <w:rPr>
            <w:rFonts w:ascii="Times New Roman" w:eastAsia="Times New Roman" w:hAnsi="Times New Roman" w:cs="Times New Roman"/>
            <w:color w:val="1155CC"/>
            <w:sz w:val="20"/>
            <w:szCs w:val="20"/>
            <w:u w:val="single"/>
          </w:rPr>
          <w:t>Periodico</w:t>
        </w:r>
        <w:proofErr w:type="spellEnd"/>
        <w:r>
          <w:rPr>
            <w:rFonts w:ascii="Times New Roman" w:eastAsia="Times New Roman" w:hAnsi="Times New Roman" w:cs="Times New Roman"/>
            <w:color w:val="1155CC"/>
            <w:sz w:val="20"/>
            <w:szCs w:val="20"/>
            <w:u w:val="single"/>
          </w:rPr>
          <w:t xml:space="preserve"> Universal.</w:t>
        </w:r>
      </w:hyperlink>
    </w:p>
  </w:footnote>
  <w:footnote w:id="33">
    <w:p w14:paraId="05AE8D6F"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Comité para la Eliminación de la Discriminación contra la Mujer (2017). Observaciones finales sobre el séptimo informe periódico de Costa Rica.</w:t>
      </w:r>
    </w:p>
  </w:footnote>
  <w:footnote w:id="34">
    <w:p w14:paraId="05AE8D70"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UNFPA (2019) 165 millones de razones.</w:t>
      </w:r>
    </w:p>
  </w:footnote>
  <w:footnote w:id="35">
    <w:p w14:paraId="05AE8D71"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Según el Instituto Interamericano de Derechos Humanos (2007): el elemento central identificado como propio de la economía indígena está basado en el poder de dar y recibir, dentro de las normas culturales de intercambio recíproco. Es una economía basada en la apreciación personal, como fuente de obligación recíproca. Así como para la economía de mercado el eje ordenador o principio lógico es la acumulación, para la economía indígena el eje ordenador es la distribución (podemos asumir que la acumulación apela al valor del individualismo y que la distribución apela más al valor de la solidaridad).</w:t>
      </w:r>
    </w:p>
  </w:footnote>
  <w:footnote w:id="36">
    <w:p w14:paraId="05AE8D72"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ONU Mujeres y CEPAL (2020). </w:t>
      </w:r>
      <w:hyperlink r:id="rId17">
        <w:r>
          <w:rPr>
            <w:rFonts w:ascii="Times New Roman" w:eastAsia="Times New Roman" w:hAnsi="Times New Roman" w:cs="Times New Roman"/>
            <w:color w:val="0000FF"/>
            <w:sz w:val="20"/>
            <w:szCs w:val="20"/>
            <w:u w:val="single"/>
          </w:rPr>
          <w:t>Cuidados en América Latina y el Caribe en tiempos de COVID-19: Hacia sistemas integrales para fortalecer la respuesta y la recuperación</w:t>
        </w:r>
      </w:hyperlink>
      <w:r>
        <w:rPr>
          <w:rFonts w:ascii="Times New Roman" w:eastAsia="Times New Roman" w:hAnsi="Times New Roman" w:cs="Times New Roman"/>
          <w:sz w:val="20"/>
          <w:szCs w:val="20"/>
        </w:rPr>
        <w:t xml:space="preserve">. </w:t>
      </w:r>
    </w:p>
  </w:footnote>
  <w:footnote w:id="37">
    <w:p w14:paraId="05AE8D73"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Al respecto es importante hacer notar que Costa Rica no ha ratificado aún la “Convención Internacional sobre la Protección de Derechos de todos los Trabajadores Migratorios y de sus Familiares”. </w:t>
      </w:r>
    </w:p>
  </w:footnote>
  <w:footnote w:id="38">
    <w:p w14:paraId="05AE8D74"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Una economía verde inclusiva es aquella en la que el crecimiento está impulsado por inversiones que 1) reducen las emisiones de carbono y la contaminación, 2) mejoran la eficiencia energética y de los recursos, 3) evitan la pérdida de biodiversidad y servicios de los ecosistemas, 4) aumentan el número de trabajos decentes, y 5) aseguran una distribución equitativa de la renta y la riqueza. Es un vehículo para lograr los Objetivos de Desarrollo Sostenible, respondiendo a tres conjuntos de desafíos que enfrenta la humanidad en la actualidad: pobreza persistente, distribución desigual de la prosperidad y traspaso de las fronteras planetarias.</w:t>
      </w:r>
    </w:p>
  </w:footnote>
  <w:footnote w:id="39">
    <w:p w14:paraId="05AE8D75"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Programa Estado de la Nación (2020, p. 37). </w:t>
      </w:r>
      <w:hyperlink r:id="rId18">
        <w:r>
          <w:rPr>
            <w:rFonts w:ascii="Times New Roman" w:eastAsia="Times New Roman" w:hAnsi="Times New Roman" w:cs="Times New Roman"/>
            <w:color w:val="1155CC"/>
            <w:sz w:val="20"/>
            <w:szCs w:val="20"/>
            <w:u w:val="single"/>
          </w:rPr>
          <w:t xml:space="preserve"> Informe Estado de la Nación.</w:t>
        </w:r>
      </w:hyperlink>
    </w:p>
  </w:footnote>
  <w:footnote w:id="40">
    <w:p w14:paraId="05AE8D76" w14:textId="77777777" w:rsidR="00BB534D" w:rsidRDefault="00B842B1">
      <w:pPr>
        <w:spacing w:before="0" w:line="240" w:lineRule="auto"/>
        <w:rPr>
          <w:rFonts w:ascii="Times New Roman" w:eastAsia="Times New Roman" w:hAnsi="Times New Roman" w:cs="Times New Roman"/>
          <w:color w:val="FF9900"/>
          <w:sz w:val="20"/>
          <w:szCs w:val="20"/>
        </w:rPr>
      </w:pPr>
      <w:r>
        <w:rPr>
          <w:vertAlign w:val="superscript"/>
        </w:rPr>
        <w:footnoteRef/>
      </w:r>
      <w:r>
        <w:rPr>
          <w:rFonts w:ascii="Times New Roman" w:eastAsia="Times New Roman" w:hAnsi="Times New Roman" w:cs="Times New Roman"/>
          <w:sz w:val="20"/>
          <w:szCs w:val="20"/>
        </w:rPr>
        <w:t xml:space="preserve"> UNICEF. (2019). Plan de Acción de la Red Interinstitucional de la Población Indígena Migrante.</w:t>
      </w:r>
    </w:p>
  </w:footnote>
  <w:footnote w:id="41">
    <w:p w14:paraId="05AE8D77"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(2018). </w:t>
      </w:r>
      <w:hyperlink r:id="rId19">
        <w:r>
          <w:rPr>
            <w:rFonts w:ascii="Times New Roman" w:eastAsia="Times New Roman" w:hAnsi="Times New Roman" w:cs="Times New Roman"/>
            <w:color w:val="1155CC"/>
            <w:sz w:val="20"/>
            <w:szCs w:val="20"/>
            <w:u w:val="single"/>
          </w:rPr>
          <w:t>Encuesta Nacional sobre Discapacidad.</w:t>
        </w:r>
      </w:hyperlink>
    </w:p>
  </w:footnote>
  <w:footnote w:id="42">
    <w:p w14:paraId="05AE8D78"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UNFPA (2019). </w:t>
      </w:r>
      <w:hyperlink r:id="rId20">
        <w:r>
          <w:rPr>
            <w:rFonts w:ascii="Times New Roman" w:eastAsia="Times New Roman" w:hAnsi="Times New Roman" w:cs="Times New Roman"/>
            <w:color w:val="1155CC"/>
            <w:sz w:val="20"/>
            <w:szCs w:val="20"/>
            <w:u w:val="single"/>
          </w:rPr>
          <w:t>Visibilizar, incluir y participar. Orientaciones para promover los derechos de las personas con discapacidad en el trabajo</w:t>
        </w:r>
      </w:hyperlink>
      <w:r>
        <w:rPr>
          <w:rFonts w:ascii="Times New Roman" w:eastAsia="Times New Roman" w:hAnsi="Times New Roman" w:cs="Times New Roman"/>
          <w:sz w:val="20"/>
          <w:szCs w:val="20"/>
        </w:rPr>
        <w:t>.21</w:t>
      </w:r>
      <w:hyperlink r:id="rId21">
        <w:r>
          <w:rPr>
            <w:rFonts w:ascii="Times New Roman" w:eastAsia="Times New Roman" w:hAnsi="Times New Roman" w:cs="Times New Roman"/>
            <w:color w:val="0000FF"/>
            <w:sz w:val="20"/>
            <w:szCs w:val="20"/>
            <w:u w:val="single"/>
          </w:rPr>
          <w:t xml:space="preserve"> Salud sexual y reproductiva y violencia de género hacia las mujeres con discapacidad. https://costarica.unfpa.org/es/publications/salud-sexual-y-reproductiva-y-violencia-de-ge%CC%81nero-hacia-las-mujeres-con-discapacidad</w:t>
        </w:r>
      </w:hyperlink>
      <w:hyperlink r:id="rId22">
        <w:r>
          <w:rPr>
            <w:rFonts w:ascii="Times New Roman" w:eastAsia="Times New Roman" w:hAnsi="Times New Roman" w:cs="Times New Roman"/>
            <w:color w:val="0000FF"/>
            <w:sz w:val="18"/>
            <w:szCs w:val="18"/>
            <w:u w:val="single"/>
          </w:rPr>
          <w:t xml:space="preserve"> </w:t>
        </w:r>
      </w:hyperlink>
    </w:p>
  </w:footnote>
  <w:footnote w:id="43">
    <w:p w14:paraId="05AE8D79" w14:textId="77777777" w:rsidR="00BB534D" w:rsidRDefault="00B842B1">
      <w:pPr>
        <w:spacing w:before="0" w:line="240" w:lineRule="auto"/>
        <w:jc w:val="both"/>
        <w:rPr>
          <w:rFonts w:ascii="Times New Roman" w:eastAsia="Times New Roman" w:hAnsi="Times New Roman" w:cs="Times New Roman"/>
          <w:color w:val="212529"/>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CEPAL (2020). </w:t>
      </w:r>
      <w:hyperlink r:id="rId23">
        <w:r>
          <w:rPr>
            <w:rFonts w:ascii="Times New Roman" w:eastAsia="Times New Roman" w:hAnsi="Times New Roman" w:cs="Times New Roman"/>
            <w:color w:val="1155CC"/>
            <w:sz w:val="20"/>
            <w:szCs w:val="20"/>
            <w:u w:val="single"/>
          </w:rPr>
          <w:t>Migrantes y COVID-19: ¿Qué están haciendo los países de América Latina con más migrantes para apoyarlos durante la pandemia?</w:t>
        </w:r>
      </w:hyperlink>
    </w:p>
  </w:footnote>
  <w:footnote w:id="44">
    <w:p w14:paraId="05AE8D7A"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UNFPA (2020) Mapeo de servicios, actores, y diagnóstico de necesidades en salud sexual reproductiva y violencia basada en género de la población en situación de movilidad.</w:t>
      </w:r>
    </w:p>
  </w:footnote>
  <w:footnote w:id="45">
    <w:p w14:paraId="05AE8D7B"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Calibri" w:eastAsia="Calibri" w:hAnsi="Calibri" w:cs="Calibri"/>
          <w:sz w:val="20"/>
          <w:szCs w:val="20"/>
        </w:rPr>
        <w:t xml:space="preserve"> </w:t>
      </w:r>
      <w:r>
        <w:rPr>
          <w:rFonts w:ascii="Times New Roman" w:eastAsia="Times New Roman" w:hAnsi="Times New Roman" w:cs="Times New Roman"/>
          <w:sz w:val="20"/>
          <w:szCs w:val="20"/>
        </w:rPr>
        <w:t> Por ejemplo, en el EPU, se realizaron las siguientes observaciones:  111.38: Realizar esfuerzos complementarios para velar por que las personas lesbianas, gais, bisexuales, transgénero e intersexuales gocen efectivamente de sus derechos consagrados en la legislación costarricense, centrándose especialmente en su acceso al sistema de salud y el empleo (Uruguay).</w:t>
      </w:r>
    </w:p>
  </w:footnote>
  <w:footnote w:id="46">
    <w:p w14:paraId="05AE8D7C"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INEC (2020). </w:t>
      </w:r>
      <w:r>
        <w:rPr>
          <w:rFonts w:ascii="Arial" w:eastAsia="Arial" w:hAnsi="Arial" w:cs="Arial"/>
          <w:sz w:val="20"/>
          <w:szCs w:val="20"/>
        </w:rPr>
        <w:t xml:space="preserve"> </w:t>
      </w:r>
      <w:r>
        <w:rPr>
          <w:rFonts w:ascii="Times New Roman" w:eastAsia="Times New Roman" w:hAnsi="Times New Roman" w:cs="Times New Roman"/>
          <w:sz w:val="20"/>
          <w:szCs w:val="20"/>
        </w:rPr>
        <w:t xml:space="preserve">INEC (2020). </w:t>
      </w:r>
      <w:r>
        <w:rPr>
          <w:rFonts w:ascii="Arial" w:eastAsia="Arial" w:hAnsi="Arial" w:cs="Arial"/>
          <w:sz w:val="20"/>
          <w:szCs w:val="20"/>
        </w:rPr>
        <w:t xml:space="preserve"> </w:t>
      </w:r>
      <w:r>
        <w:rPr>
          <w:rFonts w:ascii="Times New Roman" w:eastAsia="Times New Roman" w:hAnsi="Times New Roman" w:cs="Times New Roman"/>
          <w:sz w:val="20"/>
          <w:szCs w:val="20"/>
        </w:rPr>
        <w:t xml:space="preserve">INEC (2020). </w:t>
      </w:r>
      <w:r>
        <w:rPr>
          <w:rFonts w:ascii="Arial" w:eastAsia="Arial" w:hAnsi="Arial" w:cs="Arial"/>
          <w:sz w:val="20"/>
          <w:szCs w:val="20"/>
        </w:rPr>
        <w:t xml:space="preserve"> </w:t>
      </w:r>
      <w:r>
        <w:rPr>
          <w:rFonts w:ascii="Times New Roman" w:eastAsia="Times New Roman" w:hAnsi="Times New Roman" w:cs="Times New Roman"/>
          <w:sz w:val="20"/>
          <w:szCs w:val="20"/>
        </w:rPr>
        <w:t xml:space="preserve">INEC (2020). UNFPA e 1Sistema de información estadística sobre </w:t>
      </w:r>
      <w:proofErr w:type="spellStart"/>
      <w:r>
        <w:rPr>
          <w:rFonts w:ascii="Times New Roman" w:eastAsia="Times New Roman" w:hAnsi="Times New Roman" w:cs="Times New Roman"/>
          <w:sz w:val="20"/>
          <w:szCs w:val="20"/>
        </w:rPr>
        <w:t>nacimietnos</w:t>
      </w:r>
      <w:proofErr w:type="spellEnd"/>
      <w:r>
        <w:rPr>
          <w:rFonts w:ascii="Times New Roman" w:eastAsia="Times New Roman" w:hAnsi="Times New Roman" w:cs="Times New Roman"/>
          <w:sz w:val="20"/>
          <w:szCs w:val="20"/>
        </w:rPr>
        <w:t xml:space="preserve"> en niñas y adolescentes en Costa Rica. https://costarica.unfpa.org/nacimientos</w:t>
      </w:r>
    </w:p>
  </w:footnote>
  <w:footnote w:id="47">
    <w:p w14:paraId="05AE8D7D"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OMS (2021). </w:t>
      </w:r>
      <w:hyperlink r:id="rId24">
        <w:r>
          <w:rPr>
            <w:rFonts w:ascii="Times New Roman" w:eastAsia="Times New Roman" w:hAnsi="Times New Roman" w:cs="Times New Roman"/>
            <w:color w:val="1155CC"/>
            <w:sz w:val="20"/>
            <w:szCs w:val="20"/>
            <w:u w:val="single"/>
          </w:rPr>
          <w:t>Datos y cifras.</w:t>
        </w:r>
      </w:hyperlink>
    </w:p>
  </w:footnote>
  <w:footnote w:id="48">
    <w:p w14:paraId="05AE8D7E"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(2019) </w:t>
      </w:r>
      <w:hyperlink r:id="rId25">
        <w:r>
          <w:rPr>
            <w:rFonts w:ascii="Times New Roman" w:eastAsia="Times New Roman" w:hAnsi="Times New Roman" w:cs="Times New Roman"/>
            <w:color w:val="1155CC"/>
            <w:sz w:val="20"/>
            <w:szCs w:val="20"/>
            <w:u w:val="single"/>
          </w:rPr>
          <w:t>Encuesta Mujeres, Niñez y Adolescencia.</w:t>
        </w:r>
      </w:hyperlink>
    </w:p>
  </w:footnote>
  <w:footnote w:id="49">
    <w:p w14:paraId="05AE8D7F"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ONU 75</w:t>
      </w:r>
    </w:p>
  </w:footnote>
  <w:footnote w:id="50">
    <w:p w14:paraId="05AE8D80"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UNFPA e INEC (2021). Sistema de información estadística sobre nacimientos en niñas y adolescentes en Costa Rica. https://costarica.unfpa.org/nacimientos.</w:t>
      </w:r>
    </w:p>
  </w:footnote>
  <w:footnote w:id="51">
    <w:p w14:paraId="05AE8D81" w14:textId="77777777" w:rsidR="00BB534D" w:rsidRDefault="00B842B1">
      <w:pPr>
        <w:widowControl w:val="0"/>
        <w:spacing w:before="0" w:line="276" w:lineRule="auto"/>
        <w:rPr>
          <w:rFonts w:ascii="Arial" w:eastAsia="Arial" w:hAnsi="Arial" w:cs="Arial"/>
          <w:b/>
          <w:sz w:val="20"/>
          <w:szCs w:val="20"/>
        </w:rPr>
      </w:pPr>
      <w:r>
        <w:rPr>
          <w:vertAlign w:val="superscript"/>
        </w:rPr>
        <w:footnoteRef/>
      </w:r>
      <w:r>
        <w:rPr>
          <w:rFonts w:ascii="Arial" w:eastAsia="Arial" w:hAnsi="Arial" w:cs="Arial"/>
          <w:b/>
          <w:sz w:val="20"/>
          <w:szCs w:val="20"/>
        </w:rPr>
        <w:t>CITA PENDIENTE DE AGREGAR</w:t>
      </w:r>
    </w:p>
  </w:footnote>
  <w:footnote w:id="52">
    <w:p w14:paraId="05AE8D82" w14:textId="77777777" w:rsidR="00BB534D" w:rsidRDefault="00B842B1">
      <w:pPr>
        <w:widowControl w:val="0"/>
        <w:spacing w:before="0" w:line="276" w:lineRule="auto"/>
        <w:rPr>
          <w:rFonts w:ascii="Calibri" w:eastAsia="Calibri" w:hAnsi="Calibri" w:cs="Calibri"/>
          <w:b/>
          <w:sz w:val="20"/>
          <w:szCs w:val="20"/>
        </w:rPr>
      </w:pPr>
      <w:r>
        <w:rPr>
          <w:vertAlign w:val="superscript"/>
        </w:rPr>
        <w:footnoteRef/>
      </w:r>
      <w:r>
        <w:rPr>
          <w:rFonts w:ascii="Calibri" w:eastAsia="Calibri" w:hAnsi="Calibri" w:cs="Calibri"/>
          <w:b/>
          <w:sz w:val="20"/>
          <w:szCs w:val="20"/>
        </w:rPr>
        <w:t>CITA PENDIENTE DE AGREGAR</w:t>
      </w:r>
    </w:p>
  </w:footnote>
  <w:footnote w:id="53">
    <w:p w14:paraId="05AE8D83"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UNICEF (2014) </w:t>
      </w:r>
      <w:hyperlink r:id="rId26">
        <w:r>
          <w:rPr>
            <w:rFonts w:ascii="Times New Roman" w:eastAsia="Times New Roman" w:hAnsi="Times New Roman" w:cs="Times New Roman"/>
            <w:color w:val="1155CC"/>
            <w:sz w:val="20"/>
            <w:szCs w:val="20"/>
            <w:u w:val="single"/>
          </w:rPr>
          <w:t xml:space="preserve"> Índice de Bienestar en NNA.</w:t>
        </w:r>
      </w:hyperlink>
    </w:p>
  </w:footnote>
  <w:footnote w:id="54">
    <w:p w14:paraId="05AE8D84"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Gobierno de la República (2020, p.24).</w:t>
      </w:r>
      <w:r>
        <w:rPr>
          <w:rFonts w:ascii="Times New Roman" w:eastAsia="Times New Roman" w:hAnsi="Times New Roman" w:cs="Times New Roman"/>
          <w:i/>
          <w:sz w:val="20"/>
          <w:szCs w:val="20"/>
        </w:rPr>
        <w:t xml:space="preserve"> </w:t>
      </w:r>
      <w:hyperlink r:id="rId27">
        <w:r>
          <w:rPr>
            <w:rFonts w:ascii="Times New Roman" w:eastAsia="Times New Roman" w:hAnsi="Times New Roman" w:cs="Times New Roman"/>
            <w:color w:val="1155CC"/>
            <w:sz w:val="20"/>
            <w:szCs w:val="20"/>
            <w:u w:val="single"/>
          </w:rPr>
          <w:t xml:space="preserve">Estrategia Puente al Desarrollo: Articulación Institucional para el Bienestar y el cumplimiento de los Derechos Humanos. </w:t>
        </w:r>
      </w:hyperlink>
    </w:p>
  </w:footnote>
  <w:footnote w:id="55">
    <w:p w14:paraId="05AE8D85"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 conformidad con la Política Institucional para la Atención de la Población en Pobreza y Pobreza Extrema 2020-2030 que establece el Modelo de Intervención Institucional y el componente Puente al Bienestar de la Estrategia Puente al Desarrollo como el eje central para la acción sustantiva del IMAS en los procesos de atención integral de la población en pobreza y pobreza extrema. (Acuerdo </w:t>
      </w:r>
      <w:proofErr w:type="spellStart"/>
      <w:r>
        <w:rPr>
          <w:rFonts w:ascii="Times New Roman" w:eastAsia="Times New Roman" w:hAnsi="Times New Roman" w:cs="Times New Roman"/>
          <w:sz w:val="20"/>
          <w:szCs w:val="20"/>
        </w:rPr>
        <w:t>Nº</w:t>
      </w:r>
      <w:proofErr w:type="spellEnd"/>
      <w:r>
        <w:rPr>
          <w:rFonts w:ascii="Times New Roman" w:eastAsia="Times New Roman" w:hAnsi="Times New Roman" w:cs="Times New Roman"/>
          <w:sz w:val="20"/>
          <w:szCs w:val="20"/>
        </w:rPr>
        <w:t xml:space="preserve"> 335-08-2020 del Consejo Directivo del IMAS, con fecha del 13 de agosto del 2020.)</w:t>
      </w:r>
    </w:p>
  </w:footnote>
  <w:footnote w:id="56">
    <w:p w14:paraId="05AE8D86"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(2018).</w:t>
      </w:r>
      <w:hyperlink r:id="rId28">
        <w:r>
          <w:rPr>
            <w:rFonts w:ascii="Times New Roman" w:eastAsia="Times New Roman" w:hAnsi="Times New Roman" w:cs="Times New Roman"/>
            <w:color w:val="1155CC"/>
            <w:sz w:val="20"/>
            <w:szCs w:val="20"/>
            <w:u w:val="single"/>
          </w:rPr>
          <w:t xml:space="preserve"> Encuesta nacional sobre discapacidad</w:t>
        </w:r>
      </w:hyperlink>
    </w:p>
  </w:footnote>
  <w:footnote w:id="57">
    <w:p w14:paraId="05AE8D87" w14:textId="77777777" w:rsidR="00BB534D" w:rsidRDefault="00B842B1">
      <w:pPr>
        <w:spacing w:before="0" w:line="240" w:lineRule="auto"/>
        <w:jc w:val="both"/>
        <w:rPr>
          <w:rFonts w:ascii="Calibri" w:eastAsia="Calibri" w:hAnsi="Calibri" w:cs="Calibri"/>
          <w:sz w:val="20"/>
          <w:szCs w:val="20"/>
        </w:rPr>
      </w:pPr>
      <w:r>
        <w:rPr>
          <w:vertAlign w:val="superscript"/>
        </w:rPr>
        <w:footnoteRef/>
      </w:r>
      <w:r>
        <w:rPr>
          <w:rFonts w:ascii="Times New Roman" w:eastAsia="Times New Roman" w:hAnsi="Times New Roman" w:cs="Times New Roman"/>
          <w:sz w:val="20"/>
          <w:szCs w:val="20"/>
        </w:rPr>
        <w:t xml:space="preserve"> OIT (2016).</w:t>
      </w:r>
      <w:hyperlink r:id="rId29">
        <w:r>
          <w:rPr>
            <w:rFonts w:ascii="Times New Roman" w:eastAsia="Times New Roman" w:hAnsi="Times New Roman" w:cs="Times New Roman"/>
            <w:color w:val="1155CC"/>
            <w:sz w:val="20"/>
            <w:szCs w:val="20"/>
            <w:u w:val="single"/>
          </w:rPr>
          <w:t xml:space="preserve"> Ser lesbiana, gay, bisexual, trans o intersex en el trabajo.</w:t>
        </w:r>
      </w:hyperlink>
      <w:r>
        <w:rPr>
          <w:rFonts w:ascii="Times New Roman" w:eastAsia="Times New Roman" w:hAnsi="Times New Roman" w:cs="Times New Roman"/>
          <w:sz w:val="20"/>
          <w:szCs w:val="20"/>
        </w:rPr>
        <w:t xml:space="preserve"> Documento basado en: Orgullo (PRIDE) en el trabajo: un estudio sobre la discriminación en el trabajo por motivos de orientación sexual e identidad de género en Costa Rica. </w:t>
      </w:r>
    </w:p>
  </w:footnote>
  <w:footnote w:id="58">
    <w:p w14:paraId="05AE8D88"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A/HRC/WG.6/33/CRI/2</w:t>
      </w:r>
    </w:p>
  </w:footnote>
  <w:footnote w:id="59">
    <w:p w14:paraId="05AE8D89"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(2019) </w:t>
      </w:r>
      <w:hyperlink r:id="rId30">
        <w:r>
          <w:rPr>
            <w:rFonts w:ascii="Times New Roman" w:eastAsia="Times New Roman" w:hAnsi="Times New Roman" w:cs="Times New Roman"/>
            <w:color w:val="1155CC"/>
            <w:sz w:val="20"/>
            <w:szCs w:val="20"/>
            <w:u w:val="single"/>
          </w:rPr>
          <w:t>Encuesta nacional de hogares.</w:t>
        </w:r>
      </w:hyperlink>
    </w:p>
  </w:footnote>
  <w:footnote w:id="60">
    <w:p w14:paraId="05AE8D8A"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Ministerio de Educación Pública (2021). </w:t>
      </w:r>
      <w:hyperlink r:id="rId31">
        <w:r>
          <w:rPr>
            <w:rFonts w:ascii="Arial" w:eastAsia="Arial" w:hAnsi="Arial" w:cs="Arial"/>
            <w:color w:val="0000FF"/>
            <w:sz w:val="20"/>
            <w:szCs w:val="20"/>
            <w:u w:val="single"/>
          </w:rPr>
          <w:t>Lineamientos técnicos para la evaluación de los aprendizajes en el segundo período 2020 (circular DM-0041-09-2020).</w:t>
        </w:r>
      </w:hyperlink>
    </w:p>
  </w:footnote>
  <w:footnote w:id="61">
    <w:p w14:paraId="05AE8D8B"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ENAHO (2016). </w:t>
      </w:r>
      <w:hyperlink r:id="rId32">
        <w:r>
          <w:rPr>
            <w:rFonts w:ascii="Times New Roman" w:eastAsia="Times New Roman" w:hAnsi="Times New Roman" w:cs="Times New Roman"/>
            <w:color w:val="1155CC"/>
            <w:sz w:val="20"/>
            <w:szCs w:val="20"/>
            <w:u w:val="single"/>
          </w:rPr>
          <w:t>Disminuyo trabajo infantil y adolescente.</w:t>
        </w:r>
      </w:hyperlink>
      <w:r>
        <w:rPr>
          <w:rFonts w:ascii="Times New Roman" w:eastAsia="Times New Roman" w:hAnsi="Times New Roman" w:cs="Times New Roman"/>
          <w:sz w:val="20"/>
          <w:szCs w:val="20"/>
        </w:rPr>
        <w:t xml:space="preserve">  Del 20% de la población total de entre 5 y 17 años, el 3,1% se encuentra ocupada y de este porcentaje, un 2.1% se encuentra en situación de trabajo infantil. Esto representa una disminución de 1,2 puntos porcentuales en comparación con el 2011. </w:t>
      </w:r>
    </w:p>
  </w:footnote>
  <w:footnote w:id="62">
    <w:p w14:paraId="05AE8D8C" w14:textId="77777777" w:rsidR="00BB534D" w:rsidRDefault="00B842B1">
      <w:pPr>
        <w:spacing w:before="0" w:line="240" w:lineRule="auto"/>
        <w:jc w:val="both"/>
        <w:rPr>
          <w:rFonts w:ascii="Calibri" w:eastAsia="Calibri" w:hAnsi="Calibri" w:cs="Calibri"/>
          <w:sz w:val="20"/>
          <w:szCs w:val="20"/>
        </w:rPr>
      </w:pPr>
      <w:r>
        <w:rPr>
          <w:vertAlign w:val="superscript"/>
        </w:rPr>
        <w:footnoteRef/>
      </w:r>
      <w:r>
        <w:rPr>
          <w:rFonts w:ascii="Times New Roman" w:eastAsia="Times New Roman" w:hAnsi="Times New Roman" w:cs="Times New Roman"/>
          <w:sz w:val="20"/>
          <w:szCs w:val="20"/>
        </w:rPr>
        <w:t xml:space="preserve"> OIT (s/f b). </w:t>
      </w:r>
      <w:hyperlink r:id="rId33">
        <w:r>
          <w:rPr>
            <w:rFonts w:ascii="Times New Roman" w:eastAsia="Times New Roman" w:hAnsi="Times New Roman" w:cs="Times New Roman"/>
            <w:color w:val="1155CC"/>
            <w:sz w:val="20"/>
            <w:szCs w:val="20"/>
            <w:u w:val="single"/>
          </w:rPr>
          <w:t>La pandemia por la COVID-19 podría incrementar el trabajo infantil en Costa Rica. Iniciativa Regional América Latina y el Caribe Libre de Trabajo Infantil.</w:t>
        </w:r>
      </w:hyperlink>
      <w:r>
        <w:rPr>
          <w:rFonts w:ascii="Times New Roman" w:eastAsia="Times New Roman" w:hAnsi="Times New Roman" w:cs="Times New Roman"/>
          <w:sz w:val="20"/>
          <w:szCs w:val="20"/>
        </w:rPr>
        <w:t xml:space="preserve"> </w:t>
      </w:r>
    </w:p>
  </w:footnote>
  <w:footnote w:id="63">
    <w:p w14:paraId="05AE8D8D" w14:textId="77777777" w:rsidR="00BB534D" w:rsidRDefault="00B842B1">
      <w:pPr>
        <w:spacing w:before="0"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20"/>
          <w:szCs w:val="20"/>
        </w:rPr>
        <w:t xml:space="preserve"> MINAE, SINAC, CONAGEBIO, FONAFIFO (2018). </w:t>
      </w:r>
      <w:hyperlink r:id="rId34">
        <w:r>
          <w:rPr>
            <w:rFonts w:ascii="Times New Roman" w:eastAsia="Times New Roman" w:hAnsi="Times New Roman" w:cs="Times New Roman"/>
            <w:color w:val="1155CC"/>
            <w:sz w:val="20"/>
            <w:szCs w:val="20"/>
            <w:u w:val="single"/>
          </w:rPr>
          <w:t>Resumen del Sexto Informe Nacional de Costa Rica ante el Convenio de Diversidad Biológica. Programa de Naciones Unidas para el Desarrollo, apoyo técnico para que las Partes Elegibles desarrollen el Sexto Informe Nacional para el CDB (6NR-LAC) Costa Rica</w:t>
        </w:r>
      </w:hyperlink>
      <w:r>
        <w:rPr>
          <w:rFonts w:ascii="Times New Roman" w:eastAsia="Times New Roman" w:hAnsi="Times New Roman" w:cs="Times New Roman"/>
          <w:sz w:val="20"/>
          <w:szCs w:val="20"/>
        </w:rPr>
        <w:t>.</w:t>
      </w:r>
    </w:p>
  </w:footnote>
  <w:footnote w:id="64">
    <w:p w14:paraId="05AE8D8E"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Según la Constitución Política, toda persona tiene derecho a un ambiente sano y ecológicamente equilibrado, de manera que esa calidad ambiental es un parámetro de calidad de vida. En este contexto, Costa Rica ha impulsado la conexión entre ambiente y Derechos Humanos en diferentes foros. Costa Rica  </w:t>
      </w:r>
      <w:hyperlink r:id="rId35">
        <w:r>
          <w:rPr>
            <w:rFonts w:ascii="Times New Roman" w:eastAsia="Times New Roman" w:hAnsi="Times New Roman" w:cs="Times New Roman"/>
            <w:color w:val="0000FF"/>
            <w:sz w:val="20"/>
            <w:szCs w:val="20"/>
            <w:u w:val="single"/>
          </w:rPr>
          <w:t>https://documents-dds-ny.un.org/doc/UNDOC/GEN/G19/028/28/PDF/G1902828.pdf?OpenElement</w:t>
        </w:r>
      </w:hyperlink>
    </w:p>
  </w:footnote>
  <w:footnote w:id="65">
    <w:p w14:paraId="05AE8D8F"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Los Acuerdos Multilaterales Ambientales y año de ratificación o adhesión por Costa Rica son: RAMSAR (1992), Patrimonio (1977), CITES (1975), Especies Migratorias, CMS (2007), Derecho del Mar (1992), Viena (1991), Montreal (1991), Basilea (1995), Diversidad </w:t>
      </w:r>
      <w:proofErr w:type="spellStart"/>
      <w:r>
        <w:rPr>
          <w:rFonts w:ascii="Times New Roman" w:eastAsia="Times New Roman" w:hAnsi="Times New Roman" w:cs="Times New Roman"/>
          <w:sz w:val="20"/>
          <w:szCs w:val="20"/>
        </w:rPr>
        <w:t>Biologica</w:t>
      </w:r>
      <w:proofErr w:type="spellEnd"/>
      <w:r>
        <w:rPr>
          <w:rFonts w:ascii="Times New Roman" w:eastAsia="Times New Roman" w:hAnsi="Times New Roman" w:cs="Times New Roman"/>
          <w:sz w:val="20"/>
          <w:szCs w:val="20"/>
        </w:rPr>
        <w:t xml:space="preserve"> (1994), Cambio Climático (1994), Desertificación (1998), </w:t>
      </w:r>
      <w:proofErr w:type="spellStart"/>
      <w:r>
        <w:rPr>
          <w:rFonts w:ascii="Times New Roman" w:eastAsia="Times New Roman" w:hAnsi="Times New Roman" w:cs="Times New Roman"/>
          <w:sz w:val="20"/>
          <w:szCs w:val="20"/>
        </w:rPr>
        <w:t>Kyoto</w:t>
      </w:r>
      <w:proofErr w:type="spellEnd"/>
      <w:r>
        <w:rPr>
          <w:rFonts w:ascii="Times New Roman" w:eastAsia="Times New Roman" w:hAnsi="Times New Roman" w:cs="Times New Roman"/>
          <w:sz w:val="20"/>
          <w:szCs w:val="20"/>
        </w:rPr>
        <w:t xml:space="preserve"> (2005), Rotterdam (2009), Cartagena (2007), Estocolmo (2007), Minamata (2013). Comisión Económica para América Latina y el Caribe (CEPAL) CEPALSTAT-Bases de datos y publicaciones estadísticas. Costa Rica: Perfil Nacional Ambiental/Gestión ambiental</w:t>
      </w:r>
    </w:p>
  </w:footnote>
  <w:footnote w:id="66">
    <w:p w14:paraId="05AE8D90"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Arial" w:eastAsia="Arial" w:hAnsi="Arial" w:cs="Arial"/>
          <w:sz w:val="18"/>
          <w:szCs w:val="18"/>
        </w:rPr>
        <w:t xml:space="preserve">Millennium </w:t>
      </w:r>
      <w:proofErr w:type="spellStart"/>
      <w:r>
        <w:rPr>
          <w:rFonts w:ascii="Arial" w:eastAsia="Arial" w:hAnsi="Arial" w:cs="Arial"/>
          <w:sz w:val="18"/>
          <w:szCs w:val="18"/>
        </w:rPr>
        <w:t>Ecosystem</w:t>
      </w:r>
      <w:proofErr w:type="spellEnd"/>
      <w:r>
        <w:rPr>
          <w:rFonts w:ascii="Arial" w:eastAsia="Arial" w:hAnsi="Arial" w:cs="Arial"/>
          <w:sz w:val="18"/>
          <w:szCs w:val="18"/>
        </w:rPr>
        <w:t xml:space="preserve"> </w:t>
      </w:r>
      <w:proofErr w:type="spellStart"/>
      <w:r>
        <w:rPr>
          <w:rFonts w:ascii="Arial" w:eastAsia="Arial" w:hAnsi="Arial" w:cs="Arial"/>
          <w:sz w:val="18"/>
          <w:szCs w:val="18"/>
        </w:rPr>
        <w:t>Assessment</w:t>
      </w:r>
      <w:proofErr w:type="spellEnd"/>
      <w:r>
        <w:rPr>
          <w:rFonts w:ascii="Arial" w:eastAsia="Arial" w:hAnsi="Arial" w:cs="Arial"/>
          <w:sz w:val="18"/>
          <w:szCs w:val="18"/>
        </w:rPr>
        <w:t>, 2005b.</w:t>
      </w:r>
    </w:p>
  </w:footnote>
  <w:footnote w:id="67">
    <w:p w14:paraId="05AE8D91"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Ibid</w:t>
      </w:r>
      <w:proofErr w:type="spellEnd"/>
    </w:p>
  </w:footnote>
  <w:footnote w:id="68">
    <w:p w14:paraId="05AE8D92"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SINAC- GIZ (2020). </w:t>
      </w:r>
      <w:hyperlink r:id="rId36">
        <w:r>
          <w:rPr>
            <w:rFonts w:ascii="Times New Roman" w:eastAsia="Times New Roman" w:hAnsi="Times New Roman" w:cs="Times New Roman"/>
            <w:color w:val="1155CC"/>
            <w:u w:val="single"/>
          </w:rPr>
          <w:t>Protocolo para la restauración de arrecifes y comunidades coralinas de Costa Rica</w:t>
        </w:r>
      </w:hyperlink>
      <w:r>
        <w:rPr>
          <w:rFonts w:ascii="Times New Roman" w:eastAsia="Times New Roman" w:hAnsi="Times New Roman" w:cs="Times New Roman"/>
        </w:rPr>
        <w:t xml:space="preserve">. </w:t>
      </w:r>
    </w:p>
  </w:footnote>
  <w:footnote w:id="69">
    <w:p w14:paraId="05AE8D93" w14:textId="77777777" w:rsidR="00BB534D" w:rsidRDefault="00B842B1">
      <w:pPr>
        <w:spacing w:before="0" w:line="276" w:lineRule="auto"/>
        <w:jc w:val="both"/>
        <w:rPr>
          <w:rFonts w:ascii="Arial" w:eastAsia="Arial" w:hAnsi="Arial" w:cs="Arial"/>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color w:val="111111"/>
          <w:sz w:val="20"/>
          <w:szCs w:val="20"/>
        </w:rPr>
        <w:t>Expediente 21478. Ley para el aprovechamiento sostenible de la pesca de camarón en Costa Rica.</w:t>
      </w:r>
    </w:p>
  </w:footnote>
  <w:footnote w:id="70">
    <w:p w14:paraId="05AE8D94" w14:textId="77777777" w:rsidR="00BB534D" w:rsidRDefault="00B842B1">
      <w:pPr>
        <w:spacing w:before="0"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20"/>
          <w:szCs w:val="20"/>
        </w:rPr>
        <w:t xml:space="preserve"> Por </w:t>
      </w:r>
      <w:proofErr w:type="gramStart"/>
      <w:r>
        <w:rPr>
          <w:rFonts w:ascii="Times New Roman" w:eastAsia="Times New Roman" w:hAnsi="Times New Roman" w:cs="Times New Roman"/>
          <w:sz w:val="20"/>
          <w:szCs w:val="20"/>
        </w:rPr>
        <w:t>ejemplo</w:t>
      </w:r>
      <w:proofErr w:type="gramEnd"/>
      <w:r>
        <w:rPr>
          <w:rFonts w:ascii="Times New Roman" w:eastAsia="Times New Roman" w:hAnsi="Times New Roman" w:cs="Times New Roman"/>
          <w:sz w:val="20"/>
          <w:szCs w:val="20"/>
        </w:rPr>
        <w:t xml:space="preserve"> la resolución SINAC-ACOSA-D-R-069-2017, sobre el libre acceso a la zona del Parque Nacional Marino Ballena, al uso de los recursos y a las prácticas culturales del pueblo Boruca. Otro ejemplo es el proceso entre </w:t>
      </w:r>
      <w:proofErr w:type="spellStart"/>
      <w:r>
        <w:rPr>
          <w:rFonts w:ascii="Times New Roman" w:eastAsia="Times New Roman" w:hAnsi="Times New Roman" w:cs="Times New Roman"/>
          <w:sz w:val="20"/>
          <w:szCs w:val="20"/>
        </w:rPr>
        <w:t>Incopesca</w:t>
      </w:r>
      <w:proofErr w:type="spellEnd"/>
      <w:r>
        <w:rPr>
          <w:rFonts w:ascii="Times New Roman" w:eastAsia="Times New Roman" w:hAnsi="Times New Roman" w:cs="Times New Roman"/>
          <w:sz w:val="20"/>
          <w:szCs w:val="20"/>
        </w:rPr>
        <w:t xml:space="preserve"> y la Mesa Nacional Indígena de Costa Rica y el apoyo técnico de FAO, para generar las Directrices Voluntarias para lograr la sostenibilidad de la pesca en pequeña escala en el contexto de la seguridad alimentaria y la erradicación de la pobreza en territorios indígenas.</w:t>
      </w:r>
    </w:p>
  </w:footnote>
  <w:footnote w:id="71">
    <w:p w14:paraId="05AE8D95"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SINAC- GIZ (2020). </w:t>
      </w:r>
      <w:hyperlink r:id="rId37">
        <w:r>
          <w:rPr>
            <w:rFonts w:ascii="Times New Roman" w:eastAsia="Times New Roman" w:hAnsi="Times New Roman" w:cs="Times New Roman"/>
            <w:color w:val="1155CC"/>
            <w:u w:val="single"/>
          </w:rPr>
          <w:t>Protocolo para la restauración de arrecifes y comunidades coralinas de Costa Rica</w:t>
        </w:r>
      </w:hyperlink>
      <w:r>
        <w:rPr>
          <w:rFonts w:ascii="Times New Roman" w:eastAsia="Times New Roman" w:hAnsi="Times New Roman" w:cs="Times New Roman"/>
        </w:rPr>
        <w:t>.</w:t>
      </w:r>
    </w:p>
  </w:footnote>
  <w:footnote w:id="72">
    <w:p w14:paraId="05AE8D96"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sidRPr="009C4A99">
        <w:rPr>
          <w:rFonts w:ascii="Times New Roman" w:eastAsia="Times New Roman" w:hAnsi="Times New Roman" w:cs="Times New Roman"/>
          <w:sz w:val="20"/>
          <w:szCs w:val="20"/>
          <w:lang w:val="en-US"/>
        </w:rPr>
        <w:t xml:space="preserve"> Fisher, R., Leary, R., Low, S., </w:t>
      </w:r>
      <w:proofErr w:type="spellStart"/>
      <w:r w:rsidRPr="009C4A99">
        <w:rPr>
          <w:rFonts w:ascii="Times New Roman" w:eastAsia="Times New Roman" w:hAnsi="Times New Roman" w:cs="Times New Roman"/>
          <w:sz w:val="20"/>
          <w:szCs w:val="20"/>
          <w:lang w:val="en-US"/>
        </w:rPr>
        <w:t>Mengersen</w:t>
      </w:r>
      <w:proofErr w:type="spellEnd"/>
      <w:r w:rsidRPr="009C4A99">
        <w:rPr>
          <w:rFonts w:ascii="Times New Roman" w:eastAsia="Times New Roman" w:hAnsi="Times New Roman" w:cs="Times New Roman"/>
          <w:sz w:val="20"/>
          <w:szCs w:val="20"/>
          <w:lang w:val="en-US"/>
        </w:rPr>
        <w:t xml:space="preserve">, K., Knowlton, N., Brainard R. y Caley M. (2015). </w:t>
      </w:r>
      <w:hyperlink r:id="rId38">
        <w:r>
          <w:rPr>
            <w:rFonts w:ascii="Times New Roman" w:eastAsia="Times New Roman" w:hAnsi="Times New Roman" w:cs="Times New Roman"/>
            <w:color w:val="1155CC"/>
            <w:sz w:val="20"/>
            <w:szCs w:val="20"/>
            <w:u w:val="single"/>
          </w:rPr>
          <w:t>Riqueza de especies en los arrecifes de coral y búsqueda de estimaciones globales convergentes.</w:t>
        </w:r>
      </w:hyperlink>
    </w:p>
  </w:footnote>
  <w:footnote w:id="73">
    <w:p w14:paraId="05AE8D97" w14:textId="77777777" w:rsidR="00BB534D" w:rsidRDefault="00B842B1">
      <w:pPr>
        <w:spacing w:before="0"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20"/>
          <w:szCs w:val="20"/>
        </w:rPr>
        <w:t xml:space="preserve"> Mora, C., </w:t>
      </w:r>
      <w:proofErr w:type="spellStart"/>
      <w:r>
        <w:rPr>
          <w:rFonts w:ascii="Times New Roman" w:eastAsia="Times New Roman" w:hAnsi="Times New Roman" w:cs="Times New Roman"/>
          <w:sz w:val="20"/>
          <w:szCs w:val="20"/>
        </w:rPr>
        <w:t>Tittensor</w:t>
      </w:r>
      <w:proofErr w:type="spellEnd"/>
      <w:r>
        <w:rPr>
          <w:rFonts w:ascii="Times New Roman" w:eastAsia="Times New Roman" w:hAnsi="Times New Roman" w:cs="Times New Roman"/>
          <w:sz w:val="20"/>
          <w:szCs w:val="20"/>
        </w:rPr>
        <w:t xml:space="preserve">, D., </w:t>
      </w:r>
      <w:proofErr w:type="spellStart"/>
      <w:r>
        <w:rPr>
          <w:rFonts w:ascii="Times New Roman" w:eastAsia="Times New Roman" w:hAnsi="Times New Roman" w:cs="Times New Roman"/>
          <w:sz w:val="20"/>
          <w:szCs w:val="20"/>
        </w:rPr>
        <w:t>Adl</w:t>
      </w:r>
      <w:proofErr w:type="spellEnd"/>
      <w:r>
        <w:rPr>
          <w:rFonts w:ascii="Times New Roman" w:eastAsia="Times New Roman" w:hAnsi="Times New Roman" w:cs="Times New Roman"/>
          <w:sz w:val="20"/>
          <w:szCs w:val="20"/>
        </w:rPr>
        <w:t xml:space="preserve">, S., Simpson, A. y </w:t>
      </w:r>
      <w:proofErr w:type="spellStart"/>
      <w:r>
        <w:rPr>
          <w:rFonts w:ascii="Times New Roman" w:eastAsia="Times New Roman" w:hAnsi="Times New Roman" w:cs="Times New Roman"/>
          <w:sz w:val="20"/>
          <w:szCs w:val="20"/>
        </w:rPr>
        <w:t>Worm</w:t>
      </w:r>
      <w:proofErr w:type="spellEnd"/>
      <w:r>
        <w:rPr>
          <w:rFonts w:ascii="Times New Roman" w:eastAsia="Times New Roman" w:hAnsi="Times New Roman" w:cs="Times New Roman"/>
          <w:sz w:val="20"/>
          <w:szCs w:val="20"/>
        </w:rPr>
        <w:t xml:space="preserve">, B. (2011). </w:t>
      </w:r>
      <w:hyperlink r:id="rId39">
        <w:r>
          <w:rPr>
            <w:rFonts w:ascii="Times New Roman" w:eastAsia="Times New Roman" w:hAnsi="Times New Roman" w:cs="Times New Roman"/>
            <w:color w:val="1155CC"/>
            <w:sz w:val="20"/>
            <w:szCs w:val="20"/>
            <w:u w:val="single"/>
          </w:rPr>
          <w:t>¿Cuántas especies hay en la Tierra y en el océano?</w:t>
        </w:r>
      </w:hyperlink>
    </w:p>
  </w:footnote>
  <w:footnote w:id="74">
    <w:p w14:paraId="05AE8D98"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Programa Estado de la Nación (2019.) </w:t>
      </w:r>
      <w:hyperlink r:id="rId40">
        <w:r>
          <w:rPr>
            <w:rFonts w:ascii="Times New Roman" w:eastAsia="Times New Roman" w:hAnsi="Times New Roman" w:cs="Times New Roman"/>
            <w:color w:val="1155CC"/>
            <w:sz w:val="20"/>
            <w:szCs w:val="20"/>
            <w:u w:val="single"/>
          </w:rPr>
          <w:t>Armonía con la Naturaleza</w:t>
        </w:r>
      </w:hyperlink>
      <w:r>
        <w:rPr>
          <w:rFonts w:ascii="Times New Roman" w:eastAsia="Times New Roman" w:hAnsi="Times New Roman" w:cs="Times New Roman"/>
          <w:sz w:val="20"/>
          <w:szCs w:val="20"/>
        </w:rPr>
        <w:t xml:space="preserve">. </w:t>
      </w:r>
    </w:p>
  </w:footnote>
  <w:footnote w:id="75">
    <w:p w14:paraId="05AE8D99"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Ibid</w:t>
      </w:r>
      <w:proofErr w:type="spellEnd"/>
    </w:p>
  </w:footnote>
  <w:footnote w:id="76">
    <w:p w14:paraId="05AE8D9A"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vertAlign w:val="superscript"/>
        </w:rPr>
        <w:t xml:space="preserve"> </w:t>
      </w:r>
      <w:r>
        <w:rPr>
          <w:rFonts w:ascii="Times New Roman" w:eastAsia="Times New Roman" w:hAnsi="Times New Roman" w:cs="Times New Roman"/>
          <w:sz w:val="20"/>
          <w:szCs w:val="20"/>
        </w:rPr>
        <w:t xml:space="preserve">Programa Estado de la Nación (2018). </w:t>
      </w:r>
      <w:hyperlink r:id="rId41">
        <w:r>
          <w:rPr>
            <w:rFonts w:ascii="Times New Roman" w:eastAsia="Times New Roman" w:hAnsi="Times New Roman" w:cs="Times New Roman"/>
            <w:color w:val="1155CC"/>
            <w:sz w:val="20"/>
            <w:szCs w:val="20"/>
            <w:u w:val="single"/>
          </w:rPr>
          <w:t>Estado de la Nación en Desarrollo Humano Sostenible</w:t>
        </w:r>
      </w:hyperlink>
      <w:r>
        <w:rPr>
          <w:rFonts w:ascii="Times New Roman" w:eastAsia="Times New Roman" w:hAnsi="Times New Roman" w:cs="Times New Roman"/>
          <w:sz w:val="20"/>
          <w:szCs w:val="20"/>
        </w:rPr>
        <w:t>.</w:t>
      </w:r>
    </w:p>
  </w:footnote>
  <w:footnote w:id="77">
    <w:p w14:paraId="05AE8D9B"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 xml:space="preserve">La masa de partículas de tamaño menor a 10 µm para un volumen determinado de </w:t>
      </w:r>
      <w:proofErr w:type="gramStart"/>
      <w:r>
        <w:rPr>
          <w:rFonts w:ascii="Times New Roman" w:eastAsia="Times New Roman" w:hAnsi="Times New Roman" w:cs="Times New Roman"/>
          <w:sz w:val="20"/>
          <w:szCs w:val="20"/>
        </w:rPr>
        <w:t>aire..</w:t>
      </w:r>
      <w:proofErr w:type="gramEnd"/>
    </w:p>
  </w:footnote>
  <w:footnote w:id="78">
    <w:p w14:paraId="05AE8D9C"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MOCUPP (2019). </w:t>
      </w:r>
      <w:hyperlink r:id="rId42">
        <w:r>
          <w:rPr>
            <w:rFonts w:ascii="Times New Roman" w:eastAsia="Times New Roman" w:hAnsi="Times New Roman" w:cs="Times New Roman"/>
            <w:color w:val="1155CC"/>
            <w:sz w:val="20"/>
            <w:szCs w:val="20"/>
            <w:u w:val="single"/>
          </w:rPr>
          <w:t>Monitoreo del cultivo de piña en Costa Rica.</w:t>
        </w:r>
      </w:hyperlink>
    </w:p>
  </w:footnote>
  <w:footnote w:id="79">
    <w:p w14:paraId="05AE8D9D"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Naciones Unidas (2020).</w:t>
      </w:r>
      <w:hyperlink r:id="rId43">
        <w:r>
          <w:rPr>
            <w:rFonts w:ascii="Times New Roman" w:eastAsia="Times New Roman" w:hAnsi="Times New Roman" w:cs="Times New Roman"/>
            <w:color w:val="1155CC"/>
            <w:sz w:val="20"/>
            <w:szCs w:val="20"/>
            <w:u w:val="single"/>
          </w:rPr>
          <w:t xml:space="preserve"> La ONU lanza un plan de acción para fortalecer los derechos humanos ante la erosión del Estado de derecho</w:t>
        </w:r>
      </w:hyperlink>
      <w:r>
        <w:rPr>
          <w:rFonts w:ascii="Times New Roman" w:eastAsia="Times New Roman" w:hAnsi="Times New Roman" w:cs="Times New Roman"/>
          <w:color w:val="333333"/>
          <w:sz w:val="20"/>
          <w:szCs w:val="20"/>
        </w:rPr>
        <w:t>.</w:t>
      </w:r>
    </w:p>
  </w:footnote>
  <w:footnote w:id="80">
    <w:p w14:paraId="05AE8D9E" w14:textId="77777777" w:rsidR="00BB534D" w:rsidRDefault="00B842B1">
      <w:pPr>
        <w:spacing w:before="0" w:line="240" w:lineRule="auto"/>
        <w:jc w:val="both"/>
        <w:rPr>
          <w:rFonts w:ascii="Times New Roman" w:eastAsia="Times New Roman" w:hAnsi="Times New Roman" w:cs="Times New Roman"/>
          <w:sz w:val="16"/>
          <w:szCs w:val="16"/>
        </w:rPr>
      </w:pPr>
      <w:r>
        <w:rPr>
          <w:vertAlign w:val="superscript"/>
        </w:rPr>
        <w:footnoteRef/>
      </w:r>
      <w:r>
        <w:rPr>
          <w:rFonts w:ascii="Times New Roman" w:eastAsia="Times New Roman" w:hAnsi="Times New Roman" w:cs="Times New Roman"/>
          <w:sz w:val="20"/>
          <w:szCs w:val="20"/>
        </w:rPr>
        <w:t xml:space="preserve"> Por ejemplo:</w:t>
      </w:r>
      <w:r>
        <w:rPr>
          <w:rFonts w:ascii="Times New Roman" w:eastAsia="Times New Roman" w:hAnsi="Times New Roman" w:cs="Times New Roman"/>
        </w:rPr>
        <w:t xml:space="preserve"> </w:t>
      </w:r>
      <w:r>
        <w:rPr>
          <w:rFonts w:ascii="Times New Roman" w:eastAsia="Times New Roman" w:hAnsi="Times New Roman" w:cs="Times New Roman"/>
          <w:sz w:val="20"/>
          <w:szCs w:val="20"/>
        </w:rPr>
        <w:t>Conflicto de tierras en el territorio indígena de Salitre (Buenos Aires</w:t>
      </w:r>
      <w:proofErr w:type="gramStart"/>
      <w:r>
        <w:rPr>
          <w:rFonts w:ascii="Times New Roman" w:eastAsia="Times New Roman" w:hAnsi="Times New Roman" w:cs="Times New Roman"/>
          <w:sz w:val="20"/>
          <w:szCs w:val="20"/>
        </w:rPr>
        <w:t>),  conflictos</w:t>
      </w:r>
      <w:proofErr w:type="gramEnd"/>
      <w:r>
        <w:rPr>
          <w:rFonts w:ascii="Times New Roman" w:eastAsia="Times New Roman" w:hAnsi="Times New Roman" w:cs="Times New Roman"/>
          <w:sz w:val="20"/>
          <w:szCs w:val="20"/>
        </w:rPr>
        <w:t xml:space="preserve"> por expansión piñera, Minería en Crucitas,</w:t>
      </w:r>
      <w:r>
        <w:rPr>
          <w:rFonts w:ascii="Times New Roman" w:eastAsia="Times New Roman" w:hAnsi="Times New Roman" w:cs="Times New Roman"/>
          <w:sz w:val="18"/>
          <w:szCs w:val="18"/>
        </w:rPr>
        <w:t xml:space="preserve"> </w:t>
      </w:r>
      <w:r>
        <w:rPr>
          <w:rFonts w:ascii="Times New Roman" w:eastAsia="Times New Roman" w:hAnsi="Times New Roman" w:cs="Times New Roman"/>
          <w:sz w:val="20"/>
          <w:szCs w:val="20"/>
        </w:rPr>
        <w:t xml:space="preserve">Expansión piñera en el Humedal Térraba (Sierpe), Conflicto por territorio de </w:t>
      </w:r>
      <w:proofErr w:type="spellStart"/>
      <w:r>
        <w:rPr>
          <w:rFonts w:ascii="Times New Roman" w:eastAsia="Times New Roman" w:hAnsi="Times New Roman" w:cs="Times New Roman"/>
          <w:sz w:val="20"/>
          <w:szCs w:val="20"/>
        </w:rPr>
        <w:t>Cocles</w:t>
      </w:r>
      <w:proofErr w:type="spellEnd"/>
      <w:r>
        <w:rPr>
          <w:rFonts w:ascii="Times New Roman" w:eastAsia="Times New Roman" w:hAnsi="Times New Roman" w:cs="Times New Roman"/>
          <w:sz w:val="20"/>
          <w:szCs w:val="20"/>
        </w:rPr>
        <w:t>, entre otros.</w:t>
      </w:r>
      <w:r>
        <w:rPr>
          <w:rFonts w:ascii="Times New Roman" w:eastAsia="Times New Roman" w:hAnsi="Times New Roman" w:cs="Times New Roman"/>
        </w:rPr>
        <w:t xml:space="preserve"> </w:t>
      </w:r>
    </w:p>
  </w:footnote>
  <w:footnote w:id="81">
    <w:p w14:paraId="05AE8D9F"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Por ejemplo: Invasión de Isla Calero, La Cuenca del río Sixaola: Costa Rica y Panamá, </w:t>
      </w:r>
      <w:r>
        <w:rPr>
          <w:rFonts w:ascii="Times New Roman" w:eastAsia="Times New Roman" w:hAnsi="Times New Roman" w:cs="Times New Roman"/>
          <w:sz w:val="20"/>
          <w:szCs w:val="20"/>
          <w:highlight w:val="white"/>
        </w:rPr>
        <w:t xml:space="preserve">Parque Nacional de la Amistad. </w:t>
      </w:r>
    </w:p>
  </w:footnote>
  <w:footnote w:id="82">
    <w:p w14:paraId="05AE8DA0"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Programa Estado de la Nación (2019.) </w:t>
      </w:r>
      <w:hyperlink r:id="rId44">
        <w:r>
          <w:rPr>
            <w:rFonts w:ascii="Times New Roman" w:eastAsia="Times New Roman" w:hAnsi="Times New Roman" w:cs="Times New Roman"/>
            <w:color w:val="1155CC"/>
            <w:sz w:val="20"/>
            <w:szCs w:val="20"/>
            <w:u w:val="single"/>
          </w:rPr>
          <w:t>Armonía con la Naturaleza</w:t>
        </w:r>
      </w:hyperlink>
      <w:r>
        <w:rPr>
          <w:rFonts w:ascii="Times New Roman" w:eastAsia="Times New Roman" w:hAnsi="Times New Roman" w:cs="Times New Roman"/>
          <w:sz w:val="20"/>
          <w:szCs w:val="20"/>
        </w:rPr>
        <w:t xml:space="preserve">. </w:t>
      </w:r>
    </w:p>
  </w:footnote>
  <w:footnote w:id="83">
    <w:p w14:paraId="05AE8DA1"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Programa Estado de la Nación (2019). </w:t>
      </w:r>
      <w:hyperlink r:id="rId45">
        <w:r>
          <w:rPr>
            <w:rFonts w:ascii="Times New Roman" w:eastAsia="Times New Roman" w:hAnsi="Times New Roman" w:cs="Times New Roman"/>
            <w:color w:val="1155CC"/>
            <w:sz w:val="20"/>
            <w:szCs w:val="20"/>
            <w:u w:val="single"/>
          </w:rPr>
          <w:t>Armonía con la Naturaleza</w:t>
        </w:r>
      </w:hyperlink>
      <w:r>
        <w:rPr>
          <w:rFonts w:ascii="Times New Roman" w:eastAsia="Times New Roman" w:hAnsi="Times New Roman" w:cs="Times New Roman"/>
          <w:sz w:val="20"/>
          <w:szCs w:val="20"/>
        </w:rPr>
        <w:t xml:space="preserve">. y </w:t>
      </w:r>
      <w:proofErr w:type="spellStart"/>
      <w:r>
        <w:rPr>
          <w:rFonts w:ascii="Times New Roman" w:eastAsia="Times New Roman" w:hAnsi="Times New Roman" w:cs="Times New Roman"/>
          <w:sz w:val="20"/>
          <w:szCs w:val="20"/>
        </w:rPr>
        <w:t>DesInventar</w:t>
      </w:r>
      <w:proofErr w:type="spellEnd"/>
      <w:r>
        <w:rPr>
          <w:rFonts w:ascii="Times New Roman" w:eastAsia="Times New Roman" w:hAnsi="Times New Roman" w:cs="Times New Roman"/>
          <w:sz w:val="20"/>
          <w:szCs w:val="20"/>
        </w:rPr>
        <w:t xml:space="preserve"> (2019). </w:t>
      </w:r>
      <w:hyperlink r:id="rId46">
        <w:r>
          <w:rPr>
            <w:rFonts w:ascii="Times New Roman" w:eastAsia="Times New Roman" w:hAnsi="Times New Roman" w:cs="Times New Roman"/>
            <w:color w:val="1155CC"/>
            <w:sz w:val="20"/>
            <w:szCs w:val="20"/>
            <w:u w:val="single"/>
          </w:rPr>
          <w:t>Marco Sendai para la reducción del riesgo de desastre.</w:t>
        </w:r>
      </w:hyperlink>
    </w:p>
  </w:footnote>
  <w:footnote w:id="84">
    <w:p w14:paraId="05AE8DA2"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Rosenzweig, C., </w:t>
      </w:r>
      <w:proofErr w:type="spellStart"/>
      <w:r>
        <w:rPr>
          <w:rFonts w:ascii="Times New Roman" w:eastAsia="Times New Roman" w:hAnsi="Times New Roman" w:cs="Times New Roman"/>
          <w:sz w:val="20"/>
          <w:szCs w:val="20"/>
        </w:rPr>
        <w:t>Solecki</w:t>
      </w:r>
      <w:proofErr w:type="spellEnd"/>
      <w:r>
        <w:rPr>
          <w:rFonts w:ascii="Times New Roman" w:eastAsia="Times New Roman" w:hAnsi="Times New Roman" w:cs="Times New Roman"/>
          <w:sz w:val="20"/>
          <w:szCs w:val="20"/>
        </w:rPr>
        <w:t>, W., Romero-</w:t>
      </w:r>
      <w:proofErr w:type="spellStart"/>
      <w:r>
        <w:rPr>
          <w:rFonts w:ascii="Times New Roman" w:eastAsia="Times New Roman" w:hAnsi="Times New Roman" w:cs="Times New Roman"/>
          <w:sz w:val="20"/>
          <w:szCs w:val="20"/>
        </w:rPr>
        <w:t>Lankao</w:t>
      </w:r>
      <w:proofErr w:type="spellEnd"/>
      <w:r>
        <w:rPr>
          <w:rFonts w:ascii="Times New Roman" w:eastAsia="Times New Roman" w:hAnsi="Times New Roman" w:cs="Times New Roman"/>
          <w:sz w:val="20"/>
          <w:szCs w:val="20"/>
        </w:rPr>
        <w:t xml:space="preserve">, P., </w:t>
      </w:r>
      <w:proofErr w:type="spellStart"/>
      <w:r>
        <w:rPr>
          <w:rFonts w:ascii="Times New Roman" w:eastAsia="Times New Roman" w:hAnsi="Times New Roman" w:cs="Times New Roman"/>
          <w:sz w:val="20"/>
          <w:szCs w:val="20"/>
        </w:rPr>
        <w:t>Mehrothra</w:t>
      </w:r>
      <w:proofErr w:type="spellEnd"/>
      <w:r>
        <w:rPr>
          <w:rFonts w:ascii="Times New Roman" w:eastAsia="Times New Roman" w:hAnsi="Times New Roman" w:cs="Times New Roman"/>
          <w:sz w:val="20"/>
          <w:szCs w:val="20"/>
        </w:rPr>
        <w:t xml:space="preserve">, S., </w:t>
      </w:r>
      <w:proofErr w:type="spellStart"/>
      <w:r>
        <w:rPr>
          <w:rFonts w:ascii="Times New Roman" w:eastAsia="Times New Roman" w:hAnsi="Times New Roman" w:cs="Times New Roman"/>
          <w:sz w:val="20"/>
          <w:szCs w:val="20"/>
        </w:rPr>
        <w:t>Shakal</w:t>
      </w:r>
      <w:proofErr w:type="spellEnd"/>
      <w:r>
        <w:rPr>
          <w:rFonts w:ascii="Times New Roman" w:eastAsia="Times New Roman" w:hAnsi="Times New Roman" w:cs="Times New Roman"/>
          <w:sz w:val="20"/>
          <w:szCs w:val="20"/>
        </w:rPr>
        <w:t xml:space="preserve">, S., Bowman, T., et al. (2015). </w:t>
      </w:r>
      <w:hyperlink r:id="rId47">
        <w:r>
          <w:rPr>
            <w:rFonts w:ascii="Times New Roman" w:eastAsia="Times New Roman" w:hAnsi="Times New Roman" w:cs="Times New Roman"/>
            <w:color w:val="1155CC"/>
            <w:sz w:val="20"/>
            <w:szCs w:val="20"/>
            <w:u w:val="single"/>
          </w:rPr>
          <w:t>Resumen para líderes de la ciudad. Cambio climático y ciudades. Segundo Informe de Evaluación de la Red de Investigación sobre Cambio Climático Urbano. Red de Investigación del Cambio Climático Urbano</w:t>
        </w:r>
      </w:hyperlink>
      <w:r>
        <w:rPr>
          <w:rFonts w:ascii="Times New Roman" w:eastAsia="Times New Roman" w:hAnsi="Times New Roman" w:cs="Times New Roman"/>
          <w:sz w:val="20"/>
          <w:szCs w:val="20"/>
        </w:rPr>
        <w:t>.</w:t>
      </w:r>
    </w:p>
  </w:footnote>
  <w:footnote w:id="85">
    <w:p w14:paraId="05AE8DA3"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Contraloría General de la República (2017). </w:t>
      </w:r>
      <w:hyperlink r:id="rId48">
        <w:r>
          <w:rPr>
            <w:rFonts w:ascii="Times New Roman" w:eastAsia="Times New Roman" w:hAnsi="Times New Roman" w:cs="Times New Roman"/>
            <w:color w:val="1155CC"/>
            <w:sz w:val="20"/>
            <w:szCs w:val="20"/>
            <w:u w:val="single"/>
          </w:rPr>
          <w:t>Desafíos para mejorar las condiciones presentes y reducir los impactos futuros.</w:t>
        </w:r>
      </w:hyperlink>
    </w:p>
  </w:footnote>
  <w:footnote w:id="86">
    <w:p w14:paraId="05AE8DA4"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4"/>
          <w:szCs w:val="24"/>
        </w:rPr>
        <w:t xml:space="preserve"> </w:t>
      </w:r>
      <w:r>
        <w:rPr>
          <w:rFonts w:ascii="Times New Roman" w:eastAsia="Times New Roman" w:hAnsi="Times New Roman" w:cs="Times New Roman"/>
          <w:i/>
          <w:sz w:val="20"/>
          <w:szCs w:val="20"/>
        </w:rPr>
        <w:t>Las vulnerabilidades estructurales son perpetuadas por la exclusión, el bajo desarrollo humano y la posición de las personas en la sociedad, que reducen su capacidad para hacer frente a los riesgos y situaciones negativas</w:t>
      </w:r>
      <w:r>
        <w:rPr>
          <w:rFonts w:ascii="Times New Roman" w:eastAsia="Times New Roman" w:hAnsi="Times New Roman" w:cs="Times New Roman"/>
          <w:sz w:val="20"/>
          <w:szCs w:val="20"/>
        </w:rPr>
        <w:t>”. Informe sobre Desarrollo Humano 2014, Programa de las Naciones Unidas para el Desarrollo, página 78. CGR</w:t>
      </w:r>
    </w:p>
  </w:footnote>
  <w:footnote w:id="87">
    <w:p w14:paraId="05AE8DA5"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Presidencia de la República de Costa Rica (2018). </w:t>
      </w:r>
      <w:hyperlink r:id="rId49">
        <w:r>
          <w:rPr>
            <w:rFonts w:ascii="Times New Roman" w:eastAsia="Times New Roman" w:hAnsi="Times New Roman" w:cs="Times New Roman"/>
            <w:color w:val="1155CC"/>
            <w:sz w:val="20"/>
            <w:szCs w:val="20"/>
            <w:u w:val="single"/>
          </w:rPr>
          <w:t>Comunicado de prensa del 12 de julio de 2018</w:t>
        </w:r>
      </w:hyperlink>
      <w:r>
        <w:rPr>
          <w:rFonts w:ascii="Times New Roman" w:eastAsia="Times New Roman" w:hAnsi="Times New Roman" w:cs="Times New Roman"/>
          <w:sz w:val="20"/>
          <w:szCs w:val="20"/>
        </w:rPr>
        <w:t xml:space="preserve">.  </w:t>
      </w:r>
    </w:p>
  </w:footnote>
  <w:footnote w:id="88">
    <w:p w14:paraId="05AE8DA6"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MINAE y PNUD (2018).  </w:t>
      </w:r>
      <w:hyperlink r:id="rId50">
        <w:r>
          <w:rPr>
            <w:rFonts w:ascii="Times New Roman" w:eastAsia="Times New Roman" w:hAnsi="Times New Roman" w:cs="Times New Roman"/>
            <w:color w:val="1155CC"/>
            <w:sz w:val="20"/>
            <w:szCs w:val="20"/>
            <w:u w:val="single"/>
          </w:rPr>
          <w:t>Política Nacional de adaptación al cambio climático</w:t>
        </w:r>
      </w:hyperlink>
      <w:r>
        <w:rPr>
          <w:rFonts w:ascii="Times New Roman" w:eastAsia="Times New Roman" w:hAnsi="Times New Roman" w:cs="Times New Roman"/>
          <w:sz w:val="20"/>
          <w:szCs w:val="20"/>
        </w:rPr>
        <w:t>.</w:t>
      </w:r>
    </w:p>
  </w:footnote>
  <w:footnote w:id="89">
    <w:p w14:paraId="05AE8DA7"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Algunos ejemplos son el Segundo Informe Bienal ante la UNFCCC; la Contribución Nacionalmente Determinada (NDC); el Plan de Acción de la Estrategia Nacional de Cambio Climático (PAENCC); el Programa País de Carbono Neutralidad (PPCN); el VII Plan Nacional de Energía (2015-2030); el Plan Nacional de Expansión de la Generación Eléctrica (2018-2034); la Estrategia REDD+; los </w:t>
      </w:r>
      <w:proofErr w:type="spellStart"/>
      <w:r>
        <w:rPr>
          <w:rFonts w:ascii="Times New Roman" w:eastAsia="Times New Roman" w:hAnsi="Times New Roman" w:cs="Times New Roman"/>
          <w:sz w:val="20"/>
          <w:szCs w:val="20"/>
        </w:rPr>
        <w:t>NAMAs</w:t>
      </w:r>
      <w:proofErr w:type="spellEnd"/>
      <w:r>
        <w:rPr>
          <w:rFonts w:ascii="Times New Roman" w:eastAsia="Times New Roman" w:hAnsi="Times New Roman" w:cs="Times New Roman"/>
          <w:sz w:val="20"/>
          <w:szCs w:val="20"/>
        </w:rPr>
        <w:t xml:space="preserve"> de Café y Ganadería, entre otros (Ministerio de Ambiente y Energía, 2019); El Plan de Descarbonización al 2050.</w:t>
      </w:r>
    </w:p>
  </w:footnote>
  <w:footnote w:id="90">
    <w:p w14:paraId="05AE8DA8"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Viceministerio de Juventud (2020). </w:t>
      </w:r>
      <w:hyperlink r:id="rId51">
        <w:r>
          <w:rPr>
            <w:rFonts w:ascii="Times New Roman" w:eastAsia="Times New Roman" w:hAnsi="Times New Roman" w:cs="Times New Roman"/>
            <w:color w:val="1155CC"/>
            <w:sz w:val="20"/>
            <w:szCs w:val="20"/>
            <w:u w:val="single"/>
          </w:rPr>
          <w:t>Política Pública de la Persona Joven 2020-2024.</w:t>
        </w:r>
      </w:hyperlink>
    </w:p>
    <w:p w14:paraId="05AE8DA9" w14:textId="77777777" w:rsidR="00BB534D" w:rsidRDefault="00B842B1">
      <w:pPr>
        <w:spacing w:before="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En el periodo 2017-2020 se elabora la Política Institucional de Igualdad de Género para el Instituto de Acueductos y Alcantarillados 2018-2030; la Política Nacional de Igualdad de Género para el Desarrollo Inclusivo en el Sector Agropecuario, Pesquero y Rural Costarricense 2020-2030 del Ministerio de Agricultura y Ganadería, un análisis de brechas institucionales de género en el Sistema Nacional de Áreas de Conservación (SINAC) y se integra la perspectiva y análisis de género en la elaboración del VI Informe País para la Convención de Diversidad Biológica, así como la Directriz Ejecutiva </w:t>
      </w:r>
      <w:proofErr w:type="spellStart"/>
      <w:r>
        <w:rPr>
          <w:rFonts w:ascii="Times New Roman" w:eastAsia="Times New Roman" w:hAnsi="Times New Roman" w:cs="Times New Roman"/>
          <w:sz w:val="20"/>
          <w:szCs w:val="20"/>
        </w:rPr>
        <w:t>N°</w:t>
      </w:r>
      <w:proofErr w:type="spellEnd"/>
      <w:r>
        <w:rPr>
          <w:rFonts w:ascii="Times New Roman" w:eastAsia="Times New Roman" w:hAnsi="Times New Roman" w:cs="Times New Roman"/>
          <w:sz w:val="20"/>
          <w:szCs w:val="20"/>
        </w:rPr>
        <w:t xml:space="preserve"> 005-2019 para reducir las brechas de género en el sector biodiversidad —agua, áreas protegidas y bosques— y asegurar la igualdad de género y la contribución de las mujeres del sector.</w:t>
      </w:r>
    </w:p>
    <w:p w14:paraId="05AE8DAA" w14:textId="77777777" w:rsidR="00BB534D" w:rsidRDefault="00BB534D">
      <w:pPr>
        <w:spacing w:before="0" w:line="240" w:lineRule="auto"/>
        <w:rPr>
          <w:rFonts w:ascii="Times New Roman" w:eastAsia="Times New Roman" w:hAnsi="Times New Roman" w:cs="Times New Roman"/>
          <w:sz w:val="20"/>
          <w:szCs w:val="20"/>
          <w:highlight w:val="cyan"/>
        </w:rPr>
      </w:pPr>
    </w:p>
  </w:footnote>
  <w:footnote w:id="91">
    <w:p w14:paraId="05AE8DAB"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MINAE (2019). </w:t>
      </w:r>
      <w:hyperlink r:id="rId52">
        <w:r>
          <w:rPr>
            <w:rFonts w:ascii="Times New Roman" w:eastAsia="Times New Roman" w:hAnsi="Times New Roman" w:cs="Times New Roman"/>
            <w:color w:val="1155CC"/>
            <w:sz w:val="20"/>
            <w:szCs w:val="20"/>
            <w:u w:val="single"/>
          </w:rPr>
          <w:t>II Informe Bienal de Actualización ante la Convención Marco de Naciones Unidas sobre el Cambio Climático</w:t>
        </w:r>
      </w:hyperlink>
      <w:r>
        <w:rPr>
          <w:rFonts w:ascii="Times New Roman" w:eastAsia="Times New Roman" w:hAnsi="Times New Roman" w:cs="Times New Roman"/>
          <w:sz w:val="20"/>
          <w:szCs w:val="20"/>
        </w:rPr>
        <w:t>.</w:t>
      </w:r>
    </w:p>
  </w:footnote>
  <w:footnote w:id="92">
    <w:p w14:paraId="05AE8DAC"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Valle, M., </w:t>
      </w:r>
      <w:proofErr w:type="spellStart"/>
      <w:r>
        <w:rPr>
          <w:rFonts w:ascii="Times New Roman" w:eastAsia="Times New Roman" w:hAnsi="Times New Roman" w:cs="Times New Roman"/>
          <w:sz w:val="20"/>
          <w:szCs w:val="20"/>
        </w:rPr>
        <w:t>Adlerstein</w:t>
      </w:r>
      <w:proofErr w:type="spellEnd"/>
      <w:r>
        <w:rPr>
          <w:rFonts w:ascii="Times New Roman" w:eastAsia="Times New Roman" w:hAnsi="Times New Roman" w:cs="Times New Roman"/>
          <w:sz w:val="20"/>
          <w:szCs w:val="20"/>
        </w:rPr>
        <w:t xml:space="preserve">, S. y García, C. (2018). </w:t>
      </w:r>
      <w:hyperlink r:id="rId53">
        <w:proofErr w:type="spellStart"/>
        <w:r>
          <w:rPr>
            <w:rFonts w:ascii="Times New Roman" w:eastAsia="Times New Roman" w:hAnsi="Times New Roman" w:cs="Times New Roman"/>
            <w:color w:val="1155CC"/>
            <w:sz w:val="20"/>
            <w:szCs w:val="20"/>
            <w:u w:val="single"/>
          </w:rPr>
          <w:t>Pre-evaluación</w:t>
        </w:r>
        <w:proofErr w:type="spellEnd"/>
        <w:r>
          <w:rPr>
            <w:rFonts w:ascii="Times New Roman" w:eastAsia="Times New Roman" w:hAnsi="Times New Roman" w:cs="Times New Roman"/>
            <w:color w:val="1155CC"/>
            <w:sz w:val="20"/>
            <w:szCs w:val="20"/>
            <w:u w:val="single"/>
          </w:rPr>
          <w:t xml:space="preserve"> de la Pesquería </w:t>
        </w:r>
        <w:proofErr w:type="spellStart"/>
        <w:r>
          <w:rPr>
            <w:rFonts w:ascii="Times New Roman" w:eastAsia="Times New Roman" w:hAnsi="Times New Roman" w:cs="Times New Roman"/>
            <w:color w:val="1155CC"/>
            <w:sz w:val="20"/>
            <w:szCs w:val="20"/>
            <w:u w:val="single"/>
          </w:rPr>
          <w:t>Multiespecífica</w:t>
        </w:r>
        <w:proofErr w:type="spellEnd"/>
        <w:r>
          <w:rPr>
            <w:rFonts w:ascii="Times New Roman" w:eastAsia="Times New Roman" w:hAnsi="Times New Roman" w:cs="Times New Roman"/>
            <w:color w:val="1155CC"/>
            <w:sz w:val="20"/>
            <w:szCs w:val="20"/>
            <w:u w:val="single"/>
          </w:rPr>
          <w:t xml:space="preserve"> de Palangre en Costa Rica, con Atún Aleta Amarilla, Pez Espada y Dorado como Especies Objetivo.</w:t>
        </w:r>
      </w:hyperlink>
    </w:p>
  </w:footnote>
  <w:footnote w:id="93">
    <w:p w14:paraId="05AE8DAD"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MINAE, SINAC, CONAGEBIO, FONAFIFO (2018). </w:t>
      </w:r>
      <w:hyperlink r:id="rId54">
        <w:r>
          <w:rPr>
            <w:rFonts w:ascii="Times New Roman" w:eastAsia="Times New Roman" w:hAnsi="Times New Roman" w:cs="Times New Roman"/>
            <w:color w:val="1155CC"/>
            <w:sz w:val="20"/>
            <w:szCs w:val="20"/>
            <w:u w:val="single"/>
          </w:rPr>
          <w:t>Resumen del Sexto Informe Nacional de Costa Rica ante el Convenio de Diversidad Biológica. Programa de Naciones Unidas para el Desarrollo, apoyo técnico para que las Partes Elegibles desarrollen el Sexto Informe Nacional para el CDB (6NR-LAC) Costa Rica</w:t>
        </w:r>
      </w:hyperlink>
      <w:r>
        <w:rPr>
          <w:rFonts w:ascii="Times New Roman" w:eastAsia="Times New Roman" w:hAnsi="Times New Roman" w:cs="Times New Roman"/>
          <w:sz w:val="20"/>
          <w:szCs w:val="20"/>
        </w:rPr>
        <w:t>.</w:t>
      </w:r>
    </w:p>
  </w:footnote>
  <w:footnote w:id="94">
    <w:p w14:paraId="05AE8DAE" w14:textId="77777777" w:rsidR="00BB534D" w:rsidRDefault="00B842B1">
      <w:pPr>
        <w:spacing w:before="0" w:line="240" w:lineRule="auto"/>
        <w:jc w:val="both"/>
        <w:rPr>
          <w:rFonts w:ascii="Times New Roman" w:eastAsia="Times New Roman" w:hAnsi="Times New Roman" w:cs="Times New Roman"/>
          <w:color w:val="303134"/>
        </w:rPr>
      </w:pPr>
      <w:r>
        <w:rPr>
          <w:vertAlign w:val="superscript"/>
        </w:rPr>
        <w:footnoteRef/>
      </w:r>
      <w:r>
        <w:rPr>
          <w:rFonts w:ascii="Times New Roman" w:eastAsia="Times New Roman" w:hAnsi="Times New Roman" w:cs="Times New Roman"/>
          <w:color w:val="595959"/>
          <w:sz w:val="20"/>
          <w:szCs w:val="20"/>
        </w:rPr>
        <w:t xml:space="preserve"> </w:t>
      </w:r>
      <w:r>
        <w:rPr>
          <w:rFonts w:ascii="Times New Roman" w:eastAsia="Times New Roman" w:hAnsi="Times New Roman" w:cs="Times New Roman"/>
          <w:color w:val="303134"/>
          <w:sz w:val="20"/>
          <w:szCs w:val="20"/>
        </w:rPr>
        <w:t xml:space="preserve">Parque La Libertad, Ruta al Clima, Viceministerio de Juventud, UNICEF. Modelo Participativo para el Empoderamiento Climático y la Promoción de la Empleabilidad Joven, Desde un enfoque de </w:t>
      </w:r>
      <w:proofErr w:type="gramStart"/>
      <w:r>
        <w:rPr>
          <w:rFonts w:ascii="Times New Roman" w:eastAsia="Times New Roman" w:hAnsi="Times New Roman" w:cs="Times New Roman"/>
          <w:color w:val="303134"/>
          <w:sz w:val="20"/>
          <w:szCs w:val="20"/>
        </w:rPr>
        <w:t>derechos,</w:t>
      </w:r>
      <w:r>
        <w:rPr>
          <w:rFonts w:ascii="Times New Roman" w:eastAsia="Times New Roman" w:hAnsi="Times New Roman" w:cs="Times New Roman"/>
          <w:smallCaps/>
          <w:color w:val="303134"/>
          <w:sz w:val="20"/>
          <w:szCs w:val="20"/>
        </w:rPr>
        <w:t>,</w:t>
      </w:r>
      <w:proofErr w:type="gramEnd"/>
      <w:r>
        <w:rPr>
          <w:rFonts w:ascii="Times New Roman" w:eastAsia="Times New Roman" w:hAnsi="Times New Roman" w:cs="Times New Roman"/>
          <w:smallCaps/>
          <w:color w:val="303134"/>
          <w:sz w:val="20"/>
          <w:szCs w:val="20"/>
        </w:rPr>
        <w:t xml:space="preserve"> 2020.</w:t>
      </w:r>
    </w:p>
    <w:p w14:paraId="05AE8DAF" w14:textId="77777777" w:rsidR="00BB534D" w:rsidRDefault="00BB534D">
      <w:pPr>
        <w:spacing w:before="0" w:line="240" w:lineRule="auto"/>
        <w:rPr>
          <w:rFonts w:ascii="Times New Roman" w:eastAsia="Times New Roman" w:hAnsi="Times New Roman" w:cs="Times New Roman"/>
          <w:sz w:val="20"/>
          <w:szCs w:val="20"/>
        </w:rPr>
      </w:pPr>
    </w:p>
  </w:footnote>
  <w:footnote w:id="95">
    <w:p w14:paraId="05AE8DB0"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Según el Barómetro de las Américas muestra el promedio más alto en América Latina y el Caribe con 59.2% (Vanderbilt </w:t>
      </w:r>
      <w:proofErr w:type="spellStart"/>
      <w:r>
        <w:rPr>
          <w:rFonts w:ascii="Times New Roman" w:eastAsia="Times New Roman" w:hAnsi="Times New Roman" w:cs="Times New Roman"/>
          <w:sz w:val="20"/>
          <w:szCs w:val="20"/>
        </w:rPr>
        <w:t>University</w:t>
      </w:r>
      <w:proofErr w:type="spellEnd"/>
      <w:r>
        <w:rPr>
          <w:rFonts w:ascii="Times New Roman" w:eastAsia="Times New Roman" w:hAnsi="Times New Roman" w:cs="Times New Roman"/>
          <w:sz w:val="20"/>
          <w:szCs w:val="20"/>
        </w:rPr>
        <w:t xml:space="preserve">, 2019).  Lo confirma la encuesta de opinión del CIEP-ECP, que lo ubica en 63%, que el valor regular registrado en los últimos 20 años.  </w:t>
      </w:r>
    </w:p>
  </w:footnote>
  <w:footnote w:id="96">
    <w:p w14:paraId="05AE8DB1"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vertAlign w:val="superscript"/>
        </w:rPr>
        <w:t xml:space="preserve"> </w:t>
      </w:r>
      <w:r>
        <w:rPr>
          <w:rFonts w:ascii="Times New Roman" w:eastAsia="Times New Roman" w:hAnsi="Times New Roman" w:cs="Times New Roman"/>
          <w:sz w:val="20"/>
          <w:szCs w:val="20"/>
        </w:rPr>
        <w:t>La Alta Comisionada de las Naciones Unidas para los Derechos Humanos, en su visita a Costa Rica en 2019, instó al Estado a continuar creando espacios de diálogo y participación social.</w:t>
      </w:r>
    </w:p>
  </w:footnote>
  <w:footnote w:id="97">
    <w:p w14:paraId="05AE8DB2" w14:textId="77777777" w:rsidR="00BB534D" w:rsidRDefault="00B842B1">
      <w:pPr>
        <w:spacing w:before="0" w:line="240" w:lineRule="auto"/>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20"/>
          <w:szCs w:val="20"/>
        </w:rPr>
        <w:t xml:space="preserve"> Programa Estado de la Nación (2020). </w:t>
      </w:r>
      <w:hyperlink r:id="rId55">
        <w:r>
          <w:rPr>
            <w:rFonts w:ascii="Times New Roman" w:eastAsia="Times New Roman" w:hAnsi="Times New Roman" w:cs="Times New Roman"/>
            <w:color w:val="1155CC"/>
            <w:sz w:val="20"/>
            <w:szCs w:val="20"/>
            <w:u w:val="single"/>
          </w:rPr>
          <w:t xml:space="preserve"> Informe Estado de la Nación.</w:t>
        </w:r>
      </w:hyperlink>
    </w:p>
  </w:footnote>
  <w:footnote w:id="98">
    <w:p w14:paraId="05AE8DB3"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 pesar de que suele afirmarse de manera reiterada la invariabilidad del porcentaje de población en situación de pobreza, lo cierto es que en los últimos 25 años se producido disminuciones importantes, tal y como lo señala el estudio de Arauz y Jiménez, 2018.</w:t>
      </w:r>
    </w:p>
  </w:footnote>
  <w:footnote w:id="99">
    <w:p w14:paraId="05AE8DB4"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Calibri" w:eastAsia="Calibri" w:hAnsi="Calibri" w:cs="Calibri"/>
          <w:sz w:val="20"/>
          <w:szCs w:val="20"/>
        </w:rPr>
        <w:t xml:space="preserve"> </w:t>
      </w:r>
      <w:r>
        <w:rPr>
          <w:rFonts w:ascii="Times New Roman" w:eastAsia="Times New Roman" w:hAnsi="Times New Roman" w:cs="Times New Roman"/>
          <w:sz w:val="20"/>
          <w:szCs w:val="20"/>
        </w:rPr>
        <w:t xml:space="preserve">Según </w:t>
      </w:r>
      <w:hyperlink r:id="rId56">
        <w:r>
          <w:rPr>
            <w:rFonts w:ascii="Times New Roman" w:eastAsia="Times New Roman" w:hAnsi="Times New Roman" w:cs="Times New Roman"/>
            <w:color w:val="1155CC"/>
            <w:sz w:val="20"/>
            <w:szCs w:val="20"/>
            <w:u w:val="single"/>
          </w:rPr>
          <w:t>Decreto Ejecutivo 42763-MP</w:t>
        </w:r>
      </w:hyperlink>
      <w:r>
        <w:rPr>
          <w:rFonts w:ascii="Times New Roman" w:eastAsia="Times New Roman" w:hAnsi="Times New Roman" w:cs="Times New Roman"/>
          <w:sz w:val="20"/>
          <w:szCs w:val="20"/>
        </w:rPr>
        <w:t xml:space="preserve"> de 16 de diciembre de 2020.</w:t>
      </w:r>
    </w:p>
  </w:footnote>
  <w:footnote w:id="100">
    <w:p w14:paraId="05AE8DB5" w14:textId="77777777" w:rsidR="00BB534D" w:rsidRDefault="00B842B1">
      <w:pPr>
        <w:spacing w:before="0" w:line="240" w:lineRule="auto"/>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Ver recomendaciones del EPU relacionadas con el acceso a servicios de salud sexual y reproductivo, y servicios de aborto 111.97 - https://documents-dds-ny.un.org/doc/UNDOC/GEN/G19/206/07/PDF/G1920607.pdf?OpenElement</w:t>
      </w:r>
    </w:p>
  </w:footnote>
  <w:footnote w:id="101">
    <w:p w14:paraId="05AE8DB6"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ONU (2019). </w:t>
      </w:r>
      <w:hyperlink r:id="rId57">
        <w:r>
          <w:rPr>
            <w:rFonts w:ascii="Times New Roman" w:eastAsia="Times New Roman" w:hAnsi="Times New Roman" w:cs="Times New Roman"/>
            <w:color w:val="1155CC"/>
            <w:sz w:val="20"/>
            <w:szCs w:val="20"/>
            <w:u w:val="single"/>
          </w:rPr>
          <w:t xml:space="preserve"> Los Mecanismos de naciones Unidas expresaron preocupación por el asesinato </w:t>
        </w:r>
        <w:proofErr w:type="spellStart"/>
        <w:r>
          <w:rPr>
            <w:rFonts w:ascii="Times New Roman" w:eastAsia="Times New Roman" w:hAnsi="Times New Roman" w:cs="Times New Roman"/>
            <w:color w:val="1155CC"/>
            <w:sz w:val="20"/>
            <w:szCs w:val="20"/>
            <w:u w:val="single"/>
          </w:rPr>
          <w:t>e</w:t>
        </w:r>
        <w:proofErr w:type="spellEnd"/>
        <w:r>
          <w:rPr>
            <w:rFonts w:ascii="Times New Roman" w:eastAsia="Times New Roman" w:hAnsi="Times New Roman" w:cs="Times New Roman"/>
            <w:color w:val="1155CC"/>
            <w:sz w:val="20"/>
            <w:szCs w:val="20"/>
            <w:u w:val="single"/>
          </w:rPr>
          <w:t xml:space="preserve"> los líderes Sergio Rojas (2019) y Jerry Rivera</w:t>
        </w:r>
      </w:hyperlink>
      <w:r>
        <w:rPr>
          <w:rFonts w:ascii="Times New Roman" w:eastAsia="Times New Roman" w:hAnsi="Times New Roman" w:cs="Times New Roman"/>
          <w:sz w:val="20"/>
          <w:szCs w:val="20"/>
        </w:rPr>
        <w:t xml:space="preserve"> </w:t>
      </w:r>
    </w:p>
  </w:footnote>
  <w:footnote w:id="102">
    <w:p w14:paraId="05AE8DB7"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La Encuesta del Centro de Investigación y Estudios Políticos (CIEP) publicada el 24 de noviembre de 2021 muestra el nivel más bajo de respaldo popular a la Administración Alvarado Quesada con 12% de opiniones favorables.</w:t>
      </w:r>
    </w:p>
  </w:footnote>
  <w:footnote w:id="103">
    <w:p w14:paraId="05AE8DB8"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INEC (2021). </w:t>
      </w:r>
      <w:hyperlink r:id="rId58">
        <w:r>
          <w:rPr>
            <w:rFonts w:ascii="Times New Roman" w:eastAsia="Times New Roman" w:hAnsi="Times New Roman" w:cs="Times New Roman"/>
            <w:color w:val="1155CC"/>
            <w:sz w:val="20"/>
            <w:szCs w:val="20"/>
            <w:u w:val="single"/>
          </w:rPr>
          <w:t>Encuesta Nacional de Hogares.</w:t>
        </w:r>
      </w:hyperlink>
    </w:p>
  </w:footnote>
  <w:footnote w:id="104">
    <w:p w14:paraId="05AE8DB9" w14:textId="77777777" w:rsidR="00BB534D" w:rsidRDefault="00B842B1">
      <w:pPr>
        <w:spacing w:before="0" w:line="240" w:lineRule="auto"/>
        <w:jc w:val="both"/>
        <w:rPr>
          <w:rFonts w:ascii="Times New Roman" w:eastAsia="Times New Roman" w:hAnsi="Times New Roman" w:cs="Times New Roman"/>
          <w:sz w:val="18"/>
          <w:szCs w:val="18"/>
        </w:rPr>
      </w:pPr>
      <w:r>
        <w:rPr>
          <w:vertAlign w:val="superscript"/>
        </w:rPr>
        <w:footnoteRef/>
      </w:r>
      <w:r>
        <w:rPr>
          <w:rFonts w:ascii="Times New Roman" w:eastAsia="Times New Roman" w:hAnsi="Times New Roman" w:cs="Times New Roman"/>
          <w:sz w:val="18"/>
          <w:szCs w:val="18"/>
        </w:rPr>
        <w:t xml:space="preserve"> Academia de Centroamérica, 2016.</w:t>
      </w:r>
    </w:p>
  </w:footnote>
  <w:footnote w:id="105">
    <w:p w14:paraId="05AE8DBA"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OECD, 2016</w:t>
      </w:r>
    </w:p>
  </w:footnote>
  <w:footnote w:id="106">
    <w:p w14:paraId="05AE8DBB"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Ver recomendación del EPU (2019): 111.10 Adoptar medidas destinadas a garantizar una mayor eficiencia y rendición de cuentas de los servicios públicos (Azerbaiyán);</w:t>
      </w:r>
    </w:p>
  </w:footnote>
  <w:footnote w:id="107">
    <w:p w14:paraId="05AE8DBC"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Modificando la Ley 7839 del 1998</w:t>
      </w:r>
    </w:p>
  </w:footnote>
  <w:footnote w:id="108">
    <w:p w14:paraId="05AE8DBD"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Sobre mejoramientos de datos, ver CEDAW (2017) Observaciones finales sobre el séptimo informe periódico de Costa Rica.</w:t>
      </w:r>
    </w:p>
  </w:footnote>
  <w:footnote w:id="109">
    <w:p w14:paraId="05AE8DBE"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Ver </w:t>
      </w:r>
      <w:hyperlink r:id="rId59">
        <w:r>
          <w:rPr>
            <w:rFonts w:ascii="Times New Roman" w:eastAsia="Times New Roman" w:hAnsi="Times New Roman" w:cs="Times New Roman"/>
            <w:color w:val="1155CC"/>
            <w:sz w:val="20"/>
            <w:szCs w:val="20"/>
            <w:u w:val="single"/>
          </w:rPr>
          <w:t>Sistema oficial de Naciones Unidas de Documentos.</w:t>
        </w:r>
      </w:hyperlink>
    </w:p>
  </w:footnote>
  <w:footnote w:id="110">
    <w:p w14:paraId="05AE8DBF"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Arial" w:eastAsia="Arial" w:hAnsi="Arial" w:cs="Arial"/>
          <w:i/>
          <w:sz w:val="20"/>
          <w:szCs w:val="20"/>
        </w:rPr>
        <w:t>Véase</w:t>
      </w:r>
      <w:r>
        <w:rPr>
          <w:rFonts w:ascii="Arial" w:eastAsia="Arial" w:hAnsi="Arial" w:cs="Arial"/>
          <w:sz w:val="20"/>
          <w:szCs w:val="20"/>
        </w:rPr>
        <w:t xml:space="preserve"> “Derechos humanos, jurisdicción indígena y acceso a la justicia: Hacia el diálogo y respeto  intercultural”, presentación de la Relatora Especial en el encuentro internacional sobre técnicas de  investigación en asuntos indígenas (Colombia, 24 de febrero de 2016), disponible en: </w:t>
      </w:r>
      <w:hyperlink r:id="rId60">
        <w:r>
          <w:rPr>
            <w:rFonts w:ascii="Arial" w:eastAsia="Arial" w:hAnsi="Arial" w:cs="Arial"/>
            <w:sz w:val="20"/>
            <w:szCs w:val="20"/>
          </w:rPr>
          <w:t xml:space="preserve"> </w:t>
        </w:r>
      </w:hyperlink>
      <w:hyperlink r:id="rId61">
        <w:r>
          <w:rPr>
            <w:rFonts w:ascii="Arial" w:eastAsia="Arial" w:hAnsi="Arial" w:cs="Arial"/>
            <w:color w:val="0000FF"/>
            <w:sz w:val="20"/>
            <w:szCs w:val="20"/>
            <w:u w:val="single"/>
          </w:rPr>
          <w:t>http://unsr.vtaulicorpuz.org/site/index.php/es/declaraciones-comunicados/116-indigenous-jurisdiction</w:t>
        </w:r>
      </w:hyperlink>
    </w:p>
  </w:footnote>
  <w:footnote w:id="111">
    <w:p w14:paraId="05AE8DC0"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Arial" w:eastAsia="Arial" w:hAnsi="Arial" w:cs="Arial"/>
          <w:i/>
          <w:sz w:val="20"/>
          <w:szCs w:val="20"/>
        </w:rPr>
        <w:t>Véase</w:t>
      </w:r>
      <w:r>
        <w:rPr>
          <w:rFonts w:ascii="Arial" w:eastAsia="Arial" w:hAnsi="Arial" w:cs="Arial"/>
          <w:sz w:val="20"/>
          <w:szCs w:val="20"/>
        </w:rPr>
        <w:t xml:space="preserve"> “Informe de la Relatora Especial sobre los derechos de los pueblos indígenas”. Naciones Unidas. A/HRC/42/37, 2019. Párr. 9.</w:t>
      </w:r>
    </w:p>
  </w:footnote>
  <w:footnote w:id="112">
    <w:p w14:paraId="05AE8DC1"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Peña, M. (2020). Desafíos de Costa Rica de cara al Acuerdo de Escazú. San José, Costa Rica).</w:t>
      </w:r>
    </w:p>
  </w:footnote>
  <w:footnote w:id="113">
    <w:p w14:paraId="05AE8DC2"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Naciones Unidas Costa Rica (2020). ONU solicita continuar investigación y esclarecer homicidio del líder indígena Sergio Rojas</w:t>
      </w:r>
    </w:p>
  </w:footnote>
  <w:footnote w:id="114">
    <w:p w14:paraId="05AE8DC3"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Comité para la Eliminación de la Discriminación contra la Mujer (2017). Observaciones finales sobre el séptimo informe periódico de Costa Rica. 24 de julio de 2017.</w:t>
      </w:r>
    </w:p>
  </w:footnote>
  <w:footnote w:id="115">
    <w:p w14:paraId="05AE8DC4"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Ver en MIDEPLAN (2017) </w:t>
      </w:r>
      <w:hyperlink r:id="rId62">
        <w:r>
          <w:rPr>
            <w:rFonts w:ascii="Times New Roman" w:eastAsia="Times New Roman" w:hAnsi="Times New Roman" w:cs="Times New Roman"/>
            <w:color w:val="0563C1"/>
            <w:sz w:val="20"/>
            <w:szCs w:val="20"/>
            <w:u w:val="single"/>
          </w:rPr>
          <w:t>La Gobernanza de los Objetivos de Desarrollo Sostenible.</w:t>
        </w:r>
      </w:hyperlink>
      <w:r>
        <w:rPr>
          <w:rFonts w:ascii="Times New Roman" w:eastAsia="Times New Roman" w:hAnsi="Times New Roman" w:cs="Times New Roman"/>
          <w:sz w:val="20"/>
          <w:szCs w:val="20"/>
        </w:rPr>
        <w:t xml:space="preserve"> </w:t>
      </w:r>
    </w:p>
  </w:footnote>
  <w:footnote w:id="116">
    <w:p w14:paraId="05AE8DC5"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Ídem. </w:t>
      </w:r>
    </w:p>
  </w:footnote>
  <w:footnote w:id="117">
    <w:p w14:paraId="05AE8DC6"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Secretaria Técnica ODS (2020, p.59) </w:t>
      </w:r>
      <w:hyperlink r:id="rId63">
        <w:r>
          <w:rPr>
            <w:rFonts w:ascii="Times New Roman" w:eastAsia="Times New Roman" w:hAnsi="Times New Roman" w:cs="Times New Roman"/>
            <w:color w:val="0563C1"/>
            <w:sz w:val="20"/>
            <w:szCs w:val="20"/>
            <w:u w:val="single"/>
          </w:rPr>
          <w:t>Segundo Informe Nacional Voluntario 2020</w:t>
        </w:r>
      </w:hyperlink>
      <w:r>
        <w:rPr>
          <w:rFonts w:ascii="Times New Roman" w:eastAsia="Times New Roman" w:hAnsi="Times New Roman" w:cs="Times New Roman"/>
          <w:sz w:val="20"/>
          <w:szCs w:val="20"/>
        </w:rPr>
        <w:t xml:space="preserve"> </w:t>
      </w:r>
    </w:p>
  </w:footnote>
  <w:footnote w:id="118">
    <w:p w14:paraId="05AE8DC7"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Desde el 2017, Costa Rica es uno de los siete países participantes en el </w:t>
      </w:r>
      <w:hyperlink r:id="rId64">
        <w:r>
          <w:rPr>
            <w:rFonts w:ascii="Times New Roman" w:eastAsia="Times New Roman" w:hAnsi="Times New Roman" w:cs="Times New Roman"/>
            <w:sz w:val="20"/>
            <w:szCs w:val="20"/>
          </w:rPr>
          <w:t>Marco Integral Regional para la Protección y Soluciones (MIRPS)</w:t>
        </w:r>
      </w:hyperlink>
      <w:r>
        <w:rPr>
          <w:rFonts w:ascii="Times New Roman" w:eastAsia="Times New Roman" w:hAnsi="Times New Roman" w:cs="Times New Roman"/>
          <w:sz w:val="20"/>
          <w:szCs w:val="20"/>
        </w:rPr>
        <w:t>, la iniciativa regional para abordar el desplazamiento forzado en Centroamérica y México, a través de su capítulo nacional denominado Marco de Protección y Soluciones de Respuesta a la Situación de los Refugiados (MINARE). Al adoptar el CRRF/MINARE el país ha reorganizado su respuesta a la situación de refugio adoptando una estrategia de toda la sociedad, todo el estado.</w:t>
      </w:r>
    </w:p>
  </w:footnote>
  <w:footnote w:id="119">
    <w:p w14:paraId="05AE8DC8" w14:textId="77777777" w:rsidR="00BB534D" w:rsidRDefault="00B842B1">
      <w:pPr>
        <w:spacing w:before="0" w:line="240" w:lineRule="auto"/>
        <w:rPr>
          <w:rFonts w:ascii="Arial" w:eastAsia="Arial" w:hAnsi="Arial" w:cs="Arial"/>
          <w:sz w:val="20"/>
          <w:szCs w:val="20"/>
        </w:rPr>
      </w:pPr>
      <w:r>
        <w:rPr>
          <w:vertAlign w:val="superscript"/>
        </w:rPr>
        <w:footnoteRef/>
      </w:r>
      <w:r>
        <w:rPr>
          <w:rFonts w:ascii="Times New Roman" w:eastAsia="Times New Roman" w:hAnsi="Times New Roman" w:cs="Times New Roman"/>
          <w:sz w:val="20"/>
          <w:szCs w:val="20"/>
        </w:rPr>
        <w:t xml:space="preserve">  El Plan de Acción Integral para Flujos Migratorios Mixtos 2018-2022, se elabora con fundamento en la Política Migratoria Integral 2013-2023, con el fin de establecer las líneas orientadoras para afrontar los movimientos mixtos que el país experimenta.</w:t>
      </w:r>
    </w:p>
  </w:footnote>
  <w:footnote w:id="120">
    <w:p w14:paraId="05AE8DC9"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Memorial Anual 2019, Organismo de Investigación Judicial, Oficina de Planes y Operaciones, Unidad de Análisis Criminal, 2020. A febrero del 2021, no se ha publicado la Memoria Anual 2020.</w:t>
      </w:r>
    </w:p>
  </w:footnote>
  <w:footnote w:id="121">
    <w:p w14:paraId="05AE8DCA"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Según el </w:t>
      </w:r>
      <w:proofErr w:type="gramStart"/>
      <w:r>
        <w:rPr>
          <w:rFonts w:ascii="Times New Roman" w:eastAsia="Times New Roman" w:hAnsi="Times New Roman" w:cs="Times New Roman"/>
          <w:sz w:val="20"/>
          <w:szCs w:val="20"/>
        </w:rPr>
        <w:t>Ministro</w:t>
      </w:r>
      <w:proofErr w:type="gramEnd"/>
      <w:r>
        <w:rPr>
          <w:rFonts w:ascii="Times New Roman" w:eastAsia="Times New Roman" w:hAnsi="Times New Roman" w:cs="Times New Roman"/>
          <w:sz w:val="20"/>
          <w:szCs w:val="20"/>
        </w:rPr>
        <w:t xml:space="preserve"> de Seguridad, el 2020 cerró con un aumento en las cifras de homicidios rompiendo con la tendencia a la baja registrada en los últimos dos años. A 30 de diciembre, se registraron 568 asesinatos. Esta cifra supera las 564 que el Organismo de Investigación Judicial (OIJ) reportó en el 2019 y 585 en el 2018 hubo 585. Este incremento equivale a un 0,7%.</w:t>
      </w:r>
    </w:p>
  </w:footnote>
  <w:footnote w:id="122">
    <w:p w14:paraId="05AE8DCB"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Desde inicios del año 2021 se ha incrementado el movimiento mixto por Costa Rica, en el periodo comprendido entre el 01 de enero y el 08 de noviembre han cruzado por la zona</w:t>
      </w:r>
      <w:r>
        <w:rPr>
          <w:rFonts w:ascii="Arial" w:eastAsia="Arial" w:hAnsi="Arial" w:cs="Arial"/>
          <w:sz w:val="20"/>
          <w:szCs w:val="20"/>
        </w:rPr>
        <w:t xml:space="preserve"> </w:t>
      </w:r>
      <w:r>
        <w:rPr>
          <w:rFonts w:ascii="Times New Roman" w:eastAsia="Times New Roman" w:hAnsi="Times New Roman" w:cs="Times New Roman"/>
          <w:sz w:val="20"/>
          <w:szCs w:val="20"/>
        </w:rPr>
        <w:t xml:space="preserve">del Darién 126.173 personas migrantes en su tránsito hacia el norte. Un 63% de este movimiento mixto son personas haitianas, un 14% cubanas y el resto de otras nacionalidades. Para agosto del 2021 se estima que ingresan a Costa Rica unas 12.000 personas migrantes relativas a este movimiento mixto. El movimiento mixto está marcado por una cantidad importante de mujeres, </w:t>
      </w:r>
      <w:proofErr w:type="gramStart"/>
      <w:r>
        <w:rPr>
          <w:rFonts w:ascii="Times New Roman" w:eastAsia="Times New Roman" w:hAnsi="Times New Roman" w:cs="Times New Roman"/>
          <w:sz w:val="20"/>
          <w:szCs w:val="20"/>
        </w:rPr>
        <w:t>niños y niñas</w:t>
      </w:r>
      <w:proofErr w:type="gramEnd"/>
      <w:r>
        <w:rPr>
          <w:rFonts w:ascii="Times New Roman" w:eastAsia="Times New Roman" w:hAnsi="Times New Roman" w:cs="Times New Roman"/>
          <w:sz w:val="20"/>
          <w:szCs w:val="20"/>
        </w:rPr>
        <w:t xml:space="preserve"> y adolescentes en situación de vulnerabilidad.</w:t>
      </w:r>
    </w:p>
  </w:footnote>
  <w:footnote w:id="123">
    <w:p w14:paraId="05AE8DCC" w14:textId="77777777" w:rsidR="00BB534D" w:rsidRDefault="00B842B1">
      <w:pPr>
        <w:spacing w:before="0"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Coalición Nacional Contra el Tráfico Ilícito de Migrantes y la Trata de Personas</w:t>
      </w:r>
    </w:p>
  </w:footnote>
  <w:footnote w:id="124">
    <w:p w14:paraId="05AE8DCD"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FMI (2019). </w:t>
      </w:r>
      <w:hyperlink r:id="rId65">
        <w:r>
          <w:rPr>
            <w:rFonts w:ascii="Times New Roman" w:eastAsia="Times New Roman" w:hAnsi="Times New Roman" w:cs="Times New Roman"/>
            <w:color w:val="1155CC"/>
            <w:sz w:val="20"/>
            <w:szCs w:val="20"/>
            <w:u w:val="single"/>
          </w:rPr>
          <w:t>Informe técnico de Costa Rica</w:t>
        </w:r>
      </w:hyperlink>
    </w:p>
    <w:p w14:paraId="05AE8DCE" w14:textId="77777777" w:rsidR="00BB534D" w:rsidRDefault="00BB534D">
      <w:pPr>
        <w:spacing w:before="0" w:line="240" w:lineRule="auto"/>
        <w:jc w:val="both"/>
        <w:rPr>
          <w:rFonts w:ascii="Calibri" w:eastAsia="Calibri" w:hAnsi="Calibri" w:cs="Calibri"/>
          <w:sz w:val="16"/>
          <w:szCs w:val="16"/>
          <w:u w:val="single"/>
        </w:rPr>
      </w:pPr>
    </w:p>
  </w:footnote>
  <w:footnote w:id="125">
    <w:p w14:paraId="05AE8DCF" w14:textId="77777777" w:rsidR="00BB534D" w:rsidRDefault="00B842B1">
      <w:pPr>
        <w:spacing w:before="0" w:line="259"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Instituto Costarricense de Pesca y Acuicultura y Acuicultura (2019).</w:t>
      </w:r>
      <w:hyperlink r:id="rId66">
        <w:r>
          <w:rPr>
            <w:rFonts w:ascii="Times New Roman" w:eastAsia="Times New Roman" w:hAnsi="Times New Roman" w:cs="Times New Roman"/>
            <w:color w:val="1155CC"/>
            <w:sz w:val="20"/>
            <w:szCs w:val="20"/>
            <w:u w:val="single"/>
          </w:rPr>
          <w:t xml:space="preserve"> Programa de desarrollo sostenible de la pesca y la agricultura en Costa Rica: Estudio de Prefactibilidad. San José, Costa Rica.</w:t>
        </w:r>
      </w:hyperlink>
    </w:p>
  </w:footnote>
  <w:footnote w:id="126">
    <w:p w14:paraId="05AE8DD0"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OACNUDH (2014). Informe del experto independiente sobre la cuestión de</w:t>
      </w:r>
      <w:hyperlink r:id="rId67">
        <w:r>
          <w:rPr>
            <w:rFonts w:ascii="Times New Roman" w:eastAsia="Times New Roman" w:hAnsi="Times New Roman" w:cs="Times New Roman"/>
            <w:color w:val="1155CC"/>
            <w:sz w:val="20"/>
            <w:szCs w:val="20"/>
            <w:u w:val="single"/>
          </w:rPr>
          <w:t xml:space="preserve"> las obligaciones de derechos humanos relacionadas con el disfrute de un medio ambiente sin riesgos, limpio, saludable y sostenible</w:t>
        </w:r>
      </w:hyperlink>
      <w:r>
        <w:rPr>
          <w:rFonts w:ascii="Times New Roman" w:eastAsia="Times New Roman" w:hAnsi="Times New Roman" w:cs="Times New Roman"/>
          <w:sz w:val="20"/>
          <w:szCs w:val="20"/>
        </w:rPr>
        <w:t>, John H. Knox, A/HRC/25/53/Add.1.</w:t>
      </w:r>
    </w:p>
  </w:footnote>
  <w:footnote w:id="127">
    <w:p w14:paraId="05AE8DD1"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Ver </w:t>
      </w:r>
      <w:hyperlink r:id="rId68">
        <w:r>
          <w:rPr>
            <w:rFonts w:ascii="Times New Roman" w:eastAsia="Times New Roman" w:hAnsi="Times New Roman" w:cs="Times New Roman"/>
            <w:color w:val="1155CC"/>
            <w:sz w:val="20"/>
            <w:szCs w:val="20"/>
            <w:u w:val="single"/>
          </w:rPr>
          <w:t xml:space="preserve">Sistema de documentos oficiales de Naciones Unidas. </w:t>
        </w:r>
      </w:hyperlink>
    </w:p>
  </w:footnote>
  <w:footnote w:id="128">
    <w:p w14:paraId="05AE8DD2"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IMN (2015). </w:t>
      </w:r>
      <w:hyperlink r:id="rId69">
        <w:r>
          <w:rPr>
            <w:rFonts w:ascii="Times New Roman" w:eastAsia="Times New Roman" w:hAnsi="Times New Roman" w:cs="Times New Roman"/>
            <w:color w:val="1155CC"/>
            <w:sz w:val="20"/>
            <w:szCs w:val="20"/>
            <w:u w:val="single"/>
          </w:rPr>
          <w:t>Boletín meteorológico mensual.</w:t>
        </w:r>
      </w:hyperlink>
    </w:p>
  </w:footnote>
  <w:footnote w:id="129">
    <w:p w14:paraId="05AE8DD3" w14:textId="77777777" w:rsidR="00BB534D" w:rsidRDefault="00B842B1">
      <w:pPr>
        <w:spacing w:before="0" w:line="240" w:lineRule="auto"/>
        <w:jc w:val="both"/>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Marco SENDAI (s.f.). </w:t>
      </w:r>
      <w:hyperlink r:id="rId70">
        <w:r>
          <w:rPr>
            <w:rFonts w:ascii="Times New Roman" w:eastAsia="Times New Roman" w:hAnsi="Times New Roman" w:cs="Times New Roman"/>
            <w:color w:val="1155CC"/>
            <w:sz w:val="20"/>
            <w:szCs w:val="20"/>
            <w:u w:val="single"/>
          </w:rPr>
          <w:t>Perfil de país: Costa Rica.</w:t>
        </w:r>
      </w:hyperlink>
    </w:p>
  </w:footnote>
  <w:footnote w:id="130">
    <w:p w14:paraId="05AE8DD4" w14:textId="77777777" w:rsidR="00BB534D" w:rsidRDefault="00B842B1">
      <w:pPr>
        <w:spacing w:before="0" w:line="240" w:lineRule="auto"/>
        <w:rPr>
          <w:rFonts w:ascii="Arial" w:eastAsia="Arial" w:hAnsi="Arial" w:cs="Arial"/>
          <w:sz w:val="20"/>
          <w:szCs w:val="20"/>
        </w:rPr>
      </w:pPr>
      <w:r>
        <w:rPr>
          <w:vertAlign w:val="superscript"/>
        </w:rPr>
        <w:footnoteRef/>
      </w:r>
      <w:r>
        <w:rPr>
          <w:rFonts w:ascii="Arial" w:eastAsia="Arial" w:hAnsi="Arial" w:cs="Arial"/>
          <w:sz w:val="20"/>
          <w:szCs w:val="20"/>
        </w:rPr>
        <w:t xml:space="preserve"> </w:t>
      </w:r>
      <w:r>
        <w:rPr>
          <w:rFonts w:ascii="Times New Roman" w:eastAsia="Times New Roman" w:hAnsi="Times New Roman" w:cs="Times New Roman"/>
          <w:sz w:val="20"/>
          <w:szCs w:val="20"/>
        </w:rPr>
        <w:t>Planes Generales de Emergencia, CNE, 2009-2020</w:t>
      </w:r>
    </w:p>
  </w:footnote>
  <w:footnote w:id="131">
    <w:p w14:paraId="05AE8DD5" w14:textId="77777777" w:rsidR="00BB534D" w:rsidRDefault="00B842B1">
      <w:pPr>
        <w:spacing w:before="0" w:line="240" w:lineRule="auto"/>
        <w:rPr>
          <w:rFonts w:ascii="Calibri" w:eastAsia="Calibri" w:hAnsi="Calibri" w:cs="Calibri"/>
          <w:sz w:val="24"/>
          <w:szCs w:val="24"/>
        </w:rPr>
      </w:pPr>
      <w:r>
        <w:rPr>
          <w:vertAlign w:val="superscript"/>
        </w:rPr>
        <w:footnoteRef/>
      </w:r>
      <w:r>
        <w:rPr>
          <w:rFonts w:ascii="Calibri" w:eastAsia="Calibri" w:hAnsi="Calibri" w:cs="Calibri"/>
          <w:sz w:val="20"/>
          <w:szCs w:val="20"/>
        </w:rPr>
        <w:t xml:space="preserve"> https://inff.org/about#building-blocks</w:t>
      </w:r>
    </w:p>
  </w:footnote>
  <w:footnote w:id="132">
    <w:p w14:paraId="05AE8DD6" w14:textId="77777777" w:rsidR="00BB534D" w:rsidRDefault="00B842B1">
      <w:pPr>
        <w:spacing w:before="0" w:line="240" w:lineRule="auto"/>
        <w:jc w:val="both"/>
        <w:rPr>
          <w:rFonts w:ascii="Calibri" w:eastAsia="Calibri" w:hAnsi="Calibri" w:cs="Calibri"/>
          <w:sz w:val="24"/>
          <w:szCs w:val="24"/>
        </w:rPr>
      </w:pPr>
      <w:r>
        <w:rPr>
          <w:vertAlign w:val="superscript"/>
        </w:rPr>
        <w:footnoteRef/>
      </w:r>
      <w:r>
        <w:rPr>
          <w:rFonts w:ascii="Calibri" w:eastAsia="Calibri" w:hAnsi="Calibri" w:cs="Calibri"/>
          <w:sz w:val="24"/>
          <w:szCs w:val="24"/>
        </w:rPr>
        <w:t xml:space="preserve"> </w:t>
      </w:r>
      <w:r>
        <w:rPr>
          <w:rFonts w:ascii="Calibri" w:eastAsia="Calibri" w:hAnsi="Calibri" w:cs="Calibri"/>
          <w:sz w:val="18"/>
          <w:szCs w:val="18"/>
        </w:rPr>
        <w:t xml:space="preserve">Este fondo fue creado en 2019 para invertir en proyectos de infraestructura climático-positiva y negocios de alto riesgo. El portafolio inicial de proyectos incluye varios sectores (gestión de pérdidas de transmisión, solar </w:t>
      </w:r>
      <w:proofErr w:type="spellStart"/>
      <w:r>
        <w:rPr>
          <w:rFonts w:ascii="Calibri" w:eastAsia="Calibri" w:hAnsi="Calibri" w:cs="Calibri"/>
          <w:sz w:val="18"/>
          <w:szCs w:val="18"/>
        </w:rPr>
        <w:t>smart</w:t>
      </w:r>
      <w:proofErr w:type="spellEnd"/>
      <w:r>
        <w:rPr>
          <w:rFonts w:ascii="Calibri" w:eastAsia="Calibri" w:hAnsi="Calibri" w:cs="Calibri"/>
          <w:sz w:val="18"/>
          <w:szCs w:val="18"/>
        </w:rPr>
        <w:t xml:space="preserve"> </w:t>
      </w:r>
      <w:proofErr w:type="spellStart"/>
      <w:r>
        <w:rPr>
          <w:rFonts w:ascii="Calibri" w:eastAsia="Calibri" w:hAnsi="Calibri" w:cs="Calibri"/>
          <w:sz w:val="18"/>
          <w:szCs w:val="18"/>
        </w:rPr>
        <w:t>grids</w:t>
      </w:r>
      <w:proofErr w:type="spellEnd"/>
      <w:r>
        <w:rPr>
          <w:rFonts w:ascii="Calibri" w:eastAsia="Calibri" w:hAnsi="Calibri" w:cs="Calibri"/>
          <w:sz w:val="18"/>
          <w:szCs w:val="18"/>
        </w:rPr>
        <w:t xml:space="preserve"> y acceso inclusivo, biomasa de gran escala) y se centra en maximizar la inversión en la mitigación del cambio climático. Varios aspectos hacen que el formato de este fondo sea de interés para analizar en Costa Rica: i) Ingeniería financiera. Se combina el uso de créditos concesionales a 20 años (€263m), con financiamiento público de contrapartida (€330m) y con financiamiento privado por un total de €1,700m y </w:t>
      </w:r>
      <w:proofErr w:type="spellStart"/>
      <w:r>
        <w:rPr>
          <w:rFonts w:ascii="Calibri" w:eastAsia="Calibri" w:hAnsi="Calibri" w:cs="Calibri"/>
          <w:sz w:val="18"/>
          <w:szCs w:val="18"/>
        </w:rPr>
        <w:t>ii</w:t>
      </w:r>
      <w:proofErr w:type="spellEnd"/>
      <w:r>
        <w:rPr>
          <w:rFonts w:ascii="Calibri" w:eastAsia="Calibri" w:hAnsi="Calibri" w:cs="Calibri"/>
          <w:sz w:val="18"/>
          <w:szCs w:val="18"/>
        </w:rPr>
        <w:t xml:space="preserve">) Financiamiento catalítico El fondo se crea a partir de un financiamiento catalítico de €263m que se generan con un crédito soberano de €88m con el Green </w:t>
      </w:r>
      <w:proofErr w:type="spellStart"/>
      <w:r>
        <w:rPr>
          <w:rFonts w:ascii="Calibri" w:eastAsia="Calibri" w:hAnsi="Calibri" w:cs="Calibri"/>
          <w:sz w:val="18"/>
          <w:szCs w:val="18"/>
        </w:rPr>
        <w:t>Climate</w:t>
      </w:r>
      <w:proofErr w:type="spellEnd"/>
      <w:r>
        <w:rPr>
          <w:rFonts w:ascii="Calibri" w:eastAsia="Calibri" w:hAnsi="Calibri" w:cs="Calibri"/>
          <w:sz w:val="18"/>
          <w:szCs w:val="18"/>
        </w:rPr>
        <w:t xml:space="preserve"> </w:t>
      </w:r>
      <w:proofErr w:type="spellStart"/>
      <w:r>
        <w:rPr>
          <w:rFonts w:ascii="Calibri" w:eastAsia="Calibri" w:hAnsi="Calibri" w:cs="Calibri"/>
          <w:sz w:val="18"/>
          <w:szCs w:val="18"/>
        </w:rPr>
        <w:t>Fund</w:t>
      </w:r>
      <w:proofErr w:type="spellEnd"/>
      <w:r>
        <w:rPr>
          <w:rFonts w:ascii="Calibri" w:eastAsia="Calibri" w:hAnsi="Calibri" w:cs="Calibri"/>
          <w:sz w:val="18"/>
          <w:szCs w:val="18"/>
        </w:rPr>
        <w:t xml:space="preserve"> (gestionado por el ADB), más fondos concesionales de </w:t>
      </w:r>
      <w:proofErr w:type="spellStart"/>
      <w:r>
        <w:rPr>
          <w:rFonts w:ascii="Calibri" w:eastAsia="Calibri" w:hAnsi="Calibri" w:cs="Calibri"/>
          <w:sz w:val="18"/>
          <w:szCs w:val="18"/>
        </w:rPr>
        <w:t>blending</w:t>
      </w:r>
      <w:proofErr w:type="spellEnd"/>
      <w:r>
        <w:rPr>
          <w:rFonts w:ascii="Calibri" w:eastAsia="Calibri" w:hAnsi="Calibri" w:cs="Calibri"/>
          <w:sz w:val="18"/>
          <w:szCs w:val="18"/>
        </w:rPr>
        <w:t xml:space="preserve"> de KfW de Alemania (€100m) y de la Agencia Francesa de Cooperación (€75m). El gobierno aporta fondos de contrapartida nacional y provincial por un total de €330m (CNY 2.5b)</w:t>
      </w:r>
    </w:p>
  </w:footnote>
  <w:footnote w:id="133">
    <w:p w14:paraId="05AE8DD7" w14:textId="77777777" w:rsidR="00BB534D" w:rsidRDefault="00B842B1">
      <w:pPr>
        <w:spacing w:before="0" w:line="240" w:lineRule="auto"/>
        <w:rPr>
          <w:rFonts w:ascii="Calibri" w:eastAsia="Calibri" w:hAnsi="Calibri" w:cs="Calibri"/>
          <w:sz w:val="24"/>
          <w:szCs w:val="24"/>
        </w:rPr>
      </w:pPr>
      <w:r>
        <w:rPr>
          <w:vertAlign w:val="superscript"/>
        </w:rPr>
        <w:footnoteRef/>
      </w:r>
      <w:r>
        <w:rPr>
          <w:rFonts w:ascii="Calibri" w:eastAsia="Calibri" w:hAnsi="Calibri" w:cs="Calibri"/>
          <w:sz w:val="24"/>
          <w:szCs w:val="24"/>
        </w:rPr>
        <w:t xml:space="preserve"> </w:t>
      </w:r>
      <w:r>
        <w:rPr>
          <w:rFonts w:ascii="Calibri" w:eastAsia="Calibri" w:hAnsi="Calibri" w:cs="Calibri"/>
          <w:sz w:val="18"/>
          <w:szCs w:val="18"/>
        </w:rPr>
        <w:t>La Evaluación de las Finanzas para el Desarrollo y Las Oportunidades para la Construcción de un Marco Nacional e Integrado para el Financiamiento del Desarrollo en Costa Rica están disponibles en este enlace: https://costarica.un.org/es/resources/publications</w:t>
      </w:r>
    </w:p>
  </w:footnote>
  <w:footnote w:id="134">
    <w:p w14:paraId="05AE8DD8" w14:textId="77777777" w:rsidR="00BB534D" w:rsidRDefault="00B842B1">
      <w:pPr>
        <w:spacing w:before="0" w:line="240" w:lineRule="auto"/>
        <w:rPr>
          <w:rFonts w:ascii="Calibri" w:eastAsia="Calibri" w:hAnsi="Calibri" w:cs="Calibri"/>
          <w:sz w:val="20"/>
          <w:szCs w:val="20"/>
        </w:rPr>
      </w:pPr>
      <w:r>
        <w:rPr>
          <w:vertAlign w:val="superscript"/>
        </w:rPr>
        <w:footnoteRef/>
      </w:r>
      <w:r>
        <w:rPr>
          <w:rFonts w:ascii="Calibri" w:eastAsia="Calibri" w:hAnsi="Calibri" w:cs="Calibri"/>
          <w:sz w:val="20"/>
          <w:szCs w:val="20"/>
        </w:rPr>
        <w:t>https://www.ifc.org/wps/wcm/connect/publications_ext_content/ifc_external_publication_site/publications_listing_page/emerging-market-green-bonds-report-2020</w:t>
      </w:r>
    </w:p>
  </w:footnote>
  <w:footnote w:id="135">
    <w:p w14:paraId="05AE8DD9" w14:textId="77777777" w:rsidR="00BB534D" w:rsidRPr="009C4A99" w:rsidRDefault="00B842B1">
      <w:pPr>
        <w:spacing w:before="0" w:line="240" w:lineRule="auto"/>
        <w:rPr>
          <w:rFonts w:ascii="Calibri" w:eastAsia="Calibri" w:hAnsi="Calibri" w:cs="Calibri"/>
          <w:sz w:val="24"/>
          <w:szCs w:val="24"/>
          <w:lang w:val="en-US"/>
        </w:rPr>
      </w:pPr>
      <w:r>
        <w:rPr>
          <w:vertAlign w:val="superscript"/>
        </w:rPr>
        <w:footnoteRef/>
      </w:r>
      <w:r w:rsidRPr="009C4A99">
        <w:rPr>
          <w:rFonts w:ascii="Calibri" w:eastAsia="Calibri" w:hAnsi="Calibri" w:cs="Calibri"/>
          <w:sz w:val="20"/>
          <w:szCs w:val="20"/>
          <w:lang w:val="en-US"/>
        </w:rPr>
        <w:t xml:space="preserve"> Financing the UN Development System: Time to meet the moment (2021); pg.89; </w:t>
      </w:r>
      <w:hyperlink r:id="rId71">
        <w:r w:rsidRPr="009C4A99">
          <w:rPr>
            <w:rFonts w:ascii="Calibri" w:eastAsia="Calibri" w:hAnsi="Calibri" w:cs="Calibri"/>
            <w:color w:val="0563C1"/>
            <w:sz w:val="20"/>
            <w:szCs w:val="20"/>
            <w:u w:val="single"/>
            <w:lang w:val="en-US"/>
          </w:rPr>
          <w:t>https://www.daghammarskjold.se/publication/unds-2021/</w:t>
        </w:r>
      </w:hyperlink>
    </w:p>
  </w:footnote>
  <w:footnote w:id="136">
    <w:p w14:paraId="05AE8DDA" w14:textId="77777777" w:rsidR="00BB534D" w:rsidRPr="009C4A99" w:rsidRDefault="00B842B1">
      <w:pPr>
        <w:spacing w:before="0" w:line="240" w:lineRule="auto"/>
        <w:rPr>
          <w:rFonts w:ascii="Calibri" w:eastAsia="Calibri" w:hAnsi="Calibri" w:cs="Calibri"/>
          <w:sz w:val="20"/>
          <w:szCs w:val="20"/>
          <w:lang w:val="en-US"/>
        </w:rPr>
      </w:pPr>
      <w:r>
        <w:rPr>
          <w:vertAlign w:val="superscript"/>
        </w:rPr>
        <w:footnoteRef/>
      </w:r>
      <w:r w:rsidRPr="009C4A99">
        <w:rPr>
          <w:rFonts w:ascii="Calibri" w:eastAsia="Calibri" w:hAnsi="Calibri" w:cs="Calibri"/>
          <w:sz w:val="20"/>
          <w:szCs w:val="20"/>
          <w:lang w:val="en-US"/>
        </w:rPr>
        <w:t xml:space="preserve"> https://unctad.org/system/files/official-document/wir2021_en.pdf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8D3D" w14:textId="77777777" w:rsidR="00BB534D" w:rsidRDefault="00B842B1">
    <w:pPr>
      <w:pBdr>
        <w:top w:val="nil"/>
        <w:left w:val="nil"/>
        <w:bottom w:val="nil"/>
        <w:right w:val="nil"/>
        <w:between w:val="nil"/>
      </w:pBdr>
      <w:spacing w:before="640"/>
      <w:rPr>
        <w:color w:val="666666"/>
        <w:sz w:val="20"/>
        <w:szCs w:val="20"/>
      </w:rPr>
    </w:pPr>
    <w:r>
      <w:rPr>
        <w:noProof/>
      </w:rPr>
      <w:drawing>
        <wp:anchor distT="0" distB="0" distL="0" distR="0" simplePos="0" relativeHeight="251658240" behindDoc="0" locked="0" layoutInCell="1" hidden="0" allowOverlap="1" wp14:anchorId="05AE8D42" wp14:editId="05AE8D43">
          <wp:simplePos x="0" y="0"/>
          <wp:positionH relativeFrom="column">
            <wp:posOffset>-914399</wp:posOffset>
          </wp:positionH>
          <wp:positionV relativeFrom="paragraph">
            <wp:posOffset>-66674</wp:posOffset>
          </wp:positionV>
          <wp:extent cx="7781925" cy="95250"/>
          <wp:effectExtent l="0" t="0" r="0" b="0"/>
          <wp:wrapTopAndBottom distT="0" distB="0"/>
          <wp:docPr id="7" name="image1.png" descr="línea horizontal"/>
          <wp:cNvGraphicFramePr/>
          <a:graphic xmlns:a="http://schemas.openxmlformats.org/drawingml/2006/main">
            <a:graphicData uri="http://schemas.openxmlformats.org/drawingml/2006/picture">
              <pic:pic xmlns:pic="http://schemas.openxmlformats.org/drawingml/2006/picture">
                <pic:nvPicPr>
                  <pic:cNvPr id="0" name="image1.png" descr="línea horizontal"/>
                  <pic:cNvPicPr preferRelativeResize="0"/>
                </pic:nvPicPr>
                <pic:blipFill>
                  <a:blip r:embed="rId1"/>
                  <a:srcRect/>
                  <a:stretch>
                    <a:fillRect/>
                  </a:stretch>
                </pic:blipFill>
                <pic:spPr>
                  <a:xfrm>
                    <a:off x="0" y="0"/>
                    <a:ext cx="7781925" cy="95250"/>
                  </a:xfrm>
                  <a:prstGeom prst="rect">
                    <a:avLst/>
                  </a:prstGeom>
                  <a:ln/>
                </pic:spPr>
              </pic:pic>
            </a:graphicData>
          </a:graphic>
        </wp:anchor>
      </w:drawing>
    </w:r>
    <w:r>
      <w:rPr>
        <w:noProof/>
      </w:rPr>
      <w:drawing>
        <wp:anchor distT="0" distB="0" distL="0" distR="0" simplePos="0" relativeHeight="251659264" behindDoc="0" locked="0" layoutInCell="1" hidden="0" allowOverlap="1" wp14:anchorId="05AE8D44" wp14:editId="05AE8D45">
          <wp:simplePos x="0" y="0"/>
          <wp:positionH relativeFrom="column">
            <wp:posOffset>-919162</wp:posOffset>
          </wp:positionH>
          <wp:positionV relativeFrom="paragraph">
            <wp:posOffset>-66674</wp:posOffset>
          </wp:positionV>
          <wp:extent cx="7781925" cy="95250"/>
          <wp:effectExtent l="0" t="0" r="0" b="0"/>
          <wp:wrapTopAndBottom distT="0" distB="0"/>
          <wp:docPr id="8" name="image1.png" descr="horizontal line"/>
          <wp:cNvGraphicFramePr/>
          <a:graphic xmlns:a="http://schemas.openxmlformats.org/drawingml/2006/main">
            <a:graphicData uri="http://schemas.openxmlformats.org/drawingml/2006/picture">
              <pic:pic xmlns:pic="http://schemas.openxmlformats.org/drawingml/2006/picture">
                <pic:nvPicPr>
                  <pic:cNvPr id="0" name="image1.png" descr="horizontal line"/>
                  <pic:cNvPicPr preferRelativeResize="0"/>
                </pic:nvPicPr>
                <pic:blipFill>
                  <a:blip r:embed="rId1"/>
                  <a:srcRect/>
                  <a:stretch>
                    <a:fillRect/>
                  </a:stretch>
                </pic:blipFill>
                <pic:spPr>
                  <a:xfrm>
                    <a:off x="0" y="0"/>
                    <a:ext cx="7781925" cy="95250"/>
                  </a:xfrm>
                  <a:prstGeom prst="rect">
                    <a:avLst/>
                  </a:prstGeom>
                  <a:ln/>
                </pic:spPr>
              </pic:pic>
            </a:graphicData>
          </a:graphic>
        </wp:anchor>
      </w:drawing>
    </w:r>
  </w:p>
  <w:p w14:paraId="05AE8D3E" w14:textId="77777777" w:rsidR="00BB534D" w:rsidRDefault="00B842B1">
    <w:pPr>
      <w:pBdr>
        <w:top w:val="nil"/>
        <w:left w:val="nil"/>
        <w:bottom w:val="nil"/>
        <w:right w:val="nil"/>
        <w:between w:val="nil"/>
      </w:pBdr>
      <w:rPr>
        <w:color w:val="666666"/>
        <w:sz w:val="20"/>
        <w:szCs w:val="20"/>
      </w:rPr>
    </w:pPr>
    <w:r>
      <w:rPr>
        <w:noProof/>
        <w:color w:val="666666"/>
        <w:sz w:val="20"/>
        <w:szCs w:val="20"/>
      </w:rPr>
      <w:drawing>
        <wp:inline distT="114300" distB="114300" distL="114300" distR="114300" wp14:anchorId="05AE8D46" wp14:editId="05AE8D47">
          <wp:extent cx="447675" cy="57150"/>
          <wp:effectExtent l="0" t="0" r="0" b="0"/>
          <wp:docPr id="5" name="image3.png" descr="línea corta"/>
          <wp:cNvGraphicFramePr/>
          <a:graphic xmlns:a="http://schemas.openxmlformats.org/drawingml/2006/main">
            <a:graphicData uri="http://schemas.openxmlformats.org/drawingml/2006/picture">
              <pic:pic xmlns:pic="http://schemas.openxmlformats.org/drawingml/2006/picture">
                <pic:nvPicPr>
                  <pic:cNvPr id="0" name="image3.png" descr="línea corta"/>
                  <pic:cNvPicPr preferRelativeResize="0"/>
                </pic:nvPicPr>
                <pic:blipFill>
                  <a:blip r:embed="rId2"/>
                  <a:srcRect/>
                  <a:stretch>
                    <a:fillRect/>
                  </a:stretch>
                </pic:blipFill>
                <pic:spPr>
                  <a:xfrm>
                    <a:off x="0" y="0"/>
                    <a:ext cx="447675" cy="571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E8D40" w14:textId="77777777" w:rsidR="00BB534D" w:rsidRDefault="00B842B1">
    <w:pPr>
      <w:pBdr>
        <w:top w:val="nil"/>
        <w:left w:val="nil"/>
        <w:bottom w:val="nil"/>
        <w:right w:val="nil"/>
        <w:between w:val="nil"/>
      </w:pBdr>
      <w:spacing w:before="640"/>
      <w:jc w:val="right"/>
    </w:pPr>
    <w:r>
      <w:rPr>
        <w:noProof/>
      </w:rPr>
      <w:drawing>
        <wp:anchor distT="0" distB="0" distL="0" distR="0" simplePos="0" relativeHeight="251660288" behindDoc="0" locked="0" layoutInCell="1" hidden="0" allowOverlap="1" wp14:anchorId="05AE8D4A" wp14:editId="05AE8D4B">
          <wp:simplePos x="0" y="0"/>
          <wp:positionH relativeFrom="column">
            <wp:posOffset>-919162</wp:posOffset>
          </wp:positionH>
          <wp:positionV relativeFrom="paragraph">
            <wp:posOffset>-66674</wp:posOffset>
          </wp:positionV>
          <wp:extent cx="7781925" cy="95250"/>
          <wp:effectExtent l="0" t="0" r="0" b="0"/>
          <wp:wrapTopAndBottom distT="0" distB="0"/>
          <wp:docPr id="10" name="image1.png" descr="línea horizontal"/>
          <wp:cNvGraphicFramePr/>
          <a:graphic xmlns:a="http://schemas.openxmlformats.org/drawingml/2006/main">
            <a:graphicData uri="http://schemas.openxmlformats.org/drawingml/2006/picture">
              <pic:pic xmlns:pic="http://schemas.openxmlformats.org/drawingml/2006/picture">
                <pic:nvPicPr>
                  <pic:cNvPr id="0" name="image1.png" descr="línea horizontal"/>
                  <pic:cNvPicPr preferRelativeResize="0"/>
                </pic:nvPicPr>
                <pic:blipFill>
                  <a:blip r:embed="rId1"/>
                  <a:srcRect/>
                  <a:stretch>
                    <a:fillRect/>
                  </a:stretch>
                </pic:blipFill>
                <pic:spPr>
                  <a:xfrm>
                    <a:off x="0" y="0"/>
                    <a:ext cx="7781925" cy="952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308"/>
    <w:multiLevelType w:val="multilevel"/>
    <w:tmpl w:val="5A644B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4BD6D39"/>
    <w:multiLevelType w:val="multilevel"/>
    <w:tmpl w:val="E8D6FE56"/>
    <w:lvl w:ilvl="0">
      <w:start w:val="1"/>
      <w:numFmt w:val="decimal"/>
      <w:lvlText w:val="%1."/>
      <w:lvlJc w:val="left"/>
      <w:pPr>
        <w:ind w:left="720" w:hanging="360"/>
      </w:pPr>
      <w:rPr>
        <w:u w:val="none"/>
        <w:shd w:val="clear" w:color="auto" w:fill="auto"/>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3F72BBA"/>
    <w:multiLevelType w:val="multilevel"/>
    <w:tmpl w:val="938C01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5C84C34"/>
    <w:multiLevelType w:val="multilevel"/>
    <w:tmpl w:val="46B2B0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20175279"/>
    <w:multiLevelType w:val="multilevel"/>
    <w:tmpl w:val="4FFC05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3CD2092"/>
    <w:multiLevelType w:val="multilevel"/>
    <w:tmpl w:val="5D8C4A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D9D1FFC"/>
    <w:multiLevelType w:val="multilevel"/>
    <w:tmpl w:val="7338A6EC"/>
    <w:lvl w:ilvl="0">
      <w:start w:val="1"/>
      <w:numFmt w:val="decimal"/>
      <w:lvlText w:val="%1."/>
      <w:lvlJc w:val="left"/>
      <w:pPr>
        <w:ind w:left="720" w:hanging="360"/>
      </w:pPr>
      <w:rPr>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E8C5CBD"/>
    <w:multiLevelType w:val="multilevel"/>
    <w:tmpl w:val="F2E842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71D1D85"/>
    <w:multiLevelType w:val="multilevel"/>
    <w:tmpl w:val="7CA2E6A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A074FD5"/>
    <w:multiLevelType w:val="multilevel"/>
    <w:tmpl w:val="E692EB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E377BBB"/>
    <w:multiLevelType w:val="multilevel"/>
    <w:tmpl w:val="1924DD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3CD5AA0"/>
    <w:multiLevelType w:val="multilevel"/>
    <w:tmpl w:val="EC2AB7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165602F"/>
    <w:multiLevelType w:val="multilevel"/>
    <w:tmpl w:val="519AD0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7A23111"/>
    <w:multiLevelType w:val="multilevel"/>
    <w:tmpl w:val="427866E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4" w15:restartNumberingAfterBreak="0">
    <w:nsid w:val="589E7061"/>
    <w:multiLevelType w:val="multilevel"/>
    <w:tmpl w:val="2ADEE5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EEF5118"/>
    <w:multiLevelType w:val="multilevel"/>
    <w:tmpl w:val="9498F9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10C4DA4"/>
    <w:multiLevelType w:val="multilevel"/>
    <w:tmpl w:val="9DEAB6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407380C"/>
    <w:multiLevelType w:val="multilevel"/>
    <w:tmpl w:val="E3F85A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69610CFE"/>
    <w:multiLevelType w:val="multilevel"/>
    <w:tmpl w:val="304642A6"/>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15:restartNumberingAfterBreak="0">
    <w:nsid w:val="76CF27F6"/>
    <w:multiLevelType w:val="multilevel"/>
    <w:tmpl w:val="64464C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786E5536"/>
    <w:multiLevelType w:val="multilevel"/>
    <w:tmpl w:val="645EC5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79186271"/>
    <w:multiLevelType w:val="multilevel"/>
    <w:tmpl w:val="A02401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7D8A698C"/>
    <w:multiLevelType w:val="multilevel"/>
    <w:tmpl w:val="FFB8C0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5"/>
  </w:num>
  <w:num w:numId="3">
    <w:abstractNumId w:val="14"/>
  </w:num>
  <w:num w:numId="4">
    <w:abstractNumId w:val="4"/>
  </w:num>
  <w:num w:numId="5">
    <w:abstractNumId w:val="10"/>
  </w:num>
  <w:num w:numId="6">
    <w:abstractNumId w:val="11"/>
  </w:num>
  <w:num w:numId="7">
    <w:abstractNumId w:val="17"/>
  </w:num>
  <w:num w:numId="8">
    <w:abstractNumId w:val="6"/>
  </w:num>
  <w:num w:numId="9">
    <w:abstractNumId w:val="7"/>
  </w:num>
  <w:num w:numId="10">
    <w:abstractNumId w:val="19"/>
  </w:num>
  <w:num w:numId="11">
    <w:abstractNumId w:val="16"/>
  </w:num>
  <w:num w:numId="12">
    <w:abstractNumId w:val="21"/>
  </w:num>
  <w:num w:numId="13">
    <w:abstractNumId w:val="8"/>
  </w:num>
  <w:num w:numId="14">
    <w:abstractNumId w:val="9"/>
  </w:num>
  <w:num w:numId="15">
    <w:abstractNumId w:val="20"/>
  </w:num>
  <w:num w:numId="16">
    <w:abstractNumId w:val="12"/>
  </w:num>
  <w:num w:numId="17">
    <w:abstractNumId w:val="22"/>
  </w:num>
  <w:num w:numId="18">
    <w:abstractNumId w:val="13"/>
  </w:num>
  <w:num w:numId="19">
    <w:abstractNumId w:val="0"/>
  </w:num>
  <w:num w:numId="20">
    <w:abstractNumId w:val="1"/>
  </w:num>
  <w:num w:numId="21">
    <w:abstractNumId w:val="18"/>
  </w:num>
  <w:num w:numId="22">
    <w:abstractNumId w:val="3"/>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34D"/>
    <w:rsid w:val="00420777"/>
    <w:rsid w:val="009C4A99"/>
    <w:rsid w:val="00B842B1"/>
    <w:rsid w:val="00BB534D"/>
    <w:rsid w:val="00D062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E8A30"/>
  <w15:docId w15:val="{1935A011-DEBF-44FE-BEF2-90AC9B0AC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sz w:val="22"/>
        <w:szCs w:val="22"/>
        <w:lang w:val="es" w:eastAsia="en-US" w:bidi="ar-SA"/>
      </w:rPr>
    </w:rPrDefault>
    <w:pPrDefault>
      <w:pPr>
        <w:spacing w:before="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color w:val="039BE5"/>
      <w:sz w:val="36"/>
      <w:szCs w:val="36"/>
    </w:rPr>
  </w:style>
  <w:style w:type="paragraph" w:styleId="Heading2">
    <w:name w:val="heading 2"/>
    <w:basedOn w:val="Normal"/>
    <w:next w:val="Normal"/>
    <w:uiPriority w:val="9"/>
    <w:unhideWhenUsed/>
    <w:qFormat/>
    <w:pPr>
      <w:keepNext/>
      <w:keepLines/>
      <w:outlineLvl w:val="1"/>
    </w:pPr>
    <w:rPr>
      <w:color w:val="E61A17"/>
      <w:sz w:val="28"/>
      <w:szCs w:val="28"/>
    </w:rPr>
  </w:style>
  <w:style w:type="paragraph" w:styleId="Heading3">
    <w:name w:val="heading 3"/>
    <w:basedOn w:val="Normal"/>
    <w:next w:val="Normal"/>
    <w:uiPriority w:val="9"/>
    <w:unhideWhenUsed/>
    <w:qFormat/>
    <w:pPr>
      <w:keepNext/>
      <w:keepLines/>
      <w:outlineLvl w:val="2"/>
    </w:pPr>
    <w:rPr>
      <w:color w:val="008A05"/>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1440" w:line="240" w:lineRule="auto"/>
    </w:pPr>
    <w:rPr>
      <w:b/>
      <w:color w:val="404040"/>
      <w:sz w:val="96"/>
      <w:szCs w:val="96"/>
    </w:rPr>
  </w:style>
  <w:style w:type="paragraph" w:styleId="Subtitle">
    <w:name w:val="Subtitle"/>
    <w:basedOn w:val="Normal"/>
    <w:next w:val="Normal"/>
    <w:uiPriority w:val="11"/>
    <w:qFormat/>
    <w:pPr>
      <w:keepNext/>
      <w:keepLines/>
      <w:spacing w:after="200"/>
    </w:pPr>
    <w:rPr>
      <w:sz w:val="32"/>
      <w:szCs w:val="32"/>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D06211"/>
    <w:pPr>
      <w:tabs>
        <w:tab w:val="center" w:pos="4680"/>
        <w:tab w:val="right" w:pos="9360"/>
      </w:tabs>
      <w:spacing w:before="0" w:line="240" w:lineRule="auto"/>
    </w:pPr>
  </w:style>
  <w:style w:type="character" w:customStyle="1" w:styleId="HeaderChar">
    <w:name w:val="Header Char"/>
    <w:basedOn w:val="DefaultParagraphFont"/>
    <w:link w:val="Header"/>
    <w:uiPriority w:val="99"/>
    <w:rsid w:val="00D06211"/>
  </w:style>
  <w:style w:type="paragraph" w:styleId="Footer">
    <w:name w:val="footer"/>
    <w:basedOn w:val="Normal"/>
    <w:link w:val="FooterChar"/>
    <w:uiPriority w:val="99"/>
    <w:unhideWhenUsed/>
    <w:rsid w:val="00D06211"/>
    <w:pPr>
      <w:tabs>
        <w:tab w:val="center" w:pos="4680"/>
        <w:tab w:val="right" w:pos="9360"/>
      </w:tabs>
      <w:spacing w:before="0" w:line="240" w:lineRule="auto"/>
    </w:pPr>
  </w:style>
  <w:style w:type="character" w:customStyle="1" w:styleId="FooterChar">
    <w:name w:val="Footer Char"/>
    <w:basedOn w:val="DefaultParagraphFont"/>
    <w:link w:val="Footer"/>
    <w:uiPriority w:val="99"/>
    <w:rsid w:val="00D062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inec.cr/sites/default/files/Documentos_PEN/Planes/pen_2018-2022.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en.inec.cr/sites/default/files/Documentos_MarcoLegal/lyley9694.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un.org/es/comun/docs/?symbol=A/70/1"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26" Type="http://schemas.openxmlformats.org/officeDocument/2006/relationships/hyperlink" Target="https://www.unicef.org/lac/informes/%C3%ADndice-de-bienestar-de-la-ni%C3%B1ez-y-la-adolescencia-en-costa-rica" TargetMode="External"/><Relationship Id="rId21" Type="http://schemas.openxmlformats.org/officeDocument/2006/relationships/hyperlink" Target="about:blank" TargetMode="External"/><Relationship Id="rId42" Type="http://schemas.openxmlformats.org/officeDocument/2006/relationships/hyperlink" Target="https://mocupp.org/cultivo-pina/" TargetMode="External"/><Relationship Id="rId47" Type="http://schemas.openxmlformats.org/officeDocument/2006/relationships/hyperlink" Target="https://climate-adapt.eea.europa.eu/metadata/publications/second-assessment-report-of-the-urban-climate-change-research-network" TargetMode="External"/><Relationship Id="rId63" Type="http://schemas.openxmlformats.org/officeDocument/2006/relationships/hyperlink" Target="http://ods.cr/recursos/2do-informe-nacional-voluntario-objetivos-de-desarrollo-sostenible-costa-rica-2020" TargetMode="External"/><Relationship Id="rId68" Type="http://schemas.openxmlformats.org/officeDocument/2006/relationships/hyperlink" Target="https://documents-dds-ny.un.org/doc/UNDOC/GEN/G09/143/63/PDF/G0914363.pdf?OpenElement" TargetMode="External"/><Relationship Id="rId7" Type="http://schemas.openxmlformats.org/officeDocument/2006/relationships/hyperlink" Target="https://repositorio.conare.ac.cr/handle/20.500.12337/7992" TargetMode="External"/><Relationship Id="rId71" Type="http://schemas.openxmlformats.org/officeDocument/2006/relationships/hyperlink" Target="https://www.daghammarskjold.se/publication/unds-2021/" TargetMode="External"/><Relationship Id="rId2" Type="http://schemas.openxmlformats.org/officeDocument/2006/relationships/hyperlink" Target="https://www.cepal.org/es/publicaciones/44969-panorama-social-america-latina-2019" TargetMode="External"/><Relationship Id="rId16" Type="http://schemas.openxmlformats.org/officeDocument/2006/relationships/hyperlink" Target="https://www.ohchr.org/SP/HRBodies/UPR/Pages/Documentation.aspx" TargetMode="External"/><Relationship Id="rId29" Type="http://schemas.openxmlformats.org/officeDocument/2006/relationships/hyperlink" Target="https://www.ilo.org/wcmsp5/groups/public/---americas/---ro-lima/---sro-san_jose/documents/publication/wcms_495187.pdf" TargetMode="External"/><Relationship Id="rId11" Type="http://schemas.openxmlformats.org/officeDocument/2006/relationships/hyperlink" Target="https://repositorio.conare.ac.cr/handle/20.500.12337/7992" TargetMode="External"/><Relationship Id="rId24" Type="http://schemas.openxmlformats.org/officeDocument/2006/relationships/hyperlink" Target="https://www.who.int/es/news-room/fact-sheets/detail/suicide" TargetMode="External"/><Relationship Id="rId32" Type="http://schemas.openxmlformats.org/officeDocument/2006/relationships/hyperlink" Target="https://www.inec.cr/noticia/disminuyo-trabajo-infantil-y-adolescente" TargetMode="External"/><Relationship Id="rId37" Type="http://schemas.openxmlformats.org/officeDocument/2006/relationships/hyperlink" Target="https://www.icriforum.org/wp-content/uploads/2020/11/Protocolo-Restauracio%CC%81n-Arrecifes-y-comunidades-Coralinas-CR-2020.pdf" TargetMode="External"/><Relationship Id="rId40" Type="http://schemas.openxmlformats.org/officeDocument/2006/relationships/hyperlink" Target="https://repositorio.conare.ac.cr/handle/20.500.12337/7798" TargetMode="External"/><Relationship Id="rId45" Type="http://schemas.openxmlformats.org/officeDocument/2006/relationships/hyperlink" Target="https://repositorio.conare.ac.cr/handle/20.500.12337/7798" TargetMode="External"/><Relationship Id="rId53" Type="http://schemas.openxmlformats.org/officeDocument/2006/relationships/hyperlink" Target="http://www.pelagicoscr.org/en/resource/pre-evaluacion-fip-costa-rica" TargetMode="External"/><Relationship Id="rId58" Type="http://schemas.openxmlformats.org/officeDocument/2006/relationships/hyperlink" Target="https://www.inec.cr/sites/default/files/documetos-biblioteca-virtual/renaho2020.pdf" TargetMode="External"/><Relationship Id="rId66" Type="http://schemas.openxmlformats.org/officeDocument/2006/relationships/hyperlink" Target="http://extwprlegs1.fao.org/docs/pdf/cos194517.pdf" TargetMode="External"/><Relationship Id="rId5" Type="http://schemas.openxmlformats.org/officeDocument/2006/relationships/hyperlink" Target="https://www.inec.cr/encuestas/encuesta-nacional-de-hogares" TargetMode="External"/><Relationship Id="rId61" Type="http://schemas.openxmlformats.org/officeDocument/2006/relationships/hyperlink" Target="http://unsr.vtaulicorpuz.org/site/index.php/es/declaraciones-comunicados/116-indigenous-jurisdiction" TargetMode="External"/><Relationship Id="rId19" Type="http://schemas.openxmlformats.org/officeDocument/2006/relationships/hyperlink" Target="https://www.inec.cr/sites/default/files/documetos-biblioteca-virtual/reenadis2018.pdf" TargetMode="External"/><Relationship Id="rId14" Type="http://schemas.openxmlformats.org/officeDocument/2006/relationships/hyperlink" Target="https://www.fao.org/costarica/noticias/detail-events/es/c/426096/" TargetMode="External"/><Relationship Id="rId22" Type="http://schemas.openxmlformats.org/officeDocument/2006/relationships/hyperlink" Target="about:blank" TargetMode="External"/><Relationship Id="rId27" Type="http://schemas.openxmlformats.org/officeDocument/2006/relationships/hyperlink" Target="https://www.imas.go.cr/sites/default/files/docs/Estrategia%20Puente%20al%20Desarrollo_1.pdf" TargetMode="External"/><Relationship Id="rId30" Type="http://schemas.openxmlformats.org/officeDocument/2006/relationships/hyperlink" Target="https://www.inec.cr/sites/default/files/documetos-biblioteca-virtual/reenaho2019.pdf" TargetMode="External"/><Relationship Id="rId35" Type="http://schemas.openxmlformats.org/officeDocument/2006/relationships/hyperlink" Target="https://documents-dds-ny.un.org/doc/UNDOC/GEN/G19/028/28/PDF/G1902828.pdf?OpenElement" TargetMode="External"/><Relationship Id="rId43" Type="http://schemas.openxmlformats.org/officeDocument/2006/relationships/hyperlink" Target="https://news.un.org/es/story/2020/02/1470021" TargetMode="External"/><Relationship Id="rId48" Type="http://schemas.openxmlformats.org/officeDocument/2006/relationships/hyperlink" Target="https://cgrfiles.cgr.go.cr/publico/docs_cgr/2017/SIGYD_D_2017015617.pdf" TargetMode="External"/><Relationship Id="rId56" Type="http://schemas.openxmlformats.org/officeDocument/2006/relationships/hyperlink" Target="http://www.pgrweb.go.cr/scij/Busqueda/Normativa/Normas/nrm_texto_completo.aspx?param1=NRTC&amp;nValor1=1&amp;nValor2=93239&amp;nValor3=123690&amp;strTipM=TC" TargetMode="External"/><Relationship Id="rId64" Type="http://schemas.openxmlformats.org/officeDocument/2006/relationships/hyperlink" Target="https://globalcompactrefugees.org/mirps-es" TargetMode="External"/><Relationship Id="rId69" Type="http://schemas.openxmlformats.org/officeDocument/2006/relationships/hyperlink" Target="https://www.imn.ac.cr/documents/10179/14641/SETIEMBRE" TargetMode="External"/><Relationship Id="rId8" Type="http://schemas.openxmlformats.org/officeDocument/2006/relationships/hyperlink" Target="https://www.comex.go.cr/media/8088/ana-lisis-sobre-la-evolucio-n-del-comercio-exterior-e-ied-en-costa-rica-2019final.pdf" TargetMode="External"/><Relationship Id="rId51" Type="http://schemas.openxmlformats.org/officeDocument/2006/relationships/hyperlink" Target="https://www.unicef.org/costarica/informes/politica-publica-de-la-persona-joven-2020-2024" TargetMode="External"/><Relationship Id="rId3" Type="http://schemas.openxmlformats.org/officeDocument/2006/relationships/hyperlink" Target="https://www.inec.cr/sites/default/files/documetos-biblioteca-virtual/coestdem2020.pdf" TargetMode="External"/><Relationship Id="rId12" Type="http://schemas.openxmlformats.org/officeDocument/2006/relationships/hyperlink" Target="https://www.inec.cr/sites/default/files/documetos-biblioteca-virtual/renaho2020.pdf" TargetMode="External"/><Relationship Id="rId17" Type="http://schemas.openxmlformats.org/officeDocument/2006/relationships/hyperlink" Target="https://www.cepal.org/es/publicaciones/45916-cuidados-america-latina-caribe-tiempos-covid-19-sistemas-integrales-fortalecer" TargetMode="External"/><Relationship Id="rId25" Type="http://schemas.openxmlformats.org/officeDocument/2006/relationships/hyperlink" Target="https://www.inec.cr/documento/encuesta-de-mujeres-ninez-y-adolescencia-2018-emna" TargetMode="External"/><Relationship Id="rId33" Type="http://schemas.openxmlformats.org/officeDocument/2006/relationships/hyperlink" Target="https://www.ilo.org/wcmsp5/groups/public/---americas/---ro-lima/---sro-san_jose/documents/publication/wcms_756742.pdf" TargetMode="External"/><Relationship Id="rId38" Type="http://schemas.openxmlformats.org/officeDocument/2006/relationships/hyperlink" Target="https://www.sciencedirect.com/science/article/pii/S0960982214016236" TargetMode="External"/><Relationship Id="rId46" Type="http://schemas.openxmlformats.org/officeDocument/2006/relationships/hyperlink" Target="https://www.desinventar.net/DesInventar/" TargetMode="External"/><Relationship Id="rId59" Type="http://schemas.openxmlformats.org/officeDocument/2006/relationships/hyperlink" Target="https://documents-dds-ny.un.org/doc/UNDOC/GEN/G19/206/07/PDF/G1920607.pdf?OpenElement%20recomendaciones%20111.54-56-58-138-155." TargetMode="External"/><Relationship Id="rId67" Type="http://schemas.openxmlformats.org/officeDocument/2006/relationships/hyperlink" Target="https://ap.ohchr.org/documents/dpage_s.aspx?m=167" TargetMode="External"/><Relationship Id="rId20" Type="http://schemas.openxmlformats.org/officeDocument/2006/relationships/hyperlink" Target="https://lac.unfpa.org/sites/default/files/pub-pdf/UNFPA-Info-Discapacidad%200304%20%281%29.pdf" TargetMode="External"/><Relationship Id="rId41" Type="http://schemas.openxmlformats.org/officeDocument/2006/relationships/hyperlink" Target="https://estadonacion.or.cr/informes/?utm_source=Google&amp;utm_medium=cpc&amp;utm_campaign=PEN" TargetMode="External"/><Relationship Id="rId54" Type="http://schemas.openxmlformats.org/officeDocument/2006/relationships/hyperlink" Target="http://www.sinac.go.cr/ES/docu/Informe%20pas/Resumen_VI-Informe.pdf" TargetMode="External"/><Relationship Id="rId62" Type="http://schemas.openxmlformats.org/officeDocument/2006/relationships/hyperlink" Target="http://ods.cr/sites/default/files/documentos/5-gobernanzacr-ods.pdf" TargetMode="External"/><Relationship Id="rId70" Type="http://schemas.openxmlformats.org/officeDocument/2006/relationships/hyperlink" Target="https://www.desinventar.net/DesInventar/profiletab.jsp?countrycode=cri&amp;lang=ES" TargetMode="External"/><Relationship Id="rId1" Type="http://schemas.openxmlformats.org/officeDocument/2006/relationships/hyperlink" Target="https://www.cepal.org/es/publicaciones/47043-la-paradoja-la-recuperacion-america-latina-caribe-crecimiento-persistentes" TargetMode="External"/><Relationship Id="rId6" Type="http://schemas.openxmlformats.org/officeDocument/2006/relationships/hyperlink" Target="https://publications.iadb.org/es/el-empleo-en-un-futuro-de-cero-emisiones-netas-en-america-latina-y-el-caribe" TargetMode="External"/><Relationship Id="rId15" Type="http://schemas.openxmlformats.org/officeDocument/2006/relationships/hyperlink" Target="https://publications.iadb.org/es/retos-ambientales-de-costa-rica" TargetMode="External"/><Relationship Id="rId23" Type="http://schemas.openxmlformats.org/officeDocument/2006/relationships/hyperlink" Target="https://blogs.iadb.org/migracion/es/migrantes-y-covid-19-que-estan-haciendo-los-paises-de-america-latina-con-mas-migrantes-para-apoyarlos-durante-la-pandemia/" TargetMode="External"/><Relationship Id="rId28" Type="http://schemas.openxmlformats.org/officeDocument/2006/relationships/hyperlink" Target="https://www.inec.cr/multimedia/enadis-2018-la-discapacidad-en-costa-rica" TargetMode="External"/><Relationship Id="rId36" Type="http://schemas.openxmlformats.org/officeDocument/2006/relationships/hyperlink" Target="https://www.icriforum.org/wp-content/uploads/2020/11/Protocolo-Restauracio%CC%81n-Arrecifes-y-comunidades-Coralinas-CR-2020.pdf" TargetMode="External"/><Relationship Id="rId49" Type="http://schemas.openxmlformats.org/officeDocument/2006/relationships/hyperlink" Target="https://www.presidencia.go.cr/comunicados/2018/07/9853-de-la-electricidad-generada-en-costa-rica-desde-2014-es-renovable/" TargetMode="External"/><Relationship Id="rId57" Type="http://schemas.openxmlformats.org/officeDocument/2006/relationships/hyperlink" Target="https://www.ohchr.org/SP/NewsEvents/Pages/DisplayNews.aspx?NewsID=24410&amp;LangID=S" TargetMode="External"/><Relationship Id="rId10" Type="http://schemas.openxmlformats.org/officeDocument/2006/relationships/hyperlink" Target="http://docstore.ohchr.org/SelfServices/FilesHandler.ashx?enc=4slQ6QSmlBEDzFEovLCuW%2flJb5himUu8z00PmnT%2bwQx%2b9J8SAyu4CC5wM75p5MNme4vrEAFQjFmDIYPkg2oz41libUwCwXzjz9jBVDBm7gtQycwiaNlEhl3AHgYB6zR1" TargetMode="External"/><Relationship Id="rId31" Type="http://schemas.openxmlformats.org/officeDocument/2006/relationships/hyperlink" Target="https://recursos.mep.go.cr/2020/sitioartes2/wp-content/uploads/2020/09/CIRCULAR-DM-0041-09-2020-19-de-setiembre-Final-VAC-rev-Giselle.pdf" TargetMode="External"/><Relationship Id="rId44" Type="http://schemas.openxmlformats.org/officeDocument/2006/relationships/hyperlink" Target="https://repositorio.conare.ac.cr/handle/20.500.12337/7798" TargetMode="External"/><Relationship Id="rId52" Type="http://schemas.openxmlformats.org/officeDocument/2006/relationships/hyperlink" Target="http://cglobal.imn.ac.cr/index.php/publications/bur2019/" TargetMode="External"/><Relationship Id="rId60" Type="http://schemas.openxmlformats.org/officeDocument/2006/relationships/hyperlink" Target="http://unsr.vtaulicorpuz.org/site/index.php/es/declaraciones-comunicados/116-indigenous-jurisdiction" TargetMode="External"/><Relationship Id="rId65" Type="http://schemas.openxmlformats.org/officeDocument/2006/relationships/hyperlink" Target="https://www.imf.org/en/Publications/CR/Issues/2019/04/13/Costa-Rica-2019-Article-IV-Consultation-Press-Release-Staff-Report-and-Statement-by-the-46812" TargetMode="External"/><Relationship Id="rId4" Type="http://schemas.openxmlformats.org/officeDocument/2006/relationships/hyperlink" Target="https://www.ministeriodesalud.go.cr/index.php/vigilancia-de-la-salud/indicadores-de-salud-boletines/4010-costa-rica-prospectiva-en-cambio-demografico-al-2045/file" TargetMode="External"/><Relationship Id="rId9" Type="http://schemas.openxmlformats.org/officeDocument/2006/relationships/hyperlink" Target="https://www.inec.cr/content/coeficiente-de-gini-costa-rica-total" TargetMode="External"/><Relationship Id="rId13" Type="http://schemas.openxmlformats.org/officeDocument/2006/relationships/hyperlink" Target="https://www.inec.cr/sites/default/files/documetos-biblioteca-virtual/renaho2020.pdf" TargetMode="External"/><Relationship Id="rId18" Type="http://schemas.openxmlformats.org/officeDocument/2006/relationships/hyperlink" Target="https://repositorio.conare.ac.cr/handle/20.500.12337/7992" TargetMode="External"/><Relationship Id="rId39" Type="http://schemas.openxmlformats.org/officeDocument/2006/relationships/hyperlink" Target="https://journals.plos.org/plosbiology/article?id=10.1371/journal.pbio.1001127" TargetMode="External"/><Relationship Id="rId34" Type="http://schemas.openxmlformats.org/officeDocument/2006/relationships/hyperlink" Target="http://www.sinac.go.cr/ES/docu/Informe%20pas/Resumen_VI-Informe.pdf" TargetMode="External"/><Relationship Id="rId50" Type="http://schemas.openxmlformats.org/officeDocument/2006/relationships/hyperlink" Target="https://cambioclimatico.go.cr/wp-content/uploads/2018/11/Politica-Nacional-de-Adaptacion-al-Cambio-Climatico.pdf" TargetMode="External"/><Relationship Id="rId55" Type="http://schemas.openxmlformats.org/officeDocument/2006/relationships/hyperlink" Target="https://repositorio.conare.ac.cr/handle/20.500.12337/799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89</Pages>
  <Words>35277</Words>
  <Characters>201082</Characters>
  <Application>Microsoft Office Word</Application>
  <DocSecurity>0</DocSecurity>
  <Lines>1675</Lines>
  <Paragraphs>471</Paragraphs>
  <ScaleCrop>false</ScaleCrop>
  <Company/>
  <LinksUpToDate>false</LinksUpToDate>
  <CharactersWithSpaces>235888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Adriana Sanchez</cp:lastModifiedBy>
  <cp:revision>3</cp:revision>
  <dcterms:created xsi:type="dcterms:W3CDTF">2022-08-10T21:59:00Z</dcterms:created>
  <dcterms:modified xsi:type="dcterms:W3CDTF">2022-08-11T20:29:00Z</dcterms:modified>
</cp:coreProperties>
</file>