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 Id="rId5" Type="http://schemas.microsoft.com/office/2020/02/relationships/classificationlabels" Target="docMetadata/LabelInfo.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7F63C" w14:textId="77777777" w:rsidR="00EA6DED" w:rsidRDefault="00EA6DED">
      <w:pPr>
        <w:widowControl w:val="0"/>
        <w:spacing w:line="276" w:lineRule="auto"/>
        <w:rPr>
          <w:vertAlign w:val="sub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EA6DED" w14:paraId="4337F63E" w14:textId="77777777">
        <w:tc>
          <w:tcPr>
            <w:tcW w:w="10195" w:type="dxa"/>
            <w:tcBorders>
              <w:top w:val="nil"/>
              <w:left w:val="nil"/>
              <w:bottom w:val="nil"/>
              <w:right w:val="nil"/>
            </w:tcBorders>
          </w:tcPr>
          <w:p w14:paraId="4337F63D" w14:textId="77777777" w:rsidR="00EA6DED" w:rsidRDefault="007504AE">
            <w:pPr>
              <w:widowControl w:val="0"/>
              <w:spacing w:line="276" w:lineRule="auto"/>
            </w:pPr>
            <w:r>
              <w:t xml:space="preserve">     </w:t>
            </w:r>
            <w:r>
              <w:rPr>
                <w:noProof/>
                <w:lang w:val="en-US" w:eastAsia="en-US"/>
              </w:rPr>
              <w:drawing>
                <wp:inline distT="0" distB="0" distL="0" distR="0" wp14:anchorId="4337FDD9" wp14:editId="4337FDDA">
                  <wp:extent cx="624205" cy="689610"/>
                  <wp:effectExtent l="0" t="0" r="0" b="0"/>
                  <wp:docPr id="1234835880"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835880" name="Imag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624205" cy="689610"/>
                          </a:xfrm>
                          <a:prstGeom prst="rect">
                            <a:avLst/>
                          </a:prstGeom>
                          <a:noFill/>
                          <a:ln>
                            <a:noFill/>
                          </a:ln>
                        </pic:spPr>
                      </pic:pic>
                    </a:graphicData>
                  </a:graphic>
                </wp:inline>
              </w:drawing>
            </w:r>
            <w:r>
              <w:t xml:space="preserve">                                               </w:t>
            </w:r>
            <w:r>
              <w:rPr>
                <w:noProof/>
                <w:lang w:val="en-US" w:eastAsia="en-US"/>
              </w:rPr>
              <w:drawing>
                <wp:inline distT="0" distB="0" distL="0" distR="0" wp14:anchorId="4337FDDB" wp14:editId="4337FDDC">
                  <wp:extent cx="787400" cy="588645"/>
                  <wp:effectExtent l="0" t="0" r="0" b="0"/>
                  <wp:docPr id="424758666" name="Image 6" descr="page1image1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758666" name="Image 6" descr="page1image178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787400" cy="588645"/>
                          </a:xfrm>
                          <a:prstGeom prst="rect">
                            <a:avLst/>
                          </a:prstGeom>
                          <a:noFill/>
                          <a:ln>
                            <a:noFill/>
                          </a:ln>
                        </pic:spPr>
                      </pic:pic>
                    </a:graphicData>
                  </a:graphic>
                </wp:inline>
              </w:drawing>
            </w:r>
            <w:r>
              <w:t xml:space="preserve">                        </w:t>
            </w:r>
            <w:r>
              <w:rPr>
                <w:noProof/>
                <w:lang w:val="en-US" w:eastAsia="en-US"/>
              </w:rPr>
              <w:drawing>
                <wp:inline distT="0" distB="0" distL="0" distR="0" wp14:anchorId="4337FDDD" wp14:editId="4337FDDE">
                  <wp:extent cx="1912620" cy="666750"/>
                  <wp:effectExtent l="0" t="0" r="0" b="0"/>
                  <wp:docPr id="1168927125"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927125" name="Imag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912620" cy="666750"/>
                          </a:xfrm>
                          <a:prstGeom prst="rect">
                            <a:avLst/>
                          </a:prstGeom>
                          <a:noFill/>
                          <a:ln>
                            <a:noFill/>
                          </a:ln>
                        </pic:spPr>
                      </pic:pic>
                    </a:graphicData>
                  </a:graphic>
                </wp:inline>
              </w:drawing>
            </w:r>
            <w:r>
              <w:t xml:space="preserve">                   </w:t>
            </w:r>
            <w:r>
              <w:fldChar w:fldCharType="begin"/>
            </w:r>
            <w:r>
              <w:instrText xml:space="preserve"> INCLUDEPICTURE "C:\\..\\..\\..\\..\\var\\folders\\9j\\2b3mbz2d6rj3ql9jty9cbx080000gn\\T\\com.microsoft.Word\\WebArchiveCopyPasteTempFiles\\page1image1784" \* MERGEFORMAT </w:instrText>
            </w:r>
            <w:r>
              <w:fldChar w:fldCharType="end"/>
            </w:r>
            <w:r>
              <w:t xml:space="preserve">                                                                                               </w:t>
            </w:r>
          </w:p>
        </w:tc>
      </w:tr>
    </w:tbl>
    <w:p w14:paraId="4337F63F" w14:textId="77777777" w:rsidR="00EA6DED" w:rsidRDefault="00EA6DED">
      <w:pPr>
        <w:shd w:val="clear" w:color="auto" w:fill="FFFFFF"/>
        <w:rPr>
          <w:rFonts w:eastAsia="Arial"/>
          <w:szCs w:val="28"/>
        </w:rPr>
      </w:pPr>
    </w:p>
    <w:p w14:paraId="4337F640" w14:textId="77777777" w:rsidR="00EA6DED" w:rsidRDefault="00EA6DED">
      <w:pPr>
        <w:shd w:val="clear" w:color="auto" w:fill="FFFFFF"/>
        <w:rPr>
          <w:rFonts w:eastAsia="Arial"/>
          <w:szCs w:val="28"/>
        </w:rPr>
      </w:pPr>
    </w:p>
    <w:p w14:paraId="4337F641" w14:textId="77777777" w:rsidR="00EA6DED" w:rsidRDefault="00D048A9">
      <w:pPr>
        <w:widowControl w:val="0"/>
        <w:spacing w:line="276" w:lineRule="auto"/>
      </w:pPr>
      <w:r>
        <w:rPr>
          <w:noProof/>
        </w:rPr>
        <mc:AlternateContent>
          <mc:Choice Requires="wps">
            <w:drawing>
              <wp:anchor distT="0" distB="0" distL="114300" distR="114300" simplePos="0" relativeHeight="251667456" behindDoc="0" locked="0" layoutInCell="1" allowOverlap="1" wp14:anchorId="4337FDDF" wp14:editId="4337FDE0">
                <wp:simplePos x="0" y="0"/>
                <wp:positionH relativeFrom="column">
                  <wp:posOffset>2292765</wp:posOffset>
                </wp:positionH>
                <wp:positionV relativeFrom="paragraph">
                  <wp:posOffset>2308225</wp:posOffset>
                </wp:positionV>
                <wp:extent cx="1855960" cy="363220"/>
                <wp:effectExtent l="0" t="0" r="0" b="5080"/>
                <wp:wrapNone/>
                <wp:docPr id="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855960" cy="363220"/>
                        </a:xfrm>
                        <a:prstGeom prst="rect">
                          <a:avLst/>
                        </a:prstGeom>
                        <a:solidFill>
                          <a:srgbClr val="DDEAF6"/>
                        </a:solidFill>
                        <a:ln>
                          <a:noFill/>
                        </a:ln>
                      </wps:spPr>
                      <wps:txbx>
                        <w:txbxContent>
                          <w:p w14:paraId="4337FF33" w14:textId="77777777" w:rsidR="00D048A9" w:rsidRPr="00D048A9" w:rsidRDefault="00D048A9" w:rsidP="00D048A9">
                            <w:pPr>
                              <w:spacing w:line="474" w:lineRule="auto"/>
                              <w:rPr>
                                <w:lang w:val="en-US"/>
                              </w:rPr>
                            </w:pPr>
                            <w:r w:rsidRPr="00D048A9">
                              <w:rPr>
                                <w:b/>
                                <w:color w:val="002060"/>
                                <w:sz w:val="44"/>
                                <w:lang w:val="en-US"/>
                              </w:rPr>
                              <w:t xml:space="preserve">Rapport </w:t>
                            </w:r>
                            <w:r>
                              <w:rPr>
                                <w:b/>
                                <w:color w:val="002060"/>
                                <w:sz w:val="44"/>
                                <w:lang w:val="en-US"/>
                              </w:rPr>
                              <w:t xml:space="preserve">final </w:t>
                            </w:r>
                            <w:r w:rsidRPr="00D048A9">
                              <w:rPr>
                                <w:b/>
                                <w:color w:val="002060"/>
                                <w:sz w:val="44"/>
                                <w:lang w:val="en-US"/>
                              </w:rPr>
                              <w:t>CCamerounCamerounCamerounCamerounCamerounCameroun CamerounCamerounCamerounCamerounCamerounCamerounCamerounCamerounCamerounCamerounCamerounCameroungoCamerounCamerounCamerounCamerounCamerounCameround’Ivoire</w:t>
                            </w:r>
                          </w:p>
                        </w:txbxContent>
                      </wps:txbx>
                      <wps:bodyPr spcFirstLastPara="1" wrap="square" lIns="0" tIns="0" rIns="0" bIns="0" anchor="t" anchorCtr="0">
                        <a:noAutofit/>
                      </wps:bodyPr>
                    </wps:wsp>
                  </a:graphicData>
                </a:graphic>
                <wp14:sizeRelH relativeFrom="margin">
                  <wp14:pctWidth>0</wp14:pctWidth>
                </wp14:sizeRelH>
              </wp:anchor>
            </w:drawing>
          </mc:Choice>
          <mc:Fallback>
            <w:pict>
              <v:rect w14:anchorId="73542BC6" id="Rectangle 16" o:spid="_x0000_s1026" style="position:absolute;margin-left:180.55pt;margin-top:181.75pt;width:146.15pt;height:28.6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" fillcolor="#ddeaf6" stroked="f">
                <v:textbox inset="0,0,0,0">
                  <w:txbxContent>
                    <w:p w:rsidR="00D048A9" w:rsidRPr="00D048A9" w:rsidRDefault="00D048A9" w:rsidP="00D048A9">
                      <w:pPr>
                        <w:spacing w:line="474" w:lineRule="auto"/>
                        <w:rPr>
                          <w:lang w:val="en-US"/>
                        </w:rPr>
                      </w:pPr>
                      <w:r w:rsidRPr="00D048A9">
                        <w:rPr>
                          <w:b/>
                          <w:color w:val="002060"/>
                          <w:sz w:val="44"/>
                          <w:lang w:val="en-US"/>
                        </w:rPr>
                        <w:t>R</w:t>
                      </w:r>
                      <w:r w:rsidRPr="00D048A9">
                        <w:rPr>
                          <w:b/>
                          <w:color w:val="002060"/>
                          <w:sz w:val="44"/>
                          <w:lang w:val="en-US"/>
                        </w:rPr>
                        <w:t xml:space="preserve">apport </w:t>
                      </w:r>
                      <w:r>
                        <w:rPr>
                          <w:b/>
                          <w:color w:val="002060"/>
                          <w:sz w:val="44"/>
                          <w:lang w:val="en-US"/>
                        </w:rPr>
                        <w:t xml:space="preserve">final </w:t>
                      </w:r>
                      <w:r w:rsidRPr="00D048A9">
                        <w:rPr>
                          <w:b/>
                          <w:color w:val="002060"/>
                          <w:sz w:val="44"/>
                          <w:lang w:val="en-US"/>
                        </w:rPr>
                        <w:t>CCamerounCamerounCamerounCamerounCamerounCameroun CamerounCamerounCamerounCamerounCamerounCamerounCamerounCamerounCamerounCamerounCamerounCameroungoCamerounCamerounCamerounCamerounCamerounCameround’Ivoire</w:t>
                      </w:r>
                    </w:p>
                  </w:txbxContent>
                </v:textbox>
              </v:rect>
            </w:pict>
          </mc:Fallback>
        </mc:AlternateContent>
      </w:r>
      <w:r>
        <w:rPr>
          <w:noProof/>
        </w:rPr>
        <mc:AlternateContent>
          <mc:Choice Requires="wpg">
            <w:drawing>
              <wp:anchor distT="0" distB="0" distL="0" distR="0" simplePos="0" relativeHeight="251663360" behindDoc="0" locked="0" layoutInCell="1" allowOverlap="1" wp14:anchorId="4337FDE1" wp14:editId="4337FDE2">
                <wp:simplePos x="0" y="0"/>
                <wp:positionH relativeFrom="column">
                  <wp:posOffset>74930</wp:posOffset>
                </wp:positionH>
                <wp:positionV relativeFrom="paragraph">
                  <wp:posOffset>353060</wp:posOffset>
                </wp:positionV>
                <wp:extent cx="6351270" cy="2625090"/>
                <wp:effectExtent l="0" t="0" r="0" b="3810"/>
                <wp:wrapTopAndBottom/>
                <wp:docPr id="1749894606" name="Groupe 66"/>
                <wp:cNvGraphicFramePr/>
                <a:graphic xmlns:a="http://schemas.openxmlformats.org/drawingml/2006/main">
                  <a:graphicData uri="http://schemas.microsoft.com/office/word/2010/wordprocessingGroup">
                    <wpg:wgp>
                      <wpg:cNvGrpSpPr/>
                      <wpg:grpSpPr>
                        <a:xfrm>
                          <a:off x="0" y="0"/>
                          <a:ext cx="6351270" cy="2625090"/>
                          <a:chOff x="2170350" y="2467450"/>
                          <a:chExt cx="6351300" cy="2625100"/>
                        </a:xfrm>
                      </wpg:grpSpPr>
                      <wpg:grpSp>
                        <wpg:cNvPr id="1749894607" name="Groupe 4"/>
                        <wpg:cNvGrpSpPr/>
                        <wpg:grpSpPr>
                          <a:xfrm>
                            <a:off x="2170365" y="2467455"/>
                            <a:ext cx="6351270" cy="2625090"/>
                            <a:chOff x="2170350" y="2467450"/>
                            <a:chExt cx="6351300" cy="2625100"/>
                          </a:xfrm>
                        </wpg:grpSpPr>
                        <wps:wsp>
                          <wps:cNvPr id="1749894608" name="Rectangle 5"/>
                          <wps:cNvSpPr>
                            <a:spLocks noChangeArrowheads="1"/>
                          </wps:cNvSpPr>
                          <wps:spPr>
                            <a:xfrm>
                              <a:off x="2170350" y="2467450"/>
                              <a:ext cx="6351300" cy="2625100"/>
                            </a:xfrm>
                            <a:prstGeom prst="rect">
                              <a:avLst/>
                            </a:prstGeom>
                            <a:noFill/>
                            <a:ln>
                              <a:noFill/>
                            </a:ln>
                          </wps:spPr>
                          <wps:txbx>
                            <w:txbxContent>
                              <w:p w14:paraId="4337FF34" w14:textId="77777777" w:rsidR="00EA6DED" w:rsidRDefault="00EA6DED"/>
                            </w:txbxContent>
                          </wps:txbx>
                          <wps:bodyPr spcFirstLastPara="1" wrap="square" lIns="91425" tIns="91425" rIns="91425" bIns="91425" anchor="ctr" anchorCtr="0">
                            <a:noAutofit/>
                          </wps:bodyPr>
                        </wps:wsp>
                        <wpg:grpSp>
                          <wpg:cNvPr id="1749894609" name="Groupe 6"/>
                          <wpg:cNvGrpSpPr/>
                          <wpg:grpSpPr>
                            <a:xfrm>
                              <a:off x="2170365" y="2467455"/>
                              <a:ext cx="6351270" cy="2625090"/>
                              <a:chOff x="2170350" y="2467450"/>
                              <a:chExt cx="6351300" cy="2625300"/>
                            </a:xfrm>
                          </wpg:grpSpPr>
                          <wps:wsp>
                            <wps:cNvPr id="1749894611" name="Rectangle 7"/>
                            <wps:cNvSpPr>
                              <a:spLocks noChangeArrowheads="1"/>
                            </wps:cNvSpPr>
                            <wps:spPr>
                              <a:xfrm>
                                <a:off x="2170350" y="2467450"/>
                                <a:ext cx="6351300" cy="2625300"/>
                              </a:xfrm>
                              <a:prstGeom prst="rect">
                                <a:avLst/>
                              </a:prstGeom>
                              <a:noFill/>
                              <a:ln>
                                <a:noFill/>
                              </a:ln>
                            </wps:spPr>
                            <wps:txbx>
                              <w:txbxContent>
                                <w:p w14:paraId="4337FF35" w14:textId="77777777" w:rsidR="00EA6DED" w:rsidRDefault="00EA6DED"/>
                              </w:txbxContent>
                            </wps:txbx>
                            <wps:bodyPr spcFirstLastPara="1" wrap="square" lIns="91425" tIns="91425" rIns="91425" bIns="91425" anchor="ctr" anchorCtr="0">
                              <a:noAutofit/>
                            </wps:bodyPr>
                          </wps:wsp>
                          <wpg:grpSp>
                            <wpg:cNvPr id="1749894612" name="Groupe 8"/>
                            <wpg:cNvGrpSpPr/>
                            <wpg:grpSpPr>
                              <a:xfrm>
                                <a:off x="2170365" y="2467455"/>
                                <a:ext cx="6351270" cy="2625090"/>
                                <a:chOff x="2170350" y="2467450"/>
                                <a:chExt cx="6351300" cy="2626800"/>
                              </a:xfrm>
                            </wpg:grpSpPr>
                            <wps:wsp>
                              <wps:cNvPr id="1749894613" name="Rectangle 9"/>
                              <wps:cNvSpPr>
                                <a:spLocks noChangeArrowheads="1"/>
                              </wps:cNvSpPr>
                              <wps:spPr>
                                <a:xfrm>
                                  <a:off x="2170350" y="2467450"/>
                                  <a:ext cx="6351300" cy="2626800"/>
                                </a:xfrm>
                                <a:prstGeom prst="rect">
                                  <a:avLst/>
                                </a:prstGeom>
                                <a:solidFill>
                                  <a:srgbClr val="DDEAF6"/>
                                </a:solidFill>
                                <a:ln>
                                  <a:noFill/>
                                </a:ln>
                              </wps:spPr>
                              <wps:txbx>
                                <w:txbxContent>
                                  <w:p w14:paraId="4337FF36" w14:textId="77777777" w:rsidR="00EA6DED" w:rsidRDefault="00EA6DED"/>
                                </w:txbxContent>
                              </wps:txbx>
                              <wps:bodyPr spcFirstLastPara="1" wrap="square" lIns="91425" tIns="91425" rIns="91425" bIns="91425" anchor="ctr" anchorCtr="0">
                                <a:noAutofit/>
                              </wps:bodyPr>
                            </wps:wsp>
                            <wpg:grpSp>
                              <wpg:cNvPr id="1749894614" name="Groupe 10"/>
                              <wpg:cNvGrpSpPr/>
                              <wpg:grpSpPr>
                                <a:xfrm>
                                  <a:off x="2170365" y="2467455"/>
                                  <a:ext cx="6351270" cy="2625090"/>
                                  <a:chOff x="2170350" y="2467450"/>
                                  <a:chExt cx="6351300" cy="2638750"/>
                                </a:xfrm>
                              </wpg:grpSpPr>
                              <wps:wsp>
                                <wps:cNvPr id="1749894615" name="Rectangle 11"/>
                                <wps:cNvSpPr>
                                  <a:spLocks noChangeArrowheads="1"/>
                                </wps:cNvSpPr>
                                <wps:spPr>
                                  <a:xfrm>
                                    <a:off x="2170350" y="2467450"/>
                                    <a:ext cx="6351300" cy="2638750"/>
                                  </a:xfrm>
                                  <a:prstGeom prst="rect">
                                    <a:avLst/>
                                  </a:prstGeom>
                                  <a:solidFill>
                                    <a:srgbClr val="DDEAF6"/>
                                  </a:solidFill>
                                  <a:ln>
                                    <a:noFill/>
                                  </a:ln>
                                </wps:spPr>
                                <wps:txbx>
                                  <w:txbxContent>
                                    <w:p w14:paraId="4337FF37" w14:textId="77777777" w:rsidR="00EA6DED" w:rsidRDefault="00EA6DED"/>
                                  </w:txbxContent>
                                </wps:txbx>
                                <wps:bodyPr spcFirstLastPara="1" wrap="square" lIns="91425" tIns="91425" rIns="91425" bIns="91425" anchor="ctr" anchorCtr="0">
                                  <a:noAutofit/>
                                </wps:bodyPr>
                              </wps:wsp>
                              <wpg:grpSp>
                                <wpg:cNvPr id="1749894616" name="Groupe 12"/>
                                <wpg:cNvGrpSpPr/>
                                <wpg:grpSpPr>
                                  <a:xfrm>
                                    <a:off x="2170365" y="2467455"/>
                                    <a:ext cx="6351270" cy="2625088"/>
                                    <a:chOff x="158784" y="213201"/>
                                    <a:chExt cx="5066233" cy="2625700"/>
                                  </a:xfrm>
                                </wpg:grpSpPr>
                                <wps:wsp>
                                  <wps:cNvPr id="1749894617" name="Rectangle 13"/>
                                  <wps:cNvSpPr>
                                    <a:spLocks noChangeArrowheads="1"/>
                                  </wps:cNvSpPr>
                                  <wps:spPr>
                                    <a:xfrm>
                                      <a:off x="158784" y="213201"/>
                                      <a:ext cx="5066225" cy="2625700"/>
                                    </a:xfrm>
                                    <a:prstGeom prst="rect">
                                      <a:avLst/>
                                    </a:prstGeom>
                                    <a:solidFill>
                                      <a:srgbClr val="DDEAF6"/>
                                    </a:solidFill>
                                    <a:ln>
                                      <a:noFill/>
                                    </a:ln>
                                  </wps:spPr>
                                  <wps:txbx>
                                    <w:txbxContent>
                                      <w:p w14:paraId="4337FF38" w14:textId="77777777" w:rsidR="00EA6DED" w:rsidRDefault="00EA6DED"/>
                                    </w:txbxContent>
                                  </wps:txbx>
                                  <wps:bodyPr spcFirstLastPara="1" wrap="square" lIns="91425" tIns="91425" rIns="91425" bIns="91425" anchor="ctr" anchorCtr="0">
                                    <a:noAutofit/>
                                  </wps:bodyPr>
                                </wps:wsp>
                                <wps:wsp>
                                  <wps:cNvPr id="1749894618" name="Forme libre : forme 1477351760"/>
                                  <wps:cNvSpPr>
                                    <a:spLocks noChangeArrowheads="1"/>
                                  </wps:cNvSpPr>
                                  <wps:spPr>
                                    <a:xfrm>
                                      <a:off x="1760122" y="2267684"/>
                                      <a:ext cx="1746885" cy="1270"/>
                                    </a:xfrm>
                                    <a:custGeom>
                                      <a:avLst/>
                                      <a:gdLst/>
                                      <a:ahLst/>
                                      <a:cxnLst/>
                                      <a:rect l="l" t="t" r="r" b="b"/>
                                      <a:pathLst>
                                        <a:path w="1746885" h="120000" extrusionOk="0">
                                          <a:moveTo>
                                            <a:pt x="0" y="0"/>
                                          </a:moveTo>
                                          <a:lnTo>
                                            <a:pt x="1746841" y="0"/>
                                          </a:lnTo>
                                        </a:path>
                                      </a:pathLst>
                                    </a:custGeom>
                                    <a:solidFill>
                                      <a:srgbClr val="DDEAF6"/>
                                    </a:solidFill>
                                    <a:ln>
                                      <a:noFill/>
                                    </a:ln>
                                  </wps:spPr>
                                  <wps:bodyPr spcFirstLastPara="1" wrap="square" lIns="91425" tIns="91425" rIns="91425" bIns="91425" anchor="ctr" anchorCtr="0">
                                    <a:noAutofit/>
                                  </wps:bodyPr>
                                </wps:wsp>
                                <wps:wsp>
                                  <wps:cNvPr id="1749894619" name="Rectangle 15"/>
                                  <wps:cNvSpPr>
                                    <a:spLocks noChangeArrowheads="1"/>
                                  </wps:cNvSpPr>
                                  <wps:spPr>
                                    <a:xfrm>
                                      <a:off x="158784" y="213201"/>
                                      <a:ext cx="5066233" cy="2054483"/>
                                    </a:xfrm>
                                    <a:prstGeom prst="rect">
                                      <a:avLst/>
                                    </a:prstGeom>
                                    <a:solidFill>
                                      <a:srgbClr val="DDEAF6"/>
                                    </a:solidFill>
                                    <a:ln>
                                      <a:noFill/>
                                    </a:ln>
                                  </wps:spPr>
                                  <wps:txbx>
                                    <w:txbxContent>
                                      <w:p w14:paraId="4337FF39" w14:textId="77777777" w:rsidR="00EA6DED" w:rsidRDefault="00EA6DED">
                                        <w:pPr>
                                          <w:spacing w:before="3" w:line="234" w:lineRule="auto"/>
                                          <w:ind w:right="20"/>
                                          <w:jc w:val="center"/>
                                          <w:rPr>
                                            <w:color w:val="00B0F0"/>
                                          </w:rPr>
                                        </w:pPr>
                                      </w:p>
                                      <w:p w14:paraId="4337FF3A" w14:textId="77777777" w:rsidR="00EA6DED" w:rsidRDefault="007504AE" w:rsidP="00D048A9">
                                        <w:pPr>
                                          <w:spacing w:before="3" w:line="234" w:lineRule="auto"/>
                                          <w:ind w:right="20"/>
                                          <w:jc w:val="center"/>
                                          <w:rPr>
                                            <w:color w:val="00B0F0"/>
                                            <w:sz w:val="22"/>
                                          </w:rPr>
                                        </w:pPr>
                                        <w:r>
                                          <w:rPr>
                                            <w:b/>
                                            <w:color w:val="00B0F0"/>
                                            <w:sz w:val="36"/>
                                          </w:rPr>
                                          <w:t>EVALUATION FINALE INDEPENDANTE DU PLAN-CADRE DE COOPERATION DES NATIONS UNIES POUR LE DEVELOPPEMENT DURABLE 2022-2026</w:t>
                                        </w:r>
                                      </w:p>
                                    </w:txbxContent>
                                  </wps:txbx>
                                  <wps:bodyPr spcFirstLastPara="1" wrap="square" lIns="0" tIns="0" rIns="0" bIns="0" anchor="t" anchorCtr="0">
                                    <a:noAutofit/>
                                  </wps:bodyPr>
                                </wps:wsp>
                                <wps:wsp>
                                  <wps:cNvPr id="1749894620" name="Rectangle 16"/>
                                  <wps:cNvSpPr>
                                    <a:spLocks noChangeArrowheads="1"/>
                                  </wps:cNvSpPr>
                                  <wps:spPr>
                                    <a:xfrm>
                                      <a:off x="1237242" y="1368679"/>
                                      <a:ext cx="2729635" cy="365770"/>
                                    </a:xfrm>
                                    <a:prstGeom prst="rect">
                                      <a:avLst/>
                                    </a:prstGeom>
                                    <a:solidFill>
                                      <a:srgbClr val="DDEAF6"/>
                                    </a:solidFill>
                                    <a:ln>
                                      <a:noFill/>
                                    </a:ln>
                                  </wps:spPr>
                                  <wps:txbx>
                                    <w:txbxContent>
                                      <w:p w14:paraId="4337FF3B" w14:textId="77777777" w:rsidR="00EA6DED" w:rsidRDefault="007504AE">
                                        <w:pPr>
                                          <w:spacing w:line="474" w:lineRule="auto"/>
                                        </w:pPr>
                                        <w:r>
                                          <w:rPr>
                                            <w:b/>
                                            <w:color w:val="002060"/>
                                            <w:sz w:val="44"/>
                                          </w:rPr>
                                          <w:t>République du Cameroun CCamerounCamerounCamerounCamerounCamerounCameroun CamerounCamerounCamerounCamerounCamerounCamerounCamerounCamerounCamerounCamerounCamerounCameroungoCamerounCamerounCamerounCamerounCamerounCameround’Ivoire</w:t>
                                        </w:r>
                                      </w:p>
                                    </w:txbxContent>
                                  </wps:txbx>
                                  <wps:bodyPr spcFirstLastPara="1" wrap="square" lIns="0" tIns="0" rIns="0" bIns="0" anchor="t" anchorCtr="0">
                                    <a:noAutofit/>
                                  </wps:bodyPr>
                                </wps:wsp>
                              </wpg:grpSp>
                            </wpg:grpSp>
                          </wpg:grpSp>
                        </wpg:grpSp>
                      </wpg:grpSp>
                    </wpg:wgp>
                  </a:graphicData>
                </a:graphic>
              </wp:anchor>
            </w:drawing>
          </mc:Choice>
          <mc:Fallback>
            <w:pict>
              <v:group id="Groupe 66" o:spid="_x0000_s1027" style="position:absolute;margin-left:5.9pt;margin-top:27.8pt;width:500.1pt;height:206.7pt;z-index:251663360;mso-wrap-distance-left:0;mso-wrap-distance-right:0" coordorigin="21703,24674" coordsize="63513,26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">
                <v:group id="Groupe 4" o:spid="_x0000_s1028" style="position:absolute;left:21703;top:24674;width:63513;height:26251" coordorigin="21703,24674" coordsize="63513,26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">
                  <v:rect id="Rectangle 5" o:spid="_x0000_s1029" style="position:absolute;left:21703;top:24674;width:63513;height:262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" filled="f" stroked="f">
                    <v:textbox inset="2.53958mm,2.53958mm,2.53958mm,2.53958mm">
                      <w:txbxContent>
                        <w:p w:rsidR="00EA6DED" w:rsidRDefault="00EA6DED"/>
                      </w:txbxContent>
                    </v:textbox>
                  </v:rect>
                  <v:group id="Groupe 6" o:spid="_x0000_s1030" style="position:absolute;left:21703;top:24674;width:63513;height:26251" coordorigin="21703,24674" coordsize="63513,26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">
                    <v:rect id="Rectangle 7" o:spid="_x0000_s1031" style="position:absolute;left:21703;top:24674;width:63513;height:262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" filled="f" stroked="f">
                      <v:textbox inset="2.53958mm,2.53958mm,2.53958mm,2.53958mm">
                        <w:txbxContent>
                          <w:p w:rsidR="00EA6DED" w:rsidRDefault="00EA6DED"/>
                        </w:txbxContent>
                      </v:textbox>
                    </v:rect>
                    <v:group id="Groupe 8" o:spid="_x0000_s1032" style="position:absolute;left:21703;top:24674;width:63513;height:26251" coordorigin="21703,24674" coordsize="63513,26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">
                      <v:rect id="Rectangle 9" o:spid="_x0000_s1033" style="position:absolute;left:21703;top:24674;width:63513;height:262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" fillcolor="#ddeaf6" stroked="f">
                        <v:textbox inset="2.53958mm,2.53958mm,2.53958mm,2.53958mm">
                          <w:txbxContent>
                            <w:p w:rsidR="00EA6DED" w:rsidRDefault="00EA6DED"/>
                          </w:txbxContent>
                        </v:textbox>
                      </v:rect>
                      <v:group id="Groupe 10" o:spid="_x0000_s1034" style="position:absolute;left:21703;top:24674;width:63513;height:26251" coordorigin="21703,24674" coordsize="63513,263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">
                        <v:rect id="Rectangle 11" o:spid="_x0000_s1035" style="position:absolute;left:21703;top:24674;width:63513;height:263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" fillcolor="#ddeaf6" stroked="f">
                          <v:textbox inset="2.53958mm,2.53958mm,2.53958mm,2.53958mm">
                            <w:txbxContent>
                              <w:p w:rsidR="00EA6DED" w:rsidRDefault="00EA6DED"/>
                            </w:txbxContent>
                          </v:textbox>
                        </v:rect>
                        <v:group id="Groupe 12" o:spid="_x0000_s1036" style="position:absolute;left:21703;top:24674;width:63513;height:26251" coordorigin="1587,2132" coordsize="50662,26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">
                          <v:rect id="Rectangle 13" o:spid="_x0000_s1037" style="position:absolute;left:1587;top:2132;width:50663;height:26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" fillcolor="#ddeaf6" stroked="f">
                            <v:textbox inset="2.53958mm,2.53958mm,2.53958mm,2.53958mm">
                              <w:txbxContent>
                                <w:p w:rsidR="00EA6DED" w:rsidRDefault="00EA6DED"/>
                              </w:txbxContent>
                            </v:textbox>
                          </v:rect>
                          <v:shape id="Forme libre : forme 1477351760" o:spid="_x0000_s1038" style="position:absolute;left:17601;top:22676;width:17469;height:13;visibility:visible;mso-wrap-style:square;v-text-anchor:middle" coordsize="1746885,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" path="m,l1746841,e" fillcolor="#ddeaf6" stroked="f">
                            <v:path arrowok="t" o:extrusionok="f"/>
                          </v:shape>
                          <v:rect id="Rectangle 15" o:spid="_x0000_s1039" style="position:absolute;left:1587;top:2132;width:50663;height:20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" fillcolor="#ddeaf6" stroked="f">
                            <v:textbox inset="0,0,0,0">
                              <w:txbxContent>
                                <w:p w:rsidR="00EA6DED" w:rsidRDefault="00EA6DED">
                                  <w:pPr>
                                    <w:spacing w:before="3" w:line="234" w:lineRule="auto"/>
                                    <w:ind w:right="20"/>
                                    <w:jc w:val="center"/>
                                    <w:rPr>
                                      <w:color w:val="00B0F0"/>
                                    </w:rPr>
                                  </w:pPr>
                                </w:p>
                                <w:p w:rsidR="00EA6DED" w:rsidRDefault="007504AE" w:rsidP="00D048A9">
                                  <w:pPr>
                                    <w:spacing w:before="3" w:line="234" w:lineRule="auto"/>
                                    <w:ind w:right="20"/>
                                    <w:jc w:val="center"/>
                                    <w:rPr>
                                      <w:color w:val="00B0F0"/>
                                      <w:sz w:val="22"/>
                                    </w:rPr>
                                  </w:pPr>
                                  <w:r>
                                    <w:rPr>
                                      <w:b/>
                                      <w:color w:val="00B0F0"/>
                                      <w:sz w:val="36"/>
                                    </w:rPr>
                                    <w:t>EVALUATION FINALE INDEPENDANTE DU PLAN-CADRE DE COOPERATION DES NATIONS UNIES POUR LE DEVELOPPEMENT DURABLE 2022-2026</w:t>
                                  </w:r>
                                </w:p>
                              </w:txbxContent>
                            </v:textbox>
                          </v:rect>
                          <v:rect id="_x0000_s1040" style="position:absolute;left:12372;top:13686;width:27296;height:3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" fillcolor="#ddeaf6" stroked="f">
                            <v:textbox inset="0,0,0,0">
                              <w:txbxContent>
                                <w:p w:rsidR="00EA6DED" w:rsidRDefault="007504AE">
                                  <w:pPr>
                                    <w:spacing w:line="474" w:lineRule="auto"/>
                                  </w:pPr>
                                  <w:r>
                                    <w:rPr>
                                      <w:b/>
                                      <w:color w:val="002060"/>
                                      <w:sz w:val="44"/>
                                    </w:rPr>
                                    <w:t xml:space="preserve">République du Cameroun CCamerounCamerounCamerounCamerounCamerounCameroun </w:t>
                                  </w:r>
                                  <w:r>
                                    <w:rPr>
                                      <w:b/>
                                      <w:color w:val="002060"/>
                                      <w:sz w:val="44"/>
                                    </w:rPr>
                                    <w:t>CamerounCamerounCamerounCamerounCamerounCamerounCamerounCamerounCamerounCamerounCamerounCameroungoCamerounCamerounCamerounCamerounCamerounCameround’Ivoire</w:t>
                                  </w:r>
                                </w:p>
                              </w:txbxContent>
                            </v:textbox>
                          </v:rect>
                        </v:group>
                      </v:group>
                    </v:group>
                  </v:group>
                </v:group>
                <w10:wrap type="topAndBottom"/>
              </v:group>
            </w:pict>
          </mc:Fallback>
        </mc:AlternateContent>
      </w:r>
    </w:p>
    <w:p w14:paraId="4337F642" w14:textId="77777777" w:rsidR="00EA6DED" w:rsidRDefault="007504AE">
      <w:r>
        <w:rPr>
          <w:rFonts w:eastAsia="Arial"/>
          <w:sz w:val="36"/>
          <w:szCs w:val="36"/>
          <w:vertAlign w:val="superscript"/>
        </w:rPr>
        <w:tab/>
      </w:r>
    </w:p>
    <w:p w14:paraId="4337F643" w14:textId="77777777" w:rsidR="00EA6DED" w:rsidRDefault="007504AE">
      <w:pPr>
        <w:spacing w:after="120" w:line="276" w:lineRule="auto"/>
        <w:rPr>
          <w:color w:val="000000"/>
          <w:sz w:val="28"/>
        </w:rPr>
      </w:pPr>
      <w:r>
        <w:rPr>
          <w:rFonts w:eastAsia="Arial"/>
          <w:color w:val="000000"/>
          <w:sz w:val="32"/>
          <w:szCs w:val="28"/>
        </w:rPr>
        <w:t xml:space="preserve">Par : </w:t>
      </w:r>
      <w:r>
        <w:rPr>
          <w:color w:val="000000"/>
          <w:sz w:val="26"/>
          <w:shd w:val="clear" w:color="auto" w:fill="FFFFFF"/>
        </w:rPr>
        <w:t xml:space="preserve">Institut pour la Recherche, le Développement Socio-économique et la Communication </w:t>
      </w:r>
      <w:r>
        <w:rPr>
          <w:color w:val="000000"/>
          <w:sz w:val="20"/>
          <w:shd w:val="clear" w:color="auto" w:fill="FFFFFF"/>
        </w:rPr>
        <w:t>(</w:t>
      </w:r>
      <w:r>
        <w:rPr>
          <w:rFonts w:eastAsia="Arial"/>
          <w:color w:val="000000"/>
          <w:szCs w:val="28"/>
        </w:rPr>
        <w:t>IRESCO)</w:t>
      </w:r>
    </w:p>
    <w:p w14:paraId="4337F644" w14:textId="77777777" w:rsidR="00EA6DED" w:rsidRDefault="007504AE">
      <w:pPr>
        <w:rPr>
          <w:rFonts w:eastAsia="Arial"/>
          <w:szCs w:val="28"/>
        </w:rPr>
      </w:pPr>
      <w:r>
        <w:rPr>
          <w:rFonts w:eastAsia="Arial"/>
          <w:bCs/>
          <w:color w:val="000000"/>
          <w:szCs w:val="28"/>
        </w:rPr>
        <w:t>B.P :</w:t>
      </w:r>
      <w:r>
        <w:rPr>
          <w:rFonts w:eastAsia="Arial"/>
          <w:color w:val="000000"/>
          <w:szCs w:val="28"/>
        </w:rPr>
        <w:t> 13 888 Yaoundé, Cameroun</w:t>
      </w:r>
      <w:r>
        <w:rPr>
          <w:rFonts w:eastAsia="Arial"/>
          <w:color w:val="000000"/>
          <w:szCs w:val="28"/>
        </w:rPr>
        <w:br/>
      </w:r>
      <w:r>
        <w:rPr>
          <w:rFonts w:eastAsia="Arial"/>
          <w:bCs/>
          <w:color w:val="000000"/>
          <w:szCs w:val="28"/>
        </w:rPr>
        <w:t>TEL :</w:t>
      </w:r>
      <w:r>
        <w:rPr>
          <w:rFonts w:eastAsia="Arial"/>
          <w:color w:val="000000"/>
          <w:szCs w:val="28"/>
        </w:rPr>
        <w:t> +237 222 311 014 / 222 319 </w:t>
      </w:r>
      <w:r>
        <w:rPr>
          <w:rFonts w:eastAsia="Arial"/>
          <w:szCs w:val="28"/>
        </w:rPr>
        <w:t>778</w:t>
      </w:r>
      <w:r>
        <w:rPr>
          <w:rFonts w:eastAsia="Arial"/>
          <w:szCs w:val="28"/>
        </w:rPr>
        <w:br/>
        <w:t xml:space="preserve">Siège social Yaoundé, </w:t>
      </w:r>
    </w:p>
    <w:p w14:paraId="4337F645" w14:textId="77777777" w:rsidR="00EA6DED" w:rsidRDefault="007504AE">
      <w:pPr>
        <w:shd w:val="clear" w:color="auto" w:fill="FFFFFF"/>
        <w:rPr>
          <w:rFonts w:eastAsia="Arial"/>
          <w:szCs w:val="28"/>
        </w:rPr>
      </w:pPr>
      <w:r>
        <w:rPr>
          <w:rFonts w:eastAsia="Arial"/>
          <w:szCs w:val="28"/>
        </w:rPr>
        <w:t>Rue n° : 7.790</w:t>
      </w:r>
    </w:p>
    <w:p w14:paraId="4337F646" w14:textId="77777777" w:rsidR="00EA6DED" w:rsidRDefault="007504AE">
      <w:pPr>
        <w:widowControl w:val="0"/>
        <w:spacing w:line="276" w:lineRule="auto"/>
        <w:rPr>
          <w:sz w:val="22"/>
        </w:rPr>
      </w:pPr>
      <w:r>
        <w:rPr>
          <w:rFonts w:eastAsia="Arial"/>
          <w:szCs w:val="28"/>
        </w:rPr>
        <w:t xml:space="preserve">Site web:  </w:t>
      </w:r>
      <w:hyperlink r:id="rId13" w:history="1">
        <w:r>
          <w:rPr>
            <w:rStyle w:val="Lienhypertexte"/>
            <w:color w:val="0F70B7"/>
            <w:sz w:val="22"/>
            <w:shd w:val="clear" w:color="auto" w:fill="FFFFFF"/>
          </w:rPr>
          <w:t>https://iresco-cm.org</w:t>
        </w:r>
      </w:hyperlink>
    </w:p>
    <w:p w14:paraId="4337F647" w14:textId="77777777" w:rsidR="00EA6DED" w:rsidRDefault="007504AE">
      <w:pPr>
        <w:rPr>
          <w:sz w:val="22"/>
        </w:rPr>
      </w:pPr>
      <w:r>
        <w:rPr>
          <w:rFonts w:eastAsia="Arial"/>
          <w:szCs w:val="28"/>
        </w:rPr>
        <w:t xml:space="preserve">E-mail : </w:t>
      </w:r>
      <w:r>
        <w:rPr>
          <w:color w:val="666666"/>
          <w:sz w:val="22"/>
          <w:shd w:val="clear" w:color="auto" w:fill="FFFFFF"/>
        </w:rPr>
        <w:t>irescoyaounde@yahoo.com</w:t>
      </w:r>
    </w:p>
    <w:p w14:paraId="4337F648" w14:textId="77777777" w:rsidR="00EA6DED" w:rsidRDefault="00EA6DED">
      <w:pPr>
        <w:widowControl w:val="0"/>
        <w:spacing w:line="280" w:lineRule="auto"/>
        <w:rPr>
          <w:rFonts w:eastAsia="Arial"/>
          <w:sz w:val="11"/>
          <w:szCs w:val="11"/>
        </w:rPr>
      </w:pPr>
    </w:p>
    <w:p w14:paraId="4337F649" w14:textId="77777777" w:rsidR="00EA6DED" w:rsidRDefault="007504AE">
      <w:pPr>
        <w:widowControl w:val="0"/>
        <w:spacing w:line="280" w:lineRule="auto"/>
        <w:rPr>
          <w:rFonts w:eastAsia="Arial"/>
          <w:color w:val="000000"/>
          <w:sz w:val="28"/>
          <w:szCs w:val="28"/>
        </w:rPr>
      </w:pPr>
      <w:r>
        <w:rPr>
          <w:rFonts w:eastAsia="Arial"/>
          <w:color w:val="000000"/>
          <w:sz w:val="28"/>
          <w:szCs w:val="28"/>
        </w:rPr>
        <w:t>Y ont contribué :</w:t>
      </w:r>
    </w:p>
    <w:p w14:paraId="4337F64A" w14:textId="77777777" w:rsidR="00EA6DED" w:rsidRDefault="00EA6DED">
      <w:pPr>
        <w:widowControl w:val="0"/>
        <w:spacing w:line="280" w:lineRule="auto"/>
        <w:rPr>
          <w:rFonts w:eastAsia="Arial"/>
          <w:color w:val="0000CC"/>
          <w:sz w:val="12"/>
          <w:szCs w:val="28"/>
        </w:rPr>
      </w:pPr>
    </w:p>
    <w:tbl>
      <w:tblPr>
        <w:tblpPr w:leftFromText="141" w:rightFromText="141" w:vertAnchor="text" w:tblpY="1"/>
        <w:tblW w:w="1048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CellMar>
          <w:top w:w="100" w:type="dxa"/>
          <w:left w:w="115" w:type="dxa"/>
          <w:bottom w:w="100" w:type="dxa"/>
          <w:right w:w="115" w:type="dxa"/>
        </w:tblCellMar>
        <w:tblLook w:val="04A0" w:firstRow="1" w:lastRow="0" w:firstColumn="1" w:lastColumn="0" w:noHBand="0" w:noVBand="1"/>
      </w:tblPr>
      <w:tblGrid>
        <w:gridCol w:w="4531"/>
        <w:gridCol w:w="5954"/>
      </w:tblGrid>
      <w:tr w:rsidR="00EA6DED" w14:paraId="4337F64D" w14:textId="77777777">
        <w:trPr>
          <w:trHeight w:val="300"/>
        </w:trPr>
        <w:tc>
          <w:tcPr>
            <w:tcW w:w="4531" w:type="dxa"/>
            <w:tcBorders>
              <w:bottom w:val="single" w:sz="12" w:space="0" w:color="8EAADB"/>
            </w:tcBorders>
          </w:tcPr>
          <w:p w14:paraId="4337F64B" w14:textId="77777777" w:rsidR="00EA6DED" w:rsidRDefault="007504AE">
            <w:pPr>
              <w:widowControl w:val="0"/>
              <w:spacing w:line="280" w:lineRule="auto"/>
              <w:rPr>
                <w:rFonts w:eastAsia="Arial"/>
                <w:color w:val="000000"/>
                <w:sz w:val="20"/>
                <w:szCs w:val="28"/>
                <w:lang w:eastAsia="zh-CN"/>
              </w:rPr>
            </w:pPr>
            <w:r>
              <w:rPr>
                <w:rFonts w:eastAsia="Arial"/>
                <w:color w:val="000000"/>
                <w:sz w:val="20"/>
                <w:szCs w:val="28"/>
                <w:lang w:eastAsia="zh-CN"/>
              </w:rPr>
              <w:t xml:space="preserve">Léger </w:t>
            </w:r>
            <w:r>
              <w:rPr>
                <w:rFonts w:eastAsia="Arial"/>
                <w:b/>
                <w:color w:val="000000"/>
                <w:sz w:val="20"/>
                <w:szCs w:val="28"/>
                <w:lang w:eastAsia="zh-CN"/>
              </w:rPr>
              <w:t xml:space="preserve">FOYET TCHECHOUPIE </w:t>
            </w:r>
          </w:p>
        </w:tc>
        <w:tc>
          <w:tcPr>
            <w:tcW w:w="5954" w:type="dxa"/>
            <w:tcBorders>
              <w:bottom w:val="single" w:sz="12" w:space="0" w:color="8EAADB"/>
            </w:tcBorders>
          </w:tcPr>
          <w:p w14:paraId="4337F64C" w14:textId="77777777" w:rsidR="00EA6DED" w:rsidRDefault="007504AE">
            <w:pPr>
              <w:widowControl w:val="0"/>
              <w:spacing w:line="280" w:lineRule="auto"/>
              <w:rPr>
                <w:rFonts w:eastAsia="Arial"/>
                <w:color w:val="000000"/>
                <w:sz w:val="20"/>
                <w:szCs w:val="28"/>
                <w:lang w:eastAsia="zh-CN"/>
              </w:rPr>
            </w:pPr>
            <w:r>
              <w:rPr>
                <w:rFonts w:eastAsia="Arial"/>
                <w:color w:val="000000"/>
                <w:sz w:val="20"/>
                <w:szCs w:val="28"/>
                <w:lang w:eastAsia="zh-CN"/>
              </w:rPr>
              <w:t>Socio-démographe, Consultant Principal, Chef d’Équipe</w:t>
            </w:r>
          </w:p>
        </w:tc>
      </w:tr>
      <w:tr w:rsidR="00EA6DED" w14:paraId="4337F650" w14:textId="77777777">
        <w:tc>
          <w:tcPr>
            <w:tcW w:w="4531" w:type="dxa"/>
            <w:shd w:val="clear" w:color="auto" w:fill="B4C6E7"/>
          </w:tcPr>
          <w:p w14:paraId="4337F64E" w14:textId="77777777" w:rsidR="00EA6DED" w:rsidRDefault="007504AE">
            <w:pPr>
              <w:widowControl w:val="0"/>
              <w:spacing w:line="280" w:lineRule="auto"/>
              <w:rPr>
                <w:rFonts w:eastAsia="Arial"/>
                <w:color w:val="000000"/>
                <w:sz w:val="20"/>
                <w:szCs w:val="28"/>
                <w:lang w:eastAsia="zh-CN"/>
              </w:rPr>
            </w:pPr>
            <w:r>
              <w:rPr>
                <w:rFonts w:eastAsia="Arial"/>
                <w:color w:val="000000"/>
                <w:sz w:val="20"/>
                <w:szCs w:val="28"/>
                <w:lang w:eastAsia="zh-CN"/>
              </w:rPr>
              <w:t xml:space="preserve">Gédéon </w:t>
            </w:r>
            <w:r>
              <w:rPr>
                <w:rFonts w:eastAsia="Arial"/>
                <w:b/>
                <w:color w:val="000000"/>
                <w:sz w:val="20"/>
                <w:szCs w:val="28"/>
                <w:lang w:eastAsia="zh-CN"/>
              </w:rPr>
              <w:t>YOMI</w:t>
            </w:r>
            <w:r>
              <w:rPr>
                <w:rFonts w:eastAsia="Arial"/>
                <w:color w:val="000000"/>
                <w:sz w:val="20"/>
                <w:szCs w:val="28"/>
                <w:lang w:eastAsia="zh-CN"/>
              </w:rPr>
              <w:t xml:space="preserve"> </w:t>
            </w:r>
          </w:p>
        </w:tc>
        <w:tc>
          <w:tcPr>
            <w:tcW w:w="5954" w:type="dxa"/>
            <w:shd w:val="clear" w:color="auto" w:fill="B4C6E7"/>
          </w:tcPr>
          <w:p w14:paraId="4337F64F" w14:textId="77777777" w:rsidR="00EA6DED" w:rsidRDefault="007504AE">
            <w:pPr>
              <w:widowControl w:val="0"/>
              <w:spacing w:line="280" w:lineRule="auto"/>
              <w:rPr>
                <w:rFonts w:eastAsia="Arial"/>
                <w:color w:val="000000"/>
                <w:sz w:val="20"/>
                <w:szCs w:val="28"/>
                <w:lang w:eastAsia="zh-CN"/>
              </w:rPr>
            </w:pPr>
            <w:r>
              <w:rPr>
                <w:rFonts w:eastAsia="Arial"/>
                <w:color w:val="000000"/>
                <w:sz w:val="20"/>
                <w:szCs w:val="28"/>
                <w:lang w:eastAsia="zh-CN"/>
              </w:rPr>
              <w:t xml:space="preserve">Économiste,  </w:t>
            </w:r>
          </w:p>
        </w:tc>
      </w:tr>
      <w:tr w:rsidR="00EA6DED" w14:paraId="4337F653" w14:textId="77777777">
        <w:tc>
          <w:tcPr>
            <w:tcW w:w="4531" w:type="dxa"/>
          </w:tcPr>
          <w:p w14:paraId="4337F651" w14:textId="77777777" w:rsidR="00EA6DED" w:rsidRDefault="007504AE">
            <w:pPr>
              <w:jc w:val="both"/>
              <w:rPr>
                <w:rFonts w:eastAsia="Arial"/>
                <w:color w:val="000000"/>
                <w:sz w:val="20"/>
                <w:szCs w:val="28"/>
                <w:lang w:eastAsia="zh-CN"/>
              </w:rPr>
            </w:pPr>
            <w:r>
              <w:rPr>
                <w:rFonts w:eastAsia="Arial"/>
                <w:color w:val="000000"/>
                <w:sz w:val="20"/>
                <w:szCs w:val="28"/>
                <w:lang w:eastAsia="zh-CN"/>
              </w:rPr>
              <w:t xml:space="preserve">Pascal </w:t>
            </w:r>
            <w:r>
              <w:rPr>
                <w:rFonts w:eastAsia="Arial"/>
                <w:b/>
                <w:color w:val="000000"/>
                <w:sz w:val="20"/>
                <w:szCs w:val="28"/>
                <w:lang w:eastAsia="zh-CN"/>
              </w:rPr>
              <w:t>DAHA BOUYOM</w:t>
            </w:r>
            <w:r>
              <w:rPr>
                <w:rFonts w:eastAsia="Arial"/>
                <w:color w:val="000000"/>
                <w:sz w:val="20"/>
                <w:szCs w:val="28"/>
                <w:lang w:eastAsia="zh-CN"/>
              </w:rPr>
              <w:t xml:space="preserve"> </w:t>
            </w:r>
          </w:p>
        </w:tc>
        <w:tc>
          <w:tcPr>
            <w:tcW w:w="5954" w:type="dxa"/>
          </w:tcPr>
          <w:p w14:paraId="4337F652" w14:textId="77777777" w:rsidR="00EA6DED" w:rsidRDefault="007504AE">
            <w:pPr>
              <w:widowControl w:val="0"/>
              <w:spacing w:line="280" w:lineRule="auto"/>
              <w:rPr>
                <w:rFonts w:eastAsia="Arial"/>
                <w:color w:val="000000"/>
                <w:sz w:val="20"/>
                <w:szCs w:val="28"/>
                <w:lang w:eastAsia="zh-CN"/>
              </w:rPr>
            </w:pPr>
            <w:r>
              <w:rPr>
                <w:rFonts w:eastAsia="Arial"/>
                <w:color w:val="000000"/>
                <w:sz w:val="20"/>
                <w:szCs w:val="28"/>
                <w:lang w:eastAsia="zh-CN"/>
              </w:rPr>
              <w:t xml:space="preserve">Socio-Anthropologue </w:t>
            </w:r>
          </w:p>
        </w:tc>
      </w:tr>
      <w:tr w:rsidR="00EA6DED" w14:paraId="4337F656" w14:textId="77777777">
        <w:tc>
          <w:tcPr>
            <w:tcW w:w="4531" w:type="dxa"/>
            <w:shd w:val="clear" w:color="auto" w:fill="B4C6E7"/>
          </w:tcPr>
          <w:p w14:paraId="4337F654" w14:textId="77777777" w:rsidR="00EA6DED" w:rsidRDefault="007504AE">
            <w:pPr>
              <w:widowControl w:val="0"/>
              <w:spacing w:line="280" w:lineRule="auto"/>
              <w:rPr>
                <w:rFonts w:eastAsia="Arial"/>
                <w:color w:val="000000"/>
                <w:sz w:val="20"/>
                <w:szCs w:val="28"/>
                <w:lang w:eastAsia="zh-CN"/>
              </w:rPr>
            </w:pPr>
            <w:r>
              <w:rPr>
                <w:rFonts w:eastAsia="Arial"/>
                <w:color w:val="000000"/>
                <w:sz w:val="20"/>
                <w:szCs w:val="28"/>
                <w:lang w:eastAsia="zh-CN"/>
              </w:rPr>
              <w:t xml:space="preserve">Dr. Victorine </w:t>
            </w:r>
            <w:r>
              <w:rPr>
                <w:rFonts w:eastAsia="Arial"/>
                <w:b/>
                <w:color w:val="000000"/>
                <w:sz w:val="20"/>
                <w:szCs w:val="28"/>
                <w:lang w:eastAsia="zh-CN"/>
              </w:rPr>
              <w:t>MAPTUE TOGUEM</w:t>
            </w:r>
            <w:r>
              <w:rPr>
                <w:rFonts w:eastAsia="Arial"/>
                <w:color w:val="000000"/>
                <w:sz w:val="20"/>
                <w:szCs w:val="28"/>
                <w:lang w:eastAsia="zh-CN"/>
              </w:rPr>
              <w:t xml:space="preserve">  </w:t>
            </w:r>
          </w:p>
        </w:tc>
        <w:tc>
          <w:tcPr>
            <w:tcW w:w="5954" w:type="dxa"/>
            <w:shd w:val="clear" w:color="auto" w:fill="B4C6E7"/>
          </w:tcPr>
          <w:p w14:paraId="4337F655" w14:textId="77777777" w:rsidR="00EA6DED" w:rsidRDefault="007504AE">
            <w:pPr>
              <w:widowControl w:val="0"/>
              <w:spacing w:line="280" w:lineRule="auto"/>
              <w:rPr>
                <w:rFonts w:eastAsia="Arial"/>
                <w:color w:val="000000"/>
                <w:sz w:val="20"/>
                <w:szCs w:val="28"/>
                <w:lang w:eastAsia="zh-CN"/>
              </w:rPr>
            </w:pPr>
            <w:r>
              <w:rPr>
                <w:rFonts w:eastAsia="Arial"/>
                <w:color w:val="000000"/>
                <w:sz w:val="20"/>
                <w:szCs w:val="28"/>
                <w:lang w:eastAsia="zh-CN"/>
              </w:rPr>
              <w:t>Expert en Santé publique</w:t>
            </w:r>
          </w:p>
        </w:tc>
      </w:tr>
      <w:tr w:rsidR="00EA6DED" w14:paraId="4337F659" w14:textId="77777777">
        <w:tc>
          <w:tcPr>
            <w:tcW w:w="4531" w:type="dxa"/>
          </w:tcPr>
          <w:p w14:paraId="4337F657" w14:textId="77777777" w:rsidR="00EA6DED" w:rsidRDefault="007504AE">
            <w:pPr>
              <w:jc w:val="both"/>
              <w:rPr>
                <w:rFonts w:eastAsia="Arial"/>
                <w:color w:val="000000"/>
                <w:sz w:val="20"/>
                <w:szCs w:val="28"/>
                <w:lang w:eastAsia="zh-CN"/>
              </w:rPr>
            </w:pPr>
            <w:r>
              <w:rPr>
                <w:rFonts w:eastAsia="Arial"/>
                <w:color w:val="000000"/>
                <w:sz w:val="20"/>
                <w:szCs w:val="28"/>
                <w:lang w:eastAsia="zh-CN"/>
              </w:rPr>
              <w:t>Berthe Clarence</w:t>
            </w:r>
            <w:r>
              <w:rPr>
                <w:rFonts w:eastAsia="Arial"/>
                <w:b/>
                <w:color w:val="000000"/>
                <w:sz w:val="20"/>
                <w:szCs w:val="28"/>
                <w:lang w:eastAsia="zh-CN"/>
              </w:rPr>
              <w:t xml:space="preserve"> TOKAM</w:t>
            </w:r>
          </w:p>
        </w:tc>
        <w:tc>
          <w:tcPr>
            <w:tcW w:w="5954" w:type="dxa"/>
          </w:tcPr>
          <w:p w14:paraId="4337F658" w14:textId="77777777" w:rsidR="00EA6DED" w:rsidRDefault="007504AE">
            <w:pPr>
              <w:widowControl w:val="0"/>
              <w:spacing w:line="280" w:lineRule="auto"/>
              <w:rPr>
                <w:rFonts w:eastAsia="Arial"/>
                <w:color w:val="000000"/>
                <w:sz w:val="20"/>
                <w:szCs w:val="28"/>
                <w:lang w:eastAsia="zh-CN"/>
              </w:rPr>
            </w:pPr>
            <w:r>
              <w:rPr>
                <w:rFonts w:eastAsia="Arial"/>
                <w:color w:val="000000"/>
                <w:sz w:val="20"/>
                <w:szCs w:val="28"/>
                <w:lang w:eastAsia="zh-CN"/>
              </w:rPr>
              <w:t xml:space="preserve">Expert financier </w:t>
            </w:r>
          </w:p>
        </w:tc>
      </w:tr>
      <w:tr w:rsidR="00EA6DED" w14:paraId="4337F65C" w14:textId="77777777">
        <w:tc>
          <w:tcPr>
            <w:tcW w:w="4531" w:type="dxa"/>
          </w:tcPr>
          <w:p w14:paraId="4337F65A" w14:textId="77777777" w:rsidR="00EA6DED" w:rsidRDefault="007504AE">
            <w:pPr>
              <w:rPr>
                <w:rFonts w:eastAsia="Arial"/>
                <w:color w:val="000000"/>
                <w:sz w:val="20"/>
                <w:szCs w:val="28"/>
                <w:lang w:eastAsia="zh-CN"/>
              </w:rPr>
            </w:pPr>
            <w:r>
              <w:rPr>
                <w:rFonts w:eastAsia="Arial"/>
                <w:color w:val="000000"/>
                <w:sz w:val="20"/>
                <w:szCs w:val="28"/>
                <w:lang w:eastAsia="zh-CN"/>
              </w:rPr>
              <w:t xml:space="preserve">Dr Ghislain </w:t>
            </w:r>
            <w:r>
              <w:rPr>
                <w:rFonts w:eastAsia="Arial"/>
                <w:b/>
                <w:color w:val="000000"/>
                <w:sz w:val="20"/>
                <w:szCs w:val="28"/>
                <w:lang w:eastAsia="zh-CN"/>
              </w:rPr>
              <w:t>TIKENG AGOUM</w:t>
            </w:r>
          </w:p>
        </w:tc>
        <w:tc>
          <w:tcPr>
            <w:tcW w:w="5954" w:type="dxa"/>
          </w:tcPr>
          <w:p w14:paraId="4337F65B" w14:textId="77777777" w:rsidR="00EA6DED" w:rsidRDefault="007504AE">
            <w:pPr>
              <w:widowControl w:val="0"/>
              <w:spacing w:line="280" w:lineRule="auto"/>
              <w:rPr>
                <w:rFonts w:eastAsia="Arial"/>
                <w:color w:val="000000"/>
                <w:sz w:val="20"/>
                <w:szCs w:val="28"/>
                <w:lang w:eastAsia="zh-CN"/>
              </w:rPr>
            </w:pPr>
            <w:r>
              <w:rPr>
                <w:rFonts w:eastAsia="Arial"/>
                <w:color w:val="000000"/>
                <w:sz w:val="20"/>
                <w:szCs w:val="28"/>
                <w:lang w:eastAsia="zh-CN"/>
              </w:rPr>
              <w:t>Géographe environnementaliste</w:t>
            </w:r>
          </w:p>
        </w:tc>
      </w:tr>
      <w:tr w:rsidR="00EA6DED" w14:paraId="4337F65F" w14:textId="77777777">
        <w:tc>
          <w:tcPr>
            <w:tcW w:w="4531" w:type="dxa"/>
            <w:shd w:val="clear" w:color="auto" w:fill="B4C6E7"/>
          </w:tcPr>
          <w:p w14:paraId="4337F65D" w14:textId="77777777" w:rsidR="00EA6DED" w:rsidRDefault="007504AE">
            <w:pPr>
              <w:rPr>
                <w:rFonts w:eastAsia="Arial"/>
                <w:color w:val="000000"/>
                <w:sz w:val="20"/>
                <w:szCs w:val="28"/>
                <w:lang w:eastAsia="zh-CN"/>
              </w:rPr>
            </w:pPr>
            <w:r>
              <w:rPr>
                <w:rFonts w:eastAsia="Arial"/>
                <w:color w:val="000000"/>
                <w:sz w:val="20"/>
                <w:szCs w:val="28"/>
                <w:lang w:eastAsia="zh-CN"/>
              </w:rPr>
              <w:t xml:space="preserve">Eugène </w:t>
            </w:r>
            <w:r>
              <w:rPr>
                <w:rFonts w:eastAsia="Arial"/>
                <w:b/>
                <w:color w:val="000000"/>
                <w:sz w:val="20"/>
                <w:szCs w:val="28"/>
                <w:lang w:eastAsia="zh-CN"/>
              </w:rPr>
              <w:t>DJAKOU</w:t>
            </w:r>
          </w:p>
        </w:tc>
        <w:tc>
          <w:tcPr>
            <w:tcW w:w="5954" w:type="dxa"/>
            <w:shd w:val="clear" w:color="auto" w:fill="B4C6E7"/>
          </w:tcPr>
          <w:p w14:paraId="4337F65E" w14:textId="77777777" w:rsidR="00EA6DED" w:rsidRDefault="007504AE">
            <w:pPr>
              <w:widowControl w:val="0"/>
              <w:spacing w:line="280" w:lineRule="auto"/>
              <w:rPr>
                <w:rFonts w:eastAsia="Arial"/>
                <w:color w:val="000000"/>
                <w:sz w:val="20"/>
                <w:szCs w:val="28"/>
                <w:lang w:eastAsia="zh-CN"/>
              </w:rPr>
            </w:pPr>
            <w:r>
              <w:rPr>
                <w:rFonts w:eastAsia="Arial"/>
                <w:color w:val="000000"/>
                <w:sz w:val="20"/>
                <w:szCs w:val="28"/>
                <w:lang w:eastAsia="zh-CN"/>
              </w:rPr>
              <w:t>Anthropologue</w:t>
            </w:r>
          </w:p>
        </w:tc>
      </w:tr>
    </w:tbl>
    <w:p w14:paraId="4337F660" w14:textId="77777777" w:rsidR="00EA6DED" w:rsidRDefault="00EA6DED">
      <w:pPr>
        <w:widowControl w:val="0"/>
        <w:spacing w:line="276" w:lineRule="auto"/>
        <w:rPr>
          <w:vertAlign w:val="subscript"/>
        </w:rPr>
      </w:pPr>
    </w:p>
    <w:p w14:paraId="4337F661" w14:textId="77777777" w:rsidR="00EA6DED" w:rsidRDefault="00EA6DED">
      <w:pPr>
        <w:widowControl w:val="0"/>
        <w:spacing w:line="276" w:lineRule="auto"/>
        <w:rPr>
          <w:vertAlign w:val="subscript"/>
        </w:rPr>
        <w:sectPr w:rsidR="00EA6DED">
          <w:headerReference w:type="default" r:id="rId14"/>
          <w:footerReference w:type="default" r:id="rId15"/>
          <w:footerReference w:type="first" r:id="rId16"/>
          <w:pgSz w:w="11907" w:h="16839"/>
          <w:pgMar w:top="851" w:right="851" w:bottom="851" w:left="851" w:header="720" w:footer="1264" w:gutter="0"/>
          <w:pgNumType w:start="0"/>
          <w:cols w:space="720"/>
          <w:titlePg/>
        </w:sectPr>
      </w:pPr>
    </w:p>
    <w:tbl>
      <w:tblPr>
        <w:tblW w:w="10485" w:type="dxa"/>
        <w:jc w:val="cente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CellMar>
          <w:left w:w="115" w:type="dxa"/>
          <w:right w:w="115" w:type="dxa"/>
        </w:tblCellMar>
        <w:tblLook w:val="04A0" w:firstRow="1" w:lastRow="0" w:firstColumn="1" w:lastColumn="0" w:noHBand="0" w:noVBand="1"/>
      </w:tblPr>
      <w:tblGrid>
        <w:gridCol w:w="2707"/>
        <w:gridCol w:w="4115"/>
        <w:gridCol w:w="3663"/>
      </w:tblGrid>
      <w:tr w:rsidR="00EA6DED" w14:paraId="4337F664" w14:textId="77777777">
        <w:trPr>
          <w:trHeight w:val="567"/>
          <w:jc w:val="center"/>
        </w:trPr>
        <w:tc>
          <w:tcPr>
            <w:tcW w:w="2707" w:type="dxa"/>
            <w:tcBorders>
              <w:top w:val="single" w:sz="4" w:space="0" w:color="FFFFFF"/>
              <w:left w:val="single" w:sz="4" w:space="0" w:color="FFFFFF"/>
              <w:right w:val="single" w:sz="4" w:space="0" w:color="auto"/>
            </w:tcBorders>
            <w:shd w:val="clear" w:color="auto" w:fill="4472C4"/>
            <w:vAlign w:val="center"/>
          </w:tcPr>
          <w:p w14:paraId="4337F662" w14:textId="77777777" w:rsidR="00EA6DED" w:rsidRDefault="007504AE">
            <w:pPr>
              <w:widowControl w:val="0"/>
              <w:autoSpaceDE w:val="0"/>
              <w:autoSpaceDN w:val="0"/>
              <w:rPr>
                <w:rFonts w:ascii="Calibri" w:eastAsia="Arial" w:hAnsi="Calibri"/>
                <w:b/>
                <w:color w:val="FFFFFF"/>
                <w:sz w:val="20"/>
                <w:szCs w:val="20"/>
                <w:lang w:val="en-US" w:eastAsia="en-US"/>
              </w:rPr>
            </w:pPr>
            <w:r>
              <w:rPr>
                <w:rFonts w:eastAsia="Arial"/>
                <w:b/>
                <w:color w:val="FFFFFF"/>
                <w:sz w:val="20"/>
                <w:szCs w:val="20"/>
                <w:lang w:val="en-US" w:eastAsia="en-US"/>
              </w:rPr>
              <w:lastRenderedPageBreak/>
              <w:t>Titre du Programme</w:t>
            </w:r>
          </w:p>
        </w:tc>
        <w:tc>
          <w:tcPr>
            <w:tcW w:w="77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337F663" w14:textId="77777777" w:rsidR="00EA6DED" w:rsidRDefault="007504AE">
            <w:pPr>
              <w:widowControl w:val="0"/>
              <w:tabs>
                <w:tab w:val="left" w:pos="709"/>
              </w:tabs>
              <w:autoSpaceDE w:val="0"/>
              <w:autoSpaceDN w:val="0"/>
              <w:jc w:val="both"/>
              <w:rPr>
                <w:rFonts w:ascii="Calibri" w:eastAsia="Arial" w:hAnsi="Calibri"/>
                <w:b/>
                <w:color w:val="FFFFFF"/>
                <w:sz w:val="20"/>
                <w:szCs w:val="20"/>
                <w:lang w:eastAsia="en-US"/>
              </w:rPr>
            </w:pPr>
            <w:r>
              <w:rPr>
                <w:rFonts w:eastAsia="Arial"/>
                <w:b/>
                <w:color w:val="2F5496"/>
                <w:sz w:val="20"/>
                <w:szCs w:val="20"/>
                <w:lang w:eastAsia="en-US"/>
              </w:rPr>
              <w:t>Plan-Cadre de Coopération des Nations Unies pour le Développement Durable en République du Cameroun (CC 2022 –2026)</w:t>
            </w:r>
          </w:p>
        </w:tc>
      </w:tr>
      <w:tr w:rsidR="00EA6DED" w14:paraId="4337F667" w14:textId="77777777">
        <w:trPr>
          <w:trHeight w:val="567"/>
          <w:jc w:val="center"/>
        </w:trPr>
        <w:tc>
          <w:tcPr>
            <w:tcW w:w="2707" w:type="dxa"/>
            <w:tcBorders>
              <w:left w:val="single" w:sz="4" w:space="0" w:color="FFFFFF"/>
            </w:tcBorders>
            <w:shd w:val="clear" w:color="auto" w:fill="4472C4"/>
            <w:vAlign w:val="center"/>
          </w:tcPr>
          <w:p w14:paraId="4337F665" w14:textId="77777777" w:rsidR="00EA6DED" w:rsidRDefault="007504AE">
            <w:pPr>
              <w:widowControl w:val="0"/>
              <w:autoSpaceDE w:val="0"/>
              <w:autoSpaceDN w:val="0"/>
              <w:rPr>
                <w:rFonts w:ascii="Calibri" w:eastAsia="Arial" w:hAnsi="Calibri"/>
                <w:b/>
                <w:color w:val="FFFFFF"/>
                <w:sz w:val="20"/>
                <w:szCs w:val="20"/>
                <w:lang w:val="en-US" w:eastAsia="en-US"/>
              </w:rPr>
            </w:pPr>
            <w:r>
              <w:rPr>
                <w:rFonts w:eastAsia="Arial"/>
                <w:b/>
                <w:color w:val="FFFFFF"/>
                <w:sz w:val="20"/>
                <w:szCs w:val="20"/>
                <w:lang w:val="en-US" w:eastAsia="en-US"/>
              </w:rPr>
              <w:t>Produits et résultats institutionnels</w:t>
            </w:r>
          </w:p>
        </w:tc>
        <w:tc>
          <w:tcPr>
            <w:tcW w:w="7778" w:type="dxa"/>
            <w:gridSpan w:val="2"/>
            <w:tcBorders>
              <w:top w:val="single" w:sz="4" w:space="0" w:color="auto"/>
            </w:tcBorders>
            <w:shd w:val="clear" w:color="auto" w:fill="FFFFFF"/>
            <w:vAlign w:val="center"/>
          </w:tcPr>
          <w:p w14:paraId="4337F666" w14:textId="77777777" w:rsidR="00EA6DED" w:rsidRDefault="007504AE">
            <w:pPr>
              <w:widowControl w:val="0"/>
              <w:autoSpaceDE w:val="0"/>
              <w:autoSpaceDN w:val="0"/>
              <w:rPr>
                <w:rFonts w:ascii="Calibri" w:eastAsia="Arial" w:hAnsi="Calibri"/>
                <w:color w:val="2F5496"/>
                <w:sz w:val="20"/>
                <w:szCs w:val="20"/>
                <w:lang w:eastAsia="en-US"/>
              </w:rPr>
            </w:pPr>
            <w:r>
              <w:rPr>
                <w:rFonts w:eastAsia="Arial"/>
                <w:color w:val="2F5496"/>
                <w:sz w:val="20"/>
                <w:szCs w:val="20"/>
                <w:lang w:eastAsia="en-US"/>
              </w:rPr>
              <w:t xml:space="preserve">4 Priorités stratégiques, 5 Réalisations et 24 produits </w:t>
            </w:r>
          </w:p>
        </w:tc>
      </w:tr>
      <w:tr w:rsidR="00EA6DED" w14:paraId="4337F66A" w14:textId="77777777">
        <w:trPr>
          <w:trHeight w:val="567"/>
          <w:jc w:val="center"/>
        </w:trPr>
        <w:tc>
          <w:tcPr>
            <w:tcW w:w="2707" w:type="dxa"/>
            <w:tcBorders>
              <w:left w:val="single" w:sz="4" w:space="0" w:color="FFFFFF"/>
            </w:tcBorders>
            <w:shd w:val="clear" w:color="auto" w:fill="4472C4"/>
            <w:vAlign w:val="center"/>
          </w:tcPr>
          <w:p w14:paraId="4337F668" w14:textId="77777777" w:rsidR="00EA6DED" w:rsidRDefault="007504AE">
            <w:pPr>
              <w:widowControl w:val="0"/>
              <w:autoSpaceDE w:val="0"/>
              <w:autoSpaceDN w:val="0"/>
              <w:rPr>
                <w:rFonts w:ascii="Calibri" w:eastAsia="Arial" w:hAnsi="Calibri"/>
                <w:b/>
                <w:color w:val="FFFFFF"/>
                <w:sz w:val="22"/>
                <w:szCs w:val="20"/>
                <w:lang w:val="en-US" w:eastAsia="en-US"/>
              </w:rPr>
            </w:pPr>
            <w:r>
              <w:rPr>
                <w:rFonts w:eastAsia="Arial"/>
                <w:b/>
                <w:color w:val="FFFFFF"/>
                <w:sz w:val="22"/>
                <w:szCs w:val="20"/>
                <w:lang w:val="en-US" w:eastAsia="en-US"/>
              </w:rPr>
              <w:t>Sites</w:t>
            </w:r>
          </w:p>
        </w:tc>
        <w:tc>
          <w:tcPr>
            <w:tcW w:w="7778" w:type="dxa"/>
            <w:gridSpan w:val="2"/>
            <w:shd w:val="clear" w:color="auto" w:fill="FFFFFF"/>
            <w:vAlign w:val="center"/>
          </w:tcPr>
          <w:p w14:paraId="4337F669" w14:textId="77777777" w:rsidR="00EA6DED" w:rsidRDefault="007504AE">
            <w:pPr>
              <w:widowControl w:val="0"/>
              <w:autoSpaceDE w:val="0"/>
              <w:autoSpaceDN w:val="0"/>
              <w:rPr>
                <w:rFonts w:ascii="Calibri" w:eastAsia="Arial" w:hAnsi="Calibri"/>
                <w:color w:val="2F5496"/>
                <w:sz w:val="20"/>
                <w:szCs w:val="20"/>
                <w:lang w:val="en-US" w:eastAsia="en-US"/>
              </w:rPr>
            </w:pPr>
            <w:r>
              <w:rPr>
                <w:rFonts w:eastAsia="Arial"/>
                <w:color w:val="2F5496"/>
                <w:sz w:val="20"/>
                <w:szCs w:val="20"/>
                <w:lang w:val="en-US" w:eastAsia="en-US"/>
              </w:rPr>
              <w:t xml:space="preserve">National </w:t>
            </w:r>
          </w:p>
        </w:tc>
      </w:tr>
      <w:tr w:rsidR="00EA6DED" w14:paraId="4337F66E" w14:textId="77777777">
        <w:trPr>
          <w:trHeight w:val="473"/>
          <w:jc w:val="center"/>
        </w:trPr>
        <w:tc>
          <w:tcPr>
            <w:tcW w:w="2707" w:type="dxa"/>
            <w:vMerge w:val="restart"/>
            <w:tcBorders>
              <w:left w:val="single" w:sz="4" w:space="0" w:color="FFFFFF"/>
            </w:tcBorders>
            <w:shd w:val="clear" w:color="auto" w:fill="4472C4"/>
            <w:vAlign w:val="center"/>
          </w:tcPr>
          <w:p w14:paraId="4337F66B" w14:textId="77777777" w:rsidR="00EA6DED" w:rsidRDefault="007504AE">
            <w:pPr>
              <w:widowControl w:val="0"/>
              <w:autoSpaceDE w:val="0"/>
              <w:autoSpaceDN w:val="0"/>
              <w:rPr>
                <w:rFonts w:ascii="Calibri" w:eastAsia="Arial" w:hAnsi="Calibri"/>
                <w:b/>
                <w:color w:val="FFFFFF"/>
                <w:sz w:val="22"/>
                <w:szCs w:val="20"/>
                <w:lang w:val="en-US" w:eastAsia="en-US"/>
              </w:rPr>
            </w:pPr>
            <w:r>
              <w:rPr>
                <w:rFonts w:eastAsia="Arial"/>
                <w:b/>
                <w:color w:val="FFFFFF"/>
                <w:sz w:val="22"/>
                <w:szCs w:val="20"/>
                <w:lang w:val="en-US" w:eastAsia="en-US"/>
              </w:rPr>
              <w:t xml:space="preserve">Période </w:t>
            </w:r>
          </w:p>
        </w:tc>
        <w:tc>
          <w:tcPr>
            <w:tcW w:w="4115" w:type="dxa"/>
            <w:shd w:val="clear" w:color="auto" w:fill="FFFFFF"/>
            <w:vAlign w:val="center"/>
          </w:tcPr>
          <w:p w14:paraId="4337F66C" w14:textId="77777777" w:rsidR="00EA6DED" w:rsidRDefault="007504AE">
            <w:pPr>
              <w:widowControl w:val="0"/>
              <w:autoSpaceDE w:val="0"/>
              <w:autoSpaceDN w:val="0"/>
              <w:rPr>
                <w:rFonts w:ascii="Calibri" w:eastAsia="Arial" w:hAnsi="Calibri"/>
                <w:b/>
                <w:color w:val="2F5496"/>
                <w:sz w:val="20"/>
                <w:szCs w:val="20"/>
                <w:lang w:val="en-US" w:eastAsia="en-US"/>
              </w:rPr>
            </w:pPr>
            <w:r>
              <w:rPr>
                <w:rFonts w:eastAsia="Arial"/>
                <w:b/>
                <w:color w:val="2F5496"/>
                <w:sz w:val="20"/>
                <w:szCs w:val="20"/>
                <w:lang w:val="en-US" w:eastAsia="en-US"/>
              </w:rPr>
              <w:t>Démarrage</w:t>
            </w:r>
          </w:p>
        </w:tc>
        <w:tc>
          <w:tcPr>
            <w:tcW w:w="3663" w:type="dxa"/>
            <w:shd w:val="clear" w:color="auto" w:fill="FFFFFF"/>
            <w:vAlign w:val="center"/>
          </w:tcPr>
          <w:p w14:paraId="4337F66D" w14:textId="77777777" w:rsidR="00EA6DED" w:rsidRDefault="007504AE">
            <w:pPr>
              <w:widowControl w:val="0"/>
              <w:autoSpaceDE w:val="0"/>
              <w:autoSpaceDN w:val="0"/>
              <w:rPr>
                <w:rFonts w:ascii="Calibri" w:eastAsia="Arial" w:hAnsi="Calibri"/>
                <w:b/>
                <w:color w:val="2F5496"/>
                <w:sz w:val="20"/>
                <w:szCs w:val="20"/>
                <w:lang w:val="en-US" w:eastAsia="en-US"/>
              </w:rPr>
            </w:pPr>
            <w:r>
              <w:rPr>
                <w:rFonts w:eastAsia="Arial"/>
                <w:b/>
                <w:color w:val="2F5496"/>
                <w:sz w:val="20"/>
                <w:szCs w:val="20"/>
                <w:lang w:val="en-US" w:eastAsia="en-US"/>
              </w:rPr>
              <w:t>Fin prévue</w:t>
            </w:r>
          </w:p>
        </w:tc>
      </w:tr>
      <w:tr w:rsidR="00EA6DED" w14:paraId="4337F672" w14:textId="77777777">
        <w:trPr>
          <w:trHeight w:val="357"/>
          <w:jc w:val="center"/>
        </w:trPr>
        <w:tc>
          <w:tcPr>
            <w:tcW w:w="2707" w:type="dxa"/>
            <w:vMerge/>
            <w:tcBorders>
              <w:left w:val="single" w:sz="4" w:space="0" w:color="FFFFFF"/>
            </w:tcBorders>
            <w:shd w:val="clear" w:color="auto" w:fill="4472C4"/>
            <w:vAlign w:val="center"/>
          </w:tcPr>
          <w:p w14:paraId="4337F66F" w14:textId="77777777" w:rsidR="00EA6DED" w:rsidRDefault="00EA6DED">
            <w:pPr>
              <w:widowControl w:val="0"/>
              <w:autoSpaceDE w:val="0"/>
              <w:autoSpaceDN w:val="0"/>
              <w:spacing w:line="276" w:lineRule="auto"/>
              <w:rPr>
                <w:rFonts w:ascii="Calibri" w:eastAsia="Arial" w:hAnsi="Calibri"/>
                <w:b/>
                <w:color w:val="FFFFFF"/>
                <w:sz w:val="22"/>
                <w:szCs w:val="20"/>
                <w:lang w:val="en-US" w:eastAsia="en-US"/>
              </w:rPr>
            </w:pPr>
          </w:p>
        </w:tc>
        <w:tc>
          <w:tcPr>
            <w:tcW w:w="4115" w:type="dxa"/>
            <w:shd w:val="clear" w:color="auto" w:fill="FFFFFF"/>
            <w:vAlign w:val="center"/>
          </w:tcPr>
          <w:p w14:paraId="4337F670" w14:textId="77777777" w:rsidR="00EA6DED" w:rsidRDefault="007504AE">
            <w:pPr>
              <w:widowControl w:val="0"/>
              <w:autoSpaceDE w:val="0"/>
              <w:autoSpaceDN w:val="0"/>
              <w:rPr>
                <w:rFonts w:ascii="Calibri" w:eastAsia="Arial" w:hAnsi="Calibri"/>
                <w:b/>
                <w:color w:val="2F5496"/>
                <w:sz w:val="20"/>
                <w:szCs w:val="20"/>
                <w:lang w:val="en-US" w:eastAsia="en-US"/>
              </w:rPr>
            </w:pPr>
            <w:r>
              <w:rPr>
                <w:rFonts w:eastAsia="Arial"/>
                <w:b/>
                <w:color w:val="2F5496"/>
                <w:sz w:val="20"/>
                <w:szCs w:val="20"/>
                <w:lang w:val="en-US" w:eastAsia="en-US"/>
              </w:rPr>
              <w:t>2022</w:t>
            </w:r>
          </w:p>
        </w:tc>
        <w:tc>
          <w:tcPr>
            <w:tcW w:w="3663" w:type="dxa"/>
            <w:shd w:val="clear" w:color="auto" w:fill="FFFFFF"/>
            <w:vAlign w:val="center"/>
          </w:tcPr>
          <w:p w14:paraId="4337F671" w14:textId="77777777" w:rsidR="00EA6DED" w:rsidRDefault="007504AE">
            <w:pPr>
              <w:widowControl w:val="0"/>
              <w:autoSpaceDE w:val="0"/>
              <w:autoSpaceDN w:val="0"/>
              <w:rPr>
                <w:rFonts w:ascii="Calibri" w:eastAsia="Arial" w:hAnsi="Calibri"/>
                <w:b/>
                <w:color w:val="2F5496"/>
                <w:sz w:val="20"/>
                <w:szCs w:val="20"/>
                <w:lang w:val="en-US" w:eastAsia="en-US"/>
              </w:rPr>
            </w:pPr>
            <w:r>
              <w:rPr>
                <w:rFonts w:eastAsia="Arial"/>
                <w:b/>
                <w:color w:val="2F5496"/>
                <w:sz w:val="20"/>
                <w:szCs w:val="20"/>
                <w:lang w:val="en-US" w:eastAsia="en-US"/>
              </w:rPr>
              <w:t xml:space="preserve">2026 </w:t>
            </w:r>
          </w:p>
        </w:tc>
      </w:tr>
      <w:tr w:rsidR="00EA6DED" w14:paraId="4337F675" w14:textId="77777777">
        <w:trPr>
          <w:trHeight w:val="447"/>
          <w:jc w:val="center"/>
        </w:trPr>
        <w:tc>
          <w:tcPr>
            <w:tcW w:w="2707" w:type="dxa"/>
            <w:tcBorders>
              <w:left w:val="single" w:sz="4" w:space="0" w:color="FFFFFF"/>
            </w:tcBorders>
            <w:shd w:val="clear" w:color="auto" w:fill="4472C4"/>
            <w:vAlign w:val="center"/>
          </w:tcPr>
          <w:p w14:paraId="4337F673" w14:textId="77777777" w:rsidR="00EA6DED" w:rsidRDefault="007504AE">
            <w:pPr>
              <w:widowControl w:val="0"/>
              <w:autoSpaceDE w:val="0"/>
              <w:autoSpaceDN w:val="0"/>
              <w:rPr>
                <w:rFonts w:ascii="Calibri" w:eastAsia="Arial" w:hAnsi="Calibri"/>
                <w:b/>
                <w:color w:val="FFFFFF"/>
                <w:sz w:val="20"/>
                <w:szCs w:val="20"/>
                <w:lang w:eastAsia="en-US"/>
              </w:rPr>
            </w:pPr>
            <w:r>
              <w:rPr>
                <w:rFonts w:eastAsia="Arial"/>
                <w:color w:val="FFFFFF"/>
                <w:sz w:val="20"/>
                <w:szCs w:val="20"/>
                <w:lang w:eastAsia="en-US"/>
              </w:rPr>
              <w:t xml:space="preserve">Budget requis </w:t>
            </w:r>
          </w:p>
        </w:tc>
        <w:tc>
          <w:tcPr>
            <w:tcW w:w="7778" w:type="dxa"/>
            <w:gridSpan w:val="2"/>
            <w:shd w:val="clear" w:color="auto" w:fill="FFFFFF"/>
            <w:vAlign w:val="center"/>
          </w:tcPr>
          <w:p w14:paraId="4337F674" w14:textId="77777777" w:rsidR="00EA6DED" w:rsidRDefault="007504AE">
            <w:pPr>
              <w:widowControl w:val="0"/>
              <w:autoSpaceDE w:val="0"/>
              <w:autoSpaceDN w:val="0"/>
              <w:rPr>
                <w:rFonts w:ascii="Calibri" w:eastAsia="Arial" w:hAnsi="Calibri"/>
                <w:color w:val="2F5496"/>
                <w:sz w:val="20"/>
                <w:szCs w:val="20"/>
                <w:lang w:eastAsia="en-US"/>
              </w:rPr>
            </w:pPr>
            <w:r>
              <w:rPr>
                <w:rFonts w:eastAsia="Arial"/>
                <w:color w:val="2F5496"/>
                <w:sz w:val="20"/>
                <w:szCs w:val="20"/>
                <w:lang w:eastAsia="en-US"/>
              </w:rPr>
              <w:t>1 152 363 453 $US</w:t>
            </w:r>
          </w:p>
        </w:tc>
      </w:tr>
      <w:tr w:rsidR="00EA6DED" w14:paraId="4337F678" w14:textId="77777777">
        <w:trPr>
          <w:trHeight w:val="567"/>
          <w:jc w:val="center"/>
        </w:trPr>
        <w:tc>
          <w:tcPr>
            <w:tcW w:w="2707" w:type="dxa"/>
            <w:tcBorders>
              <w:left w:val="single" w:sz="4" w:space="0" w:color="FFFFFF"/>
            </w:tcBorders>
            <w:shd w:val="clear" w:color="auto" w:fill="4472C4"/>
            <w:vAlign w:val="center"/>
          </w:tcPr>
          <w:p w14:paraId="4337F676" w14:textId="77777777" w:rsidR="00EA6DED" w:rsidRDefault="007504AE">
            <w:pPr>
              <w:widowControl w:val="0"/>
              <w:autoSpaceDE w:val="0"/>
              <w:autoSpaceDN w:val="0"/>
              <w:rPr>
                <w:rFonts w:ascii="Calibri" w:eastAsia="Arial" w:hAnsi="Calibri"/>
                <w:b/>
                <w:color w:val="FFFFFF"/>
                <w:sz w:val="22"/>
                <w:szCs w:val="20"/>
                <w:lang w:val="en-US" w:eastAsia="en-US"/>
              </w:rPr>
            </w:pPr>
            <w:r>
              <w:rPr>
                <w:rFonts w:eastAsia="Arial"/>
                <w:b/>
                <w:color w:val="FFFFFF"/>
                <w:sz w:val="22"/>
                <w:szCs w:val="20"/>
                <w:lang w:val="en-US" w:eastAsia="en-US"/>
              </w:rPr>
              <w:t>Sources de financement</w:t>
            </w:r>
          </w:p>
        </w:tc>
        <w:tc>
          <w:tcPr>
            <w:tcW w:w="7778" w:type="dxa"/>
            <w:gridSpan w:val="2"/>
            <w:shd w:val="clear" w:color="auto" w:fill="FFFFFF"/>
            <w:vAlign w:val="center"/>
          </w:tcPr>
          <w:p w14:paraId="4337F677" w14:textId="77777777" w:rsidR="00EA6DED" w:rsidRDefault="007504AE">
            <w:pPr>
              <w:widowControl w:val="0"/>
              <w:autoSpaceDE w:val="0"/>
              <w:autoSpaceDN w:val="0"/>
              <w:rPr>
                <w:rFonts w:ascii="Calibri" w:eastAsia="Arial" w:hAnsi="Calibri"/>
                <w:color w:val="2F5496"/>
                <w:sz w:val="20"/>
                <w:szCs w:val="20"/>
                <w:lang w:eastAsia="en-US"/>
              </w:rPr>
            </w:pPr>
            <w:r>
              <w:rPr>
                <w:rFonts w:eastAsia="Arial"/>
                <w:color w:val="2F5496"/>
                <w:sz w:val="20"/>
                <w:szCs w:val="20"/>
                <w:lang w:eastAsia="en-US"/>
              </w:rPr>
              <w:t>Etat du Cameroun, Agences, Fonds et Programmes des Nations Unies, Partenaires Techniques et Financiers, Organisations bi-multilatérales, et ONG internationales</w:t>
            </w:r>
          </w:p>
        </w:tc>
      </w:tr>
      <w:tr w:rsidR="00EA6DED" w14:paraId="4337F67B" w14:textId="77777777">
        <w:trPr>
          <w:trHeight w:val="363"/>
          <w:jc w:val="center"/>
        </w:trPr>
        <w:tc>
          <w:tcPr>
            <w:tcW w:w="2707" w:type="dxa"/>
            <w:tcBorders>
              <w:left w:val="single" w:sz="4" w:space="0" w:color="FFFFFF"/>
            </w:tcBorders>
            <w:shd w:val="clear" w:color="auto" w:fill="4472C4"/>
            <w:vAlign w:val="center"/>
          </w:tcPr>
          <w:p w14:paraId="4337F679" w14:textId="77777777" w:rsidR="00EA6DED" w:rsidRDefault="007504AE">
            <w:pPr>
              <w:widowControl w:val="0"/>
              <w:autoSpaceDE w:val="0"/>
              <w:autoSpaceDN w:val="0"/>
              <w:rPr>
                <w:rFonts w:ascii="Calibri" w:eastAsia="Arial" w:hAnsi="Calibri"/>
                <w:b/>
                <w:color w:val="FFFFFF"/>
                <w:sz w:val="22"/>
                <w:szCs w:val="20"/>
                <w:lang w:val="en-US" w:eastAsia="en-US"/>
              </w:rPr>
            </w:pPr>
            <w:r>
              <w:rPr>
                <w:rFonts w:eastAsia="Arial"/>
                <w:b/>
                <w:color w:val="FFFFFF"/>
                <w:sz w:val="22"/>
                <w:szCs w:val="20"/>
                <w:lang w:val="en-US" w:eastAsia="en-US"/>
              </w:rPr>
              <w:t xml:space="preserve">Agences d’exécution </w:t>
            </w:r>
          </w:p>
        </w:tc>
        <w:tc>
          <w:tcPr>
            <w:tcW w:w="7778" w:type="dxa"/>
            <w:gridSpan w:val="2"/>
            <w:shd w:val="clear" w:color="auto" w:fill="FFFFFF"/>
            <w:vAlign w:val="center"/>
          </w:tcPr>
          <w:p w14:paraId="4337F67A" w14:textId="77777777" w:rsidR="00EA6DED" w:rsidRDefault="007504AE">
            <w:pPr>
              <w:widowControl w:val="0"/>
              <w:autoSpaceDE w:val="0"/>
              <w:autoSpaceDN w:val="0"/>
              <w:rPr>
                <w:rFonts w:ascii="Calibri" w:eastAsia="Arial" w:hAnsi="Calibri"/>
                <w:color w:val="2F5496"/>
                <w:sz w:val="20"/>
                <w:szCs w:val="20"/>
                <w:lang w:eastAsia="en-US"/>
              </w:rPr>
            </w:pPr>
            <w:r>
              <w:rPr>
                <w:rFonts w:eastAsia="Arial"/>
                <w:color w:val="2F5496"/>
                <w:sz w:val="20"/>
                <w:szCs w:val="20"/>
                <w:lang w:eastAsia="en-US"/>
              </w:rPr>
              <w:t xml:space="preserve">Agences des Nations Unies &amp; Gouvernement, Partenaires Nationaux et Internationaux </w:t>
            </w:r>
          </w:p>
        </w:tc>
      </w:tr>
      <w:tr w:rsidR="00EA6DED" w14:paraId="4337F69E" w14:textId="77777777">
        <w:trPr>
          <w:trHeight w:val="567"/>
          <w:jc w:val="center"/>
        </w:trPr>
        <w:tc>
          <w:tcPr>
            <w:tcW w:w="2707" w:type="dxa"/>
            <w:tcBorders>
              <w:left w:val="single" w:sz="4" w:space="0" w:color="FFFFFF"/>
              <w:bottom w:val="single" w:sz="4" w:space="0" w:color="FFFFFF"/>
            </w:tcBorders>
            <w:shd w:val="clear" w:color="auto" w:fill="4472C4"/>
            <w:vAlign w:val="center"/>
          </w:tcPr>
          <w:p w14:paraId="4337F67C" w14:textId="77777777" w:rsidR="00EA6DED" w:rsidRDefault="007504AE">
            <w:pPr>
              <w:widowControl w:val="0"/>
              <w:autoSpaceDE w:val="0"/>
              <w:autoSpaceDN w:val="0"/>
              <w:rPr>
                <w:rFonts w:ascii="Calibri" w:eastAsia="Arial" w:hAnsi="Calibri"/>
                <w:b/>
                <w:color w:val="FFFFFF"/>
                <w:sz w:val="20"/>
                <w:szCs w:val="20"/>
                <w:lang w:val="en-US" w:eastAsia="en-US"/>
              </w:rPr>
            </w:pPr>
            <w:r>
              <w:rPr>
                <w:rFonts w:eastAsia="Arial"/>
                <w:b/>
                <w:color w:val="FFFFFF"/>
                <w:sz w:val="21"/>
                <w:szCs w:val="20"/>
                <w:lang w:val="en-US" w:eastAsia="en-US"/>
              </w:rPr>
              <w:t>Principales parties prenantes</w:t>
            </w:r>
          </w:p>
        </w:tc>
        <w:tc>
          <w:tcPr>
            <w:tcW w:w="7778" w:type="dxa"/>
            <w:gridSpan w:val="2"/>
            <w:shd w:val="clear" w:color="auto" w:fill="FFFFFF"/>
            <w:vAlign w:val="center"/>
          </w:tcPr>
          <w:p w14:paraId="4337F67D" w14:textId="77777777" w:rsidR="00EA6DED" w:rsidRDefault="007504AE">
            <w:pPr>
              <w:keepLines/>
              <w:widowControl w:val="0"/>
              <w:tabs>
                <w:tab w:val="left" w:pos="709"/>
              </w:tabs>
              <w:autoSpaceDE w:val="0"/>
              <w:autoSpaceDN w:val="0"/>
              <w:rPr>
                <w:rFonts w:ascii="Calibri" w:eastAsia="Arial" w:hAnsi="Calibri"/>
                <w:b/>
                <w:color w:val="2F5496"/>
                <w:sz w:val="20"/>
                <w:szCs w:val="20"/>
                <w:lang w:val="en-US" w:eastAsia="en-US"/>
              </w:rPr>
            </w:pPr>
            <w:r>
              <w:rPr>
                <w:rFonts w:eastAsia="Arial"/>
                <w:b/>
                <w:color w:val="2F5496"/>
                <w:sz w:val="20"/>
                <w:szCs w:val="20"/>
                <w:lang w:val="en-US" w:eastAsia="en-US"/>
              </w:rPr>
              <w:t>Agences du Système des Nations Unies:</w:t>
            </w:r>
            <w:r>
              <w:rPr>
                <w:rFonts w:eastAsia="Arial"/>
                <w:color w:val="2F5496"/>
                <w:sz w:val="20"/>
                <w:szCs w:val="20"/>
                <w:lang w:val="en-US" w:eastAsia="en-US"/>
              </w:rPr>
              <w:t xml:space="preserve"> UNICEF, UNFPA, UNESCO, HCR, OMS, ONUSIDA, OIM, FIDA, UNEP, CEA, ONU FEMMES, FAO, PNUD, PAM, OHCDH, UNHABITAT, OCHA, UIT, FMI, BIT, FIDA, ONUDI, UNDSS</w:t>
            </w:r>
          </w:p>
          <w:p w14:paraId="4337F67E" w14:textId="77777777" w:rsidR="00EA6DED" w:rsidRDefault="00EA6DED">
            <w:pPr>
              <w:keepLines/>
              <w:widowControl w:val="0"/>
              <w:tabs>
                <w:tab w:val="left" w:pos="709"/>
              </w:tabs>
              <w:autoSpaceDE w:val="0"/>
              <w:autoSpaceDN w:val="0"/>
              <w:rPr>
                <w:rFonts w:ascii="Calibri" w:eastAsia="Arial" w:hAnsi="Calibri"/>
                <w:b/>
                <w:color w:val="2F5496"/>
                <w:sz w:val="20"/>
                <w:szCs w:val="20"/>
                <w:lang w:val="en-US" w:eastAsia="en-US"/>
              </w:rPr>
            </w:pPr>
          </w:p>
          <w:p w14:paraId="4337F67F" w14:textId="77777777" w:rsidR="00EA6DED" w:rsidRDefault="007504AE">
            <w:pPr>
              <w:keepLines/>
              <w:widowControl w:val="0"/>
              <w:tabs>
                <w:tab w:val="left" w:pos="709"/>
              </w:tabs>
              <w:autoSpaceDE w:val="0"/>
              <w:autoSpaceDN w:val="0"/>
              <w:rPr>
                <w:rFonts w:ascii="Calibri" w:eastAsia="Arial" w:hAnsi="Calibri"/>
                <w:b/>
                <w:color w:val="2F5496"/>
                <w:sz w:val="20"/>
                <w:szCs w:val="20"/>
                <w:lang w:eastAsia="en-US"/>
              </w:rPr>
            </w:pPr>
            <w:r>
              <w:rPr>
                <w:rFonts w:eastAsia="Arial"/>
                <w:b/>
                <w:color w:val="2F5496"/>
                <w:sz w:val="20"/>
                <w:szCs w:val="20"/>
                <w:lang w:eastAsia="en-US"/>
              </w:rPr>
              <w:t>Structures étatiques </w:t>
            </w:r>
          </w:p>
          <w:p w14:paraId="4337F680"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Ministère de la Santé Publique</w:t>
            </w:r>
          </w:p>
          <w:p w14:paraId="4337F681"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 xml:space="preserve">Ministère de l’Agriculture et du Développement Rural </w:t>
            </w:r>
          </w:p>
          <w:p w14:paraId="4337F682"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 xml:space="preserve">Ministère de la Forêt et de la Faune </w:t>
            </w:r>
          </w:p>
          <w:p w14:paraId="4337F683"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 xml:space="preserve">Ministère de la Décentralisation et du Développement Local </w:t>
            </w:r>
          </w:p>
          <w:p w14:paraId="4337F684"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 xml:space="preserve">Ministère de la Promotion de la Femme et de la Famille </w:t>
            </w:r>
          </w:p>
          <w:p w14:paraId="4337F685"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 xml:space="preserve">Ministère de l’Éducation de Base </w:t>
            </w:r>
          </w:p>
          <w:p w14:paraId="4337F686"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 xml:space="preserve">Ministère de la Recherche Scientifique et de l’Innovation </w:t>
            </w:r>
          </w:p>
          <w:p w14:paraId="4337F687"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 xml:space="preserve">Ministère de la Jeunesse et de l’Éducation Civique </w:t>
            </w:r>
          </w:p>
          <w:p w14:paraId="4337F688"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 xml:space="preserve">Ministère de l’Économie, de la Planification et de l’Aménagement du Territoire </w:t>
            </w:r>
          </w:p>
          <w:p w14:paraId="4337F689"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 xml:space="preserve">Ministère du Commerce </w:t>
            </w:r>
          </w:p>
          <w:p w14:paraId="4337F68A"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Ministère des Petites et Moyennes Entreprises, de l'Economie Sociale et de l'Artisanat</w:t>
            </w:r>
          </w:p>
          <w:p w14:paraId="4337F68B"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Ministère du Travail et de la Sécurité Sociale</w:t>
            </w:r>
          </w:p>
          <w:p w14:paraId="4337F68C"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Ministère de l'Emploi et de la Formation Professionnelle</w:t>
            </w:r>
          </w:p>
          <w:p w14:paraId="4337F68D"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Ministère des Finances</w:t>
            </w:r>
          </w:p>
          <w:p w14:paraId="4337F68E"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Ministère des Mines, de l'Industrie et du Développement Technologique</w:t>
            </w:r>
          </w:p>
          <w:p w14:paraId="4337F68F"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Réseau de télécommunications mobiles (CAMTEL)</w:t>
            </w:r>
          </w:p>
          <w:p w14:paraId="4337F690"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Ministère des Affaires Sociales</w:t>
            </w:r>
          </w:p>
          <w:p w14:paraId="4337F691"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 xml:space="preserve">Ministère de l'Elevage, de la Pêche et des Industries Aanimales, </w:t>
            </w:r>
          </w:p>
          <w:p w14:paraId="4337F692"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Ministère de la Justice</w:t>
            </w:r>
          </w:p>
          <w:p w14:paraId="4337F693"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Ministère de l'Administration Territoriale</w:t>
            </w:r>
          </w:p>
          <w:p w14:paraId="4337F694"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Ministère de l’Eau et de l'Energie</w:t>
            </w:r>
          </w:p>
          <w:p w14:paraId="4337F695"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Ministère des Enseignements Secondaires</w:t>
            </w:r>
          </w:p>
          <w:p w14:paraId="4337F696"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Ministère de l'Environnement, de la Protection de la Nature et du Développement Durable</w:t>
            </w:r>
          </w:p>
          <w:p w14:paraId="4337F697" w14:textId="77777777" w:rsidR="00EA6DED" w:rsidRDefault="007504AE">
            <w:pPr>
              <w:pStyle w:val="Paragraphedeliste"/>
              <w:widowControl w:val="0"/>
              <w:numPr>
                <w:ilvl w:val="0"/>
                <w:numId w:val="2"/>
              </w:numPr>
              <w:autoSpaceDE w:val="0"/>
              <w:autoSpaceDN w:val="0"/>
              <w:rPr>
                <w:rFonts w:ascii="Calibri" w:eastAsia="Arial" w:hAnsi="Calibri"/>
                <w:color w:val="2F5496"/>
                <w:sz w:val="20"/>
                <w:szCs w:val="20"/>
                <w:lang w:eastAsia="en-US"/>
              </w:rPr>
            </w:pPr>
            <w:r>
              <w:rPr>
                <w:rFonts w:eastAsia="Arial"/>
                <w:color w:val="2F5496"/>
                <w:sz w:val="20"/>
                <w:szCs w:val="20"/>
                <w:lang w:eastAsia="en-US"/>
              </w:rPr>
              <w:t>Ministère de l'Enseignement Supérieur</w:t>
            </w:r>
          </w:p>
          <w:p w14:paraId="4337F698" w14:textId="77777777" w:rsidR="00EA6DED" w:rsidRDefault="00EA6DED">
            <w:pPr>
              <w:keepLines/>
              <w:widowControl w:val="0"/>
              <w:tabs>
                <w:tab w:val="left" w:pos="709"/>
              </w:tabs>
              <w:autoSpaceDE w:val="0"/>
              <w:autoSpaceDN w:val="0"/>
              <w:rPr>
                <w:rFonts w:ascii="Calibri" w:eastAsia="Arial" w:hAnsi="Calibri"/>
                <w:b/>
                <w:color w:val="2F5496"/>
                <w:sz w:val="20"/>
                <w:szCs w:val="20"/>
                <w:lang w:eastAsia="en-US"/>
              </w:rPr>
            </w:pPr>
          </w:p>
          <w:p w14:paraId="4337F699" w14:textId="77777777" w:rsidR="00EA6DED" w:rsidRDefault="007504AE">
            <w:pPr>
              <w:keepLines/>
              <w:widowControl w:val="0"/>
              <w:tabs>
                <w:tab w:val="left" w:pos="709"/>
              </w:tabs>
              <w:autoSpaceDE w:val="0"/>
              <w:autoSpaceDN w:val="0"/>
              <w:rPr>
                <w:rFonts w:ascii="Calibri" w:eastAsia="Arial" w:hAnsi="Calibri"/>
                <w:color w:val="2F5496"/>
                <w:sz w:val="20"/>
                <w:szCs w:val="20"/>
                <w:lang w:eastAsia="en-US"/>
              </w:rPr>
            </w:pPr>
            <w:r>
              <w:rPr>
                <w:rFonts w:eastAsia="Arial"/>
                <w:b/>
                <w:color w:val="2F5496"/>
                <w:sz w:val="20"/>
                <w:szCs w:val="20"/>
                <w:lang w:eastAsia="en-US"/>
              </w:rPr>
              <w:t>Partenaires techniques de mise en œuvre</w:t>
            </w:r>
            <w:r>
              <w:rPr>
                <w:rFonts w:eastAsia="Arial"/>
                <w:color w:val="2F5496"/>
                <w:sz w:val="20"/>
                <w:szCs w:val="20"/>
                <w:lang w:eastAsia="en-US"/>
              </w:rPr>
              <w:t xml:space="preserve"> :  </w:t>
            </w:r>
          </w:p>
          <w:p w14:paraId="4337F69A" w14:textId="77777777" w:rsidR="00EA6DED" w:rsidRDefault="007504AE">
            <w:pPr>
              <w:pStyle w:val="Paragraphedeliste"/>
              <w:widowControl w:val="0"/>
              <w:numPr>
                <w:ilvl w:val="0"/>
                <w:numId w:val="2"/>
              </w:numPr>
              <w:tabs>
                <w:tab w:val="left" w:pos="709"/>
              </w:tabs>
              <w:autoSpaceDE w:val="0"/>
              <w:autoSpaceDN w:val="0"/>
              <w:rPr>
                <w:rFonts w:ascii="Calibri" w:eastAsia="Arial" w:hAnsi="Calibri"/>
                <w:color w:val="2F5496"/>
                <w:sz w:val="20"/>
                <w:szCs w:val="20"/>
                <w:lang w:eastAsia="en-US"/>
              </w:rPr>
            </w:pPr>
            <w:r>
              <w:rPr>
                <w:rFonts w:eastAsia="Arial"/>
                <w:color w:val="2F5496"/>
                <w:sz w:val="20"/>
                <w:szCs w:val="20"/>
                <w:lang w:eastAsia="en-US"/>
              </w:rPr>
              <w:t xml:space="preserve">ONG internationales, locales et Organisations de la Société Civile </w:t>
            </w:r>
          </w:p>
          <w:p w14:paraId="4337F69B" w14:textId="77777777" w:rsidR="00EA6DED" w:rsidRDefault="00EA6DED">
            <w:pPr>
              <w:widowControl w:val="0"/>
              <w:autoSpaceDE w:val="0"/>
              <w:autoSpaceDN w:val="0"/>
              <w:rPr>
                <w:rFonts w:ascii="Calibri" w:eastAsia="Arial" w:hAnsi="Calibri"/>
                <w:b/>
                <w:color w:val="2F5496"/>
                <w:sz w:val="20"/>
                <w:szCs w:val="20"/>
                <w:lang w:eastAsia="en-US"/>
              </w:rPr>
            </w:pPr>
          </w:p>
          <w:p w14:paraId="4337F69C" w14:textId="77777777" w:rsidR="00EA6DED" w:rsidRDefault="007504AE">
            <w:pPr>
              <w:widowControl w:val="0"/>
              <w:autoSpaceDE w:val="0"/>
              <w:autoSpaceDN w:val="0"/>
              <w:rPr>
                <w:rFonts w:ascii="Calibri" w:eastAsia="Arial" w:hAnsi="Calibri"/>
                <w:color w:val="2F5496"/>
                <w:sz w:val="20"/>
                <w:szCs w:val="20"/>
                <w:lang w:eastAsia="en-US"/>
              </w:rPr>
            </w:pPr>
            <w:r>
              <w:rPr>
                <w:rFonts w:eastAsia="Arial"/>
                <w:b/>
                <w:color w:val="2F5496"/>
                <w:sz w:val="20"/>
                <w:szCs w:val="20"/>
                <w:lang w:eastAsia="en-US"/>
              </w:rPr>
              <w:t>Organisations donatrices :</w:t>
            </w:r>
            <w:r>
              <w:rPr>
                <w:rFonts w:eastAsia="Arial"/>
                <w:color w:val="2F5496"/>
                <w:sz w:val="20"/>
                <w:szCs w:val="20"/>
                <w:lang w:eastAsia="en-US"/>
              </w:rPr>
              <w:t xml:space="preserve"> </w:t>
            </w:r>
          </w:p>
          <w:p w14:paraId="4337F69D" w14:textId="77777777" w:rsidR="00EA6DED" w:rsidRDefault="007504AE">
            <w:pPr>
              <w:widowControl w:val="0"/>
              <w:autoSpaceDE w:val="0"/>
              <w:autoSpaceDN w:val="0"/>
              <w:rPr>
                <w:rFonts w:ascii="Calibri" w:eastAsia="Arial" w:hAnsi="Calibri"/>
                <w:color w:val="2F5496"/>
                <w:sz w:val="20"/>
                <w:szCs w:val="20"/>
                <w:lang w:eastAsia="en-US"/>
              </w:rPr>
            </w:pPr>
            <w:r>
              <w:rPr>
                <w:rFonts w:eastAsia="Arial"/>
                <w:color w:val="2F5496"/>
                <w:sz w:val="20"/>
                <w:szCs w:val="20"/>
                <w:lang w:eastAsia="en-US"/>
              </w:rPr>
              <w:t>Plusieurs organisations ont soutenu les interventions du Cadre de Coopération (Etat, bailleurs de fonds, structures de coopération bi-multilatérales, SNU…)</w:t>
            </w:r>
          </w:p>
        </w:tc>
      </w:tr>
    </w:tbl>
    <w:p w14:paraId="4337F69F" w14:textId="77777777" w:rsidR="00EA6DED" w:rsidRDefault="00EA6DED">
      <w:pPr>
        <w:widowControl w:val="0"/>
        <w:spacing w:line="280" w:lineRule="auto"/>
        <w:rPr>
          <w:rFonts w:eastAsia="Arial"/>
          <w:b/>
          <w:color w:val="0000CC"/>
          <w:u w:val="single"/>
        </w:rPr>
        <w:sectPr w:rsidR="00EA6DED">
          <w:footerReference w:type="default" r:id="rId17"/>
          <w:pgSz w:w="11907" w:h="16839"/>
          <w:pgMar w:top="851" w:right="851" w:bottom="851" w:left="851" w:header="720" w:footer="1264" w:gutter="0"/>
          <w:pgNumType w:fmt="lowerRoman" w:start="1"/>
          <w:cols w:space="720"/>
        </w:sectPr>
      </w:pPr>
    </w:p>
    <w:p w14:paraId="4337F6A0" w14:textId="77777777" w:rsidR="00EA6DED" w:rsidRDefault="00EA6DED">
      <w:pPr>
        <w:spacing w:line="249" w:lineRule="auto"/>
        <w:ind w:left="720"/>
        <w:jc w:val="both"/>
        <w:rPr>
          <w:rFonts w:eastAsia="Arial"/>
          <w:color w:val="231F1F"/>
        </w:rPr>
      </w:pPr>
      <w:bookmarkStart w:id="0" w:name="_heading=h.gjdgxs" w:colFirst="0" w:colLast="0"/>
      <w:bookmarkEnd w:id="0"/>
    </w:p>
    <w:p w14:paraId="4337F6A1" w14:textId="77777777" w:rsidR="00EA6DED" w:rsidRDefault="00EA6DED">
      <w:pPr>
        <w:spacing w:line="249" w:lineRule="auto"/>
        <w:ind w:left="720"/>
        <w:jc w:val="both"/>
        <w:rPr>
          <w:rFonts w:eastAsia="Arial"/>
          <w:color w:val="231F1F"/>
        </w:rPr>
      </w:pPr>
    </w:p>
    <w:p w14:paraId="4337F6A2" w14:textId="77777777" w:rsidR="00EA6DED" w:rsidRDefault="00EA6DED">
      <w:pPr>
        <w:spacing w:line="249" w:lineRule="auto"/>
        <w:ind w:left="720"/>
        <w:jc w:val="both"/>
        <w:rPr>
          <w:rFonts w:eastAsia="Arial"/>
          <w:color w:val="231F1F"/>
        </w:rPr>
      </w:pPr>
    </w:p>
    <w:p w14:paraId="4337F6A3" w14:textId="77777777" w:rsidR="00EA6DED" w:rsidRDefault="00EA6DED">
      <w:pPr>
        <w:spacing w:line="249" w:lineRule="auto"/>
        <w:ind w:left="720"/>
        <w:jc w:val="both"/>
        <w:rPr>
          <w:rFonts w:eastAsia="Arial"/>
          <w:color w:val="231F1F"/>
        </w:rPr>
      </w:pPr>
    </w:p>
    <w:p w14:paraId="4337F6A4" w14:textId="77777777" w:rsidR="00EA6DED" w:rsidRDefault="007504AE">
      <w:pPr>
        <w:pStyle w:val="Lgende"/>
        <w:spacing w:line="249" w:lineRule="auto"/>
        <w:rPr>
          <w:rFonts w:eastAsia="Arial"/>
          <w:color w:val="231F1F"/>
        </w:rPr>
      </w:pPr>
      <w:bookmarkStart w:id="1" w:name="_heading=h.1jlao46" w:colFirst="0" w:colLast="0"/>
      <w:bookmarkStart w:id="2" w:name="_Toc20522"/>
      <w:bookmarkStart w:id="3" w:name="_Toc30801"/>
      <w:bookmarkEnd w:id="1"/>
      <w:r>
        <w:t xml:space="preserve">Figure </w:t>
      </w:r>
      <w:fldSimple w:instr=" SEQ Figure \* ARABIC ">
        <w:r>
          <w:t>1</w:t>
        </w:r>
      </w:fldSimple>
      <w:bookmarkStart w:id="4" w:name="_Toc384"/>
      <w:r>
        <w:t>:  Carte géographique des zones/régions cibles</w:t>
      </w:r>
      <w:bookmarkEnd w:id="2"/>
      <w:bookmarkEnd w:id="3"/>
      <w:r>
        <w:t xml:space="preserve"> </w:t>
      </w:r>
      <w:bookmarkEnd w:id="4"/>
    </w:p>
    <w:p w14:paraId="4337F6A5" w14:textId="77777777" w:rsidR="00EA6DED" w:rsidRDefault="007504AE">
      <w:r>
        <w:rPr>
          <w:noProof/>
          <w:lang w:val="en-US" w:eastAsia="en-US"/>
        </w:rPr>
        <w:drawing>
          <wp:inline distT="0" distB="0" distL="0" distR="0" wp14:anchorId="4337FDE3" wp14:editId="4337FDE4">
            <wp:extent cx="6003925" cy="6666230"/>
            <wp:effectExtent l="0" t="0" r="0" b="0"/>
            <wp:docPr id="205250408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504089" name="Imag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6003925" cy="6666230"/>
                    </a:xfrm>
                    <a:prstGeom prst="rect">
                      <a:avLst/>
                    </a:prstGeom>
                    <a:noFill/>
                    <a:ln>
                      <a:noFill/>
                    </a:ln>
                  </pic:spPr>
                </pic:pic>
              </a:graphicData>
            </a:graphic>
          </wp:inline>
        </w:drawing>
      </w:r>
    </w:p>
    <w:p w14:paraId="4337F6A6" w14:textId="77777777" w:rsidR="00EA6DED" w:rsidRDefault="00EA6DED"/>
    <w:p w14:paraId="4337F6A7" w14:textId="77777777" w:rsidR="00EA6DED" w:rsidRDefault="007504AE">
      <w:pPr>
        <w:spacing w:line="249" w:lineRule="auto"/>
        <w:jc w:val="both"/>
        <w:rPr>
          <w:rFonts w:eastAsia="Arial"/>
          <w:color w:val="231F1F"/>
          <w:sz w:val="22"/>
          <w:szCs w:val="22"/>
        </w:rPr>
      </w:pPr>
      <w:r>
        <w:rPr>
          <w:rFonts w:eastAsia="Arial"/>
          <w:color w:val="231F1F"/>
          <w:sz w:val="22"/>
          <w:szCs w:val="22"/>
        </w:rPr>
        <w:t xml:space="preserve">La carte ci-dessus est proposée exclusivement pour les commodités de la lecture du rapport auquel il est attaché. Les dimensions et les frontières n’impliquent aucun jugement de la part des évaluateurs ou des Nations-Unies sur le statut juridique des territoires ni aucune approbation ou appréciation des frontières.  </w:t>
      </w:r>
    </w:p>
    <w:p w14:paraId="4337F6A8" w14:textId="77777777" w:rsidR="00EA6DED" w:rsidRDefault="00EA6DED">
      <w:pPr>
        <w:spacing w:line="249" w:lineRule="auto"/>
        <w:rPr>
          <w:rFonts w:eastAsia="Arial"/>
          <w:color w:val="231F1F"/>
        </w:rPr>
      </w:pPr>
    </w:p>
    <w:p w14:paraId="4337F6A9" w14:textId="77777777" w:rsidR="00EA6DED" w:rsidRDefault="007504AE">
      <w:pPr>
        <w:keepNext/>
        <w:keepLines/>
        <w:pBdr>
          <w:bottom w:val="single" w:sz="24" w:space="1" w:color="C55911"/>
        </w:pBdr>
        <w:spacing w:line="276" w:lineRule="auto"/>
        <w:rPr>
          <w:rFonts w:eastAsia="Arial"/>
          <w:b/>
          <w:color w:val="0000CC"/>
          <w:sz w:val="28"/>
          <w:szCs w:val="28"/>
        </w:rPr>
      </w:pPr>
      <w:r>
        <w:br w:type="page"/>
      </w:r>
    </w:p>
    <w:p w14:paraId="4337F6AA" w14:textId="77777777" w:rsidR="00EA6DED" w:rsidRDefault="007504AE">
      <w:pPr>
        <w:spacing w:line="249" w:lineRule="auto"/>
        <w:ind w:right="1108"/>
        <w:jc w:val="both"/>
        <w:rPr>
          <w:rFonts w:eastAsia="Arial"/>
          <w:b/>
          <w:color w:val="0000CC"/>
          <w:sz w:val="28"/>
          <w:szCs w:val="28"/>
        </w:rPr>
      </w:pPr>
      <w:r>
        <w:rPr>
          <w:rFonts w:eastAsia="Arial"/>
          <w:b/>
          <w:color w:val="0000CC"/>
          <w:sz w:val="28"/>
          <w:szCs w:val="28"/>
        </w:rPr>
        <w:lastRenderedPageBreak/>
        <w:t>Table des matières</w:t>
      </w:r>
    </w:p>
    <w:p w14:paraId="4337F6AB" w14:textId="77777777" w:rsidR="00EA6DED" w:rsidRDefault="00EA6DED">
      <w:pPr>
        <w:ind w:right="550"/>
        <w:rPr>
          <w:b/>
          <w:color w:val="000000"/>
          <w:sz w:val="2"/>
          <w:szCs w:val="2"/>
        </w:rPr>
      </w:pPr>
      <w:bookmarkStart w:id="5" w:name="_heading=h.30j0zll" w:colFirst="0" w:colLast="0"/>
      <w:bookmarkEnd w:id="5"/>
    </w:p>
    <w:p w14:paraId="4337F6AC" w14:textId="77777777" w:rsidR="00EA6DED" w:rsidRDefault="00EA6DED">
      <w:pPr>
        <w:jc w:val="center"/>
      </w:pPr>
    </w:p>
    <w:p w14:paraId="4337F6AD" w14:textId="77777777" w:rsidR="00EA6DED" w:rsidRDefault="007504AE">
      <w:pPr>
        <w:pStyle w:val="TM1"/>
        <w:tabs>
          <w:tab w:val="right" w:leader="dot" w:pos="10603"/>
        </w:tabs>
      </w:pPr>
      <w:r>
        <w:rPr>
          <w:rFonts w:eastAsia="Arial"/>
          <w:color w:val="0000CC"/>
          <w:sz w:val="28"/>
          <w:szCs w:val="28"/>
        </w:rPr>
        <w:fldChar w:fldCharType="begin"/>
      </w:r>
      <w:r>
        <w:rPr>
          <w:rFonts w:eastAsia="Arial"/>
          <w:color w:val="0000CC"/>
          <w:sz w:val="28"/>
          <w:szCs w:val="28"/>
        </w:rPr>
        <w:instrText xml:space="preserve">TOC \o "1-3" \h \u </w:instrText>
      </w:r>
      <w:r>
        <w:rPr>
          <w:rFonts w:eastAsia="Arial"/>
          <w:color w:val="0000CC"/>
          <w:sz w:val="28"/>
          <w:szCs w:val="28"/>
        </w:rPr>
        <w:fldChar w:fldCharType="separate"/>
      </w:r>
      <w:hyperlink w:anchor="_Toc16517" w:history="1">
        <w:r>
          <w:rPr>
            <w:rFonts w:ascii="Times New Roman" w:hAnsi="Times New Roman" w:cs="Times New Roman"/>
          </w:rPr>
          <w:t>Remerciements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_Toc16517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14:paraId="4337F6AE" w14:textId="77777777" w:rsidR="00EA6DED" w:rsidRDefault="007504AE">
      <w:pPr>
        <w:pStyle w:val="TM1"/>
        <w:tabs>
          <w:tab w:val="right" w:leader="dot" w:pos="10603"/>
        </w:tabs>
      </w:pPr>
      <w:hyperlink w:anchor="_Toc13492" w:history="1">
        <w:r>
          <w:rPr>
            <w:rFonts w:ascii="Times New Roman" w:hAnsi="Times New Roman"/>
            <w:shd w:val="clear" w:color="auto" w:fill="FFFFFF"/>
          </w:rPr>
          <w:t>I. Résumé exécutif</w:t>
        </w:r>
        <w:r>
          <w:tab/>
        </w:r>
        <w:r>
          <w:fldChar w:fldCharType="begin"/>
        </w:r>
        <w:r>
          <w:instrText xml:space="preserve"> PAGEREF _Toc13492 \h </w:instrText>
        </w:r>
        <w:r>
          <w:fldChar w:fldCharType="separate"/>
        </w:r>
        <w:r>
          <w:t>7</w:t>
        </w:r>
        <w:r>
          <w:fldChar w:fldCharType="end"/>
        </w:r>
      </w:hyperlink>
    </w:p>
    <w:p w14:paraId="4337F6AF" w14:textId="77777777" w:rsidR="00EA6DED" w:rsidRDefault="007504AE">
      <w:pPr>
        <w:pStyle w:val="TM2"/>
        <w:tabs>
          <w:tab w:val="right" w:leader="dot" w:pos="10603"/>
        </w:tabs>
      </w:pPr>
      <w:hyperlink w:anchor="_Toc4352" w:history="1">
        <w:r>
          <w:rPr>
            <w:rFonts w:ascii="Times New Roman" w:hAnsi="Times New Roman"/>
            <w:szCs w:val="24"/>
          </w:rPr>
          <w:t>1.1. But et Objectifs</w:t>
        </w:r>
        <w:r>
          <w:tab/>
        </w:r>
        <w:r>
          <w:fldChar w:fldCharType="begin"/>
        </w:r>
        <w:r>
          <w:instrText xml:space="preserve"> PAGEREF _Toc4352 \h </w:instrText>
        </w:r>
        <w:r>
          <w:fldChar w:fldCharType="separate"/>
        </w:r>
        <w:r>
          <w:t>7</w:t>
        </w:r>
        <w:r>
          <w:fldChar w:fldCharType="end"/>
        </w:r>
      </w:hyperlink>
    </w:p>
    <w:p w14:paraId="4337F6B0" w14:textId="77777777" w:rsidR="00EA6DED" w:rsidRDefault="007504AE">
      <w:pPr>
        <w:pStyle w:val="TM2"/>
        <w:tabs>
          <w:tab w:val="right" w:leader="dot" w:pos="10603"/>
        </w:tabs>
      </w:pPr>
      <w:hyperlink w:anchor="_Toc28740" w:history="1">
        <w:r>
          <w:rPr>
            <w:rFonts w:ascii="Times New Roman" w:hAnsi="Times New Roman"/>
            <w:szCs w:val="24"/>
          </w:rPr>
          <w:t>1.2. Portée de l’évaluation</w:t>
        </w:r>
        <w:r>
          <w:tab/>
        </w:r>
        <w:r>
          <w:fldChar w:fldCharType="begin"/>
        </w:r>
        <w:r>
          <w:instrText xml:space="preserve"> PAGEREF _Toc28740 \h </w:instrText>
        </w:r>
        <w:r>
          <w:fldChar w:fldCharType="separate"/>
        </w:r>
        <w:r>
          <w:t>7</w:t>
        </w:r>
        <w:r>
          <w:fldChar w:fldCharType="end"/>
        </w:r>
      </w:hyperlink>
    </w:p>
    <w:p w14:paraId="4337F6B1" w14:textId="77777777" w:rsidR="00EA6DED" w:rsidRDefault="007504AE">
      <w:pPr>
        <w:pStyle w:val="TM2"/>
        <w:tabs>
          <w:tab w:val="right" w:leader="dot" w:pos="10603"/>
        </w:tabs>
      </w:pPr>
      <w:hyperlink w:anchor="_Toc23023" w:history="1">
        <w:r>
          <w:rPr>
            <w:rFonts w:ascii="Times New Roman" w:hAnsi="Times New Roman"/>
            <w:szCs w:val="24"/>
          </w:rPr>
          <w:t>1.3. La méthodologie de l'évaluation</w:t>
        </w:r>
        <w:r>
          <w:tab/>
        </w:r>
        <w:r>
          <w:fldChar w:fldCharType="begin"/>
        </w:r>
        <w:r>
          <w:instrText xml:space="preserve"> PAGEREF _Toc23023 \h </w:instrText>
        </w:r>
        <w:r>
          <w:fldChar w:fldCharType="separate"/>
        </w:r>
        <w:r>
          <w:t>7</w:t>
        </w:r>
        <w:r>
          <w:fldChar w:fldCharType="end"/>
        </w:r>
      </w:hyperlink>
    </w:p>
    <w:p w14:paraId="4337F6B2" w14:textId="77777777" w:rsidR="00EA6DED" w:rsidRDefault="007504AE">
      <w:pPr>
        <w:pStyle w:val="TM2"/>
        <w:tabs>
          <w:tab w:val="right" w:leader="dot" w:pos="10603"/>
        </w:tabs>
      </w:pPr>
      <w:hyperlink w:anchor="_Toc6839" w:history="1">
        <w:r>
          <w:rPr>
            <w:rFonts w:ascii="Times New Roman" w:hAnsi="Times New Roman"/>
            <w:szCs w:val="24"/>
          </w:rPr>
          <w:t>1.4. Principaux constats</w:t>
        </w:r>
        <w:r>
          <w:tab/>
        </w:r>
        <w:r>
          <w:fldChar w:fldCharType="begin"/>
        </w:r>
        <w:r>
          <w:instrText xml:space="preserve"> PAGEREF _Toc6839 \h </w:instrText>
        </w:r>
        <w:r>
          <w:fldChar w:fldCharType="separate"/>
        </w:r>
        <w:r>
          <w:t>7</w:t>
        </w:r>
        <w:r>
          <w:fldChar w:fldCharType="end"/>
        </w:r>
      </w:hyperlink>
    </w:p>
    <w:p w14:paraId="4337F6B3" w14:textId="77777777" w:rsidR="00EA6DED" w:rsidRDefault="007504AE">
      <w:pPr>
        <w:pStyle w:val="TM2"/>
        <w:tabs>
          <w:tab w:val="right" w:leader="dot" w:pos="10603"/>
        </w:tabs>
      </w:pPr>
      <w:hyperlink w:anchor="_Toc25201" w:history="1">
        <w:r>
          <w:rPr>
            <w:rFonts w:ascii="Times New Roman" w:hAnsi="Times New Roman"/>
            <w:szCs w:val="24"/>
          </w:rPr>
          <w:t>1.5. Principales conclusions</w:t>
        </w:r>
        <w:r>
          <w:tab/>
        </w:r>
        <w:r>
          <w:fldChar w:fldCharType="begin"/>
        </w:r>
        <w:r>
          <w:instrText xml:space="preserve"> PAGEREF _Toc25201 \h </w:instrText>
        </w:r>
        <w:r>
          <w:fldChar w:fldCharType="separate"/>
        </w:r>
        <w:r>
          <w:t>9</w:t>
        </w:r>
        <w:r>
          <w:fldChar w:fldCharType="end"/>
        </w:r>
      </w:hyperlink>
    </w:p>
    <w:p w14:paraId="4337F6B4" w14:textId="77777777" w:rsidR="00EA6DED" w:rsidRDefault="007504AE">
      <w:pPr>
        <w:pStyle w:val="TM2"/>
        <w:tabs>
          <w:tab w:val="right" w:leader="dot" w:pos="10603"/>
        </w:tabs>
      </w:pPr>
      <w:hyperlink w:anchor="_Toc8896" w:history="1">
        <w:r>
          <w:rPr>
            <w:rFonts w:ascii="Times New Roman" w:hAnsi="Times New Roman"/>
            <w:szCs w:val="24"/>
          </w:rPr>
          <w:t>1.6 Principales Recommandations</w:t>
        </w:r>
        <w:r>
          <w:tab/>
        </w:r>
        <w:r>
          <w:fldChar w:fldCharType="begin"/>
        </w:r>
        <w:r>
          <w:instrText xml:space="preserve"> PAGEREF _Toc8896 \h </w:instrText>
        </w:r>
        <w:r>
          <w:fldChar w:fldCharType="separate"/>
        </w:r>
        <w:r>
          <w:t>11</w:t>
        </w:r>
        <w:r>
          <w:fldChar w:fldCharType="end"/>
        </w:r>
      </w:hyperlink>
    </w:p>
    <w:p w14:paraId="4337F6B5" w14:textId="77777777" w:rsidR="00EA6DED" w:rsidRDefault="007504AE">
      <w:pPr>
        <w:pStyle w:val="TM1"/>
        <w:tabs>
          <w:tab w:val="right" w:leader="dot" w:pos="10603"/>
        </w:tabs>
      </w:pPr>
      <w:hyperlink w:anchor="_Toc14930" w:history="1">
        <w:r>
          <w:rPr>
            <w:rFonts w:ascii="Times New Roman" w:hAnsi="Times New Roman"/>
            <w:shd w:val="clear" w:color="auto" w:fill="FFFFFF"/>
          </w:rPr>
          <w:t xml:space="preserve">II. Introduction </w:t>
        </w:r>
        <w:r>
          <w:tab/>
        </w:r>
        <w:r>
          <w:fldChar w:fldCharType="begin"/>
        </w:r>
        <w:r>
          <w:instrText xml:space="preserve"> PAGEREF _Toc14930 \h </w:instrText>
        </w:r>
        <w:r>
          <w:fldChar w:fldCharType="separate"/>
        </w:r>
        <w:r>
          <w:t>12</w:t>
        </w:r>
        <w:r>
          <w:fldChar w:fldCharType="end"/>
        </w:r>
      </w:hyperlink>
    </w:p>
    <w:p w14:paraId="4337F6B6" w14:textId="77777777" w:rsidR="00EA6DED" w:rsidRDefault="007504AE">
      <w:pPr>
        <w:pStyle w:val="TM2"/>
        <w:tabs>
          <w:tab w:val="right" w:leader="dot" w:pos="10603"/>
        </w:tabs>
      </w:pPr>
      <w:hyperlink w:anchor="_Toc19791" w:history="1">
        <w:r>
          <w:rPr>
            <w:rFonts w:ascii="Times New Roman" w:hAnsi="Times New Roman"/>
            <w:szCs w:val="24"/>
          </w:rPr>
          <w:t>2.1 But et objectif de l’évaluation</w:t>
        </w:r>
        <w:r>
          <w:tab/>
        </w:r>
        <w:r>
          <w:fldChar w:fldCharType="begin"/>
        </w:r>
        <w:r>
          <w:instrText xml:space="preserve"> PAGEREF _Toc19791 \h </w:instrText>
        </w:r>
        <w:r>
          <w:fldChar w:fldCharType="separate"/>
        </w:r>
        <w:r>
          <w:t>12</w:t>
        </w:r>
        <w:r>
          <w:fldChar w:fldCharType="end"/>
        </w:r>
      </w:hyperlink>
    </w:p>
    <w:p w14:paraId="4337F6B7" w14:textId="77777777" w:rsidR="00EA6DED" w:rsidRDefault="007504AE">
      <w:pPr>
        <w:pStyle w:val="TM2"/>
        <w:tabs>
          <w:tab w:val="right" w:leader="dot" w:pos="10603"/>
        </w:tabs>
      </w:pPr>
      <w:hyperlink w:anchor="_Toc7598" w:history="1">
        <w:r>
          <w:rPr>
            <w:rFonts w:ascii="Times New Roman" w:hAnsi="Times New Roman"/>
            <w:szCs w:val="24"/>
          </w:rPr>
          <w:t>2.2 Portée de l’évaluation</w:t>
        </w:r>
        <w:r>
          <w:tab/>
        </w:r>
        <w:r>
          <w:fldChar w:fldCharType="begin"/>
        </w:r>
        <w:r>
          <w:instrText xml:space="preserve"> PAGEREF _Toc7598 \h </w:instrText>
        </w:r>
        <w:r>
          <w:fldChar w:fldCharType="separate"/>
        </w:r>
        <w:r>
          <w:t>12</w:t>
        </w:r>
        <w:r>
          <w:fldChar w:fldCharType="end"/>
        </w:r>
      </w:hyperlink>
    </w:p>
    <w:p w14:paraId="4337F6B8" w14:textId="77777777" w:rsidR="00EA6DED" w:rsidRDefault="007504AE">
      <w:pPr>
        <w:pStyle w:val="TM2"/>
        <w:tabs>
          <w:tab w:val="right" w:leader="dot" w:pos="10603"/>
        </w:tabs>
      </w:pPr>
      <w:hyperlink w:anchor="_Toc3388" w:history="1">
        <w:r>
          <w:rPr>
            <w:rFonts w:ascii="Times New Roman" w:hAnsi="Times New Roman"/>
            <w:szCs w:val="24"/>
          </w:rPr>
          <w:t>2.4 Structure du rapport</w:t>
        </w:r>
        <w:r>
          <w:tab/>
        </w:r>
        <w:r>
          <w:fldChar w:fldCharType="begin"/>
        </w:r>
        <w:r>
          <w:instrText xml:space="preserve"> PAGEREF _Toc3388 \h </w:instrText>
        </w:r>
        <w:r>
          <w:fldChar w:fldCharType="separate"/>
        </w:r>
        <w:r>
          <w:t>14</w:t>
        </w:r>
        <w:r>
          <w:fldChar w:fldCharType="end"/>
        </w:r>
      </w:hyperlink>
    </w:p>
    <w:p w14:paraId="4337F6B9" w14:textId="77777777" w:rsidR="00EA6DED" w:rsidRDefault="007504AE">
      <w:pPr>
        <w:pStyle w:val="TM1"/>
        <w:tabs>
          <w:tab w:val="right" w:leader="dot" w:pos="10603"/>
        </w:tabs>
      </w:pPr>
      <w:hyperlink w:anchor="_Toc26243" w:history="1">
        <w:r>
          <w:rPr>
            <w:rFonts w:ascii="Times New Roman" w:hAnsi="Times New Roman"/>
            <w:shd w:val="clear" w:color="auto" w:fill="FFFFFF"/>
          </w:rPr>
          <w:t xml:space="preserve">III. Contexte national </w:t>
        </w:r>
        <w:r>
          <w:tab/>
        </w:r>
        <w:r>
          <w:fldChar w:fldCharType="begin"/>
        </w:r>
        <w:r>
          <w:instrText xml:space="preserve"> PAGEREF _Toc26243 \h </w:instrText>
        </w:r>
        <w:r>
          <w:fldChar w:fldCharType="separate"/>
        </w:r>
        <w:r>
          <w:t>14</w:t>
        </w:r>
        <w:r>
          <w:fldChar w:fldCharType="end"/>
        </w:r>
      </w:hyperlink>
    </w:p>
    <w:p w14:paraId="4337F6BA" w14:textId="77777777" w:rsidR="00EA6DED" w:rsidRDefault="007504AE">
      <w:pPr>
        <w:pStyle w:val="TM2"/>
        <w:tabs>
          <w:tab w:val="right" w:leader="dot" w:pos="10603"/>
        </w:tabs>
      </w:pPr>
      <w:hyperlink w:anchor="_Toc17672" w:history="1">
        <w:r>
          <w:rPr>
            <w:rFonts w:ascii="Times New Roman" w:hAnsi="Times New Roman"/>
            <w:szCs w:val="24"/>
          </w:rPr>
          <w:t>3.1.  La République du Cameroun et son potentiel économique</w:t>
        </w:r>
        <w:r>
          <w:tab/>
        </w:r>
        <w:r>
          <w:fldChar w:fldCharType="begin"/>
        </w:r>
        <w:r>
          <w:instrText xml:space="preserve"> PAGEREF _Toc17672 \h </w:instrText>
        </w:r>
        <w:r>
          <w:fldChar w:fldCharType="separate"/>
        </w:r>
        <w:r>
          <w:t>14</w:t>
        </w:r>
        <w:r>
          <w:fldChar w:fldCharType="end"/>
        </w:r>
      </w:hyperlink>
    </w:p>
    <w:p w14:paraId="4337F6BB" w14:textId="77777777" w:rsidR="00EA6DED" w:rsidRDefault="007504AE">
      <w:pPr>
        <w:pStyle w:val="TM2"/>
        <w:tabs>
          <w:tab w:val="right" w:leader="dot" w:pos="10603"/>
        </w:tabs>
      </w:pPr>
      <w:hyperlink w:anchor="_Toc993" w:history="1">
        <w:r>
          <w:rPr>
            <w:rFonts w:ascii="Times New Roman" w:hAnsi="Times New Roman"/>
            <w:szCs w:val="24"/>
          </w:rPr>
          <w:t>3.2. Des enjeux et des défis de développement de plus en plus importants</w:t>
        </w:r>
        <w:r>
          <w:tab/>
        </w:r>
        <w:r>
          <w:fldChar w:fldCharType="begin"/>
        </w:r>
        <w:r>
          <w:instrText xml:space="preserve"> PAGEREF _Toc993 \h </w:instrText>
        </w:r>
        <w:r>
          <w:fldChar w:fldCharType="separate"/>
        </w:r>
        <w:r>
          <w:t>15</w:t>
        </w:r>
        <w:r>
          <w:fldChar w:fldCharType="end"/>
        </w:r>
      </w:hyperlink>
    </w:p>
    <w:p w14:paraId="4337F6BC" w14:textId="77777777" w:rsidR="00EA6DED" w:rsidRDefault="007504AE">
      <w:pPr>
        <w:pStyle w:val="TM3"/>
        <w:tabs>
          <w:tab w:val="right" w:leader="dot" w:pos="10603"/>
        </w:tabs>
      </w:pPr>
      <w:hyperlink w:anchor="_Toc11210" w:history="1">
        <w:r>
          <w:rPr>
            <w:rFonts w:ascii="Times New Roman" w:hAnsi="Times New Roman"/>
            <w:i/>
            <w:iCs/>
            <w:szCs w:val="22"/>
          </w:rPr>
          <w:t>3.2.1- Gouvernance politique et institutionnelle</w:t>
        </w:r>
        <w:r>
          <w:tab/>
        </w:r>
        <w:r>
          <w:fldChar w:fldCharType="begin"/>
        </w:r>
        <w:r>
          <w:instrText xml:space="preserve"> PAGEREF _Toc11210 \h </w:instrText>
        </w:r>
        <w:r>
          <w:fldChar w:fldCharType="separate"/>
        </w:r>
        <w:r>
          <w:t>15</w:t>
        </w:r>
        <w:r>
          <w:fldChar w:fldCharType="end"/>
        </w:r>
      </w:hyperlink>
    </w:p>
    <w:p w14:paraId="4337F6BD" w14:textId="77777777" w:rsidR="00EA6DED" w:rsidRDefault="007504AE">
      <w:pPr>
        <w:pStyle w:val="TM3"/>
        <w:tabs>
          <w:tab w:val="right" w:leader="dot" w:pos="10603"/>
        </w:tabs>
      </w:pPr>
      <w:hyperlink w:anchor="_Toc27554" w:history="1">
        <w:r>
          <w:rPr>
            <w:rFonts w:ascii="Times New Roman" w:hAnsi="Times New Roman"/>
            <w:i/>
            <w:iCs/>
            <w:szCs w:val="22"/>
          </w:rPr>
          <w:t>3.2.2- Gouvernance locale</w:t>
        </w:r>
        <w:r>
          <w:tab/>
        </w:r>
        <w:r>
          <w:fldChar w:fldCharType="begin"/>
        </w:r>
        <w:r>
          <w:instrText xml:space="preserve"> PAGEREF _Toc27554 \h </w:instrText>
        </w:r>
        <w:r>
          <w:fldChar w:fldCharType="separate"/>
        </w:r>
        <w:r>
          <w:t>15</w:t>
        </w:r>
        <w:r>
          <w:fldChar w:fldCharType="end"/>
        </w:r>
      </w:hyperlink>
    </w:p>
    <w:p w14:paraId="4337F6BE" w14:textId="77777777" w:rsidR="00EA6DED" w:rsidRDefault="007504AE">
      <w:pPr>
        <w:pStyle w:val="TM3"/>
        <w:tabs>
          <w:tab w:val="right" w:leader="dot" w:pos="10603"/>
        </w:tabs>
      </w:pPr>
      <w:hyperlink w:anchor="_Toc5778" w:history="1">
        <w:r>
          <w:rPr>
            <w:rFonts w:ascii="Times New Roman" w:hAnsi="Times New Roman"/>
            <w:i/>
            <w:iCs/>
            <w:szCs w:val="22"/>
          </w:rPr>
          <w:t>3.2.3- Crises sécuritaires et conflits</w:t>
        </w:r>
        <w:r>
          <w:tab/>
        </w:r>
        <w:r>
          <w:fldChar w:fldCharType="begin"/>
        </w:r>
        <w:r>
          <w:instrText xml:space="preserve"> PAGEREF _Toc5778 \h </w:instrText>
        </w:r>
        <w:r>
          <w:fldChar w:fldCharType="separate"/>
        </w:r>
        <w:r>
          <w:t>15</w:t>
        </w:r>
        <w:r>
          <w:fldChar w:fldCharType="end"/>
        </w:r>
      </w:hyperlink>
    </w:p>
    <w:p w14:paraId="4337F6BF" w14:textId="77777777" w:rsidR="00EA6DED" w:rsidRDefault="007504AE">
      <w:pPr>
        <w:pStyle w:val="TM3"/>
        <w:tabs>
          <w:tab w:val="right" w:leader="dot" w:pos="10603"/>
        </w:tabs>
      </w:pPr>
      <w:hyperlink w:anchor="_Toc25289" w:history="1">
        <w:r>
          <w:rPr>
            <w:rFonts w:ascii="Times New Roman" w:hAnsi="Times New Roman"/>
            <w:i/>
            <w:iCs/>
            <w:szCs w:val="22"/>
          </w:rPr>
          <w:t>3.2.5Accès aux services sociaux de base</w:t>
        </w:r>
        <w:r>
          <w:tab/>
        </w:r>
        <w:r>
          <w:fldChar w:fldCharType="begin"/>
        </w:r>
        <w:r>
          <w:instrText xml:space="preserve"> PAGEREF _Toc25289 \h </w:instrText>
        </w:r>
        <w:r>
          <w:fldChar w:fldCharType="separate"/>
        </w:r>
        <w:r>
          <w:t>16</w:t>
        </w:r>
        <w:r>
          <w:fldChar w:fldCharType="end"/>
        </w:r>
      </w:hyperlink>
    </w:p>
    <w:p w14:paraId="4337F6C0" w14:textId="77777777" w:rsidR="00EA6DED" w:rsidRDefault="007504AE">
      <w:pPr>
        <w:pStyle w:val="TM3"/>
        <w:tabs>
          <w:tab w:val="right" w:leader="dot" w:pos="10603"/>
        </w:tabs>
      </w:pPr>
      <w:hyperlink w:anchor="_Toc12734" w:history="1">
        <w:r>
          <w:rPr>
            <w:rFonts w:ascii="Times New Roman" w:hAnsi="Times New Roman"/>
            <w:i/>
            <w:iCs/>
            <w:szCs w:val="22"/>
          </w:rPr>
          <w:t>3.2.5. Protection des minorités sociales et égalité des genres</w:t>
        </w:r>
        <w:r>
          <w:tab/>
        </w:r>
        <w:r>
          <w:fldChar w:fldCharType="begin"/>
        </w:r>
        <w:r>
          <w:instrText xml:space="preserve"> PAGEREF _Toc12734 \h </w:instrText>
        </w:r>
        <w:r>
          <w:fldChar w:fldCharType="separate"/>
        </w:r>
        <w:r>
          <w:t>17</w:t>
        </w:r>
        <w:r>
          <w:fldChar w:fldCharType="end"/>
        </w:r>
      </w:hyperlink>
    </w:p>
    <w:p w14:paraId="4337F6C1" w14:textId="77777777" w:rsidR="00EA6DED" w:rsidRDefault="007504AE">
      <w:pPr>
        <w:pStyle w:val="TM3"/>
        <w:tabs>
          <w:tab w:val="right" w:leader="dot" w:pos="10603"/>
        </w:tabs>
      </w:pPr>
      <w:hyperlink w:anchor="_Toc6653" w:history="1">
        <w:r>
          <w:rPr>
            <w:rFonts w:ascii="Times New Roman" w:hAnsi="Times New Roman"/>
            <w:i/>
            <w:iCs/>
            <w:szCs w:val="22"/>
          </w:rPr>
          <w:t>3.2.6.  Énergie</w:t>
        </w:r>
        <w:r>
          <w:tab/>
        </w:r>
        <w:r>
          <w:fldChar w:fldCharType="begin"/>
        </w:r>
        <w:r>
          <w:instrText xml:space="preserve"> PAGEREF _Toc6653 \h </w:instrText>
        </w:r>
        <w:r>
          <w:fldChar w:fldCharType="separate"/>
        </w:r>
        <w:r>
          <w:t>17</w:t>
        </w:r>
        <w:r>
          <w:fldChar w:fldCharType="end"/>
        </w:r>
      </w:hyperlink>
    </w:p>
    <w:p w14:paraId="4337F6C2" w14:textId="77777777" w:rsidR="00EA6DED" w:rsidRDefault="007504AE">
      <w:pPr>
        <w:pStyle w:val="TM3"/>
        <w:tabs>
          <w:tab w:val="right" w:leader="dot" w:pos="10603"/>
        </w:tabs>
      </w:pPr>
      <w:hyperlink w:anchor="_Toc21014" w:history="1">
        <w:r>
          <w:rPr>
            <w:rFonts w:ascii="Times New Roman" w:hAnsi="Times New Roman"/>
            <w:i/>
            <w:iCs/>
            <w:szCs w:val="22"/>
          </w:rPr>
          <w:t>3.2.7 Gouvernance climatique et environnementale</w:t>
        </w:r>
        <w:r>
          <w:tab/>
        </w:r>
        <w:r>
          <w:fldChar w:fldCharType="begin"/>
        </w:r>
        <w:r>
          <w:instrText xml:space="preserve"> PAGEREF _Toc21014 \h </w:instrText>
        </w:r>
        <w:r>
          <w:fldChar w:fldCharType="separate"/>
        </w:r>
        <w:r>
          <w:t>17</w:t>
        </w:r>
        <w:r>
          <w:fldChar w:fldCharType="end"/>
        </w:r>
      </w:hyperlink>
    </w:p>
    <w:p w14:paraId="4337F6C3" w14:textId="77777777" w:rsidR="00EA6DED" w:rsidRDefault="007504AE">
      <w:pPr>
        <w:pStyle w:val="TM2"/>
        <w:tabs>
          <w:tab w:val="right" w:leader="dot" w:pos="10603"/>
        </w:tabs>
      </w:pPr>
      <w:hyperlink w:anchor="_Toc18107" w:history="1">
        <w:r>
          <w:rPr>
            <w:rFonts w:ascii="Times New Roman" w:hAnsi="Times New Roman"/>
            <w:szCs w:val="24"/>
          </w:rPr>
          <w:t>3.3.  La Stratégie Nationale de Développement à l’Horizon 2030 (SND30), un cadre d’orientation pour le développement inclusif de la République du Cameroun</w:t>
        </w:r>
        <w:r>
          <w:tab/>
        </w:r>
        <w:r>
          <w:fldChar w:fldCharType="begin"/>
        </w:r>
        <w:r>
          <w:instrText xml:space="preserve"> PAGEREF _Toc18107 \h </w:instrText>
        </w:r>
        <w:r>
          <w:fldChar w:fldCharType="separate"/>
        </w:r>
        <w:r>
          <w:t>18</w:t>
        </w:r>
        <w:r>
          <w:fldChar w:fldCharType="end"/>
        </w:r>
      </w:hyperlink>
    </w:p>
    <w:p w14:paraId="4337F6C4" w14:textId="77777777" w:rsidR="00EA6DED" w:rsidRDefault="007504AE">
      <w:pPr>
        <w:pStyle w:val="TM2"/>
        <w:tabs>
          <w:tab w:val="right" w:leader="dot" w:pos="10603"/>
        </w:tabs>
      </w:pPr>
      <w:hyperlink w:anchor="_Toc939" w:history="1">
        <w:r>
          <w:rPr>
            <w:rFonts w:ascii="Times New Roman" w:hAnsi="Times New Roman"/>
            <w:szCs w:val="24"/>
          </w:rPr>
          <w:t>3.4. Progrès du pays vers la réalisation des objectifs de développement durable</w:t>
        </w:r>
        <w:r>
          <w:tab/>
        </w:r>
        <w:r>
          <w:fldChar w:fldCharType="begin"/>
        </w:r>
        <w:r>
          <w:instrText xml:space="preserve"> PAGEREF _Toc939 \h </w:instrText>
        </w:r>
        <w:r>
          <w:fldChar w:fldCharType="separate"/>
        </w:r>
        <w:r>
          <w:t>18</w:t>
        </w:r>
        <w:r>
          <w:fldChar w:fldCharType="end"/>
        </w:r>
      </w:hyperlink>
    </w:p>
    <w:p w14:paraId="4337F6C5" w14:textId="77777777" w:rsidR="00EA6DED" w:rsidRDefault="007504AE">
      <w:pPr>
        <w:pStyle w:val="TM2"/>
        <w:tabs>
          <w:tab w:val="right" w:leader="dot" w:pos="10603"/>
        </w:tabs>
      </w:pPr>
      <w:hyperlink w:anchor="_Toc26418" w:history="1">
        <w:r>
          <w:rPr>
            <w:rFonts w:ascii="Times New Roman" w:hAnsi="Times New Roman"/>
            <w:szCs w:val="24"/>
          </w:rPr>
          <w:t>3.5. Réponses stratégiques des Nations Unies à travers le Cadre de Coopération (CC 2022 – 2026)</w:t>
        </w:r>
        <w:r>
          <w:tab/>
        </w:r>
        <w:r>
          <w:fldChar w:fldCharType="begin"/>
        </w:r>
        <w:r>
          <w:instrText xml:space="preserve"> PAGEREF _Toc26418 \h </w:instrText>
        </w:r>
        <w:r>
          <w:fldChar w:fldCharType="separate"/>
        </w:r>
        <w:r>
          <w:t>19</w:t>
        </w:r>
        <w:r>
          <w:fldChar w:fldCharType="end"/>
        </w:r>
      </w:hyperlink>
    </w:p>
    <w:p w14:paraId="4337F6C6" w14:textId="77777777" w:rsidR="00EA6DED" w:rsidRDefault="007504AE">
      <w:pPr>
        <w:pStyle w:val="TM1"/>
        <w:tabs>
          <w:tab w:val="right" w:leader="dot" w:pos="10603"/>
        </w:tabs>
      </w:pPr>
      <w:hyperlink w:anchor="_Toc27850" w:history="1">
        <w:r>
          <w:rPr>
            <w:rFonts w:ascii="Times New Roman" w:hAnsi="Times New Roman"/>
            <w:shd w:val="clear" w:color="auto" w:fill="FFFFFF"/>
          </w:rPr>
          <w:t xml:space="preserve">IV. Méthodologie de l’évaluation </w:t>
        </w:r>
        <w:r>
          <w:tab/>
        </w:r>
        <w:r>
          <w:fldChar w:fldCharType="begin"/>
        </w:r>
        <w:r>
          <w:instrText xml:space="preserve"> PAGEREF _Toc27850 \h </w:instrText>
        </w:r>
        <w:r>
          <w:fldChar w:fldCharType="separate"/>
        </w:r>
        <w:r>
          <w:t>21</w:t>
        </w:r>
        <w:r>
          <w:fldChar w:fldCharType="end"/>
        </w:r>
      </w:hyperlink>
    </w:p>
    <w:p w14:paraId="4337F6C7" w14:textId="77777777" w:rsidR="00EA6DED" w:rsidRDefault="007504AE">
      <w:pPr>
        <w:pStyle w:val="TM2"/>
        <w:tabs>
          <w:tab w:val="right" w:leader="dot" w:pos="10603"/>
        </w:tabs>
      </w:pPr>
      <w:hyperlink w:anchor="_Toc3559" w:history="1">
        <w:r>
          <w:rPr>
            <w:rFonts w:ascii="Times New Roman" w:hAnsi="Times New Roman"/>
            <w:szCs w:val="24"/>
          </w:rPr>
          <w:t>4.1. Sélection de l'échantillon des parties prenantes</w:t>
        </w:r>
        <w:r>
          <w:tab/>
        </w:r>
        <w:r>
          <w:fldChar w:fldCharType="begin"/>
        </w:r>
        <w:r>
          <w:instrText xml:space="preserve"> PAGEREF _Toc3559 \h </w:instrText>
        </w:r>
        <w:r>
          <w:fldChar w:fldCharType="separate"/>
        </w:r>
        <w:r>
          <w:t>21</w:t>
        </w:r>
        <w:r>
          <w:fldChar w:fldCharType="end"/>
        </w:r>
      </w:hyperlink>
    </w:p>
    <w:p w14:paraId="4337F6C8" w14:textId="77777777" w:rsidR="00EA6DED" w:rsidRDefault="007504AE">
      <w:pPr>
        <w:pStyle w:val="TM2"/>
        <w:tabs>
          <w:tab w:val="right" w:leader="dot" w:pos="10603"/>
        </w:tabs>
      </w:pPr>
      <w:hyperlink w:anchor="_Toc3470" w:history="1">
        <w:r>
          <w:rPr>
            <w:szCs w:val="24"/>
          </w:rPr>
          <w:t>4.2.  Méthodes de collecte</w:t>
        </w:r>
        <w:r>
          <w:tab/>
        </w:r>
        <w:r>
          <w:fldChar w:fldCharType="begin"/>
        </w:r>
        <w:r>
          <w:instrText xml:space="preserve"> PAGEREF _Toc3470 \h </w:instrText>
        </w:r>
        <w:r>
          <w:fldChar w:fldCharType="separate"/>
        </w:r>
        <w:r>
          <w:t>22</w:t>
        </w:r>
        <w:r>
          <w:fldChar w:fldCharType="end"/>
        </w:r>
      </w:hyperlink>
    </w:p>
    <w:p w14:paraId="4337F6C9" w14:textId="77777777" w:rsidR="00EA6DED" w:rsidRDefault="007504AE">
      <w:pPr>
        <w:pStyle w:val="TM3"/>
        <w:tabs>
          <w:tab w:val="right" w:leader="dot" w:pos="10603"/>
        </w:tabs>
      </w:pPr>
      <w:hyperlink w:anchor="_Toc15252" w:history="1">
        <w:r>
          <w:rPr>
            <w:rFonts w:ascii="Times New Roman" w:hAnsi="Times New Roman"/>
            <w:i/>
            <w:iCs/>
            <w:szCs w:val="22"/>
          </w:rPr>
          <w:t>4.2.1.  Méthodes et processus de collecte</w:t>
        </w:r>
        <w:r>
          <w:tab/>
        </w:r>
        <w:r>
          <w:fldChar w:fldCharType="begin"/>
        </w:r>
        <w:r>
          <w:instrText xml:space="preserve"> PAGEREF _Toc15252 \h </w:instrText>
        </w:r>
        <w:r>
          <w:fldChar w:fldCharType="separate"/>
        </w:r>
        <w:r>
          <w:t>22</w:t>
        </w:r>
        <w:r>
          <w:fldChar w:fldCharType="end"/>
        </w:r>
      </w:hyperlink>
    </w:p>
    <w:p w14:paraId="4337F6CA" w14:textId="77777777" w:rsidR="00EA6DED" w:rsidRDefault="007504AE">
      <w:pPr>
        <w:pStyle w:val="TM3"/>
        <w:tabs>
          <w:tab w:val="right" w:leader="dot" w:pos="10603"/>
        </w:tabs>
      </w:pPr>
      <w:hyperlink w:anchor="_Toc26820" w:history="1">
        <w:r>
          <w:rPr>
            <w:rFonts w:ascii="Times New Roman" w:hAnsi="Times New Roman"/>
            <w:i/>
            <w:iCs/>
            <w:szCs w:val="22"/>
          </w:rPr>
          <w:t>4.2.2.  Analyse des données</w:t>
        </w:r>
        <w:r>
          <w:tab/>
        </w:r>
        <w:r>
          <w:fldChar w:fldCharType="begin"/>
        </w:r>
        <w:r>
          <w:instrText xml:space="preserve"> PAGEREF _Toc26820 \h </w:instrText>
        </w:r>
        <w:r>
          <w:fldChar w:fldCharType="separate"/>
        </w:r>
        <w:r>
          <w:t>22</w:t>
        </w:r>
        <w:r>
          <w:fldChar w:fldCharType="end"/>
        </w:r>
      </w:hyperlink>
    </w:p>
    <w:p w14:paraId="4337F6CB" w14:textId="77777777" w:rsidR="00EA6DED" w:rsidRDefault="007504AE">
      <w:pPr>
        <w:pStyle w:val="TM3"/>
        <w:tabs>
          <w:tab w:val="right" w:leader="dot" w:pos="10603"/>
        </w:tabs>
      </w:pPr>
      <w:hyperlink w:anchor="_Toc16605" w:history="1">
        <w:r>
          <w:rPr>
            <w:rFonts w:ascii="Times New Roman" w:hAnsi="Times New Roman"/>
            <w:i/>
            <w:iCs/>
            <w:szCs w:val="22"/>
          </w:rPr>
          <w:t>4.2.4. Évaluabilité, contraintes et éthiques</w:t>
        </w:r>
        <w:r>
          <w:tab/>
        </w:r>
        <w:r>
          <w:fldChar w:fldCharType="begin"/>
        </w:r>
        <w:r>
          <w:instrText xml:space="preserve"> PAGEREF _Toc16605 \h </w:instrText>
        </w:r>
        <w:r>
          <w:fldChar w:fldCharType="separate"/>
        </w:r>
        <w:r>
          <w:t>23</w:t>
        </w:r>
        <w:r>
          <w:fldChar w:fldCharType="end"/>
        </w:r>
      </w:hyperlink>
    </w:p>
    <w:p w14:paraId="4337F6CC" w14:textId="77777777" w:rsidR="00EA6DED" w:rsidRDefault="007504AE">
      <w:pPr>
        <w:pStyle w:val="TM1"/>
        <w:tabs>
          <w:tab w:val="right" w:leader="dot" w:pos="10603"/>
        </w:tabs>
      </w:pPr>
      <w:hyperlink w:anchor="_Toc18760" w:history="1">
        <w:r>
          <w:rPr>
            <w:rFonts w:ascii="Times New Roman" w:hAnsi="Times New Roman"/>
            <w:shd w:val="clear" w:color="auto" w:fill="FFFFFF"/>
          </w:rPr>
          <w:t xml:space="preserve">V. Principaux résultats de l’évaluation </w:t>
        </w:r>
        <w:r>
          <w:tab/>
        </w:r>
        <w:r>
          <w:fldChar w:fldCharType="begin"/>
        </w:r>
        <w:r>
          <w:instrText xml:space="preserve"> PAGEREF _Toc18760 \h </w:instrText>
        </w:r>
        <w:r>
          <w:fldChar w:fldCharType="separate"/>
        </w:r>
        <w:r>
          <w:t>23</w:t>
        </w:r>
        <w:r>
          <w:fldChar w:fldCharType="end"/>
        </w:r>
      </w:hyperlink>
    </w:p>
    <w:p w14:paraId="4337F6CD" w14:textId="77777777" w:rsidR="00EA6DED" w:rsidRDefault="007504AE">
      <w:pPr>
        <w:pStyle w:val="TM2"/>
        <w:tabs>
          <w:tab w:val="right" w:leader="dot" w:pos="10603"/>
        </w:tabs>
      </w:pPr>
      <w:hyperlink w:anchor="_Toc11984" w:history="1">
        <w:r>
          <w:rPr>
            <w:szCs w:val="24"/>
          </w:rPr>
          <w:t>5.1 Pertinence/Adaptabilité</w:t>
        </w:r>
        <w:r>
          <w:tab/>
        </w:r>
        <w:r>
          <w:fldChar w:fldCharType="begin"/>
        </w:r>
        <w:r>
          <w:instrText xml:space="preserve"> PAGEREF _Toc11984 \h </w:instrText>
        </w:r>
        <w:r>
          <w:fldChar w:fldCharType="separate"/>
        </w:r>
        <w:r>
          <w:t>23</w:t>
        </w:r>
        <w:r>
          <w:fldChar w:fldCharType="end"/>
        </w:r>
      </w:hyperlink>
    </w:p>
    <w:p w14:paraId="4337F6CE" w14:textId="77777777" w:rsidR="00EA6DED" w:rsidRDefault="007504AE">
      <w:pPr>
        <w:pStyle w:val="TM3"/>
        <w:tabs>
          <w:tab w:val="right" w:leader="dot" w:pos="10603"/>
        </w:tabs>
      </w:pPr>
      <w:hyperlink w:anchor="_Toc12044" w:history="1">
        <w:r>
          <w:rPr>
            <w:rFonts w:ascii="Times New Roman" w:eastAsia="Arial" w:hAnsi="Times New Roman"/>
            <w:i/>
            <w:iCs/>
            <w:szCs w:val="22"/>
          </w:rPr>
          <w:t>5.1.1. Pertinence et adéquation avec les priorités nationales définies par la SND 30 et les engagements régionaux et internationaux</w:t>
        </w:r>
        <w:r>
          <w:tab/>
        </w:r>
        <w:r>
          <w:fldChar w:fldCharType="begin"/>
        </w:r>
        <w:r>
          <w:instrText xml:space="preserve"> PAGEREF _Toc12044 \h </w:instrText>
        </w:r>
        <w:r>
          <w:fldChar w:fldCharType="separate"/>
        </w:r>
        <w:r>
          <w:t>24</w:t>
        </w:r>
        <w:r>
          <w:fldChar w:fldCharType="end"/>
        </w:r>
      </w:hyperlink>
    </w:p>
    <w:p w14:paraId="4337F6CF" w14:textId="77777777" w:rsidR="00EA6DED" w:rsidRDefault="007504AE">
      <w:pPr>
        <w:pStyle w:val="TM3"/>
        <w:tabs>
          <w:tab w:val="right" w:leader="dot" w:pos="10603"/>
        </w:tabs>
      </w:pPr>
      <w:hyperlink w:anchor="_Toc21584" w:history="1">
        <w:r>
          <w:rPr>
            <w:rFonts w:ascii="Times New Roman" w:eastAsia="Arial" w:hAnsi="Times New Roman"/>
            <w:i/>
            <w:iCs/>
            <w:szCs w:val="22"/>
          </w:rPr>
          <w:t>5.1.2. Pertinence en cohérence avec la validité de la théorie de changement, les chaînes de résultats et la qualité des indicateurs</w:t>
        </w:r>
        <w:r>
          <w:tab/>
        </w:r>
        <w:r>
          <w:fldChar w:fldCharType="begin"/>
        </w:r>
        <w:r>
          <w:instrText xml:space="preserve"> PAGEREF _Toc21584 \h </w:instrText>
        </w:r>
        <w:r>
          <w:fldChar w:fldCharType="separate"/>
        </w:r>
        <w:r>
          <w:t>26</w:t>
        </w:r>
        <w:r>
          <w:fldChar w:fldCharType="end"/>
        </w:r>
      </w:hyperlink>
    </w:p>
    <w:p w14:paraId="4337F6D0" w14:textId="77777777" w:rsidR="00EA6DED" w:rsidRDefault="007504AE">
      <w:pPr>
        <w:pStyle w:val="TM3"/>
        <w:tabs>
          <w:tab w:val="right" w:leader="dot" w:pos="10603"/>
        </w:tabs>
      </w:pPr>
      <w:hyperlink w:anchor="_Toc2386" w:history="1">
        <w:r>
          <w:rPr>
            <w:rFonts w:ascii="Times New Roman" w:eastAsia="Arial" w:hAnsi="Times New Roman"/>
            <w:i/>
            <w:iCs/>
            <w:szCs w:val="22"/>
          </w:rPr>
          <w:t>5.1.3. Alignement sur les ODD et les priorités stratégiques sectorielles</w:t>
        </w:r>
        <w:r>
          <w:tab/>
        </w:r>
        <w:r>
          <w:fldChar w:fldCharType="begin"/>
        </w:r>
        <w:r>
          <w:instrText xml:space="preserve"> PAGEREF _Toc2386 \h </w:instrText>
        </w:r>
        <w:r>
          <w:fldChar w:fldCharType="separate"/>
        </w:r>
        <w:r>
          <w:t>26</w:t>
        </w:r>
        <w:r>
          <w:fldChar w:fldCharType="end"/>
        </w:r>
      </w:hyperlink>
    </w:p>
    <w:p w14:paraId="4337F6D1" w14:textId="77777777" w:rsidR="00EA6DED" w:rsidRDefault="007504AE">
      <w:pPr>
        <w:pStyle w:val="TM3"/>
        <w:tabs>
          <w:tab w:val="right" w:leader="dot" w:pos="10603"/>
        </w:tabs>
      </w:pPr>
      <w:hyperlink w:anchor="_Toc30673" w:history="1">
        <w:r>
          <w:rPr>
            <w:rFonts w:ascii="Times New Roman" w:eastAsia="Arial" w:hAnsi="Times New Roman"/>
            <w:i/>
            <w:iCs/>
            <w:szCs w:val="22"/>
          </w:rPr>
          <w:t>5.1.4.  Pertinence par rapport aux principes de programmation des Nations</w:t>
        </w:r>
        <w:r>
          <w:tab/>
        </w:r>
        <w:r>
          <w:fldChar w:fldCharType="begin"/>
        </w:r>
        <w:r>
          <w:instrText xml:space="preserve"> PAGEREF _Toc30673 \h </w:instrText>
        </w:r>
        <w:r>
          <w:fldChar w:fldCharType="separate"/>
        </w:r>
        <w:r>
          <w:t>27</w:t>
        </w:r>
        <w:r>
          <w:fldChar w:fldCharType="end"/>
        </w:r>
      </w:hyperlink>
    </w:p>
    <w:p w14:paraId="4337F6D2" w14:textId="77777777" w:rsidR="00EA6DED" w:rsidRDefault="007504AE">
      <w:pPr>
        <w:pStyle w:val="TM3"/>
        <w:tabs>
          <w:tab w:val="right" w:leader="dot" w:pos="10603"/>
        </w:tabs>
      </w:pPr>
      <w:hyperlink w:anchor="_Toc20468" w:history="1">
        <w:r>
          <w:rPr>
            <w:rFonts w:ascii="Times New Roman" w:eastAsia="Arial" w:hAnsi="Times New Roman"/>
            <w:i/>
            <w:iCs/>
            <w:szCs w:val="22"/>
          </w:rPr>
          <w:t>5.1.5.  Adaptation avec les besoins des bénéficiaires et les thématiques émergentes</w:t>
        </w:r>
        <w:r>
          <w:tab/>
        </w:r>
        <w:r>
          <w:fldChar w:fldCharType="begin"/>
        </w:r>
        <w:r>
          <w:instrText xml:space="preserve"> PAGEREF _Toc20468 \h </w:instrText>
        </w:r>
        <w:r>
          <w:fldChar w:fldCharType="separate"/>
        </w:r>
        <w:r>
          <w:t>28</w:t>
        </w:r>
        <w:r>
          <w:fldChar w:fldCharType="end"/>
        </w:r>
      </w:hyperlink>
    </w:p>
    <w:p w14:paraId="4337F6D3" w14:textId="77777777" w:rsidR="00EA6DED" w:rsidRDefault="007504AE">
      <w:pPr>
        <w:pStyle w:val="TM2"/>
        <w:tabs>
          <w:tab w:val="right" w:leader="dot" w:pos="10603"/>
        </w:tabs>
      </w:pPr>
      <w:hyperlink w:anchor="_Toc14361" w:history="1">
        <w:r>
          <w:rPr>
            <w:szCs w:val="24"/>
          </w:rPr>
          <w:t>5.2.  Cohérence et Coordination</w:t>
        </w:r>
        <w:r>
          <w:tab/>
        </w:r>
        <w:r>
          <w:fldChar w:fldCharType="begin"/>
        </w:r>
        <w:r>
          <w:instrText xml:space="preserve"> PAGEREF _Toc14361 \h </w:instrText>
        </w:r>
        <w:r>
          <w:fldChar w:fldCharType="separate"/>
        </w:r>
        <w:r>
          <w:t>29</w:t>
        </w:r>
        <w:r>
          <w:fldChar w:fldCharType="end"/>
        </w:r>
      </w:hyperlink>
    </w:p>
    <w:p w14:paraId="4337F6D4" w14:textId="77777777" w:rsidR="00EA6DED" w:rsidRDefault="007504AE">
      <w:pPr>
        <w:pStyle w:val="TM3"/>
        <w:tabs>
          <w:tab w:val="right" w:leader="dot" w:pos="10603"/>
        </w:tabs>
      </w:pPr>
      <w:hyperlink w:anchor="_Toc23468" w:history="1">
        <w:r>
          <w:rPr>
            <w:rFonts w:ascii="Times New Roman" w:eastAsia="Arial" w:hAnsi="Times New Roman"/>
            <w:i/>
            <w:iCs/>
            <w:szCs w:val="22"/>
          </w:rPr>
          <w:t>5.2.1. Approche de partenariat avec le gouvernement et les autres parties prenantes pour une meilleure couverture des résultats</w:t>
        </w:r>
        <w:r>
          <w:tab/>
        </w:r>
        <w:r>
          <w:fldChar w:fldCharType="begin"/>
        </w:r>
        <w:r>
          <w:instrText xml:space="preserve"> PAGEREF _Toc23468 \h </w:instrText>
        </w:r>
        <w:r>
          <w:fldChar w:fldCharType="separate"/>
        </w:r>
        <w:r>
          <w:t>30</w:t>
        </w:r>
        <w:r>
          <w:fldChar w:fldCharType="end"/>
        </w:r>
      </w:hyperlink>
    </w:p>
    <w:p w14:paraId="4337F6D5" w14:textId="77777777" w:rsidR="00EA6DED" w:rsidRDefault="007504AE">
      <w:pPr>
        <w:pStyle w:val="TM3"/>
        <w:tabs>
          <w:tab w:val="right" w:leader="dot" w:pos="10603"/>
        </w:tabs>
      </w:pPr>
      <w:hyperlink w:anchor="_Toc5088" w:history="1">
        <w:r>
          <w:rPr>
            <w:rFonts w:ascii="Times New Roman" w:eastAsia="Arial" w:hAnsi="Times New Roman"/>
            <w:i/>
            <w:iCs/>
            <w:szCs w:val="22"/>
          </w:rPr>
          <w:t>5.2.2.  Cohérence des interventions avec les 7 fonctions principales de l’examen quadriennal complet des activités opérationnelles des Nations Unies (QCPR)</w:t>
        </w:r>
        <w:r>
          <w:tab/>
        </w:r>
        <w:r>
          <w:fldChar w:fldCharType="begin"/>
        </w:r>
        <w:r>
          <w:instrText xml:space="preserve"> PAGEREF _Toc5088 \h </w:instrText>
        </w:r>
        <w:r>
          <w:fldChar w:fldCharType="separate"/>
        </w:r>
        <w:r>
          <w:t>31</w:t>
        </w:r>
        <w:r>
          <w:fldChar w:fldCharType="end"/>
        </w:r>
      </w:hyperlink>
    </w:p>
    <w:p w14:paraId="4337F6D6" w14:textId="77777777" w:rsidR="00EA6DED" w:rsidRDefault="007504AE">
      <w:pPr>
        <w:pStyle w:val="TM3"/>
        <w:tabs>
          <w:tab w:val="right" w:leader="dot" w:pos="10603"/>
        </w:tabs>
      </w:pPr>
      <w:hyperlink w:anchor="_Toc7596" w:history="1">
        <w:r>
          <w:rPr>
            <w:rFonts w:ascii="Times New Roman" w:eastAsia="Arial" w:hAnsi="Times New Roman"/>
            <w:i/>
            <w:iCs/>
            <w:szCs w:val="22"/>
          </w:rPr>
          <w:t>5.2.3. Modes de dérivation des programmes des agences du CC</w:t>
        </w:r>
        <w:r>
          <w:tab/>
        </w:r>
        <w:r>
          <w:fldChar w:fldCharType="begin"/>
        </w:r>
        <w:r>
          <w:instrText xml:space="preserve"> PAGEREF _Toc7596 \h </w:instrText>
        </w:r>
        <w:r>
          <w:fldChar w:fldCharType="separate"/>
        </w:r>
        <w:r>
          <w:t>32</w:t>
        </w:r>
        <w:r>
          <w:fldChar w:fldCharType="end"/>
        </w:r>
      </w:hyperlink>
    </w:p>
    <w:p w14:paraId="4337F6D7" w14:textId="77777777" w:rsidR="00EA6DED" w:rsidRDefault="007504AE">
      <w:pPr>
        <w:pStyle w:val="TM3"/>
        <w:tabs>
          <w:tab w:val="right" w:leader="dot" w:pos="10603"/>
        </w:tabs>
      </w:pPr>
      <w:hyperlink w:anchor="_Toc22398" w:history="1">
        <w:r>
          <w:rPr>
            <w:rFonts w:ascii="Times New Roman" w:eastAsia="Arial" w:hAnsi="Times New Roman"/>
            <w:i/>
            <w:iCs/>
            <w:szCs w:val="22"/>
          </w:rPr>
          <w:t>5.2.4.  Fonctionnement des mécanismes et des organes de coordination et de planification conjointe</w:t>
        </w:r>
        <w:r>
          <w:tab/>
        </w:r>
        <w:r>
          <w:fldChar w:fldCharType="begin"/>
        </w:r>
        <w:r>
          <w:instrText xml:space="preserve"> PAGEREF _Toc22398 \h </w:instrText>
        </w:r>
        <w:r>
          <w:fldChar w:fldCharType="separate"/>
        </w:r>
        <w:r>
          <w:t>33</w:t>
        </w:r>
        <w:r>
          <w:fldChar w:fldCharType="end"/>
        </w:r>
      </w:hyperlink>
    </w:p>
    <w:p w14:paraId="4337F6D8" w14:textId="77777777" w:rsidR="00EA6DED" w:rsidRDefault="007504AE">
      <w:pPr>
        <w:pStyle w:val="TM3"/>
        <w:tabs>
          <w:tab w:val="right" w:leader="dot" w:pos="10603"/>
        </w:tabs>
      </w:pPr>
      <w:hyperlink w:anchor="_Toc6422" w:history="1">
        <w:r>
          <w:rPr>
            <w:rFonts w:ascii="Times New Roman" w:eastAsia="Arial" w:hAnsi="Times New Roman"/>
            <w:i/>
            <w:iCs/>
            <w:szCs w:val="22"/>
          </w:rPr>
          <w:t>5.2.5. Atteinte des groupes les plus vulnérables et à risque par les interventions</w:t>
        </w:r>
        <w:r>
          <w:tab/>
        </w:r>
        <w:r>
          <w:fldChar w:fldCharType="begin"/>
        </w:r>
        <w:r>
          <w:instrText xml:space="preserve"> PAGEREF _Toc6422 \h </w:instrText>
        </w:r>
        <w:r>
          <w:fldChar w:fldCharType="separate"/>
        </w:r>
        <w:r>
          <w:t>36</w:t>
        </w:r>
        <w:r>
          <w:fldChar w:fldCharType="end"/>
        </w:r>
      </w:hyperlink>
    </w:p>
    <w:p w14:paraId="4337F6D9" w14:textId="77777777" w:rsidR="00EA6DED" w:rsidRDefault="007504AE">
      <w:pPr>
        <w:pStyle w:val="TM3"/>
        <w:tabs>
          <w:tab w:val="right" w:leader="dot" w:pos="10603"/>
        </w:tabs>
      </w:pPr>
      <w:hyperlink w:anchor="_Toc26896" w:history="1">
        <w:r>
          <w:rPr>
            <w:rFonts w:ascii="Times New Roman" w:eastAsia="Arial" w:hAnsi="Times New Roman"/>
            <w:i/>
            <w:iCs/>
            <w:szCs w:val="22"/>
          </w:rPr>
          <w:t>5.2.6.  Quelques défis notés pour la coordination et la cohérence</w:t>
        </w:r>
        <w:r>
          <w:tab/>
        </w:r>
        <w:r>
          <w:fldChar w:fldCharType="begin"/>
        </w:r>
        <w:r>
          <w:instrText xml:space="preserve"> PAGEREF _Toc26896 \h </w:instrText>
        </w:r>
        <w:r>
          <w:fldChar w:fldCharType="separate"/>
        </w:r>
        <w:r>
          <w:t>36</w:t>
        </w:r>
        <w:r>
          <w:fldChar w:fldCharType="end"/>
        </w:r>
      </w:hyperlink>
    </w:p>
    <w:p w14:paraId="4337F6DA" w14:textId="77777777" w:rsidR="00EA6DED" w:rsidRDefault="007504AE">
      <w:pPr>
        <w:pStyle w:val="TM2"/>
        <w:tabs>
          <w:tab w:val="right" w:leader="dot" w:pos="10603"/>
        </w:tabs>
      </w:pPr>
      <w:hyperlink w:anchor="_Toc21777" w:history="1">
        <w:r>
          <w:rPr>
            <w:szCs w:val="24"/>
          </w:rPr>
          <w:t>5.3. Efficacité</w:t>
        </w:r>
        <w:r>
          <w:tab/>
        </w:r>
        <w:r>
          <w:fldChar w:fldCharType="begin"/>
        </w:r>
        <w:r>
          <w:instrText xml:space="preserve"> PAGEREF _Toc21777 \h </w:instrText>
        </w:r>
        <w:r>
          <w:fldChar w:fldCharType="separate"/>
        </w:r>
        <w:r>
          <w:t>37</w:t>
        </w:r>
        <w:r>
          <w:fldChar w:fldCharType="end"/>
        </w:r>
      </w:hyperlink>
    </w:p>
    <w:p w14:paraId="4337F6DB" w14:textId="77777777" w:rsidR="00EA6DED" w:rsidRDefault="007504AE">
      <w:pPr>
        <w:pStyle w:val="TM3"/>
        <w:tabs>
          <w:tab w:val="right" w:leader="dot" w:pos="10603"/>
        </w:tabs>
      </w:pPr>
      <w:hyperlink w:anchor="_Toc28341" w:history="1">
        <w:r>
          <w:rPr>
            <w:rFonts w:ascii="Times New Roman" w:eastAsia="Arial" w:hAnsi="Times New Roman"/>
            <w:i/>
            <w:iCs/>
            <w:szCs w:val="22"/>
          </w:rPr>
          <w:t>5.3.1 Niveau de réalisation des résultats et des produits du CC 2022-2026</w:t>
        </w:r>
        <w:r>
          <w:tab/>
        </w:r>
        <w:r>
          <w:fldChar w:fldCharType="begin"/>
        </w:r>
        <w:r>
          <w:instrText xml:space="preserve"> PAGEREF _Toc28341 \h </w:instrText>
        </w:r>
        <w:r>
          <w:fldChar w:fldCharType="separate"/>
        </w:r>
        <w:r>
          <w:t>38</w:t>
        </w:r>
        <w:r>
          <w:fldChar w:fldCharType="end"/>
        </w:r>
      </w:hyperlink>
    </w:p>
    <w:p w14:paraId="4337F6DC" w14:textId="77777777" w:rsidR="00EA6DED" w:rsidRDefault="007504AE">
      <w:pPr>
        <w:pStyle w:val="TM3"/>
        <w:tabs>
          <w:tab w:val="right" w:leader="dot" w:pos="10603"/>
        </w:tabs>
      </w:pPr>
      <w:hyperlink w:anchor="_Toc29827" w:history="1">
        <w:r>
          <w:rPr>
            <w:rFonts w:ascii="Times New Roman" w:eastAsia="Arial" w:hAnsi="Times New Roman"/>
            <w:i/>
            <w:iCs/>
            <w:szCs w:val="22"/>
          </w:rPr>
          <w:t>5.3.2 Contributions de CC à des changements institutionnels, comportementaux et législatifs clés</w:t>
        </w:r>
        <w:r>
          <w:tab/>
        </w:r>
        <w:r>
          <w:fldChar w:fldCharType="begin"/>
        </w:r>
        <w:r>
          <w:instrText xml:space="preserve"> PAGEREF _Toc29827 \h </w:instrText>
        </w:r>
        <w:r>
          <w:fldChar w:fldCharType="separate"/>
        </w:r>
        <w:r>
          <w:t>55</w:t>
        </w:r>
        <w:r>
          <w:fldChar w:fldCharType="end"/>
        </w:r>
      </w:hyperlink>
    </w:p>
    <w:p w14:paraId="4337F6DD" w14:textId="77777777" w:rsidR="00EA6DED" w:rsidRDefault="007504AE">
      <w:pPr>
        <w:pStyle w:val="TM2"/>
        <w:tabs>
          <w:tab w:val="right" w:leader="dot" w:pos="10603"/>
        </w:tabs>
      </w:pPr>
      <w:hyperlink w:anchor="_Toc26585" w:history="1">
        <w:r>
          <w:rPr>
            <w:szCs w:val="24"/>
          </w:rPr>
          <w:t>5.4 Efficience</w:t>
        </w:r>
        <w:r>
          <w:tab/>
        </w:r>
        <w:r>
          <w:fldChar w:fldCharType="begin"/>
        </w:r>
        <w:r>
          <w:instrText xml:space="preserve"> PAGEREF _Toc26585 \h </w:instrText>
        </w:r>
        <w:r>
          <w:fldChar w:fldCharType="separate"/>
        </w:r>
        <w:r>
          <w:t>56</w:t>
        </w:r>
        <w:r>
          <w:fldChar w:fldCharType="end"/>
        </w:r>
      </w:hyperlink>
    </w:p>
    <w:p w14:paraId="4337F6DE" w14:textId="77777777" w:rsidR="00EA6DED" w:rsidRDefault="007504AE">
      <w:pPr>
        <w:pStyle w:val="TM3"/>
        <w:tabs>
          <w:tab w:val="right" w:leader="dot" w:pos="10603"/>
        </w:tabs>
      </w:pPr>
      <w:hyperlink w:anchor="_Toc18630" w:history="1">
        <w:r>
          <w:rPr>
            <w:rFonts w:ascii="Times New Roman" w:hAnsi="Times New Roman"/>
            <w:i/>
            <w:iCs/>
            <w:szCs w:val="22"/>
          </w:rPr>
          <w:t>5.4.1. Optimalité de l’utilisation des ressources (humaines, financières et matérielles) du CC 2022/2026</w:t>
        </w:r>
        <w:r>
          <w:tab/>
        </w:r>
        <w:r>
          <w:fldChar w:fldCharType="begin"/>
        </w:r>
        <w:r>
          <w:instrText xml:space="preserve"> PAGEREF _Toc18630 \h </w:instrText>
        </w:r>
        <w:r>
          <w:fldChar w:fldCharType="separate"/>
        </w:r>
        <w:r>
          <w:t>57</w:t>
        </w:r>
        <w:r>
          <w:fldChar w:fldCharType="end"/>
        </w:r>
      </w:hyperlink>
    </w:p>
    <w:p w14:paraId="4337F6DF" w14:textId="77777777" w:rsidR="00EA6DED" w:rsidRDefault="007504AE">
      <w:pPr>
        <w:pStyle w:val="TM3"/>
        <w:tabs>
          <w:tab w:val="right" w:leader="dot" w:pos="10603"/>
        </w:tabs>
      </w:pPr>
      <w:hyperlink w:anchor="_Toc22948" w:history="1">
        <w:r>
          <w:rPr>
            <w:rFonts w:ascii="Times New Roman" w:eastAsia="Times New Roman" w:hAnsi="Times New Roman"/>
          </w:rPr>
          <w:t>5</w:t>
        </w:r>
        <w:r>
          <w:rPr>
            <w:rFonts w:ascii="Times New Roman" w:hAnsi="Times New Roman"/>
            <w:i/>
            <w:iCs/>
            <w:szCs w:val="22"/>
          </w:rPr>
          <w:t>.4.2. Adéquation entre les besoins et disponibilité des ressources humaines, financières et matérielles</w:t>
        </w:r>
        <w:r>
          <w:tab/>
        </w:r>
        <w:r>
          <w:fldChar w:fldCharType="begin"/>
        </w:r>
        <w:r>
          <w:instrText xml:space="preserve"> PAGEREF _Toc22948 \h </w:instrText>
        </w:r>
        <w:r>
          <w:fldChar w:fldCharType="separate"/>
        </w:r>
        <w:r>
          <w:t>59</w:t>
        </w:r>
        <w:r>
          <w:fldChar w:fldCharType="end"/>
        </w:r>
      </w:hyperlink>
    </w:p>
    <w:p w14:paraId="4337F6E0" w14:textId="77777777" w:rsidR="00EA6DED" w:rsidRDefault="007504AE">
      <w:pPr>
        <w:pStyle w:val="TM3"/>
        <w:tabs>
          <w:tab w:val="right" w:leader="dot" w:pos="10603"/>
        </w:tabs>
      </w:pPr>
      <w:hyperlink w:anchor="_Toc7883" w:history="1">
        <w:r>
          <w:rPr>
            <w:rFonts w:ascii="Times New Roman" w:hAnsi="Times New Roman"/>
            <w:i/>
            <w:iCs/>
            <w:szCs w:val="22"/>
          </w:rPr>
          <w:t>5.4.3.  Promotion d’un cadre de financement intégré</w:t>
        </w:r>
        <w:r>
          <w:tab/>
        </w:r>
        <w:r>
          <w:fldChar w:fldCharType="begin"/>
        </w:r>
        <w:r>
          <w:instrText xml:space="preserve"> PAGEREF _Toc7883 \h </w:instrText>
        </w:r>
        <w:r>
          <w:fldChar w:fldCharType="separate"/>
        </w:r>
        <w:r>
          <w:t>60</w:t>
        </w:r>
        <w:r>
          <w:fldChar w:fldCharType="end"/>
        </w:r>
      </w:hyperlink>
    </w:p>
    <w:p w14:paraId="4337F6E1" w14:textId="77777777" w:rsidR="00EA6DED" w:rsidRDefault="007504AE">
      <w:pPr>
        <w:pStyle w:val="TM3"/>
        <w:tabs>
          <w:tab w:val="right" w:leader="dot" w:pos="10603"/>
        </w:tabs>
      </w:pPr>
      <w:hyperlink w:anchor="_Toc28675" w:history="1">
        <w:r>
          <w:rPr>
            <w:rFonts w:ascii="Times New Roman" w:hAnsi="Times New Roman"/>
            <w:i/>
            <w:iCs/>
            <w:szCs w:val="22"/>
          </w:rPr>
          <w:t>5.4.4. Mise en place des partenariats et d’alliances stratégiques</w:t>
        </w:r>
        <w:r>
          <w:tab/>
        </w:r>
        <w:r>
          <w:fldChar w:fldCharType="begin"/>
        </w:r>
        <w:r>
          <w:instrText xml:space="preserve"> PAGEREF _Toc28675 \h </w:instrText>
        </w:r>
        <w:r>
          <w:fldChar w:fldCharType="separate"/>
        </w:r>
        <w:r>
          <w:t>61</w:t>
        </w:r>
        <w:r>
          <w:fldChar w:fldCharType="end"/>
        </w:r>
      </w:hyperlink>
    </w:p>
    <w:p w14:paraId="4337F6E2" w14:textId="77777777" w:rsidR="00EA6DED" w:rsidRDefault="007504AE">
      <w:pPr>
        <w:pStyle w:val="TM2"/>
        <w:tabs>
          <w:tab w:val="right" w:leader="dot" w:pos="10603"/>
        </w:tabs>
      </w:pPr>
      <w:hyperlink w:anchor="_Toc17030" w:history="1">
        <w:r>
          <w:rPr>
            <w:szCs w:val="24"/>
          </w:rPr>
          <w:t>5.5 Orientations vers l’impact</w:t>
        </w:r>
        <w:r>
          <w:tab/>
        </w:r>
        <w:r>
          <w:fldChar w:fldCharType="begin"/>
        </w:r>
        <w:r>
          <w:instrText xml:space="preserve"> PAGEREF _Toc17030 \h </w:instrText>
        </w:r>
        <w:r>
          <w:fldChar w:fldCharType="separate"/>
        </w:r>
        <w:r>
          <w:t>62</w:t>
        </w:r>
        <w:r>
          <w:fldChar w:fldCharType="end"/>
        </w:r>
      </w:hyperlink>
    </w:p>
    <w:p w14:paraId="4337F6E3" w14:textId="77777777" w:rsidR="00EA6DED" w:rsidRDefault="007504AE">
      <w:pPr>
        <w:pStyle w:val="TM3"/>
        <w:tabs>
          <w:tab w:val="right" w:leader="dot" w:pos="10603"/>
        </w:tabs>
      </w:pPr>
      <w:hyperlink w:anchor="_Toc16363" w:history="1">
        <w:r>
          <w:rPr>
            <w:rFonts w:ascii="Times New Roman" w:hAnsi="Times New Roman"/>
            <w:i/>
            <w:iCs/>
            <w:szCs w:val="22"/>
            <w:lang w:eastAsia="zh-CN"/>
          </w:rPr>
          <w:t>5.5.1. Renforcement de la résilience économique et individuelle</w:t>
        </w:r>
        <w:r>
          <w:tab/>
        </w:r>
        <w:r>
          <w:fldChar w:fldCharType="begin"/>
        </w:r>
        <w:r>
          <w:instrText xml:space="preserve"> PAGEREF _Toc16363 \h </w:instrText>
        </w:r>
        <w:r>
          <w:fldChar w:fldCharType="separate"/>
        </w:r>
        <w:r>
          <w:t>63</w:t>
        </w:r>
        <w:r>
          <w:fldChar w:fldCharType="end"/>
        </w:r>
      </w:hyperlink>
    </w:p>
    <w:p w14:paraId="4337F6E4" w14:textId="77777777" w:rsidR="00EA6DED" w:rsidRDefault="007504AE">
      <w:pPr>
        <w:pStyle w:val="TM3"/>
        <w:tabs>
          <w:tab w:val="right" w:leader="dot" w:pos="10603"/>
        </w:tabs>
      </w:pPr>
      <w:hyperlink w:anchor="_Toc21152" w:history="1">
        <w:r>
          <w:rPr>
            <w:rFonts w:ascii="Times New Roman" w:hAnsi="Times New Roman"/>
            <w:i/>
            <w:iCs/>
            <w:szCs w:val="22"/>
          </w:rPr>
          <w:t>5.5.2.  Incidence sur l’inégalité entre les sexes et l’équité</w:t>
        </w:r>
        <w:r>
          <w:tab/>
        </w:r>
        <w:r>
          <w:fldChar w:fldCharType="begin"/>
        </w:r>
        <w:r>
          <w:instrText xml:space="preserve"> PAGEREF _Toc21152 \h </w:instrText>
        </w:r>
        <w:r>
          <w:fldChar w:fldCharType="separate"/>
        </w:r>
        <w:r>
          <w:t>63</w:t>
        </w:r>
        <w:r>
          <w:fldChar w:fldCharType="end"/>
        </w:r>
      </w:hyperlink>
    </w:p>
    <w:p w14:paraId="4337F6E5" w14:textId="77777777" w:rsidR="00EA6DED" w:rsidRDefault="007504AE">
      <w:pPr>
        <w:pStyle w:val="TM3"/>
        <w:tabs>
          <w:tab w:val="right" w:leader="dot" w:pos="10603"/>
        </w:tabs>
      </w:pPr>
      <w:hyperlink w:anchor="_Toc31941" w:history="1">
        <w:r>
          <w:rPr>
            <w:rFonts w:ascii="Times New Roman" w:hAnsi="Times New Roman"/>
            <w:i/>
            <w:iCs/>
            <w:szCs w:val="22"/>
          </w:rPr>
          <w:t>5.5.3.</w:t>
        </w:r>
        <w:r>
          <w:t xml:space="preserve"> </w:t>
        </w:r>
        <w:r>
          <w:rPr>
            <w:rFonts w:ascii="Times New Roman" w:hAnsi="Times New Roman"/>
            <w:i/>
            <w:iCs/>
            <w:szCs w:val="22"/>
          </w:rPr>
          <w:t>Incidence sur la gouvernance et le cadre institutionnel</w:t>
        </w:r>
        <w:r>
          <w:tab/>
        </w:r>
        <w:r>
          <w:fldChar w:fldCharType="begin"/>
        </w:r>
        <w:r>
          <w:instrText xml:space="preserve"> PAGEREF _Toc31941 \h </w:instrText>
        </w:r>
        <w:r>
          <w:fldChar w:fldCharType="separate"/>
        </w:r>
        <w:r>
          <w:t>64</w:t>
        </w:r>
        <w:r>
          <w:fldChar w:fldCharType="end"/>
        </w:r>
      </w:hyperlink>
    </w:p>
    <w:p w14:paraId="4337F6E6" w14:textId="77777777" w:rsidR="00EA6DED" w:rsidRDefault="007504AE">
      <w:pPr>
        <w:pStyle w:val="TM3"/>
        <w:tabs>
          <w:tab w:val="right" w:leader="dot" w:pos="10603"/>
        </w:tabs>
      </w:pPr>
      <w:hyperlink w:anchor="_Toc3768" w:history="1">
        <w:r>
          <w:rPr>
            <w:rFonts w:ascii="Times New Roman" w:hAnsi="Times New Roman"/>
            <w:i/>
            <w:iCs/>
            <w:szCs w:val="22"/>
          </w:rPr>
          <w:t>5.5.4. Incidence sur le capital humain</w:t>
        </w:r>
        <w:r>
          <w:tab/>
        </w:r>
        <w:r>
          <w:fldChar w:fldCharType="begin"/>
        </w:r>
        <w:r>
          <w:instrText xml:space="preserve"> PAGEREF _Toc3768 \h </w:instrText>
        </w:r>
        <w:r>
          <w:fldChar w:fldCharType="separate"/>
        </w:r>
        <w:r>
          <w:t>64</w:t>
        </w:r>
        <w:r>
          <w:fldChar w:fldCharType="end"/>
        </w:r>
      </w:hyperlink>
    </w:p>
    <w:p w14:paraId="4337F6E7" w14:textId="77777777" w:rsidR="00EA6DED" w:rsidRDefault="007504AE">
      <w:pPr>
        <w:pStyle w:val="TM3"/>
        <w:tabs>
          <w:tab w:val="right" w:leader="dot" w:pos="10603"/>
        </w:tabs>
      </w:pPr>
      <w:hyperlink w:anchor="_Toc16932" w:history="1">
        <w:r>
          <w:rPr>
            <w:rFonts w:ascii="Times New Roman" w:hAnsi="Times New Roman"/>
            <w:i/>
            <w:iCs/>
            <w:szCs w:val="22"/>
          </w:rPr>
          <w:t>5.5.5. Contribution à la durabilité environnementale et réduction de la vulnérabilité</w:t>
        </w:r>
        <w:r>
          <w:tab/>
        </w:r>
        <w:r>
          <w:fldChar w:fldCharType="begin"/>
        </w:r>
        <w:r>
          <w:instrText xml:space="preserve"> PAGEREF _Toc16932 \h </w:instrText>
        </w:r>
        <w:r>
          <w:fldChar w:fldCharType="separate"/>
        </w:r>
        <w:r>
          <w:t>65</w:t>
        </w:r>
        <w:r>
          <w:fldChar w:fldCharType="end"/>
        </w:r>
      </w:hyperlink>
    </w:p>
    <w:p w14:paraId="4337F6E8" w14:textId="77777777" w:rsidR="00EA6DED" w:rsidRDefault="007504AE">
      <w:pPr>
        <w:pStyle w:val="TM2"/>
        <w:tabs>
          <w:tab w:val="right" w:leader="dot" w:pos="10603"/>
        </w:tabs>
      </w:pPr>
      <w:hyperlink w:anchor="_Toc23747" w:history="1">
        <w:r>
          <w:rPr>
            <w:szCs w:val="24"/>
          </w:rPr>
          <w:t>5.</w:t>
        </w:r>
        <w:r>
          <w:rPr>
            <w:szCs w:val="24"/>
            <w:lang w:val="en-US"/>
          </w:rPr>
          <w:t>6</w:t>
        </w:r>
        <w:r>
          <w:rPr>
            <w:szCs w:val="24"/>
          </w:rPr>
          <w:t xml:space="preserve"> Durabilité</w:t>
        </w:r>
        <w:r>
          <w:tab/>
        </w:r>
        <w:r>
          <w:fldChar w:fldCharType="begin"/>
        </w:r>
        <w:r>
          <w:instrText xml:space="preserve"> PAGEREF _Toc23747 \h </w:instrText>
        </w:r>
        <w:r>
          <w:fldChar w:fldCharType="separate"/>
        </w:r>
        <w:r>
          <w:t>65</w:t>
        </w:r>
        <w:r>
          <w:fldChar w:fldCharType="end"/>
        </w:r>
      </w:hyperlink>
    </w:p>
    <w:p w14:paraId="4337F6E9" w14:textId="77777777" w:rsidR="00EA6DED" w:rsidRDefault="007504AE">
      <w:pPr>
        <w:pStyle w:val="TM3"/>
        <w:tabs>
          <w:tab w:val="right" w:pos="2400"/>
          <w:tab w:val="right" w:leader="dot" w:pos="10603"/>
        </w:tabs>
      </w:pPr>
      <w:hyperlink w:anchor="_Toc23599" w:history="1">
        <w:r>
          <w:rPr>
            <w:rFonts w:ascii="Times New Roman" w:hAnsi="Times New Roman"/>
            <w:i/>
            <w:iCs/>
            <w:szCs w:val="22"/>
          </w:rPr>
          <w:t xml:space="preserve">5.6.1. </w:t>
        </w:r>
        <w:r>
          <w:rPr>
            <w:rFonts w:ascii="Times New Roman" w:hAnsi="Times New Roman"/>
            <w:i/>
            <w:iCs/>
            <w:szCs w:val="22"/>
          </w:rPr>
          <w:tab/>
          <w:t>Mise à l’échelle par l’Etat ou d’autres parties prenantes des résultats des programmes et Projets</w:t>
        </w:r>
        <w:r>
          <w:tab/>
        </w:r>
        <w:r>
          <w:fldChar w:fldCharType="begin"/>
        </w:r>
        <w:r>
          <w:instrText xml:space="preserve"> PAGEREF _Toc23599 \h </w:instrText>
        </w:r>
        <w:r>
          <w:fldChar w:fldCharType="separate"/>
        </w:r>
        <w:r>
          <w:t>66</w:t>
        </w:r>
        <w:r>
          <w:fldChar w:fldCharType="end"/>
        </w:r>
      </w:hyperlink>
    </w:p>
    <w:p w14:paraId="4337F6EA" w14:textId="77777777" w:rsidR="00EA6DED" w:rsidRDefault="007504AE">
      <w:pPr>
        <w:pStyle w:val="TM3"/>
        <w:tabs>
          <w:tab w:val="right" w:pos="2400"/>
          <w:tab w:val="right" w:leader="dot" w:pos="10603"/>
        </w:tabs>
      </w:pPr>
      <w:hyperlink w:anchor="_Toc26180" w:history="1">
        <w:r>
          <w:rPr>
            <w:rFonts w:ascii="Times New Roman" w:hAnsi="Times New Roman"/>
            <w:i/>
            <w:iCs/>
            <w:szCs w:val="22"/>
          </w:rPr>
          <w:t xml:space="preserve">5.6.2. </w:t>
        </w:r>
        <w:r>
          <w:rPr>
            <w:rFonts w:ascii="Times New Roman" w:hAnsi="Times New Roman"/>
            <w:i/>
            <w:iCs/>
            <w:szCs w:val="22"/>
          </w:rPr>
          <w:tab/>
          <w:t>Degré d’appropriation de chaque priorité stratégique du CC par les institutions de l’Etat</w:t>
        </w:r>
        <w:r>
          <w:tab/>
        </w:r>
        <w:r>
          <w:fldChar w:fldCharType="begin"/>
        </w:r>
        <w:r>
          <w:instrText xml:space="preserve"> PAGEREF _Toc26180 \h </w:instrText>
        </w:r>
        <w:r>
          <w:fldChar w:fldCharType="separate"/>
        </w:r>
        <w:r>
          <w:t>67</w:t>
        </w:r>
        <w:r>
          <w:fldChar w:fldCharType="end"/>
        </w:r>
      </w:hyperlink>
    </w:p>
    <w:p w14:paraId="4337F6EB" w14:textId="77777777" w:rsidR="00EA6DED" w:rsidRDefault="007504AE">
      <w:pPr>
        <w:pStyle w:val="TM3"/>
        <w:tabs>
          <w:tab w:val="right" w:leader="dot" w:pos="10603"/>
        </w:tabs>
      </w:pPr>
      <w:hyperlink w:anchor="_Toc3177" w:history="1">
        <w:r>
          <w:rPr>
            <w:rFonts w:ascii="Times New Roman" w:hAnsi="Times New Roman"/>
            <w:i/>
            <w:iCs/>
            <w:szCs w:val="22"/>
          </w:rPr>
          <w:t>5.6.3. Facteurs positifs ou négatifs d’adhésion des bénéficiaires ou d’autres parties prenantes</w:t>
        </w:r>
        <w:r>
          <w:tab/>
        </w:r>
        <w:r>
          <w:fldChar w:fldCharType="begin"/>
        </w:r>
        <w:r>
          <w:instrText xml:space="preserve"> PAGEREF _Toc3177 \h </w:instrText>
        </w:r>
        <w:r>
          <w:fldChar w:fldCharType="separate"/>
        </w:r>
        <w:r>
          <w:t>67</w:t>
        </w:r>
        <w:r>
          <w:fldChar w:fldCharType="end"/>
        </w:r>
      </w:hyperlink>
    </w:p>
    <w:p w14:paraId="4337F6EC" w14:textId="77777777" w:rsidR="00EA6DED" w:rsidRDefault="007504AE">
      <w:pPr>
        <w:pStyle w:val="TM1"/>
        <w:tabs>
          <w:tab w:val="right" w:leader="dot" w:pos="10603"/>
        </w:tabs>
      </w:pPr>
      <w:hyperlink w:anchor="_Toc29815" w:history="1">
        <w:r>
          <w:rPr>
            <w:rFonts w:ascii="Times New Roman" w:hAnsi="Times New Roman"/>
            <w:shd w:val="clear" w:color="auto" w:fill="FFFFFF"/>
            <w:lang w:val="en-US"/>
          </w:rPr>
          <w:t xml:space="preserve">VI. Conclusions </w:t>
        </w:r>
        <w:r>
          <w:tab/>
        </w:r>
        <w:r>
          <w:fldChar w:fldCharType="begin"/>
        </w:r>
        <w:r>
          <w:instrText xml:space="preserve"> PAGEREF _Toc29815 \h </w:instrText>
        </w:r>
        <w:r>
          <w:fldChar w:fldCharType="separate"/>
        </w:r>
        <w:r>
          <w:t>68</w:t>
        </w:r>
        <w:r>
          <w:fldChar w:fldCharType="end"/>
        </w:r>
      </w:hyperlink>
    </w:p>
    <w:p w14:paraId="4337F6ED" w14:textId="77777777" w:rsidR="00EA6DED" w:rsidRDefault="007504AE">
      <w:pPr>
        <w:pStyle w:val="TM1"/>
        <w:tabs>
          <w:tab w:val="right" w:leader="dot" w:pos="10603"/>
        </w:tabs>
      </w:pPr>
      <w:hyperlink w:anchor="_Toc30149" w:history="1">
        <w:r>
          <w:rPr>
            <w:rFonts w:ascii="Times New Roman" w:hAnsi="Times New Roman"/>
            <w:shd w:val="clear" w:color="auto" w:fill="FFFFFF"/>
            <w:lang w:val="en-US"/>
          </w:rPr>
          <w:t xml:space="preserve">VII. Recommandations </w:t>
        </w:r>
        <w:r>
          <w:tab/>
        </w:r>
        <w:r>
          <w:fldChar w:fldCharType="begin"/>
        </w:r>
        <w:r>
          <w:instrText xml:space="preserve"> PAGEREF _Toc30149 \h </w:instrText>
        </w:r>
        <w:r>
          <w:fldChar w:fldCharType="separate"/>
        </w:r>
        <w:r>
          <w:t>70</w:t>
        </w:r>
        <w:r>
          <w:fldChar w:fldCharType="end"/>
        </w:r>
      </w:hyperlink>
    </w:p>
    <w:p w14:paraId="4337F6EE" w14:textId="77777777" w:rsidR="00EA6DED" w:rsidRDefault="007504AE">
      <w:pPr>
        <w:pStyle w:val="TM2"/>
        <w:tabs>
          <w:tab w:val="right" w:leader="dot" w:pos="10603"/>
        </w:tabs>
      </w:pPr>
      <w:hyperlink w:anchor="_Toc10918" w:history="1">
        <w:r>
          <w:rPr>
            <w:szCs w:val="24"/>
            <w:lang w:val="fr"/>
          </w:rPr>
          <w:t>7.1. Pertinence /Adaptabilité</w:t>
        </w:r>
        <w:r>
          <w:tab/>
        </w:r>
        <w:r>
          <w:fldChar w:fldCharType="begin"/>
        </w:r>
        <w:r>
          <w:instrText xml:space="preserve"> PAGEREF _Toc10918 \h </w:instrText>
        </w:r>
        <w:r>
          <w:fldChar w:fldCharType="separate"/>
        </w:r>
        <w:r>
          <w:t>70</w:t>
        </w:r>
        <w:r>
          <w:fldChar w:fldCharType="end"/>
        </w:r>
      </w:hyperlink>
    </w:p>
    <w:p w14:paraId="4337F6EF" w14:textId="77777777" w:rsidR="00EA6DED" w:rsidRDefault="007504AE">
      <w:pPr>
        <w:pStyle w:val="TM2"/>
        <w:tabs>
          <w:tab w:val="right" w:leader="dot" w:pos="10603"/>
        </w:tabs>
      </w:pPr>
      <w:hyperlink w:anchor="_Toc29207" w:history="1">
        <w:r>
          <w:rPr>
            <w:szCs w:val="24"/>
          </w:rPr>
          <w:t>7</w:t>
        </w:r>
        <w:r>
          <w:rPr>
            <w:szCs w:val="24"/>
            <w:lang w:val="fr"/>
          </w:rPr>
          <w:t>.2</w:t>
        </w:r>
        <w:r>
          <w:rPr>
            <w:szCs w:val="24"/>
            <w:lang w:val="en-US"/>
          </w:rPr>
          <w:t xml:space="preserve">. </w:t>
        </w:r>
        <w:r>
          <w:rPr>
            <w:szCs w:val="24"/>
            <w:lang w:val="fr"/>
          </w:rPr>
          <w:t>Coordination / Cohérence</w:t>
        </w:r>
        <w:r>
          <w:tab/>
        </w:r>
        <w:r>
          <w:fldChar w:fldCharType="begin"/>
        </w:r>
        <w:r>
          <w:instrText xml:space="preserve"> PAGEREF _Toc29207 \h </w:instrText>
        </w:r>
        <w:r>
          <w:fldChar w:fldCharType="separate"/>
        </w:r>
        <w:r>
          <w:t>71</w:t>
        </w:r>
        <w:r>
          <w:fldChar w:fldCharType="end"/>
        </w:r>
      </w:hyperlink>
    </w:p>
    <w:p w14:paraId="4337F6F0" w14:textId="77777777" w:rsidR="00EA6DED" w:rsidRDefault="007504AE">
      <w:pPr>
        <w:pStyle w:val="TM2"/>
        <w:tabs>
          <w:tab w:val="right" w:leader="dot" w:pos="10603"/>
        </w:tabs>
      </w:pPr>
      <w:hyperlink w:anchor="_Toc30775" w:history="1">
        <w:r>
          <w:rPr>
            <w:szCs w:val="24"/>
          </w:rPr>
          <w:t>7</w:t>
        </w:r>
        <w:r>
          <w:rPr>
            <w:szCs w:val="24"/>
            <w:lang w:val="fr"/>
          </w:rPr>
          <w:t>.3</w:t>
        </w:r>
        <w:r>
          <w:rPr>
            <w:szCs w:val="24"/>
            <w:lang w:val="en-US"/>
          </w:rPr>
          <w:t xml:space="preserve">. </w:t>
        </w:r>
        <w:r>
          <w:rPr>
            <w:szCs w:val="24"/>
            <w:lang w:val="fr"/>
          </w:rPr>
          <w:t>Efficacité</w:t>
        </w:r>
        <w:r>
          <w:tab/>
        </w:r>
        <w:r>
          <w:fldChar w:fldCharType="begin"/>
        </w:r>
        <w:r>
          <w:instrText xml:space="preserve"> PAGEREF _Toc30775 \h </w:instrText>
        </w:r>
        <w:r>
          <w:fldChar w:fldCharType="separate"/>
        </w:r>
        <w:r>
          <w:t>72</w:t>
        </w:r>
        <w:r>
          <w:fldChar w:fldCharType="end"/>
        </w:r>
      </w:hyperlink>
    </w:p>
    <w:p w14:paraId="4337F6F1" w14:textId="77777777" w:rsidR="00EA6DED" w:rsidRDefault="007504AE">
      <w:pPr>
        <w:pStyle w:val="TM2"/>
        <w:tabs>
          <w:tab w:val="right" w:leader="dot" w:pos="10603"/>
        </w:tabs>
      </w:pPr>
      <w:hyperlink w:anchor="_Toc25709" w:history="1">
        <w:r>
          <w:rPr>
            <w:szCs w:val="24"/>
          </w:rPr>
          <w:t>7</w:t>
        </w:r>
        <w:r>
          <w:rPr>
            <w:szCs w:val="24"/>
            <w:lang w:val="fr"/>
          </w:rPr>
          <w:t>.4</w:t>
        </w:r>
        <w:r>
          <w:rPr>
            <w:szCs w:val="24"/>
            <w:lang w:val="en-US"/>
          </w:rPr>
          <w:t xml:space="preserve">. </w:t>
        </w:r>
        <w:r>
          <w:rPr>
            <w:szCs w:val="24"/>
            <w:lang w:val="fr"/>
          </w:rPr>
          <w:t>Efficience</w:t>
        </w:r>
        <w:r>
          <w:tab/>
        </w:r>
        <w:r>
          <w:fldChar w:fldCharType="begin"/>
        </w:r>
        <w:r>
          <w:instrText xml:space="preserve"> PAGEREF _Toc25709 \h </w:instrText>
        </w:r>
        <w:r>
          <w:fldChar w:fldCharType="separate"/>
        </w:r>
        <w:r>
          <w:t>72</w:t>
        </w:r>
        <w:r>
          <w:fldChar w:fldCharType="end"/>
        </w:r>
      </w:hyperlink>
    </w:p>
    <w:p w14:paraId="4337F6F2" w14:textId="77777777" w:rsidR="00EA6DED" w:rsidRDefault="007504AE">
      <w:pPr>
        <w:pStyle w:val="TM2"/>
        <w:tabs>
          <w:tab w:val="right" w:leader="dot" w:pos="10603"/>
        </w:tabs>
      </w:pPr>
      <w:hyperlink w:anchor="_Toc10305" w:history="1">
        <w:r>
          <w:rPr>
            <w:szCs w:val="24"/>
          </w:rPr>
          <w:t>7</w:t>
        </w:r>
        <w:r>
          <w:rPr>
            <w:szCs w:val="24"/>
            <w:lang w:val="fr"/>
          </w:rPr>
          <w:t>.5</w:t>
        </w:r>
        <w:r>
          <w:rPr>
            <w:szCs w:val="24"/>
            <w:lang w:val="en-US"/>
          </w:rPr>
          <w:t>. Orientations vers l’impact</w:t>
        </w:r>
        <w:r>
          <w:tab/>
        </w:r>
        <w:r>
          <w:fldChar w:fldCharType="begin"/>
        </w:r>
        <w:r>
          <w:instrText xml:space="preserve"> PAGEREF _Toc10305 \h </w:instrText>
        </w:r>
        <w:r>
          <w:fldChar w:fldCharType="separate"/>
        </w:r>
        <w:r>
          <w:t>73</w:t>
        </w:r>
        <w:r>
          <w:fldChar w:fldCharType="end"/>
        </w:r>
      </w:hyperlink>
    </w:p>
    <w:p w14:paraId="4337F6F3" w14:textId="77777777" w:rsidR="00EA6DED" w:rsidRDefault="007504AE">
      <w:pPr>
        <w:pStyle w:val="TM2"/>
        <w:tabs>
          <w:tab w:val="right" w:leader="dot" w:pos="10603"/>
        </w:tabs>
      </w:pPr>
      <w:hyperlink w:anchor="_Toc30418" w:history="1">
        <w:r>
          <w:rPr>
            <w:szCs w:val="24"/>
          </w:rPr>
          <w:t>7</w:t>
        </w:r>
        <w:r>
          <w:rPr>
            <w:szCs w:val="24"/>
            <w:lang w:val="fr"/>
          </w:rPr>
          <w:t>.6</w:t>
        </w:r>
        <w:r>
          <w:rPr>
            <w:szCs w:val="24"/>
            <w:lang w:val="en-US"/>
          </w:rPr>
          <w:t xml:space="preserve">. </w:t>
        </w:r>
        <w:r>
          <w:rPr>
            <w:szCs w:val="24"/>
            <w:lang w:val="fr"/>
          </w:rPr>
          <w:t>Durabilité</w:t>
        </w:r>
        <w:r>
          <w:tab/>
        </w:r>
        <w:r>
          <w:fldChar w:fldCharType="begin"/>
        </w:r>
        <w:r>
          <w:instrText xml:space="preserve"> PAGEREF _Toc30418 \h </w:instrText>
        </w:r>
        <w:r>
          <w:fldChar w:fldCharType="separate"/>
        </w:r>
        <w:r>
          <w:t>73</w:t>
        </w:r>
        <w:r>
          <w:fldChar w:fldCharType="end"/>
        </w:r>
      </w:hyperlink>
    </w:p>
    <w:p w14:paraId="4337F6F4" w14:textId="77777777" w:rsidR="00EA6DED" w:rsidRDefault="007504AE">
      <w:pPr>
        <w:spacing w:line="249" w:lineRule="auto"/>
        <w:ind w:right="1108"/>
        <w:jc w:val="both"/>
        <w:rPr>
          <w:rFonts w:eastAsia="Arial"/>
          <w:color w:val="0000CC"/>
          <w:szCs w:val="28"/>
        </w:rPr>
      </w:pPr>
      <w:r>
        <w:rPr>
          <w:rFonts w:ascii="Calibri" w:eastAsia="Arial" w:hAnsi="Calibri" w:cs="Calibri"/>
          <w:color w:val="0000CC"/>
          <w:szCs w:val="28"/>
        </w:rPr>
        <w:fldChar w:fldCharType="end"/>
      </w:r>
    </w:p>
    <w:p w14:paraId="4337F6F5" w14:textId="77777777" w:rsidR="00EA6DED" w:rsidRDefault="00EA6DED">
      <w:pPr>
        <w:spacing w:line="249" w:lineRule="auto"/>
        <w:ind w:right="1108"/>
        <w:jc w:val="both"/>
        <w:rPr>
          <w:rFonts w:eastAsia="Arial"/>
          <w:color w:val="0000CC"/>
          <w:szCs w:val="28"/>
        </w:rPr>
      </w:pPr>
    </w:p>
    <w:p w14:paraId="4337F6F6" w14:textId="77777777" w:rsidR="00EA6DED" w:rsidRDefault="00EA6DED">
      <w:pPr>
        <w:spacing w:line="249" w:lineRule="auto"/>
        <w:ind w:right="1108"/>
        <w:jc w:val="both"/>
        <w:rPr>
          <w:rFonts w:eastAsia="Arial"/>
          <w:b/>
          <w:color w:val="0000CC"/>
          <w:sz w:val="28"/>
          <w:szCs w:val="28"/>
        </w:rPr>
      </w:pPr>
    </w:p>
    <w:p w14:paraId="4337F6F7" w14:textId="77777777" w:rsidR="00EA6DED" w:rsidRDefault="00EA6DED">
      <w:pPr>
        <w:spacing w:line="249" w:lineRule="auto"/>
        <w:ind w:right="1108"/>
        <w:jc w:val="both"/>
        <w:rPr>
          <w:rFonts w:eastAsia="Arial"/>
          <w:b/>
          <w:color w:val="0000CC"/>
          <w:sz w:val="28"/>
          <w:szCs w:val="28"/>
        </w:rPr>
      </w:pPr>
    </w:p>
    <w:p w14:paraId="4337F6F8" w14:textId="77777777" w:rsidR="00EA6DED" w:rsidRDefault="00EA6DED">
      <w:pPr>
        <w:spacing w:line="249" w:lineRule="auto"/>
        <w:ind w:right="1108"/>
        <w:jc w:val="both"/>
        <w:rPr>
          <w:rFonts w:eastAsia="Arial"/>
          <w:b/>
          <w:color w:val="0000CC"/>
          <w:sz w:val="28"/>
          <w:szCs w:val="28"/>
        </w:rPr>
      </w:pPr>
    </w:p>
    <w:p w14:paraId="4337F6F9" w14:textId="77777777" w:rsidR="00EA6DED" w:rsidRDefault="00EA6DED">
      <w:pPr>
        <w:spacing w:line="249" w:lineRule="auto"/>
        <w:ind w:right="1108"/>
        <w:jc w:val="both"/>
        <w:rPr>
          <w:rFonts w:eastAsia="Arial"/>
          <w:b/>
          <w:color w:val="0000CC"/>
          <w:sz w:val="28"/>
          <w:szCs w:val="28"/>
        </w:rPr>
      </w:pPr>
    </w:p>
    <w:p w14:paraId="4337F6FA" w14:textId="77777777" w:rsidR="00EA6DED" w:rsidRDefault="00EA6DED">
      <w:pPr>
        <w:spacing w:line="249" w:lineRule="auto"/>
        <w:ind w:right="1108"/>
        <w:jc w:val="both"/>
        <w:rPr>
          <w:rFonts w:eastAsia="Arial"/>
          <w:b/>
          <w:color w:val="0000CC"/>
          <w:sz w:val="28"/>
          <w:szCs w:val="28"/>
        </w:rPr>
      </w:pPr>
    </w:p>
    <w:p w14:paraId="4337F6FB" w14:textId="77777777" w:rsidR="00EA6DED" w:rsidRDefault="00EA6DED">
      <w:pPr>
        <w:spacing w:line="249" w:lineRule="auto"/>
        <w:ind w:right="1108"/>
        <w:jc w:val="both"/>
        <w:rPr>
          <w:rFonts w:eastAsia="Arial"/>
          <w:b/>
          <w:color w:val="0000CC"/>
          <w:sz w:val="28"/>
          <w:szCs w:val="28"/>
        </w:rPr>
      </w:pPr>
    </w:p>
    <w:p w14:paraId="4337F6FC" w14:textId="77777777" w:rsidR="00EA6DED" w:rsidRDefault="00EA6DED">
      <w:pPr>
        <w:spacing w:line="249" w:lineRule="auto"/>
        <w:ind w:right="1108"/>
        <w:jc w:val="both"/>
        <w:rPr>
          <w:rFonts w:eastAsia="Arial"/>
          <w:b/>
          <w:color w:val="0000CC"/>
          <w:sz w:val="28"/>
          <w:szCs w:val="28"/>
        </w:rPr>
      </w:pPr>
    </w:p>
    <w:p w14:paraId="4337F6FD" w14:textId="77777777" w:rsidR="00EA6DED" w:rsidRDefault="00EA6DED">
      <w:pPr>
        <w:spacing w:line="249" w:lineRule="auto"/>
        <w:ind w:right="1108"/>
        <w:jc w:val="both"/>
        <w:rPr>
          <w:rFonts w:eastAsia="Arial"/>
          <w:b/>
          <w:color w:val="0000CC"/>
          <w:sz w:val="28"/>
          <w:szCs w:val="28"/>
        </w:rPr>
      </w:pPr>
    </w:p>
    <w:p w14:paraId="4337F6FE" w14:textId="77777777" w:rsidR="00EA6DED" w:rsidRDefault="00EA6DED">
      <w:pPr>
        <w:spacing w:line="249" w:lineRule="auto"/>
        <w:ind w:right="1108"/>
        <w:jc w:val="both"/>
        <w:rPr>
          <w:rFonts w:eastAsia="Arial"/>
          <w:b/>
          <w:color w:val="0000CC"/>
          <w:sz w:val="28"/>
          <w:szCs w:val="28"/>
        </w:rPr>
      </w:pPr>
    </w:p>
    <w:p w14:paraId="4337F6FF" w14:textId="77777777" w:rsidR="00EA6DED" w:rsidRDefault="00EA6DED">
      <w:pPr>
        <w:spacing w:line="249" w:lineRule="auto"/>
        <w:ind w:right="1108"/>
        <w:jc w:val="both"/>
        <w:rPr>
          <w:rFonts w:eastAsia="Arial"/>
          <w:b/>
          <w:color w:val="0000CC"/>
          <w:sz w:val="28"/>
          <w:szCs w:val="28"/>
        </w:rPr>
      </w:pPr>
    </w:p>
    <w:p w14:paraId="4337F700" w14:textId="77777777" w:rsidR="00EA6DED" w:rsidRDefault="00EA6DED">
      <w:pPr>
        <w:spacing w:line="249" w:lineRule="auto"/>
        <w:ind w:right="1108"/>
        <w:jc w:val="both"/>
        <w:rPr>
          <w:rFonts w:eastAsia="Arial"/>
          <w:b/>
          <w:color w:val="0000CC"/>
          <w:sz w:val="28"/>
          <w:szCs w:val="28"/>
        </w:rPr>
      </w:pPr>
    </w:p>
    <w:p w14:paraId="4337F701" w14:textId="77777777" w:rsidR="00EA6DED" w:rsidRDefault="007504AE">
      <w:pPr>
        <w:spacing w:line="249" w:lineRule="auto"/>
        <w:ind w:right="1108"/>
        <w:jc w:val="both"/>
        <w:rPr>
          <w:rFonts w:eastAsia="Arial"/>
          <w:b/>
          <w:color w:val="0000CC"/>
          <w:sz w:val="28"/>
          <w:szCs w:val="28"/>
        </w:rPr>
      </w:pPr>
      <w:r>
        <w:rPr>
          <w:rFonts w:eastAsia="Arial"/>
          <w:b/>
          <w:color w:val="0000CC"/>
          <w:sz w:val="28"/>
          <w:szCs w:val="28"/>
        </w:rPr>
        <w:lastRenderedPageBreak/>
        <w:t xml:space="preserve">Liste de tableaux </w:t>
      </w:r>
    </w:p>
    <w:p w14:paraId="4337F702" w14:textId="77777777" w:rsidR="00EA6DED" w:rsidRDefault="00EA6DED">
      <w:pPr>
        <w:spacing w:line="249" w:lineRule="auto"/>
        <w:ind w:right="1108"/>
        <w:jc w:val="both"/>
        <w:rPr>
          <w:rFonts w:eastAsia="Arial"/>
          <w:b/>
          <w:color w:val="0000CC"/>
          <w:sz w:val="28"/>
          <w:szCs w:val="28"/>
        </w:rPr>
      </w:pPr>
    </w:p>
    <w:p w14:paraId="4337F703" w14:textId="77777777" w:rsidR="00EA6DED" w:rsidRDefault="007504AE">
      <w:pPr>
        <w:pStyle w:val="Tabledesillustrations"/>
        <w:tabs>
          <w:tab w:val="right" w:leader="dot" w:pos="10603"/>
        </w:tabs>
      </w:pPr>
      <w:r>
        <w:rPr>
          <w:rFonts w:eastAsia="Arial"/>
          <w:b/>
          <w:color w:val="0000CC"/>
          <w:sz w:val="28"/>
          <w:szCs w:val="28"/>
        </w:rPr>
        <w:fldChar w:fldCharType="begin"/>
      </w:r>
      <w:r>
        <w:rPr>
          <w:rFonts w:eastAsia="Arial"/>
          <w:b/>
          <w:color w:val="0000CC"/>
          <w:sz w:val="28"/>
          <w:szCs w:val="28"/>
        </w:rPr>
        <w:instrText>TOC \h \c "Tableau"</w:instrText>
      </w:r>
      <w:r>
        <w:rPr>
          <w:rFonts w:eastAsia="Arial"/>
          <w:b/>
          <w:color w:val="0000CC"/>
          <w:sz w:val="28"/>
          <w:szCs w:val="28"/>
        </w:rPr>
        <w:fldChar w:fldCharType="separate"/>
      </w:r>
      <w:hyperlink w:anchor="_Toc29275" w:history="1">
        <w:r>
          <w:rPr>
            <w:szCs w:val="20"/>
          </w:rPr>
          <w:t xml:space="preserve">Tableau </w:t>
        </w:r>
        <w:r>
          <w:t xml:space="preserve">1 </w:t>
        </w:r>
        <w:r>
          <w:rPr>
            <w:szCs w:val="20"/>
          </w:rPr>
          <w:t xml:space="preserve">: Principales questions d’évaluation par critère d’évaluation </w:t>
        </w:r>
        <w:r>
          <w:tab/>
        </w:r>
        <w:r>
          <w:fldChar w:fldCharType="begin"/>
        </w:r>
        <w:r>
          <w:instrText xml:space="preserve"> PAGEREF _Toc29275 \h </w:instrText>
        </w:r>
        <w:r>
          <w:fldChar w:fldCharType="separate"/>
        </w:r>
        <w:r>
          <w:t>13</w:t>
        </w:r>
        <w:r>
          <w:fldChar w:fldCharType="end"/>
        </w:r>
      </w:hyperlink>
    </w:p>
    <w:p w14:paraId="4337F704" w14:textId="77777777" w:rsidR="00EA6DED" w:rsidRDefault="007504AE">
      <w:pPr>
        <w:pStyle w:val="Tabledesillustrations"/>
        <w:tabs>
          <w:tab w:val="right" w:leader="dot" w:pos="10603"/>
        </w:tabs>
      </w:pPr>
      <w:hyperlink w:anchor="_Toc23869" w:history="1">
        <w:r>
          <w:rPr>
            <w:rFonts w:ascii="Cambria" w:hAnsi="Cambria"/>
            <w:i/>
            <w:iCs/>
            <w:szCs w:val="20"/>
          </w:rPr>
          <w:t xml:space="preserve">Tableau </w:t>
        </w:r>
        <w:r>
          <w:t xml:space="preserve">2 </w:t>
        </w:r>
        <w:r>
          <w:rPr>
            <w:rFonts w:ascii="Cambria" w:hAnsi="Cambria"/>
            <w:i/>
            <w:iCs/>
            <w:szCs w:val="20"/>
          </w:rPr>
          <w:t>:</w:t>
        </w:r>
        <w:r>
          <w:rPr>
            <w:szCs w:val="15"/>
          </w:rPr>
          <w:t xml:space="preserve"> </w:t>
        </w:r>
        <w:r>
          <w:rPr>
            <w:rFonts w:ascii="Cambria" w:hAnsi="Cambria"/>
            <w:szCs w:val="20"/>
          </w:rPr>
          <w:t xml:space="preserve">Cadre budgétaire par Réalisation selon le statut des fonds (à mobiliser, disponibles et total prévisionnel). </w:t>
        </w:r>
        <w:r>
          <w:tab/>
        </w:r>
        <w:r>
          <w:fldChar w:fldCharType="begin"/>
        </w:r>
        <w:r>
          <w:instrText xml:space="preserve"> PAGEREF _Toc23869 \h </w:instrText>
        </w:r>
        <w:r>
          <w:fldChar w:fldCharType="separate"/>
        </w:r>
        <w:r>
          <w:t>20</w:t>
        </w:r>
        <w:r>
          <w:fldChar w:fldCharType="end"/>
        </w:r>
      </w:hyperlink>
    </w:p>
    <w:p w14:paraId="4337F705" w14:textId="77777777" w:rsidR="00EA6DED" w:rsidRDefault="007504AE">
      <w:pPr>
        <w:pStyle w:val="Tabledesillustrations"/>
        <w:tabs>
          <w:tab w:val="right" w:leader="dot" w:pos="10603"/>
        </w:tabs>
      </w:pPr>
      <w:hyperlink w:anchor="_Toc13027" w:history="1">
        <w:r>
          <w:rPr>
            <w:szCs w:val="20"/>
          </w:rPr>
          <w:t xml:space="preserve">Tableau </w:t>
        </w:r>
        <w:r>
          <w:t xml:space="preserve">3 </w:t>
        </w:r>
        <w:r>
          <w:rPr>
            <w:szCs w:val="20"/>
          </w:rPr>
          <w:t xml:space="preserve">: Etat des indicateurs de Réalisation 1  </w:t>
        </w:r>
        <w:r>
          <w:tab/>
        </w:r>
        <w:r>
          <w:fldChar w:fldCharType="begin"/>
        </w:r>
        <w:r>
          <w:instrText xml:space="preserve"> PAGEREF _Toc13027 \h </w:instrText>
        </w:r>
        <w:r>
          <w:fldChar w:fldCharType="separate"/>
        </w:r>
        <w:r>
          <w:t>39</w:t>
        </w:r>
        <w:r>
          <w:fldChar w:fldCharType="end"/>
        </w:r>
      </w:hyperlink>
    </w:p>
    <w:p w14:paraId="4337F706" w14:textId="77777777" w:rsidR="00EA6DED" w:rsidRDefault="007504AE">
      <w:pPr>
        <w:pStyle w:val="Tabledesillustrations"/>
        <w:tabs>
          <w:tab w:val="right" w:leader="dot" w:pos="10603"/>
        </w:tabs>
      </w:pPr>
      <w:hyperlink w:anchor="_Toc20382" w:history="1">
        <w:r>
          <w:rPr>
            <w:szCs w:val="20"/>
          </w:rPr>
          <w:t xml:space="preserve">Tableau </w:t>
        </w:r>
        <w:r>
          <w:t xml:space="preserve">4 </w:t>
        </w:r>
        <w:r>
          <w:rPr>
            <w:szCs w:val="20"/>
          </w:rPr>
          <w:t>: Etat des indicateurs de Réalisation 2.1</w:t>
        </w:r>
        <w:r>
          <w:tab/>
        </w:r>
        <w:r>
          <w:fldChar w:fldCharType="begin"/>
        </w:r>
        <w:r>
          <w:instrText xml:space="preserve"> PAGEREF _Toc20382 \h </w:instrText>
        </w:r>
        <w:r>
          <w:fldChar w:fldCharType="separate"/>
        </w:r>
        <w:r>
          <w:t>42</w:t>
        </w:r>
        <w:r>
          <w:fldChar w:fldCharType="end"/>
        </w:r>
      </w:hyperlink>
    </w:p>
    <w:p w14:paraId="4337F707" w14:textId="77777777" w:rsidR="00EA6DED" w:rsidRDefault="007504AE">
      <w:pPr>
        <w:pStyle w:val="Tabledesillustrations"/>
        <w:tabs>
          <w:tab w:val="right" w:leader="dot" w:pos="10603"/>
        </w:tabs>
      </w:pPr>
      <w:hyperlink w:anchor="_Toc26508" w:history="1">
        <w:r>
          <w:rPr>
            <w:szCs w:val="21"/>
          </w:rPr>
          <w:t xml:space="preserve">Tableau </w:t>
        </w:r>
        <w:r>
          <w:t xml:space="preserve">5 </w:t>
        </w:r>
        <w:r>
          <w:rPr>
            <w:szCs w:val="21"/>
          </w:rPr>
          <w:t xml:space="preserve">: Etat des indicateurs de Réalisation 2.2 </w:t>
        </w:r>
        <w:r>
          <w:tab/>
        </w:r>
        <w:r>
          <w:fldChar w:fldCharType="begin"/>
        </w:r>
        <w:r>
          <w:instrText xml:space="preserve"> PAGEREF _Toc26508 \h </w:instrText>
        </w:r>
        <w:r>
          <w:fldChar w:fldCharType="separate"/>
        </w:r>
        <w:r>
          <w:t>47</w:t>
        </w:r>
        <w:r>
          <w:fldChar w:fldCharType="end"/>
        </w:r>
      </w:hyperlink>
    </w:p>
    <w:p w14:paraId="4337F708" w14:textId="77777777" w:rsidR="00EA6DED" w:rsidRDefault="007504AE">
      <w:pPr>
        <w:pStyle w:val="Tabledesillustrations"/>
        <w:tabs>
          <w:tab w:val="right" w:leader="dot" w:pos="10603"/>
        </w:tabs>
      </w:pPr>
      <w:hyperlink w:anchor="_Toc4025" w:history="1">
        <w:r>
          <w:rPr>
            <w:szCs w:val="21"/>
          </w:rPr>
          <w:t xml:space="preserve">Tableau </w:t>
        </w:r>
        <w:r>
          <w:t xml:space="preserve">6 </w:t>
        </w:r>
        <w:r>
          <w:rPr>
            <w:szCs w:val="21"/>
          </w:rPr>
          <w:t xml:space="preserve">: Etat des indicateurs de Réalisation 3 </w:t>
        </w:r>
        <w:r>
          <w:tab/>
        </w:r>
        <w:r>
          <w:fldChar w:fldCharType="begin"/>
        </w:r>
        <w:r>
          <w:instrText xml:space="preserve"> PAGEREF _Toc4025 \h </w:instrText>
        </w:r>
        <w:r>
          <w:fldChar w:fldCharType="separate"/>
        </w:r>
        <w:r>
          <w:t>49</w:t>
        </w:r>
        <w:r>
          <w:fldChar w:fldCharType="end"/>
        </w:r>
      </w:hyperlink>
    </w:p>
    <w:p w14:paraId="4337F709" w14:textId="77777777" w:rsidR="00EA6DED" w:rsidRDefault="007504AE">
      <w:pPr>
        <w:pStyle w:val="Tabledesillustrations"/>
        <w:tabs>
          <w:tab w:val="right" w:leader="dot" w:pos="10603"/>
        </w:tabs>
      </w:pPr>
      <w:hyperlink w:anchor="_Toc25891" w:history="1">
        <w:r>
          <w:t xml:space="preserve">Tableau 7 : </w:t>
        </w:r>
        <w:r>
          <w:rPr>
            <w:szCs w:val="20"/>
          </w:rPr>
          <w:t>Etat des indicateurs de Réalisation 4. </w:t>
        </w:r>
        <w:r>
          <w:tab/>
        </w:r>
        <w:r>
          <w:fldChar w:fldCharType="begin"/>
        </w:r>
        <w:r>
          <w:instrText xml:space="preserve"> PAGEREF _Toc25891 \h </w:instrText>
        </w:r>
        <w:r>
          <w:fldChar w:fldCharType="separate"/>
        </w:r>
        <w:r>
          <w:t>52</w:t>
        </w:r>
        <w:r>
          <w:fldChar w:fldCharType="end"/>
        </w:r>
      </w:hyperlink>
    </w:p>
    <w:p w14:paraId="4337F70A" w14:textId="77777777" w:rsidR="00EA6DED" w:rsidRDefault="007504AE">
      <w:pPr>
        <w:pStyle w:val="Tabledesillustrations"/>
        <w:tabs>
          <w:tab w:val="right" w:leader="dot" w:pos="10603"/>
        </w:tabs>
      </w:pPr>
      <w:hyperlink w:anchor="_Toc26868" w:history="1">
        <w:r>
          <w:rPr>
            <w:szCs w:val="21"/>
          </w:rPr>
          <w:t xml:space="preserve">Tableau </w:t>
        </w:r>
        <w:r>
          <w:t xml:space="preserve">8 </w:t>
        </w:r>
        <w:r>
          <w:rPr>
            <w:szCs w:val="21"/>
          </w:rPr>
          <w:t xml:space="preserve"> Ventilation des ressources mobilisées et dépensées en 2022 et 2024 et par Réalisation</w:t>
        </w:r>
        <w:r>
          <w:tab/>
        </w:r>
        <w:r>
          <w:fldChar w:fldCharType="begin"/>
        </w:r>
        <w:r>
          <w:instrText xml:space="preserve"> PAGEREF _Toc26868 \h </w:instrText>
        </w:r>
        <w:r>
          <w:fldChar w:fldCharType="separate"/>
        </w:r>
        <w:r>
          <w:t>57</w:t>
        </w:r>
        <w:r>
          <w:fldChar w:fldCharType="end"/>
        </w:r>
      </w:hyperlink>
    </w:p>
    <w:p w14:paraId="4337F70B" w14:textId="77777777" w:rsidR="00EA6DED" w:rsidRDefault="007504AE">
      <w:pPr>
        <w:spacing w:line="249" w:lineRule="auto"/>
        <w:ind w:right="1108"/>
        <w:jc w:val="both"/>
        <w:rPr>
          <w:rFonts w:eastAsia="Arial"/>
          <w:b/>
          <w:color w:val="0000CC"/>
          <w:sz w:val="28"/>
          <w:szCs w:val="28"/>
        </w:rPr>
      </w:pPr>
      <w:r>
        <w:rPr>
          <w:rFonts w:eastAsia="Arial"/>
          <w:color w:val="0000CC"/>
          <w:szCs w:val="28"/>
        </w:rPr>
        <w:fldChar w:fldCharType="end"/>
      </w:r>
    </w:p>
    <w:p w14:paraId="4337F70C" w14:textId="77777777" w:rsidR="00EA6DED" w:rsidRDefault="007504AE">
      <w:pPr>
        <w:spacing w:line="249" w:lineRule="auto"/>
        <w:ind w:right="1108"/>
        <w:jc w:val="both"/>
        <w:rPr>
          <w:rFonts w:eastAsia="Arial"/>
          <w:b/>
          <w:color w:val="0000CC"/>
          <w:sz w:val="28"/>
          <w:szCs w:val="28"/>
        </w:rPr>
      </w:pPr>
      <w:r>
        <w:rPr>
          <w:rFonts w:eastAsia="Arial"/>
          <w:b/>
          <w:color w:val="0000CC"/>
          <w:sz w:val="28"/>
          <w:szCs w:val="28"/>
        </w:rPr>
        <w:t xml:space="preserve">Liste des Graphiques </w:t>
      </w:r>
    </w:p>
    <w:p w14:paraId="4337F70D" w14:textId="77777777" w:rsidR="00EA6DED" w:rsidRDefault="007504AE">
      <w:pPr>
        <w:pStyle w:val="Tabledesillustrations"/>
        <w:tabs>
          <w:tab w:val="right" w:leader="dot" w:pos="10603"/>
        </w:tabs>
      </w:pPr>
      <w:r>
        <w:rPr>
          <w:rFonts w:eastAsia="Arial"/>
          <w:b/>
          <w:color w:val="0000CC"/>
          <w:sz w:val="28"/>
          <w:szCs w:val="28"/>
        </w:rPr>
        <w:fldChar w:fldCharType="begin"/>
      </w:r>
      <w:r>
        <w:rPr>
          <w:rFonts w:eastAsia="Arial"/>
          <w:b/>
          <w:color w:val="0000CC"/>
          <w:sz w:val="28"/>
          <w:szCs w:val="28"/>
        </w:rPr>
        <w:instrText>TOC \h \c "Graphique"</w:instrText>
      </w:r>
      <w:r>
        <w:rPr>
          <w:rFonts w:eastAsia="Arial"/>
          <w:b/>
          <w:color w:val="0000CC"/>
          <w:sz w:val="28"/>
          <w:szCs w:val="28"/>
        </w:rPr>
        <w:fldChar w:fldCharType="separate"/>
      </w:r>
      <w:hyperlink w:anchor="_Toc10241" w:history="1">
        <w:r>
          <w:rPr>
            <w:i/>
            <w:iCs/>
            <w:szCs w:val="20"/>
          </w:rPr>
          <w:t xml:space="preserve">Graphique </w:t>
        </w:r>
        <w:r>
          <w:t xml:space="preserve">1 </w:t>
        </w:r>
        <w:r>
          <w:rPr>
            <w:i/>
            <w:iCs/>
            <w:szCs w:val="20"/>
          </w:rPr>
          <w:t xml:space="preserve">: Répartition des projets par marqueurs genre et droits humains suivant les priorités stratégiques </w:t>
        </w:r>
        <w:r>
          <w:rPr>
            <w:szCs w:val="21"/>
          </w:rPr>
          <w:t xml:space="preserve">  </w:t>
        </w:r>
        <w:r>
          <w:tab/>
        </w:r>
        <w:r>
          <w:fldChar w:fldCharType="begin"/>
        </w:r>
        <w:r>
          <w:instrText xml:space="preserve"> PAGEREF _Toc10241 \h </w:instrText>
        </w:r>
        <w:r>
          <w:fldChar w:fldCharType="separate"/>
        </w:r>
        <w:r>
          <w:t>28</w:t>
        </w:r>
        <w:r>
          <w:fldChar w:fldCharType="end"/>
        </w:r>
      </w:hyperlink>
    </w:p>
    <w:p w14:paraId="4337F70E" w14:textId="77777777" w:rsidR="00EA6DED" w:rsidRDefault="007504AE">
      <w:pPr>
        <w:pStyle w:val="Tabledesillustrations"/>
        <w:tabs>
          <w:tab w:val="right" w:leader="dot" w:pos="10603"/>
        </w:tabs>
      </w:pPr>
      <w:hyperlink w:anchor="_Toc31014" w:history="1">
        <w:r>
          <w:rPr>
            <w:bCs/>
            <w:i/>
            <w:iCs/>
            <w:szCs w:val="16"/>
          </w:rPr>
          <w:t xml:space="preserve">Graphique </w:t>
        </w:r>
        <w:r>
          <w:t xml:space="preserve">2 </w:t>
        </w:r>
        <w:r>
          <w:rPr>
            <w:bCs/>
            <w:i/>
            <w:iCs/>
            <w:szCs w:val="16"/>
          </w:rPr>
          <w:t>:  Répartition du nombre de QCPR par projet et par priorité stratégique</w:t>
        </w:r>
        <w:r>
          <w:tab/>
        </w:r>
        <w:r>
          <w:fldChar w:fldCharType="begin"/>
        </w:r>
        <w:r>
          <w:instrText xml:space="preserve"> PAGEREF _Toc31014 \h </w:instrText>
        </w:r>
        <w:r>
          <w:fldChar w:fldCharType="separate"/>
        </w:r>
        <w:r>
          <w:t>32</w:t>
        </w:r>
        <w:r>
          <w:fldChar w:fldCharType="end"/>
        </w:r>
      </w:hyperlink>
    </w:p>
    <w:p w14:paraId="4337F70F" w14:textId="77777777" w:rsidR="00EA6DED" w:rsidRDefault="007504AE">
      <w:pPr>
        <w:pStyle w:val="Tabledesillustrations"/>
        <w:tabs>
          <w:tab w:val="right" w:leader="dot" w:pos="10603"/>
        </w:tabs>
      </w:pPr>
      <w:hyperlink w:anchor="_Toc10257" w:history="1">
        <w:r>
          <w:rPr>
            <w:bCs/>
            <w:i/>
            <w:iCs/>
          </w:rPr>
          <w:t xml:space="preserve">Graphique </w:t>
        </w:r>
        <w:r>
          <w:t xml:space="preserve">3 </w:t>
        </w:r>
        <w:r>
          <w:rPr>
            <w:bCs/>
            <w:i/>
            <w:iCs/>
          </w:rPr>
          <w:t>: Ventilation des budgets mobilisées et dépensés par Effet et par année</w:t>
        </w:r>
        <w:r>
          <w:tab/>
        </w:r>
        <w:r>
          <w:fldChar w:fldCharType="begin"/>
        </w:r>
        <w:r>
          <w:instrText xml:space="preserve"> PAGEREF _Toc10257 \h </w:instrText>
        </w:r>
        <w:r>
          <w:fldChar w:fldCharType="separate"/>
        </w:r>
        <w:r>
          <w:t>59</w:t>
        </w:r>
        <w:r>
          <w:fldChar w:fldCharType="end"/>
        </w:r>
      </w:hyperlink>
    </w:p>
    <w:p w14:paraId="4337F710" w14:textId="77777777" w:rsidR="00EA6DED" w:rsidRDefault="007504AE">
      <w:pPr>
        <w:spacing w:line="249" w:lineRule="auto"/>
        <w:ind w:right="1108"/>
        <w:jc w:val="both"/>
        <w:rPr>
          <w:rFonts w:eastAsia="Arial"/>
          <w:b/>
          <w:color w:val="0000CC"/>
          <w:sz w:val="28"/>
          <w:szCs w:val="28"/>
        </w:rPr>
      </w:pPr>
      <w:r>
        <w:rPr>
          <w:rFonts w:eastAsia="Arial"/>
          <w:color w:val="0000CC"/>
          <w:szCs w:val="28"/>
        </w:rPr>
        <w:fldChar w:fldCharType="end"/>
      </w:r>
    </w:p>
    <w:p w14:paraId="4337F711" w14:textId="77777777" w:rsidR="00EA6DED" w:rsidRDefault="007504AE">
      <w:pPr>
        <w:spacing w:line="249" w:lineRule="auto"/>
        <w:ind w:right="1108"/>
        <w:jc w:val="both"/>
        <w:rPr>
          <w:rFonts w:eastAsia="Arial"/>
          <w:b/>
          <w:color w:val="0000CC"/>
          <w:sz w:val="28"/>
          <w:szCs w:val="28"/>
        </w:rPr>
      </w:pPr>
      <w:r>
        <w:rPr>
          <w:rFonts w:eastAsia="Arial"/>
          <w:b/>
          <w:color w:val="0000CC"/>
          <w:sz w:val="28"/>
          <w:szCs w:val="28"/>
        </w:rPr>
        <w:t xml:space="preserve">Liste des Figures </w:t>
      </w:r>
    </w:p>
    <w:p w14:paraId="4337F712" w14:textId="77777777" w:rsidR="00EA6DED" w:rsidRDefault="007504AE">
      <w:pPr>
        <w:pStyle w:val="Tabledesillustrations"/>
        <w:tabs>
          <w:tab w:val="right" w:leader="dot" w:pos="10603"/>
        </w:tabs>
      </w:pPr>
      <w:r>
        <w:fldChar w:fldCharType="begin"/>
      </w:r>
      <w:r>
        <w:instrText>TOC \h \c "Figure"</w:instrText>
      </w:r>
      <w:r>
        <w:fldChar w:fldCharType="separate"/>
      </w:r>
      <w:hyperlink w:anchor="_Toc384" w:history="1">
        <w:r>
          <w:t xml:space="preserve">Figure 1 :  Carte géographique des zones/régions cibles </w:t>
        </w:r>
        <w:r>
          <w:tab/>
        </w:r>
        <w:r>
          <w:fldChar w:fldCharType="begin"/>
        </w:r>
        <w:r>
          <w:instrText xml:space="preserve"> PAGEREF _Toc384 \h </w:instrText>
        </w:r>
        <w:r>
          <w:fldChar w:fldCharType="separate"/>
        </w:r>
        <w:r>
          <w:t>1</w:t>
        </w:r>
        <w:r>
          <w:fldChar w:fldCharType="end"/>
        </w:r>
      </w:hyperlink>
    </w:p>
    <w:p w14:paraId="4337F713" w14:textId="77777777" w:rsidR="00EA6DED" w:rsidRDefault="007504AE">
      <w:pPr>
        <w:pStyle w:val="Tabledesillustrations"/>
        <w:tabs>
          <w:tab w:val="right" w:leader="dot" w:pos="10603"/>
        </w:tabs>
      </w:pPr>
      <w:hyperlink w:anchor="_Toc29175" w:history="1">
        <w:r>
          <w:rPr>
            <w:bCs/>
            <w:i/>
            <w:iCs/>
          </w:rPr>
          <w:t xml:space="preserve">Figure </w:t>
        </w:r>
        <w:r>
          <w:t xml:space="preserve">2 </w:t>
        </w:r>
        <w:r>
          <w:rPr>
            <w:bCs/>
            <w:i/>
            <w:iCs/>
          </w:rPr>
          <w:t>:  État des ODDs de la République du Cameroun en 2025</w:t>
        </w:r>
        <w:r>
          <w:rPr>
            <w:rFonts w:eastAsia="Arial"/>
            <w:szCs w:val="22"/>
          </w:rPr>
          <w:t xml:space="preserve">     </w:t>
        </w:r>
        <w:r>
          <w:tab/>
        </w:r>
        <w:r>
          <w:fldChar w:fldCharType="begin"/>
        </w:r>
        <w:r>
          <w:instrText xml:space="preserve"> PAGEREF _Toc29175 \h </w:instrText>
        </w:r>
        <w:r>
          <w:fldChar w:fldCharType="separate"/>
        </w:r>
        <w:r>
          <w:t>19</w:t>
        </w:r>
        <w:r>
          <w:fldChar w:fldCharType="end"/>
        </w:r>
      </w:hyperlink>
    </w:p>
    <w:p w14:paraId="4337F714" w14:textId="77777777" w:rsidR="00EA6DED" w:rsidRDefault="007504AE">
      <w:pPr>
        <w:pStyle w:val="Tabledesillustrations"/>
        <w:tabs>
          <w:tab w:val="right" w:leader="dot" w:pos="10603"/>
        </w:tabs>
      </w:pPr>
      <w:hyperlink w:anchor="_Toc10947" w:history="1">
        <w:r>
          <w:rPr>
            <w:szCs w:val="20"/>
          </w:rPr>
          <w:t xml:space="preserve">Figure </w:t>
        </w:r>
        <w:r>
          <w:t xml:space="preserve">3 </w:t>
        </w:r>
        <w:r>
          <w:rPr>
            <w:szCs w:val="20"/>
          </w:rPr>
          <w:t>: Cartographie des liens les priorités stratégiques du CC 2022 – 2026, les piliers de SND 30 et les OD</w:t>
        </w:r>
        <w:r>
          <w:rPr>
            <w:rFonts w:eastAsia="Arial"/>
            <w:szCs w:val="20"/>
          </w:rPr>
          <w:t>D.</w:t>
        </w:r>
        <w:r>
          <w:rPr>
            <w:szCs w:val="20"/>
            <w:lang w:eastAsia="en-US"/>
          </w:rPr>
          <w:t xml:space="preserve"> </w:t>
        </w:r>
        <w:r>
          <w:tab/>
        </w:r>
        <w:r>
          <w:fldChar w:fldCharType="begin"/>
        </w:r>
        <w:r>
          <w:instrText xml:space="preserve"> PAGEREF _Toc10947 \h </w:instrText>
        </w:r>
        <w:r>
          <w:fldChar w:fldCharType="separate"/>
        </w:r>
        <w:r>
          <w:t>20</w:t>
        </w:r>
        <w:r>
          <w:fldChar w:fldCharType="end"/>
        </w:r>
      </w:hyperlink>
    </w:p>
    <w:p w14:paraId="4337F715" w14:textId="77777777" w:rsidR="00EA6DED" w:rsidRDefault="007504AE">
      <w:pPr>
        <w:pStyle w:val="Tabledesillustrations"/>
        <w:tabs>
          <w:tab w:val="right" w:leader="dot" w:pos="10603"/>
        </w:tabs>
      </w:pPr>
      <w:hyperlink w:anchor="_Toc26568" w:history="1">
        <w:r>
          <w:rPr>
            <w:szCs w:val="20"/>
          </w:rPr>
          <w:t xml:space="preserve">Figure </w:t>
        </w:r>
        <w:r>
          <w:t xml:space="preserve">4 </w:t>
        </w:r>
        <w:r>
          <w:rPr>
            <w:szCs w:val="20"/>
          </w:rPr>
          <w:t>: Alignement avec les ODD</w:t>
        </w:r>
        <w:r>
          <w:tab/>
        </w:r>
        <w:r>
          <w:fldChar w:fldCharType="begin"/>
        </w:r>
        <w:r>
          <w:instrText xml:space="preserve"> PAGEREF _Toc26568 \h </w:instrText>
        </w:r>
        <w:r>
          <w:fldChar w:fldCharType="separate"/>
        </w:r>
        <w:r>
          <w:t>26</w:t>
        </w:r>
        <w:r>
          <w:fldChar w:fldCharType="end"/>
        </w:r>
      </w:hyperlink>
    </w:p>
    <w:p w14:paraId="4337F716" w14:textId="77777777" w:rsidR="00EA6DED" w:rsidRDefault="007504AE">
      <w:pPr>
        <w:pStyle w:val="Tabledesillustrations"/>
        <w:tabs>
          <w:tab w:val="right" w:leader="dot" w:pos="10603"/>
        </w:tabs>
      </w:pPr>
      <w:hyperlink w:anchor="_Toc12881" w:history="1">
        <w:r>
          <w:rPr>
            <w:szCs w:val="20"/>
          </w:rPr>
          <w:t xml:space="preserve">Figure </w:t>
        </w:r>
        <w:r>
          <w:t xml:space="preserve">5 </w:t>
        </w:r>
        <w:r>
          <w:rPr>
            <w:szCs w:val="20"/>
          </w:rPr>
          <w:t xml:space="preserve">: Mécanisme de gouvernance du cadre de coopération.  </w:t>
        </w:r>
        <w:r>
          <w:tab/>
        </w:r>
        <w:r>
          <w:fldChar w:fldCharType="begin"/>
        </w:r>
        <w:r>
          <w:instrText xml:space="preserve"> PAGEREF _Toc12881 \h </w:instrText>
        </w:r>
        <w:r>
          <w:fldChar w:fldCharType="separate"/>
        </w:r>
        <w:r>
          <w:t>33</w:t>
        </w:r>
        <w:r>
          <w:fldChar w:fldCharType="end"/>
        </w:r>
      </w:hyperlink>
    </w:p>
    <w:p w14:paraId="4337F717" w14:textId="77777777" w:rsidR="00EA6DED" w:rsidRDefault="007504AE">
      <w:pPr>
        <w:pStyle w:val="Tabledesillustrations"/>
        <w:tabs>
          <w:tab w:val="right" w:leader="dot" w:pos="10560"/>
        </w:tabs>
      </w:pPr>
      <w:r>
        <w:fldChar w:fldCharType="end"/>
      </w:r>
    </w:p>
    <w:p w14:paraId="4337F718" w14:textId="77777777" w:rsidR="00EA6DED" w:rsidRDefault="007504AE">
      <w:pPr>
        <w:spacing w:line="249" w:lineRule="auto"/>
        <w:ind w:right="1108"/>
        <w:jc w:val="both"/>
        <w:rPr>
          <w:rFonts w:eastAsia="Arial"/>
          <w:b/>
          <w:color w:val="0000CC"/>
          <w:sz w:val="28"/>
          <w:szCs w:val="28"/>
        </w:rPr>
      </w:pPr>
      <w:r>
        <w:rPr>
          <w:rFonts w:eastAsia="Arial"/>
          <w:b/>
          <w:color w:val="0000CC"/>
          <w:sz w:val="28"/>
          <w:szCs w:val="28"/>
        </w:rPr>
        <w:fldChar w:fldCharType="begin"/>
      </w:r>
      <w:r>
        <w:rPr>
          <w:rFonts w:eastAsia="Arial"/>
          <w:b/>
          <w:color w:val="0000CC"/>
          <w:sz w:val="28"/>
          <w:szCs w:val="28"/>
        </w:rPr>
        <w:instrText xml:space="preserve"> REF _Ref1346 \h </w:instrText>
      </w:r>
      <w:r>
        <w:rPr>
          <w:rFonts w:eastAsia="Arial"/>
          <w:b/>
          <w:color w:val="0000CC"/>
          <w:sz w:val="28"/>
          <w:szCs w:val="28"/>
        </w:rPr>
      </w:r>
      <w:r>
        <w:rPr>
          <w:rFonts w:eastAsia="Arial"/>
          <w:b/>
          <w:color w:val="0000CC"/>
          <w:sz w:val="28"/>
          <w:szCs w:val="28"/>
        </w:rPr>
        <w:fldChar w:fldCharType="end"/>
      </w:r>
      <w:r>
        <w:rPr>
          <w:rFonts w:eastAsia="Arial"/>
          <w:b/>
          <w:color w:val="0000CC"/>
          <w:sz w:val="28"/>
          <w:szCs w:val="28"/>
        </w:rPr>
        <w:fldChar w:fldCharType="begin"/>
      </w:r>
      <w:r>
        <w:rPr>
          <w:rFonts w:eastAsia="Arial"/>
          <w:b/>
          <w:color w:val="0000CC"/>
          <w:sz w:val="28"/>
          <w:szCs w:val="28"/>
        </w:rPr>
        <w:instrText xml:space="preserve"> REF _Ref1980 </w:instrText>
      </w:r>
      <w:r>
        <w:rPr>
          <w:rFonts w:eastAsia="Arial"/>
          <w:b/>
          <w:color w:val="0000CC"/>
          <w:sz w:val="28"/>
          <w:szCs w:val="28"/>
        </w:rPr>
        <w:fldChar w:fldCharType="end"/>
      </w:r>
    </w:p>
    <w:p w14:paraId="4337F719" w14:textId="77777777" w:rsidR="00EA6DED" w:rsidRDefault="007504AE">
      <w:pPr>
        <w:spacing w:line="249" w:lineRule="auto"/>
        <w:ind w:right="1108"/>
        <w:jc w:val="both"/>
        <w:rPr>
          <w:rFonts w:eastAsia="Arial"/>
          <w:b/>
          <w:color w:val="0000CC"/>
          <w:sz w:val="28"/>
          <w:szCs w:val="28"/>
        </w:rPr>
      </w:pPr>
      <w:r>
        <w:rPr>
          <w:rFonts w:eastAsia="Arial"/>
          <w:b/>
          <w:color w:val="0000CC"/>
          <w:sz w:val="28"/>
          <w:szCs w:val="28"/>
        </w:rPr>
        <w:t xml:space="preserve">Acronymes utiles et abréviations </w:t>
      </w:r>
    </w:p>
    <w:p w14:paraId="4337F71A" w14:textId="77777777" w:rsidR="00EA6DED" w:rsidRDefault="00EA6DED">
      <w:pPr>
        <w:spacing w:line="249" w:lineRule="auto"/>
        <w:ind w:right="1108"/>
        <w:jc w:val="both"/>
        <w:rPr>
          <w:rFonts w:eastAsia="Arial"/>
          <w:b/>
          <w:color w:val="0000CC"/>
          <w:sz w:val="28"/>
          <w:szCs w:val="28"/>
        </w:rPr>
      </w:pP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01"/>
        <w:gridCol w:w="8222"/>
      </w:tblGrid>
      <w:tr w:rsidR="00EA6DED" w14:paraId="4337F71D" w14:textId="77777777">
        <w:tc>
          <w:tcPr>
            <w:tcW w:w="1701" w:type="dxa"/>
          </w:tcPr>
          <w:p w14:paraId="4337F71B"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ABDH</w:t>
            </w:r>
          </w:p>
        </w:tc>
        <w:tc>
          <w:tcPr>
            <w:tcW w:w="8222" w:type="dxa"/>
          </w:tcPr>
          <w:p w14:paraId="4337F71C"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Approche Basée sur les Droits Humains</w:t>
            </w:r>
          </w:p>
        </w:tc>
      </w:tr>
      <w:tr w:rsidR="00EA6DED" w14:paraId="4337F720" w14:textId="77777777">
        <w:tc>
          <w:tcPr>
            <w:tcW w:w="1701" w:type="dxa"/>
          </w:tcPr>
          <w:p w14:paraId="4337F71E"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CC</w:t>
            </w:r>
          </w:p>
        </w:tc>
        <w:tc>
          <w:tcPr>
            <w:tcW w:w="8222" w:type="dxa"/>
          </w:tcPr>
          <w:p w14:paraId="4337F71F"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Plan-Cadre de Coopération pour le Développement Durable </w:t>
            </w:r>
          </w:p>
        </w:tc>
      </w:tr>
      <w:tr w:rsidR="00EA6DED" w14:paraId="4337F723" w14:textId="77777777">
        <w:tc>
          <w:tcPr>
            <w:tcW w:w="1701" w:type="dxa"/>
          </w:tcPr>
          <w:p w14:paraId="4337F721"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BOS</w:t>
            </w:r>
          </w:p>
        </w:tc>
        <w:tc>
          <w:tcPr>
            <w:tcW w:w="8222" w:type="dxa"/>
          </w:tcPr>
          <w:p w14:paraId="4337F722"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Business Operations Strategy</w:t>
            </w:r>
          </w:p>
        </w:tc>
      </w:tr>
      <w:tr w:rsidR="00EA6DED" w14:paraId="4337F726" w14:textId="77777777">
        <w:tc>
          <w:tcPr>
            <w:tcW w:w="1701" w:type="dxa"/>
          </w:tcPr>
          <w:p w14:paraId="4337F724"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CAFI</w:t>
            </w:r>
          </w:p>
        </w:tc>
        <w:tc>
          <w:tcPr>
            <w:tcW w:w="8222" w:type="dxa"/>
          </w:tcPr>
          <w:p w14:paraId="4337F725"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Central Africa Forest Initiative</w:t>
            </w:r>
          </w:p>
        </w:tc>
      </w:tr>
      <w:tr w:rsidR="00EA6DED" w14:paraId="4337F729" w14:textId="77777777">
        <w:tc>
          <w:tcPr>
            <w:tcW w:w="1701" w:type="dxa"/>
          </w:tcPr>
          <w:p w14:paraId="4337F727"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CC</w:t>
            </w:r>
          </w:p>
        </w:tc>
        <w:tc>
          <w:tcPr>
            <w:tcW w:w="8222" w:type="dxa"/>
          </w:tcPr>
          <w:p w14:paraId="4337F728"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Durable /Cooperation Framework/ Plan-Cadre des Nations Unies pour le Développement</w:t>
            </w:r>
          </w:p>
        </w:tc>
      </w:tr>
      <w:tr w:rsidR="00EA6DED" w14:paraId="4337F72C" w14:textId="77777777">
        <w:trPr>
          <w:trHeight w:val="54"/>
        </w:trPr>
        <w:tc>
          <w:tcPr>
            <w:tcW w:w="1701" w:type="dxa"/>
          </w:tcPr>
          <w:p w14:paraId="4337F72A"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CEMAC</w:t>
            </w:r>
          </w:p>
        </w:tc>
        <w:tc>
          <w:tcPr>
            <w:tcW w:w="8222" w:type="dxa"/>
          </w:tcPr>
          <w:p w14:paraId="4337F72B"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Communauté Economique Monétaire de l’Afrique Centrale</w:t>
            </w:r>
          </w:p>
        </w:tc>
      </w:tr>
      <w:tr w:rsidR="00EA6DED" w14:paraId="4337F72F" w14:textId="77777777">
        <w:tc>
          <w:tcPr>
            <w:tcW w:w="1701" w:type="dxa"/>
          </w:tcPr>
          <w:p w14:paraId="4337F72D"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EDS/MICS</w:t>
            </w:r>
          </w:p>
        </w:tc>
        <w:tc>
          <w:tcPr>
            <w:tcW w:w="8222" w:type="dxa"/>
          </w:tcPr>
          <w:p w14:paraId="4337F72E"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Enquête Démographique et de Santé à Indicateurs Multiples </w:t>
            </w:r>
          </w:p>
        </w:tc>
      </w:tr>
      <w:tr w:rsidR="00EA6DED" w14:paraId="4337F732" w14:textId="77777777">
        <w:tc>
          <w:tcPr>
            <w:tcW w:w="1701" w:type="dxa"/>
          </w:tcPr>
          <w:p w14:paraId="4337F730"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FAO</w:t>
            </w:r>
          </w:p>
        </w:tc>
        <w:tc>
          <w:tcPr>
            <w:tcW w:w="8222" w:type="dxa"/>
          </w:tcPr>
          <w:p w14:paraId="4337F731"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Organisation des Nations Unies pour l’Alimentation et l’Agriculture</w:t>
            </w:r>
          </w:p>
        </w:tc>
      </w:tr>
      <w:tr w:rsidR="00EA6DED" w14:paraId="4337F735" w14:textId="77777777">
        <w:tc>
          <w:tcPr>
            <w:tcW w:w="1701" w:type="dxa"/>
          </w:tcPr>
          <w:p w14:paraId="4337F733"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FVC</w:t>
            </w:r>
          </w:p>
        </w:tc>
        <w:tc>
          <w:tcPr>
            <w:tcW w:w="8222" w:type="dxa"/>
          </w:tcPr>
          <w:p w14:paraId="4337F734"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Fonds Vert pour le Climat</w:t>
            </w:r>
          </w:p>
        </w:tc>
      </w:tr>
      <w:tr w:rsidR="00EA6DED" w14:paraId="4337F738" w14:textId="77777777">
        <w:tc>
          <w:tcPr>
            <w:tcW w:w="1701" w:type="dxa"/>
          </w:tcPr>
          <w:p w14:paraId="4337F736"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FMI</w:t>
            </w:r>
          </w:p>
        </w:tc>
        <w:tc>
          <w:tcPr>
            <w:tcW w:w="8222" w:type="dxa"/>
          </w:tcPr>
          <w:p w14:paraId="4337F737"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Fonds Monétaire International</w:t>
            </w:r>
          </w:p>
        </w:tc>
      </w:tr>
      <w:tr w:rsidR="00EA6DED" w14:paraId="4337F73B" w14:textId="77777777">
        <w:tc>
          <w:tcPr>
            <w:tcW w:w="1701" w:type="dxa"/>
          </w:tcPr>
          <w:p w14:paraId="4337F739"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GAR</w:t>
            </w:r>
          </w:p>
        </w:tc>
        <w:tc>
          <w:tcPr>
            <w:tcW w:w="8222" w:type="dxa"/>
          </w:tcPr>
          <w:p w14:paraId="4337F73A"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Gestion Axée sur les Résultats</w:t>
            </w:r>
          </w:p>
        </w:tc>
      </w:tr>
      <w:tr w:rsidR="00EA6DED" w14:paraId="4337F73E" w14:textId="77777777">
        <w:tc>
          <w:tcPr>
            <w:tcW w:w="1701" w:type="dxa"/>
          </w:tcPr>
          <w:p w14:paraId="4337F73C"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GHI</w:t>
            </w:r>
          </w:p>
        </w:tc>
        <w:tc>
          <w:tcPr>
            <w:tcW w:w="8222" w:type="dxa"/>
          </w:tcPr>
          <w:p w14:paraId="4337F73D"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Global Hunger Index</w:t>
            </w:r>
          </w:p>
        </w:tc>
      </w:tr>
      <w:tr w:rsidR="00EA6DED" w14:paraId="4337F741" w14:textId="77777777">
        <w:tc>
          <w:tcPr>
            <w:tcW w:w="1701" w:type="dxa"/>
          </w:tcPr>
          <w:p w14:paraId="4337F73F"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GNUD</w:t>
            </w:r>
          </w:p>
        </w:tc>
        <w:tc>
          <w:tcPr>
            <w:tcW w:w="8222" w:type="dxa"/>
          </w:tcPr>
          <w:p w14:paraId="4337F740"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Groupe des nations Unies pour le Développement durable</w:t>
            </w:r>
          </w:p>
        </w:tc>
      </w:tr>
      <w:tr w:rsidR="00EA6DED" w14:paraId="4337F744" w14:textId="77777777">
        <w:tc>
          <w:tcPr>
            <w:tcW w:w="1701" w:type="dxa"/>
          </w:tcPr>
          <w:p w14:paraId="4337F742"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GTSE</w:t>
            </w:r>
          </w:p>
        </w:tc>
        <w:tc>
          <w:tcPr>
            <w:tcW w:w="8222" w:type="dxa"/>
          </w:tcPr>
          <w:p w14:paraId="4337F743"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Groupe Technique de Suivi Évaluation</w:t>
            </w:r>
          </w:p>
        </w:tc>
      </w:tr>
      <w:tr w:rsidR="00EA6DED" w14:paraId="4337F747" w14:textId="77777777">
        <w:tc>
          <w:tcPr>
            <w:tcW w:w="1701" w:type="dxa"/>
          </w:tcPr>
          <w:p w14:paraId="4337F745"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HACT</w:t>
            </w:r>
          </w:p>
        </w:tc>
        <w:tc>
          <w:tcPr>
            <w:tcW w:w="8222" w:type="dxa"/>
          </w:tcPr>
          <w:p w14:paraId="4337F746"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Approche Harmonisée de Transfert de Fonds aux partenaires d’exécution (HACT)</w:t>
            </w:r>
          </w:p>
        </w:tc>
      </w:tr>
      <w:tr w:rsidR="00EA6DED" w14:paraId="4337F74A" w14:textId="77777777">
        <w:tc>
          <w:tcPr>
            <w:tcW w:w="1701" w:type="dxa"/>
          </w:tcPr>
          <w:p w14:paraId="4337F748"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IDH</w:t>
            </w:r>
          </w:p>
        </w:tc>
        <w:tc>
          <w:tcPr>
            <w:tcW w:w="8222" w:type="dxa"/>
          </w:tcPr>
          <w:p w14:paraId="4337F749"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Indice de Développement Humain</w:t>
            </w:r>
          </w:p>
        </w:tc>
      </w:tr>
      <w:tr w:rsidR="00EA6DED" w14:paraId="4337F74D" w14:textId="77777777">
        <w:tc>
          <w:tcPr>
            <w:tcW w:w="1701" w:type="dxa"/>
          </w:tcPr>
          <w:p w14:paraId="4337F74B"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IRC</w:t>
            </w:r>
          </w:p>
        </w:tc>
        <w:tc>
          <w:tcPr>
            <w:tcW w:w="8222" w:type="dxa"/>
          </w:tcPr>
          <w:p w14:paraId="4337F74C"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International Rescue Committee</w:t>
            </w:r>
          </w:p>
        </w:tc>
      </w:tr>
      <w:tr w:rsidR="00EA6DED" w14:paraId="4337F750" w14:textId="77777777">
        <w:tc>
          <w:tcPr>
            <w:tcW w:w="1701" w:type="dxa"/>
          </w:tcPr>
          <w:p w14:paraId="4337F74E"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OCDE</w:t>
            </w:r>
          </w:p>
        </w:tc>
        <w:tc>
          <w:tcPr>
            <w:tcW w:w="8222" w:type="dxa"/>
          </w:tcPr>
          <w:p w14:paraId="4337F74F"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Organisation de Coopération et de Développement Économiques</w:t>
            </w:r>
          </w:p>
        </w:tc>
      </w:tr>
      <w:tr w:rsidR="00EA6DED" w14:paraId="4337F753" w14:textId="77777777">
        <w:tc>
          <w:tcPr>
            <w:tcW w:w="1701" w:type="dxa"/>
          </w:tcPr>
          <w:p w14:paraId="4337F751"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OCHA</w:t>
            </w:r>
          </w:p>
        </w:tc>
        <w:tc>
          <w:tcPr>
            <w:tcW w:w="8222" w:type="dxa"/>
          </w:tcPr>
          <w:p w14:paraId="4337F752"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Bureau de Coordination des Affaires Humanitaires</w:t>
            </w:r>
          </w:p>
        </w:tc>
      </w:tr>
      <w:tr w:rsidR="00EA6DED" w14:paraId="4337F756" w14:textId="77777777">
        <w:tc>
          <w:tcPr>
            <w:tcW w:w="1701" w:type="dxa"/>
          </w:tcPr>
          <w:p w14:paraId="4337F754"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ODD</w:t>
            </w:r>
          </w:p>
        </w:tc>
        <w:tc>
          <w:tcPr>
            <w:tcW w:w="8222" w:type="dxa"/>
          </w:tcPr>
          <w:p w14:paraId="4337F755"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Objectifs de Développement Durable </w:t>
            </w:r>
          </w:p>
        </w:tc>
      </w:tr>
      <w:tr w:rsidR="00EA6DED" w14:paraId="4337F759" w14:textId="77777777">
        <w:tc>
          <w:tcPr>
            <w:tcW w:w="1701" w:type="dxa"/>
          </w:tcPr>
          <w:p w14:paraId="4337F757"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OIM</w:t>
            </w:r>
          </w:p>
        </w:tc>
        <w:tc>
          <w:tcPr>
            <w:tcW w:w="8222" w:type="dxa"/>
          </w:tcPr>
          <w:p w14:paraId="4337F758"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Organisation Internationale pour les Migrations </w:t>
            </w:r>
          </w:p>
        </w:tc>
      </w:tr>
      <w:tr w:rsidR="00EA6DED" w14:paraId="4337F75C" w14:textId="77777777">
        <w:tc>
          <w:tcPr>
            <w:tcW w:w="1701" w:type="dxa"/>
          </w:tcPr>
          <w:p w14:paraId="4337F75A"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OIT</w:t>
            </w:r>
          </w:p>
        </w:tc>
        <w:tc>
          <w:tcPr>
            <w:tcW w:w="8222" w:type="dxa"/>
          </w:tcPr>
          <w:p w14:paraId="4337F75B"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Organisation Internationale du Travail</w:t>
            </w:r>
          </w:p>
        </w:tc>
      </w:tr>
      <w:tr w:rsidR="00EA6DED" w14:paraId="4337F75F" w14:textId="77777777">
        <w:tc>
          <w:tcPr>
            <w:tcW w:w="1701" w:type="dxa"/>
          </w:tcPr>
          <w:p w14:paraId="4337F75D"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OMS</w:t>
            </w:r>
          </w:p>
        </w:tc>
        <w:tc>
          <w:tcPr>
            <w:tcW w:w="8222" w:type="dxa"/>
          </w:tcPr>
          <w:p w14:paraId="4337F75E"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Organisation Mondiale de la Santé </w:t>
            </w:r>
          </w:p>
        </w:tc>
      </w:tr>
      <w:tr w:rsidR="00EA6DED" w14:paraId="4337F762" w14:textId="77777777">
        <w:tc>
          <w:tcPr>
            <w:tcW w:w="1701" w:type="dxa"/>
          </w:tcPr>
          <w:p w14:paraId="4337F760" w14:textId="77777777" w:rsidR="00EA6DED" w:rsidRDefault="007504AE">
            <w:pPr>
              <w:spacing w:line="249" w:lineRule="auto"/>
              <w:jc w:val="both"/>
              <w:rPr>
                <w:rFonts w:eastAsia="AppleMyungjo"/>
                <w:color w:val="231F1F"/>
                <w:sz w:val="20"/>
                <w:szCs w:val="20"/>
              </w:rPr>
            </w:pPr>
            <w:r>
              <w:rPr>
                <w:rFonts w:eastAsia="AppleMyungjo"/>
                <w:color w:val="231F1F"/>
                <w:sz w:val="20"/>
                <w:szCs w:val="20"/>
              </w:rPr>
              <w:lastRenderedPageBreak/>
              <w:t>ONU FEMMES</w:t>
            </w:r>
          </w:p>
        </w:tc>
        <w:tc>
          <w:tcPr>
            <w:tcW w:w="8222" w:type="dxa"/>
          </w:tcPr>
          <w:p w14:paraId="4337F761" w14:textId="77777777" w:rsidR="00EA6DED" w:rsidRDefault="007504AE">
            <w:pPr>
              <w:contextualSpacing/>
              <w:rPr>
                <w:rFonts w:eastAsia="AppleMyungjo"/>
                <w:color w:val="231F1F"/>
                <w:sz w:val="20"/>
                <w:szCs w:val="20"/>
              </w:rPr>
            </w:pPr>
            <w:r>
              <w:rPr>
                <w:rFonts w:eastAsia="AppleMyungjo"/>
                <w:color w:val="231F1F"/>
                <w:sz w:val="20"/>
                <w:szCs w:val="20"/>
              </w:rPr>
              <w:t>Entité des Nations Unies pour l’égalité des sexes et l’autonomisation des femmes</w:t>
            </w:r>
          </w:p>
        </w:tc>
      </w:tr>
      <w:tr w:rsidR="00EA6DED" w14:paraId="4337F765" w14:textId="77777777">
        <w:tc>
          <w:tcPr>
            <w:tcW w:w="1701" w:type="dxa"/>
          </w:tcPr>
          <w:p w14:paraId="4337F763"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ONU-Habitat</w:t>
            </w:r>
          </w:p>
        </w:tc>
        <w:tc>
          <w:tcPr>
            <w:tcW w:w="8222" w:type="dxa"/>
          </w:tcPr>
          <w:p w14:paraId="4337F764"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Programme des Nations Unies pour les Établissements Humains </w:t>
            </w:r>
          </w:p>
        </w:tc>
      </w:tr>
      <w:tr w:rsidR="00EA6DED" w14:paraId="4337F768" w14:textId="77777777">
        <w:tc>
          <w:tcPr>
            <w:tcW w:w="1701" w:type="dxa"/>
          </w:tcPr>
          <w:p w14:paraId="4337F766"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ONUDI</w:t>
            </w:r>
          </w:p>
        </w:tc>
        <w:tc>
          <w:tcPr>
            <w:tcW w:w="8222" w:type="dxa"/>
          </w:tcPr>
          <w:p w14:paraId="4337F767"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Organisation des Nations Unies pour le Développement Industriel </w:t>
            </w:r>
          </w:p>
        </w:tc>
      </w:tr>
      <w:tr w:rsidR="00EA6DED" w14:paraId="4337F76B" w14:textId="77777777">
        <w:tc>
          <w:tcPr>
            <w:tcW w:w="1701" w:type="dxa"/>
          </w:tcPr>
          <w:p w14:paraId="4337F769"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ONUSIDA</w:t>
            </w:r>
          </w:p>
        </w:tc>
        <w:tc>
          <w:tcPr>
            <w:tcW w:w="8222" w:type="dxa"/>
          </w:tcPr>
          <w:p w14:paraId="4337F76A"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Programme Commun des Nations Unies sur le VIH/SIDA </w:t>
            </w:r>
          </w:p>
        </w:tc>
      </w:tr>
      <w:tr w:rsidR="00EA6DED" w14:paraId="4337F76E" w14:textId="77777777">
        <w:tc>
          <w:tcPr>
            <w:tcW w:w="1701" w:type="dxa"/>
          </w:tcPr>
          <w:p w14:paraId="4337F76C"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OSC</w:t>
            </w:r>
          </w:p>
        </w:tc>
        <w:tc>
          <w:tcPr>
            <w:tcW w:w="8222" w:type="dxa"/>
          </w:tcPr>
          <w:p w14:paraId="4337F76D"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Organisations de la Société́ Civile</w:t>
            </w:r>
          </w:p>
        </w:tc>
      </w:tr>
      <w:tr w:rsidR="00EA6DED" w14:paraId="4337F771" w14:textId="77777777">
        <w:tc>
          <w:tcPr>
            <w:tcW w:w="1701" w:type="dxa"/>
          </w:tcPr>
          <w:p w14:paraId="4337F76F"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PAM</w:t>
            </w:r>
          </w:p>
        </w:tc>
        <w:tc>
          <w:tcPr>
            <w:tcW w:w="8222" w:type="dxa"/>
          </w:tcPr>
          <w:p w14:paraId="4337F770"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Programme Alimentaire Mondial</w:t>
            </w:r>
          </w:p>
        </w:tc>
      </w:tr>
      <w:tr w:rsidR="00EA6DED" w14:paraId="4337F774" w14:textId="77777777">
        <w:tc>
          <w:tcPr>
            <w:tcW w:w="1701" w:type="dxa"/>
          </w:tcPr>
          <w:p w14:paraId="4337F772"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PIB</w:t>
            </w:r>
          </w:p>
        </w:tc>
        <w:tc>
          <w:tcPr>
            <w:tcW w:w="8222" w:type="dxa"/>
          </w:tcPr>
          <w:p w14:paraId="4337F773"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Produit Intérieur Brut</w:t>
            </w:r>
          </w:p>
        </w:tc>
      </w:tr>
      <w:tr w:rsidR="00EA6DED" w14:paraId="4337F777" w14:textId="77777777">
        <w:tc>
          <w:tcPr>
            <w:tcW w:w="1701" w:type="dxa"/>
          </w:tcPr>
          <w:p w14:paraId="4337F775"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PNA</w:t>
            </w:r>
          </w:p>
        </w:tc>
        <w:tc>
          <w:tcPr>
            <w:tcW w:w="8222" w:type="dxa"/>
          </w:tcPr>
          <w:p w14:paraId="4337F776"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Plan national d’Adaptation</w:t>
            </w:r>
          </w:p>
        </w:tc>
      </w:tr>
      <w:tr w:rsidR="00EA6DED" w14:paraId="4337F77A" w14:textId="77777777">
        <w:tc>
          <w:tcPr>
            <w:tcW w:w="1701" w:type="dxa"/>
          </w:tcPr>
          <w:p w14:paraId="4337F778"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PNUD</w:t>
            </w:r>
          </w:p>
        </w:tc>
        <w:tc>
          <w:tcPr>
            <w:tcW w:w="8222" w:type="dxa"/>
          </w:tcPr>
          <w:p w14:paraId="4337F779"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Programme des Nations Unies pour le Développement </w:t>
            </w:r>
          </w:p>
        </w:tc>
      </w:tr>
      <w:tr w:rsidR="00EA6DED" w14:paraId="4337F77D" w14:textId="77777777">
        <w:tc>
          <w:tcPr>
            <w:tcW w:w="1701" w:type="dxa"/>
          </w:tcPr>
          <w:p w14:paraId="4337F77B"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PPRD</w:t>
            </w:r>
          </w:p>
        </w:tc>
        <w:tc>
          <w:tcPr>
            <w:tcW w:w="8222" w:type="dxa"/>
          </w:tcPr>
          <w:p w14:paraId="4337F77C"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Plan Présidentiel pour le Reconstruction et le Développement</w:t>
            </w:r>
          </w:p>
        </w:tc>
      </w:tr>
      <w:tr w:rsidR="00EA6DED" w14:paraId="4337F780" w14:textId="77777777">
        <w:tc>
          <w:tcPr>
            <w:tcW w:w="1701" w:type="dxa"/>
          </w:tcPr>
          <w:p w14:paraId="4337F77E"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PNUE</w:t>
            </w:r>
          </w:p>
        </w:tc>
        <w:tc>
          <w:tcPr>
            <w:tcW w:w="8222" w:type="dxa"/>
          </w:tcPr>
          <w:p w14:paraId="4337F77F"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Programme des Nations Unies pour l’Environnement </w:t>
            </w:r>
          </w:p>
        </w:tc>
      </w:tr>
      <w:tr w:rsidR="00EA6DED" w14:paraId="4337F783" w14:textId="77777777">
        <w:tc>
          <w:tcPr>
            <w:tcW w:w="1701" w:type="dxa"/>
          </w:tcPr>
          <w:p w14:paraId="4337F781"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PTF</w:t>
            </w:r>
          </w:p>
        </w:tc>
        <w:tc>
          <w:tcPr>
            <w:tcW w:w="8222" w:type="dxa"/>
          </w:tcPr>
          <w:p w14:paraId="4337F782"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Partenaires Techniques et Financiers </w:t>
            </w:r>
          </w:p>
        </w:tc>
      </w:tr>
      <w:tr w:rsidR="00EA6DED" w14:paraId="4337F786" w14:textId="77777777">
        <w:tc>
          <w:tcPr>
            <w:tcW w:w="1701" w:type="dxa"/>
          </w:tcPr>
          <w:p w14:paraId="4337F784"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PTME</w:t>
            </w:r>
          </w:p>
        </w:tc>
        <w:tc>
          <w:tcPr>
            <w:tcW w:w="8222" w:type="dxa"/>
          </w:tcPr>
          <w:p w14:paraId="4337F785"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Protection contre la Transmission Mère Enfant </w:t>
            </w:r>
          </w:p>
        </w:tc>
      </w:tr>
      <w:tr w:rsidR="00EA6DED" w14:paraId="4337F789" w14:textId="77777777">
        <w:tc>
          <w:tcPr>
            <w:tcW w:w="1701" w:type="dxa"/>
          </w:tcPr>
          <w:p w14:paraId="4337F787"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QCPR</w:t>
            </w:r>
          </w:p>
        </w:tc>
        <w:tc>
          <w:tcPr>
            <w:tcW w:w="8222" w:type="dxa"/>
          </w:tcPr>
          <w:p w14:paraId="4337F788"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Quadrennial Comprehensive Policy Review</w:t>
            </w:r>
          </w:p>
        </w:tc>
      </w:tr>
      <w:tr w:rsidR="00EA6DED" w14:paraId="4337F78C" w14:textId="77777777">
        <w:tc>
          <w:tcPr>
            <w:tcW w:w="1701" w:type="dxa"/>
          </w:tcPr>
          <w:p w14:paraId="4337F78A"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RNDH</w:t>
            </w:r>
          </w:p>
        </w:tc>
        <w:tc>
          <w:tcPr>
            <w:tcW w:w="8222" w:type="dxa"/>
          </w:tcPr>
          <w:p w14:paraId="4337F78B"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Rapport National sur le Développement Humain </w:t>
            </w:r>
          </w:p>
        </w:tc>
      </w:tr>
      <w:tr w:rsidR="00EA6DED" w14:paraId="4337F78F" w14:textId="77777777">
        <w:tc>
          <w:tcPr>
            <w:tcW w:w="1701" w:type="dxa"/>
          </w:tcPr>
          <w:p w14:paraId="4337F78D"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SNDD</w:t>
            </w:r>
          </w:p>
        </w:tc>
        <w:tc>
          <w:tcPr>
            <w:tcW w:w="8222" w:type="dxa"/>
          </w:tcPr>
          <w:p w14:paraId="4337F78E"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Stratégie Nationale de Développement Durable</w:t>
            </w:r>
          </w:p>
        </w:tc>
      </w:tr>
      <w:tr w:rsidR="00EA6DED" w14:paraId="4337F792" w14:textId="77777777">
        <w:trPr>
          <w:trHeight w:val="71"/>
        </w:trPr>
        <w:tc>
          <w:tcPr>
            <w:tcW w:w="1701" w:type="dxa"/>
          </w:tcPr>
          <w:p w14:paraId="4337F790"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SNU</w:t>
            </w:r>
          </w:p>
        </w:tc>
        <w:tc>
          <w:tcPr>
            <w:tcW w:w="8222" w:type="dxa"/>
          </w:tcPr>
          <w:p w14:paraId="4337F791"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Système des Nations Unies</w:t>
            </w:r>
          </w:p>
        </w:tc>
      </w:tr>
      <w:tr w:rsidR="00EA6DED" w14:paraId="4337F795" w14:textId="77777777">
        <w:tc>
          <w:tcPr>
            <w:tcW w:w="1701" w:type="dxa"/>
          </w:tcPr>
          <w:p w14:paraId="4337F793"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SR</w:t>
            </w:r>
          </w:p>
        </w:tc>
        <w:tc>
          <w:tcPr>
            <w:tcW w:w="8222" w:type="dxa"/>
          </w:tcPr>
          <w:p w14:paraId="4337F794"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Santé de la Reproduction</w:t>
            </w:r>
          </w:p>
        </w:tc>
      </w:tr>
      <w:tr w:rsidR="00EA6DED" w14:paraId="4337F798" w14:textId="77777777">
        <w:tc>
          <w:tcPr>
            <w:tcW w:w="1701" w:type="dxa"/>
          </w:tcPr>
          <w:p w14:paraId="4337F796"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ToC</w:t>
            </w:r>
          </w:p>
        </w:tc>
        <w:tc>
          <w:tcPr>
            <w:tcW w:w="8222" w:type="dxa"/>
          </w:tcPr>
          <w:p w14:paraId="4337F797"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Théorie of change</w:t>
            </w:r>
          </w:p>
        </w:tc>
      </w:tr>
      <w:tr w:rsidR="00EA6DED" w14:paraId="4337F79B" w14:textId="77777777">
        <w:tc>
          <w:tcPr>
            <w:tcW w:w="1701" w:type="dxa"/>
          </w:tcPr>
          <w:p w14:paraId="4337F799"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UA</w:t>
            </w:r>
          </w:p>
        </w:tc>
        <w:tc>
          <w:tcPr>
            <w:tcW w:w="8222" w:type="dxa"/>
          </w:tcPr>
          <w:p w14:paraId="4337F79A"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Union Africaine</w:t>
            </w:r>
          </w:p>
        </w:tc>
      </w:tr>
      <w:tr w:rsidR="00EA6DED" w14:paraId="4337F79E" w14:textId="77777777">
        <w:tc>
          <w:tcPr>
            <w:tcW w:w="1701" w:type="dxa"/>
          </w:tcPr>
          <w:p w14:paraId="4337F79C"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UNCT</w:t>
            </w:r>
          </w:p>
        </w:tc>
        <w:tc>
          <w:tcPr>
            <w:tcW w:w="8222" w:type="dxa"/>
          </w:tcPr>
          <w:p w14:paraId="4337F79D"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Equipe de pays des Nations-Unies</w:t>
            </w:r>
          </w:p>
        </w:tc>
      </w:tr>
      <w:tr w:rsidR="00EA6DED" w14:paraId="4337F7A1" w14:textId="77777777">
        <w:tc>
          <w:tcPr>
            <w:tcW w:w="1701" w:type="dxa"/>
          </w:tcPr>
          <w:p w14:paraId="4337F79F"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UNDAF</w:t>
            </w:r>
          </w:p>
        </w:tc>
        <w:tc>
          <w:tcPr>
            <w:tcW w:w="8222" w:type="dxa"/>
          </w:tcPr>
          <w:p w14:paraId="4337F7A0"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Plan Cadre des Nations Unies pour l’Assistance au Développement </w:t>
            </w:r>
          </w:p>
        </w:tc>
      </w:tr>
      <w:tr w:rsidR="00EA6DED" w14:paraId="4337F7A4" w14:textId="77777777">
        <w:tc>
          <w:tcPr>
            <w:tcW w:w="1701" w:type="dxa"/>
          </w:tcPr>
          <w:p w14:paraId="4337F7A2"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 xml:space="preserve">UNEG </w:t>
            </w:r>
          </w:p>
        </w:tc>
        <w:tc>
          <w:tcPr>
            <w:tcW w:w="8222" w:type="dxa"/>
          </w:tcPr>
          <w:p w14:paraId="4337F7A3"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Groupe des Nations-Unies pour l’Évaluation </w:t>
            </w:r>
          </w:p>
        </w:tc>
      </w:tr>
      <w:tr w:rsidR="00EA6DED" w14:paraId="4337F7A7" w14:textId="77777777">
        <w:tc>
          <w:tcPr>
            <w:tcW w:w="1701" w:type="dxa"/>
          </w:tcPr>
          <w:p w14:paraId="4337F7A5"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UNESCO</w:t>
            </w:r>
          </w:p>
        </w:tc>
        <w:tc>
          <w:tcPr>
            <w:tcW w:w="8222" w:type="dxa"/>
          </w:tcPr>
          <w:p w14:paraId="4337F7A6"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Organisation des Nations Unies pour l’Education, la Science et la Culture </w:t>
            </w:r>
          </w:p>
        </w:tc>
      </w:tr>
      <w:tr w:rsidR="00EA6DED" w14:paraId="4337F7AA" w14:textId="77777777">
        <w:tc>
          <w:tcPr>
            <w:tcW w:w="1701" w:type="dxa"/>
          </w:tcPr>
          <w:p w14:paraId="4337F7A8"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UNFPA</w:t>
            </w:r>
          </w:p>
        </w:tc>
        <w:tc>
          <w:tcPr>
            <w:tcW w:w="8222" w:type="dxa"/>
          </w:tcPr>
          <w:p w14:paraId="4337F7A9"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Fonds des Nations Unies pour la Population</w:t>
            </w:r>
          </w:p>
        </w:tc>
      </w:tr>
      <w:tr w:rsidR="00EA6DED" w14:paraId="4337F7AD" w14:textId="77777777">
        <w:tc>
          <w:tcPr>
            <w:tcW w:w="1701" w:type="dxa"/>
          </w:tcPr>
          <w:p w14:paraId="4337F7AB"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UNHCR</w:t>
            </w:r>
          </w:p>
        </w:tc>
        <w:tc>
          <w:tcPr>
            <w:tcW w:w="8222" w:type="dxa"/>
          </w:tcPr>
          <w:p w14:paraId="4337F7AC"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Haut-Commissariat des Nations Unies pour les Réfugiés</w:t>
            </w:r>
          </w:p>
        </w:tc>
      </w:tr>
      <w:tr w:rsidR="00EA6DED" w14:paraId="4337F7B0" w14:textId="77777777">
        <w:tc>
          <w:tcPr>
            <w:tcW w:w="1701" w:type="dxa"/>
          </w:tcPr>
          <w:p w14:paraId="4337F7AE"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UNICEF</w:t>
            </w:r>
          </w:p>
        </w:tc>
        <w:tc>
          <w:tcPr>
            <w:tcW w:w="8222" w:type="dxa"/>
          </w:tcPr>
          <w:p w14:paraId="4337F7AF"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Fonds des Nations Unies pour l’Enfance</w:t>
            </w:r>
          </w:p>
        </w:tc>
      </w:tr>
      <w:tr w:rsidR="00EA6DED" w14:paraId="4337F7B3" w14:textId="77777777">
        <w:tc>
          <w:tcPr>
            <w:tcW w:w="1701" w:type="dxa"/>
          </w:tcPr>
          <w:p w14:paraId="4337F7B1"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UNODC</w:t>
            </w:r>
          </w:p>
        </w:tc>
        <w:tc>
          <w:tcPr>
            <w:tcW w:w="8222" w:type="dxa"/>
          </w:tcPr>
          <w:p w14:paraId="4337F7B2"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Organisation des Nations Unies contre le Crime et la Drogue </w:t>
            </w:r>
          </w:p>
        </w:tc>
      </w:tr>
      <w:tr w:rsidR="00EA6DED" w14:paraId="4337F7B6" w14:textId="77777777">
        <w:tc>
          <w:tcPr>
            <w:tcW w:w="1701" w:type="dxa"/>
          </w:tcPr>
          <w:p w14:paraId="4337F7B4"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VBG</w:t>
            </w:r>
          </w:p>
        </w:tc>
        <w:tc>
          <w:tcPr>
            <w:tcW w:w="8222" w:type="dxa"/>
          </w:tcPr>
          <w:p w14:paraId="4337F7B5"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Violences basées sur le Genre</w:t>
            </w:r>
          </w:p>
        </w:tc>
      </w:tr>
      <w:tr w:rsidR="00EA6DED" w14:paraId="4337F7B9" w14:textId="77777777">
        <w:tc>
          <w:tcPr>
            <w:tcW w:w="1701" w:type="dxa"/>
          </w:tcPr>
          <w:p w14:paraId="4337F7B7"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VIH/sida</w:t>
            </w:r>
          </w:p>
        </w:tc>
        <w:tc>
          <w:tcPr>
            <w:tcW w:w="8222" w:type="dxa"/>
          </w:tcPr>
          <w:p w14:paraId="4337F7B8"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 xml:space="preserve">Virus d’Immunodéficience Humaine/syndrome d’immunodéficience acquise </w:t>
            </w:r>
          </w:p>
        </w:tc>
      </w:tr>
      <w:tr w:rsidR="00EA6DED" w14:paraId="4337F7BC" w14:textId="77777777">
        <w:tc>
          <w:tcPr>
            <w:tcW w:w="1701" w:type="dxa"/>
          </w:tcPr>
          <w:p w14:paraId="4337F7BA" w14:textId="77777777" w:rsidR="00EA6DED" w:rsidRDefault="007504AE">
            <w:pPr>
              <w:spacing w:line="249" w:lineRule="auto"/>
              <w:jc w:val="both"/>
              <w:rPr>
                <w:rFonts w:eastAsia="AppleMyungjo"/>
                <w:color w:val="231F1F"/>
                <w:sz w:val="20"/>
                <w:szCs w:val="20"/>
              </w:rPr>
            </w:pPr>
            <w:r>
              <w:rPr>
                <w:rFonts w:eastAsia="AppleMyungjo"/>
                <w:color w:val="231F1F"/>
                <w:sz w:val="20"/>
                <w:szCs w:val="20"/>
              </w:rPr>
              <w:t>WFP</w:t>
            </w:r>
          </w:p>
        </w:tc>
        <w:tc>
          <w:tcPr>
            <w:tcW w:w="8222" w:type="dxa"/>
          </w:tcPr>
          <w:p w14:paraId="4337F7BB" w14:textId="77777777" w:rsidR="00EA6DED" w:rsidRDefault="007504AE">
            <w:pPr>
              <w:spacing w:line="249" w:lineRule="auto"/>
              <w:ind w:left="32"/>
              <w:jc w:val="both"/>
              <w:rPr>
                <w:rFonts w:eastAsia="AppleMyungjo"/>
                <w:color w:val="231F1F"/>
                <w:sz w:val="20"/>
                <w:szCs w:val="20"/>
              </w:rPr>
            </w:pPr>
            <w:r>
              <w:rPr>
                <w:rFonts w:eastAsia="AppleMyungjo"/>
                <w:color w:val="231F1F"/>
                <w:sz w:val="20"/>
                <w:szCs w:val="20"/>
              </w:rPr>
              <w:t>World Food Programme</w:t>
            </w:r>
          </w:p>
        </w:tc>
      </w:tr>
    </w:tbl>
    <w:p w14:paraId="4337F7BD" w14:textId="77777777" w:rsidR="00EA6DED" w:rsidRDefault="007504AE">
      <w:pPr>
        <w:ind w:right="550"/>
        <w:rPr>
          <w:b/>
          <w:color w:val="000000"/>
          <w:szCs w:val="28"/>
        </w:rPr>
      </w:pPr>
      <w:r>
        <w:rPr>
          <w:b/>
          <w:color w:val="000000"/>
          <w:sz w:val="28"/>
          <w:szCs w:val="28"/>
        </w:rPr>
        <w:t xml:space="preserve">  </w:t>
      </w:r>
    </w:p>
    <w:p w14:paraId="4337F7BE" w14:textId="77777777" w:rsidR="00EA6DED" w:rsidRDefault="00EA6DED">
      <w:pPr>
        <w:ind w:right="550"/>
        <w:rPr>
          <w:b/>
          <w:color w:val="000000"/>
          <w:szCs w:val="28"/>
        </w:rPr>
      </w:pPr>
    </w:p>
    <w:p w14:paraId="4337F7BF" w14:textId="77777777" w:rsidR="00EA6DED" w:rsidRDefault="007504AE">
      <w:pPr>
        <w:rPr>
          <w:b/>
          <w:color w:val="000000"/>
          <w:sz w:val="28"/>
          <w:szCs w:val="28"/>
        </w:rPr>
      </w:pPr>
      <w:r>
        <w:rPr>
          <w:b/>
          <w:color w:val="000000"/>
          <w:sz w:val="28"/>
          <w:szCs w:val="28"/>
        </w:rPr>
        <w:br w:type="page"/>
      </w:r>
    </w:p>
    <w:p w14:paraId="4337F7C0" w14:textId="77777777" w:rsidR="00EA6DED" w:rsidRDefault="007504AE">
      <w:pPr>
        <w:pStyle w:val="Titre1"/>
        <w:shd w:val="clear" w:color="auto" w:fill="FFFFFF"/>
      </w:pPr>
      <w:bookmarkStart w:id="6" w:name="_Toc16517"/>
      <w:r>
        <w:lastRenderedPageBreak/>
        <w:t>Remerciements</w:t>
      </w:r>
      <w:bookmarkEnd w:id="6"/>
      <w:r>
        <w:t xml:space="preserve"> </w:t>
      </w:r>
    </w:p>
    <w:p w14:paraId="4337F7C1" w14:textId="77777777" w:rsidR="00EA6DED" w:rsidRDefault="007504AE">
      <w:pPr>
        <w:pStyle w:val="NormalWeb"/>
        <w:jc w:val="both"/>
      </w:pPr>
      <w:r>
        <w:t>L’équipe d’évaluation adresse ses sincères remerciements aux autorités des ministères et institutions nationales de la République du Cameroun, au Coordonnateur Résident des Nations Unies, Monsieur Issa SANOGO, ainsi qu’aux Représentants Résidents, Chefs d’agences, Fonds et Programmes des Nations Unies, aux partenaires techniques et financiers, aux institutions bilatérales et multilatérales, ainsi qu’aux organisations non gouvernementales nationales et internationales ayant contribué à la réalisation de cette évaluation.</w:t>
      </w:r>
    </w:p>
    <w:p w14:paraId="4337F7C2" w14:textId="77777777" w:rsidR="00EA6DED" w:rsidRDefault="007504AE">
      <w:pPr>
        <w:pStyle w:val="NormalWeb"/>
        <w:jc w:val="both"/>
      </w:pPr>
      <w:r>
        <w:t>Elle exprime également sa gratitude aux membres des groupes de résultats et thématiques, ainsi qu’à l’ensemble des parties prenantes et bénéficiaires du Cadre de Coopération, pour leur participation active à cet exercice malgré des contraintes de temps.</w:t>
      </w:r>
    </w:p>
    <w:p w14:paraId="4337F7C3" w14:textId="77777777" w:rsidR="00EA6DED" w:rsidRDefault="007504AE">
      <w:pPr>
        <w:pStyle w:val="NormalWeb"/>
        <w:jc w:val="both"/>
      </w:pPr>
      <w:r>
        <w:t>L’équipe espère que les constats, conclusions et recommandations formulés dans le présent rapport permettront de tirer des enseignements du Plan-Cadre de Coopération des Nations Unies pour le Développement Durable (CC 2022–2026), en vue d’élaborer des orientations stratégiques et opérationnelles pertinentes pour le prochain cycle 2027–2031 en République du Cameroun.</w:t>
      </w:r>
    </w:p>
    <w:p w14:paraId="4337F7C4" w14:textId="77777777" w:rsidR="00EA6DED" w:rsidRDefault="007504AE">
      <w:pPr>
        <w:pStyle w:val="NormalWeb"/>
        <w:jc w:val="both"/>
      </w:pPr>
      <w:r>
        <w:t>Il convient de préciser que les contenus et recommandations de ce rapport ne reflètent pas nécessairement les positions du Bureau du Coordonnateur Résident ni celles des Agences, Fonds ou Programmes des Nations Unies au Cameroun. Ce document ne constitue ni un audit, ni une revue, ni une évaluation individuelle des activités des entités onusiennes, mais une analyse globale du Cadre de Coopération, fondée sur des données probantes issues de leurs interventions, visant à en évaluer la pertinence, l’efficacité, l’efficience, la durabilité et les mécanismes de coordination.</w:t>
      </w:r>
    </w:p>
    <w:p w14:paraId="4337F7C5" w14:textId="77777777" w:rsidR="00EA6DED" w:rsidRDefault="00EA6DED">
      <w:pPr>
        <w:rPr>
          <w:b/>
          <w:sz w:val="22"/>
          <w:szCs w:val="22"/>
        </w:rPr>
      </w:pPr>
    </w:p>
    <w:p w14:paraId="4337F7C6" w14:textId="77777777" w:rsidR="00EA6DED" w:rsidRDefault="00EA6DED">
      <w:pPr>
        <w:rPr>
          <w:b/>
          <w:sz w:val="22"/>
          <w:szCs w:val="22"/>
        </w:rPr>
      </w:pPr>
    </w:p>
    <w:p w14:paraId="4337F7C7" w14:textId="77777777" w:rsidR="00EA6DED" w:rsidRDefault="007504AE">
      <w:pPr>
        <w:rPr>
          <w:b/>
          <w:sz w:val="22"/>
          <w:szCs w:val="22"/>
        </w:rPr>
      </w:pP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Cs w:val="22"/>
        </w:rPr>
        <w:t>Les consultants</w:t>
      </w:r>
    </w:p>
    <w:p w14:paraId="4337F7C8" w14:textId="77777777" w:rsidR="00EA6DED" w:rsidRDefault="00EA6DED">
      <w:pPr>
        <w:rPr>
          <w:b/>
          <w:sz w:val="22"/>
          <w:szCs w:val="22"/>
        </w:rPr>
      </w:pPr>
    </w:p>
    <w:p w14:paraId="4337F7C9" w14:textId="77777777" w:rsidR="00EA6DED" w:rsidRDefault="00EA6DED">
      <w:pPr>
        <w:rPr>
          <w:b/>
          <w:sz w:val="22"/>
          <w:szCs w:val="22"/>
        </w:rPr>
      </w:pPr>
    </w:p>
    <w:p w14:paraId="4337F7CA" w14:textId="77777777" w:rsidR="00EA6DED" w:rsidRDefault="00EA6DED">
      <w:pPr>
        <w:rPr>
          <w:b/>
          <w:sz w:val="22"/>
          <w:szCs w:val="22"/>
        </w:rPr>
      </w:pPr>
    </w:p>
    <w:p w14:paraId="4337F7CB" w14:textId="77777777" w:rsidR="00EA6DED" w:rsidRDefault="00EA6DED">
      <w:pPr>
        <w:rPr>
          <w:b/>
          <w:sz w:val="22"/>
          <w:szCs w:val="22"/>
        </w:rPr>
      </w:pPr>
    </w:p>
    <w:p w14:paraId="4337F7CC" w14:textId="77777777" w:rsidR="00EA6DED" w:rsidRDefault="00EA6DED">
      <w:pPr>
        <w:rPr>
          <w:b/>
          <w:sz w:val="22"/>
          <w:szCs w:val="22"/>
        </w:rPr>
      </w:pPr>
    </w:p>
    <w:p w14:paraId="4337F7CD" w14:textId="77777777" w:rsidR="00EA6DED" w:rsidRDefault="00EA6DED">
      <w:pPr>
        <w:rPr>
          <w:b/>
          <w:sz w:val="22"/>
          <w:szCs w:val="22"/>
        </w:rPr>
      </w:pPr>
    </w:p>
    <w:p w14:paraId="4337F7CE" w14:textId="77777777" w:rsidR="00EA6DED" w:rsidRDefault="00EA6DED">
      <w:pPr>
        <w:rPr>
          <w:b/>
          <w:sz w:val="22"/>
          <w:szCs w:val="22"/>
        </w:rPr>
      </w:pPr>
    </w:p>
    <w:p w14:paraId="4337F7CF" w14:textId="77777777" w:rsidR="00EA6DED" w:rsidRDefault="00EA6DED">
      <w:pPr>
        <w:rPr>
          <w:b/>
          <w:sz w:val="22"/>
          <w:szCs w:val="22"/>
        </w:rPr>
      </w:pPr>
    </w:p>
    <w:p w14:paraId="4337F7D0" w14:textId="77777777" w:rsidR="00EA6DED" w:rsidRDefault="00EA6DED">
      <w:pPr>
        <w:rPr>
          <w:b/>
          <w:sz w:val="22"/>
          <w:szCs w:val="22"/>
        </w:rPr>
      </w:pPr>
    </w:p>
    <w:p w14:paraId="4337F7D1" w14:textId="77777777" w:rsidR="00EA6DED" w:rsidRDefault="00EA6DED">
      <w:pPr>
        <w:rPr>
          <w:b/>
          <w:sz w:val="22"/>
          <w:szCs w:val="22"/>
        </w:rPr>
      </w:pPr>
    </w:p>
    <w:p w14:paraId="4337F7D2" w14:textId="77777777" w:rsidR="00EA6DED" w:rsidRDefault="00EA6DED">
      <w:pPr>
        <w:rPr>
          <w:b/>
          <w:sz w:val="22"/>
          <w:szCs w:val="22"/>
        </w:rPr>
      </w:pPr>
    </w:p>
    <w:p w14:paraId="4337F7D3" w14:textId="77777777" w:rsidR="00EA6DED" w:rsidRDefault="00EA6DED">
      <w:pPr>
        <w:rPr>
          <w:b/>
          <w:sz w:val="22"/>
          <w:szCs w:val="22"/>
        </w:rPr>
      </w:pPr>
    </w:p>
    <w:p w14:paraId="4337F7D4" w14:textId="77777777" w:rsidR="00EA6DED" w:rsidRDefault="00EA6DED">
      <w:pPr>
        <w:rPr>
          <w:b/>
          <w:sz w:val="22"/>
          <w:szCs w:val="22"/>
        </w:rPr>
      </w:pPr>
    </w:p>
    <w:p w14:paraId="4337F7D5" w14:textId="77777777" w:rsidR="00EA6DED" w:rsidRDefault="007504AE">
      <w:pPr>
        <w:rPr>
          <w:b/>
          <w:sz w:val="22"/>
          <w:szCs w:val="22"/>
        </w:rPr>
      </w:pPr>
      <w:r>
        <w:rPr>
          <w:b/>
          <w:sz w:val="22"/>
          <w:szCs w:val="22"/>
        </w:rPr>
        <w:br w:type="page"/>
      </w:r>
    </w:p>
    <w:p w14:paraId="4337F7D6" w14:textId="77777777" w:rsidR="00EA6DED" w:rsidRDefault="007504AE">
      <w:pPr>
        <w:numPr>
          <w:ilvl w:val="0"/>
          <w:numId w:val="3"/>
        </w:numPr>
        <w:ind w:right="550"/>
        <w:rPr>
          <w:rStyle w:val="Titre1Car"/>
          <w:rFonts w:ascii="Times New Roman" w:hAnsi="Times New Roman"/>
          <w:sz w:val="28"/>
          <w:shd w:val="clear" w:color="auto" w:fill="FFFFFF"/>
        </w:rPr>
      </w:pPr>
      <w:bookmarkStart w:id="7" w:name="_Toc13492"/>
      <w:r>
        <w:rPr>
          <w:rStyle w:val="Titre1Car"/>
          <w:rFonts w:ascii="Times New Roman" w:hAnsi="Times New Roman"/>
          <w:sz w:val="28"/>
          <w:shd w:val="clear" w:color="auto" w:fill="FFFFFF"/>
        </w:rPr>
        <w:lastRenderedPageBreak/>
        <w:t>Résumé exécutif</w:t>
      </w:r>
    </w:p>
    <w:bookmarkEnd w:id="7"/>
    <w:p w14:paraId="4337F7D7" w14:textId="77777777" w:rsidR="00EA6DED" w:rsidRDefault="007504AE">
      <w:pPr>
        <w:ind w:left="240" w:right="550"/>
        <w:rPr>
          <w:rStyle w:val="Titre1Car"/>
          <w:rFonts w:ascii="Times New Roman" w:hAnsi="Times New Roman"/>
          <w:sz w:val="22"/>
          <w:szCs w:val="22"/>
          <w:shd w:val="clear" w:color="auto" w:fill="FFFFFF"/>
        </w:rPr>
      </w:pPr>
      <w:r>
        <w:rPr>
          <w:rStyle w:val="Titre1Car"/>
          <w:rFonts w:ascii="Times New Roman" w:hAnsi="Times New Roman"/>
          <w:sz w:val="28"/>
          <w:shd w:val="clear" w:color="auto" w:fill="FFFFFF"/>
        </w:rPr>
        <w:t xml:space="preserve"> </w:t>
      </w:r>
      <w:bookmarkStart w:id="8" w:name="_heading=h.5jnl1631g14b" w:colFirst="0" w:colLast="0"/>
      <w:bookmarkStart w:id="9" w:name="_heading=h.10b5byc938y4" w:colFirst="0" w:colLast="0"/>
      <w:bookmarkStart w:id="10" w:name="_heading=h.43ky6rz" w:colFirst="0" w:colLast="0"/>
      <w:bookmarkEnd w:id="8"/>
      <w:bookmarkEnd w:id="9"/>
      <w:bookmarkEnd w:id="10"/>
    </w:p>
    <w:p w14:paraId="4337F7D8" w14:textId="77777777" w:rsidR="00EA6DED" w:rsidRDefault="007504AE">
      <w:pPr>
        <w:pStyle w:val="Titre2"/>
        <w:numPr>
          <w:ilvl w:val="1"/>
          <w:numId w:val="4"/>
        </w:numPr>
        <w:rPr>
          <w:rFonts w:ascii="Times New Roman" w:hAnsi="Times New Roman"/>
          <w:color w:val="0000FF"/>
          <w:sz w:val="24"/>
          <w:szCs w:val="24"/>
        </w:rPr>
      </w:pPr>
      <w:bookmarkStart w:id="11" w:name="_heading=h.2iq8gzs" w:colFirst="0" w:colLast="0"/>
      <w:bookmarkEnd w:id="11"/>
      <w:r>
        <w:rPr>
          <w:rFonts w:ascii="Times New Roman" w:hAnsi="Times New Roman"/>
          <w:color w:val="0000FF"/>
          <w:sz w:val="24"/>
          <w:szCs w:val="24"/>
        </w:rPr>
        <w:t xml:space="preserve"> </w:t>
      </w:r>
      <w:bookmarkStart w:id="12" w:name="_Toc4352"/>
      <w:r>
        <w:rPr>
          <w:rFonts w:ascii="Times New Roman" w:hAnsi="Times New Roman"/>
          <w:color w:val="0000FF"/>
          <w:sz w:val="24"/>
          <w:szCs w:val="24"/>
        </w:rPr>
        <w:t>But et Objectifs</w:t>
      </w:r>
      <w:bookmarkEnd w:id="12"/>
      <w:r>
        <w:rPr>
          <w:rFonts w:ascii="Times New Roman" w:hAnsi="Times New Roman"/>
          <w:color w:val="0000FF"/>
          <w:sz w:val="24"/>
          <w:szCs w:val="24"/>
        </w:rPr>
        <w:t xml:space="preserve"> </w:t>
      </w:r>
    </w:p>
    <w:p w14:paraId="4337F7D9" w14:textId="77777777" w:rsidR="00EA6DED" w:rsidRDefault="007504AE">
      <w:pPr>
        <w:pStyle w:val="NormalWeb"/>
        <w:jc w:val="both"/>
      </w:pPr>
      <w:bookmarkStart w:id="13" w:name="_heading=h.4grvfxik1qew" w:colFirst="0" w:colLast="0"/>
      <w:bookmarkEnd w:id="13"/>
      <w:r>
        <w:t>L’évaluation du Plan-Cadre de Coopération des Nations Unies pour le Développement Durable (CC 2022–2026) a pour objectif d'apprécier sa contribution à la réalisation des priorités nationales définies par la Stratégie Nationale de Développement (SND30) et aux Objectifs de Développement Durable (ODD). Cette contribution est évaluée à l'aide de jugements basés sur des preuves selon des critères d'évaluation à travers un examen des résultats obtenus, des leçons tirées, de l'efficacité des programmes conjoints, ainsi que la coordination, la gestion budgétaire et l'identification des principaux défis et opportunités. Cette évaluation permet de Fournir des recommandations claires pour informer l’élaboration du prochain cycle de Coopération afin d’assurer des progrès accélérés vers l’atteinte des ODD.</w:t>
      </w:r>
    </w:p>
    <w:p w14:paraId="4337F7DA" w14:textId="77777777" w:rsidR="00EA6DED" w:rsidRDefault="007504AE">
      <w:pPr>
        <w:pStyle w:val="Titre2"/>
        <w:numPr>
          <w:ilvl w:val="1"/>
          <w:numId w:val="4"/>
        </w:numPr>
        <w:rPr>
          <w:rFonts w:ascii="Times New Roman" w:hAnsi="Times New Roman"/>
          <w:color w:val="0000FF"/>
          <w:sz w:val="24"/>
          <w:szCs w:val="24"/>
        </w:rPr>
      </w:pPr>
      <w:bookmarkStart w:id="14" w:name="_Toc28740"/>
      <w:r>
        <w:rPr>
          <w:rFonts w:ascii="Times New Roman" w:hAnsi="Times New Roman"/>
          <w:color w:val="0000FF"/>
          <w:sz w:val="24"/>
          <w:szCs w:val="24"/>
        </w:rPr>
        <w:t>Portée de l’évaluation</w:t>
      </w:r>
      <w:bookmarkEnd w:id="14"/>
      <w:r>
        <w:rPr>
          <w:rFonts w:ascii="Times New Roman" w:hAnsi="Times New Roman"/>
          <w:color w:val="0000FF"/>
          <w:sz w:val="24"/>
          <w:szCs w:val="24"/>
        </w:rPr>
        <w:t xml:space="preserve"> </w:t>
      </w:r>
    </w:p>
    <w:p w14:paraId="4337F7DB" w14:textId="77777777" w:rsidR="00EA6DED" w:rsidRDefault="00EA6DED"/>
    <w:p w14:paraId="4337F7DC" w14:textId="77777777" w:rsidR="00EA6DED" w:rsidRDefault="007504AE">
      <w:pPr>
        <w:tabs>
          <w:tab w:val="left" w:pos="4320"/>
        </w:tabs>
        <w:jc w:val="both"/>
        <w:rPr>
          <w:rFonts w:eastAsia="SimSun"/>
        </w:rPr>
      </w:pPr>
      <w:r>
        <w:rPr>
          <w:rFonts w:eastAsia="SimSun"/>
        </w:rPr>
        <w:t xml:space="preserve">L’évaluation couvre les 5 réalisations du CC dont l’opérationnalisation repose sur des plans de travail conjoints du 1er Janvier 2022 au 31 Décembre 2024 à l’échelle nationale avec un focus sur les Régions du Centre (Yaoundé spécifiquement), de l’Extrême-Nord, de l’Est, de l’Ouest et du Sud-Ouest. </w:t>
      </w:r>
      <w:bookmarkStart w:id="15" w:name="_heading=h.xvir7l" w:colFirst="0" w:colLast="0"/>
      <w:bookmarkStart w:id="16" w:name="_heading=h.6lgcfw8v9hbx" w:colFirst="0" w:colLast="0"/>
      <w:bookmarkEnd w:id="15"/>
      <w:bookmarkEnd w:id="16"/>
    </w:p>
    <w:p w14:paraId="4337F7DD" w14:textId="77777777" w:rsidR="00EA6DED" w:rsidRDefault="00EA6DED">
      <w:pPr>
        <w:contextualSpacing/>
        <w:rPr>
          <w:rFonts w:eastAsia="SimSun"/>
        </w:rPr>
      </w:pPr>
    </w:p>
    <w:p w14:paraId="4337F7DE" w14:textId="77777777" w:rsidR="00EA6DED" w:rsidRDefault="007504AE">
      <w:pPr>
        <w:pStyle w:val="Titre2"/>
        <w:numPr>
          <w:ilvl w:val="1"/>
          <w:numId w:val="4"/>
        </w:numPr>
        <w:contextualSpacing/>
        <w:rPr>
          <w:rFonts w:ascii="Times New Roman" w:hAnsi="Times New Roman"/>
          <w:color w:val="0000FF"/>
          <w:sz w:val="24"/>
          <w:szCs w:val="24"/>
        </w:rPr>
      </w:pPr>
      <w:bookmarkStart w:id="17" w:name="_heading=h.z3y0zuamuyaq" w:colFirst="0" w:colLast="0"/>
      <w:bookmarkStart w:id="18" w:name="_Toc23023"/>
      <w:bookmarkEnd w:id="17"/>
      <w:r>
        <w:rPr>
          <w:rFonts w:ascii="Times New Roman" w:hAnsi="Times New Roman"/>
          <w:color w:val="0000FF"/>
          <w:sz w:val="24"/>
          <w:szCs w:val="24"/>
        </w:rPr>
        <w:t>La méthodologie de l'évaluation</w:t>
      </w:r>
      <w:bookmarkEnd w:id="18"/>
    </w:p>
    <w:p w14:paraId="4337F7DF" w14:textId="77777777" w:rsidR="00EA6DED" w:rsidRDefault="00EA6DED"/>
    <w:p w14:paraId="4337F7E0" w14:textId="77777777" w:rsidR="00EA6DED" w:rsidRDefault="007504AE">
      <w:pPr>
        <w:pStyle w:val="NormalWeb"/>
        <w:spacing w:before="0" w:beforeAutospacing="0" w:after="0" w:afterAutospacing="0"/>
        <w:contextualSpacing/>
        <w:jc w:val="both"/>
      </w:pPr>
      <w:r>
        <w:t>Conformément aux lignes directrices de l’UNEG, la matrice d’évaluation a permis de structurer les questions évaluatives et d’encadrer la collecte des données selon six critères : Pertinence/Adaptabilité, Coordination/Cohérence, Efficacité, Efficience, Orientation vers l’impact et Durabilité. Un échantillon raisonné, représentatif des principales parties prenantes (agences onusiennes, institutions publiques, partenaires techniques et financiers, société civile, secteur privé et bénéficiaires) a permis une analyse inclusive et équilibrée à travers une combinaison de méthodes dont la revue documentaire, les entretiens individuels, les discussions de groupe et des visites de terrain. La qualité des données a été assurée par une triangulation rigoureuse et des consultations régulières avec les parties impliquées.</w:t>
      </w:r>
      <w:bookmarkStart w:id="19" w:name="_heading=h.3luufzway3ls" w:colFirst="0" w:colLast="0"/>
      <w:bookmarkStart w:id="20" w:name="_heading=h.3hv69ve" w:colFirst="0" w:colLast="0"/>
      <w:bookmarkEnd w:id="19"/>
      <w:bookmarkEnd w:id="20"/>
    </w:p>
    <w:p w14:paraId="4337F7E1" w14:textId="77777777" w:rsidR="00EA6DED" w:rsidRDefault="00EA6DED">
      <w:pPr>
        <w:pStyle w:val="NormalWeb"/>
        <w:spacing w:before="0" w:beforeAutospacing="0" w:after="0" w:afterAutospacing="0"/>
        <w:contextualSpacing/>
        <w:jc w:val="both"/>
      </w:pPr>
    </w:p>
    <w:p w14:paraId="4337F7E2" w14:textId="77777777" w:rsidR="00EA6DED" w:rsidRDefault="007504AE">
      <w:pPr>
        <w:pStyle w:val="Titre2"/>
        <w:numPr>
          <w:ilvl w:val="1"/>
          <w:numId w:val="4"/>
        </w:numPr>
        <w:rPr>
          <w:rFonts w:ascii="Times New Roman" w:hAnsi="Times New Roman"/>
          <w:color w:val="0000FF"/>
          <w:sz w:val="24"/>
          <w:szCs w:val="24"/>
        </w:rPr>
      </w:pPr>
      <w:r>
        <w:rPr>
          <w:rFonts w:ascii="Times New Roman" w:hAnsi="Times New Roman"/>
          <w:color w:val="0000FF"/>
          <w:sz w:val="24"/>
          <w:szCs w:val="24"/>
        </w:rPr>
        <w:t xml:space="preserve"> </w:t>
      </w:r>
      <w:bookmarkStart w:id="21" w:name="_Toc6839"/>
      <w:r>
        <w:rPr>
          <w:rFonts w:ascii="Times New Roman" w:hAnsi="Times New Roman"/>
          <w:color w:val="0000FF"/>
          <w:sz w:val="24"/>
          <w:szCs w:val="24"/>
        </w:rPr>
        <w:t>Principaux constats</w:t>
      </w:r>
      <w:bookmarkEnd w:id="21"/>
      <w:r>
        <w:rPr>
          <w:rFonts w:ascii="Times New Roman" w:hAnsi="Times New Roman"/>
          <w:color w:val="0000FF"/>
          <w:sz w:val="24"/>
          <w:szCs w:val="24"/>
        </w:rPr>
        <w:t xml:space="preserve"> </w:t>
      </w:r>
    </w:p>
    <w:p w14:paraId="4337F7E3" w14:textId="77777777" w:rsidR="00EA6DED" w:rsidRDefault="007504AE">
      <w:pPr>
        <w:rPr>
          <w:b/>
        </w:rPr>
      </w:pPr>
      <w:bookmarkStart w:id="22" w:name="_heading=h.qhtyflgs1jxt" w:colFirst="0" w:colLast="0"/>
      <w:bookmarkEnd w:id="22"/>
      <w:r>
        <w:rPr>
          <w:b/>
        </w:rPr>
        <w:t>Pertinence et adaptabilité </w:t>
      </w:r>
    </w:p>
    <w:p w14:paraId="4337F7E4" w14:textId="77777777" w:rsidR="00EA6DED" w:rsidRDefault="007504AE">
      <w:pPr>
        <w:jc w:val="both"/>
        <w:rPr>
          <w:b/>
          <w:i/>
        </w:rPr>
      </w:pPr>
      <w:r>
        <w:t xml:space="preserve">L'analyse de la pertinence et de l’adaptabilité du CC 2022-2026, révèle un alignement stratégique clair aux priorités nationales, notamment les objectifs de la SND30. Les priorités stratégiques s'harmonisent avec la croissance inclusive, le développement humain, le soutien institutionnel et la durabilité environnementale, et donnent une bonne couverture des ODD ainsi qu’un ancrage avec les aspirations de l’Agenda 2063 de Union Africaine (UA) et les principaux axes de développement de la CEMAC. </w:t>
      </w:r>
    </w:p>
    <w:p w14:paraId="4337F7E5" w14:textId="77777777" w:rsidR="00EA6DED" w:rsidRDefault="007504AE">
      <w:pPr>
        <w:pStyle w:val="NormalWeb"/>
        <w:jc w:val="both"/>
      </w:pPr>
      <w:r>
        <w:t xml:space="preserve">Le CC 2022-2026 a démontré une flexibilité pour contribuer aux réponses aux crises, comme la COVID-19, les inondations, l’insécurité dans le septentrion et l’Est, la reconstruction du Nord-Ouest et du Sud-Ouest à travers le Plan Présidentiel pour la Reconstruction et le Développement (PPRD) et l’appropriation dans le corpus des thématiques émergentes telles que l'économie bleue et verte, l'autonomisation des femmes et des jeunes, la résilience, la durabilité environnementale et l’inclusion. Cependant, la faible utilisation de la planification axée sur les résultats et le caractère statique de la théorie de changement amenuisent sérieusement la redevabilité programmatique du CC. </w:t>
      </w:r>
    </w:p>
    <w:p w14:paraId="4337F7E6" w14:textId="77777777" w:rsidR="00EA6DED" w:rsidRDefault="007504AE">
      <w:pPr>
        <w:pStyle w:val="NormalWeb"/>
        <w:spacing w:before="0" w:beforeAutospacing="0" w:after="0" w:afterAutospacing="0"/>
        <w:contextualSpacing/>
        <w:jc w:val="both"/>
        <w:rPr>
          <w:b/>
        </w:rPr>
      </w:pPr>
      <w:r>
        <w:rPr>
          <w:b/>
        </w:rPr>
        <w:t>Coordination et cohérence</w:t>
      </w:r>
    </w:p>
    <w:p w14:paraId="4337F7E7" w14:textId="77777777" w:rsidR="00EA6DED" w:rsidRDefault="007504AE">
      <w:pPr>
        <w:pStyle w:val="NormalWeb"/>
        <w:spacing w:before="0" w:beforeAutospacing="0" w:after="0" w:afterAutospacing="0"/>
        <w:contextualSpacing/>
        <w:jc w:val="both"/>
        <w:rPr>
          <w:b/>
        </w:rPr>
      </w:pPr>
      <w:r>
        <w:t xml:space="preserve">Le Système des Nations Unies (SNU) a établi des cadres de collaboration entre les agences, mais aussi avec les autorités nationales et les parties prenantes pour assurer la synergie et la cohérence des interventions aux niveaux sectoriel et national.  Ce dispositif comprend le Comité conjoint de Pilotage (COPIL), l’équipe pays (UNCT), l’équipe programmatique (PMT), l’équipe des opérations (OMT), les groupes de résultats (GR), les </w:t>
      </w:r>
      <w:r>
        <w:lastRenderedPageBreak/>
        <w:t xml:space="preserve">groupes thématiques et les cadres ad hoc de consultation et de plaidoyer sur des thématiques spécifiques ou émergentes. </w:t>
      </w:r>
    </w:p>
    <w:p w14:paraId="4337F7E8" w14:textId="77777777" w:rsidR="00EA6DED" w:rsidRDefault="007504AE">
      <w:pPr>
        <w:pStyle w:val="NormalWeb"/>
        <w:jc w:val="both"/>
      </w:pPr>
      <w:r>
        <w:t xml:space="preserve">Le respect des modes de dérivation des programmes pays des agences, les initiatives conjointes et l'application d'approches basées sur le nexus renforcent l'harmonisation et la coordination des interventions bien que les aspirations identitaires soient une véritable menace pour le ‘’delivery as one’’.  Également, la méconnaissance ou la faible valorisation du Management Accountabilty Framework (MAF), l’absence du décret de confirmation et l’irrégularité des réunions du COPIL, le caractère juxtaposé des plans de travail conjoints, la surcharge des points focaux des agences dans les organes de gouvernance du CC et l’absence d’une cartographie des interventions des différentes entités des NU ou de leurs partenaires clés, entachent la coordination, la cohérence et la redevabilité du CC. </w:t>
      </w:r>
    </w:p>
    <w:p w14:paraId="4337F7E9" w14:textId="77777777" w:rsidR="00EA6DED" w:rsidRDefault="007504AE">
      <w:pPr>
        <w:contextualSpacing/>
        <w:rPr>
          <w:b/>
        </w:rPr>
      </w:pPr>
      <w:r>
        <w:rPr>
          <w:b/>
        </w:rPr>
        <w:t>Efficacité</w:t>
      </w:r>
    </w:p>
    <w:p w14:paraId="4337F7EA" w14:textId="77777777" w:rsidR="00EA6DED" w:rsidRDefault="007504AE">
      <w:pPr>
        <w:pStyle w:val="NormalWeb"/>
        <w:spacing w:before="0" w:beforeAutospacing="0" w:after="0" w:afterAutospacing="0"/>
        <w:contextualSpacing/>
        <w:jc w:val="both"/>
      </w:pPr>
      <w:r>
        <w:t xml:space="preserve">La contribution du Cadre de Coopération aux objectifs de la SND30 s'avère efficace, avec des perspectives positives dans l'agro-industrie, une augmentation de la contribution du secteur primaire au PIB, une réduction notable du sous-emploi des jeunes, un taux d'alphabétisation encourageant, une progression de la représentation féminine en politique, une confiance accrue envers la justice, et une gestion durable des forêts, bien que la résilience des ménages agricoles face aux chocs climatiques reste un défi. Cependant, la fragmentation et le chevauchement des initiatives rendent difficile l’appréciation de la performance dans un contexte où les objectifs sont très ambitieux avec un système de rapportage axé plus sur les activités que sur les résultats, un leadership national à renforcer et une faible agilité dans le processus d’élaboration des programmes conjoints. En outre, une faiblesse dans la formulation de certains indicateurs de produits, une absence des métadonnées pour clarifier les modalités de mesure des indicateurs, et une gestion lente des opérations due aux procédures lourdes des agences plombent l’efficacité du CC. En outre, bien que l’ancrage programmatique avec les attentes du gouvernement soit apprécié, la perception du respect des principes de la Déclaration de Paris sur l'efficacité de l'aide est mitigée à cause d’un alignement insuffisant sur les procédures de l'État et à une harmonisation questionnable aux enjeux de développement. </w:t>
      </w:r>
    </w:p>
    <w:p w14:paraId="4337F7EB" w14:textId="77777777" w:rsidR="00EA6DED" w:rsidRDefault="00EA6DED">
      <w:pPr>
        <w:contextualSpacing/>
        <w:rPr>
          <w:b/>
        </w:rPr>
      </w:pPr>
    </w:p>
    <w:p w14:paraId="4337F7EC" w14:textId="77777777" w:rsidR="00EA6DED" w:rsidRDefault="007504AE">
      <w:pPr>
        <w:contextualSpacing/>
        <w:rPr>
          <w:b/>
        </w:rPr>
      </w:pPr>
      <w:r>
        <w:rPr>
          <w:b/>
        </w:rPr>
        <w:t>Efficience</w:t>
      </w:r>
    </w:p>
    <w:p w14:paraId="4337F7ED" w14:textId="77777777" w:rsidR="00EA6DED" w:rsidRDefault="007504AE">
      <w:pPr>
        <w:pStyle w:val="Commentaire"/>
        <w:contextualSpacing/>
        <w:jc w:val="both"/>
      </w:pPr>
      <w:r>
        <w:rPr>
          <w:rFonts w:ascii="Times New Roman" w:hAnsi="Times New Roman"/>
          <w:sz w:val="24"/>
          <w:szCs w:val="24"/>
        </w:rPr>
        <w:t>La complémentarité inter-agence à travers l’usage du Business Operations Strategy (BOS), l’Approche Harmonisée de Transfert de Fonds aux partenaires d’exécution (HACT), les accords à long terme (LTA), les bureaux conjoints/partagés, les pôles communs pour les recrutements (staffs et consultants) et les services administratifs communs, a induit des gains logistiques et financiers importants (environ 1 868 197$US</w:t>
      </w:r>
      <w:r>
        <w:rPr>
          <w:rStyle w:val="Appelnotedebasdep"/>
          <w:rFonts w:eastAsia="Calibri"/>
        </w:rPr>
        <w:footnoteReference w:id="1"/>
      </w:r>
      <w:r>
        <w:rPr>
          <w:rFonts w:ascii="Times New Roman" w:hAnsi="Times New Roman"/>
          <w:sz w:val="24"/>
          <w:szCs w:val="24"/>
        </w:rPr>
        <w:t xml:space="preserve"> pour le </w:t>
      </w:r>
      <w:r>
        <w:rPr>
          <w:rFonts w:ascii="Times New Roman" w:eastAsia="SimSun" w:hAnsi="Times New Roman"/>
          <w:sz w:val="24"/>
          <w:szCs w:val="24"/>
        </w:rPr>
        <w:t>seule année 2024).  Ces bonnes pratiques gagneraient à être généralisées à toutes les agences pour accroître les gains et faire de OMT un véritable socle pour le renforcement des capacités et l’optimisation de l’efficience financière et logistique. Au-delà du volet financier, le SNU à travers le CC, a su tirer parti de ses avantages comparatifs pour jouer un rôle d’appui-conseil déterminant dans la mobilisation des ressources financières et partenariales, le développement des politiques, l’animation des cadres de concertation, ainsi que l’élaboration et la production des documents normatifs, en appui au gouvernement. Cependant, dans un contexte marqué par le chevauchement des interventions des agences, la fragmentation des activités, une insuffisance dans la co-création et une faible complémentarité stratégique, l'évaluation des coûts associés aux programmes et aux opérations demeure un défi pour apprécier les bénéfices générés par les financements globaux et l’efficience des programmes. Les orientations de UN80, pourraient être une référence pour cette analyse.</w:t>
      </w:r>
      <w:r>
        <w:t xml:space="preserve"> </w:t>
      </w:r>
    </w:p>
    <w:p w14:paraId="4337F7EE" w14:textId="77777777" w:rsidR="00EA6DED" w:rsidRDefault="00EA6DED">
      <w:pPr>
        <w:contextualSpacing/>
        <w:jc w:val="both"/>
        <w:rPr>
          <w:b/>
        </w:rPr>
      </w:pPr>
    </w:p>
    <w:p w14:paraId="4337F7EF" w14:textId="77777777" w:rsidR="00EA6DED" w:rsidRDefault="007504AE">
      <w:pPr>
        <w:contextualSpacing/>
        <w:jc w:val="both"/>
        <w:rPr>
          <w:b/>
        </w:rPr>
      </w:pPr>
      <w:r>
        <w:rPr>
          <w:b/>
        </w:rPr>
        <w:t xml:space="preserve">Orientation vers l’impact   </w:t>
      </w:r>
    </w:p>
    <w:p w14:paraId="4337F7F0" w14:textId="77777777" w:rsidR="00EA6DED" w:rsidRDefault="007504AE">
      <w:pPr>
        <w:pStyle w:val="NormalWeb"/>
        <w:spacing w:before="0" w:beforeAutospacing="0" w:after="0" w:afterAutospacing="0"/>
        <w:contextualSpacing/>
        <w:jc w:val="both"/>
      </w:pPr>
      <w:r>
        <w:t xml:space="preserve">L’analyse des indicateurs de Réalisations de la matrice de résultats montre une tendance optimiste des données et suggère par ricochet une potentielle contribution des Nations Unies aux Résultats Nationaux. En effet, la croissance réelle du PIB du pays estimée à 3,9% (en 2024,) par rapport à 3,2% en 2023 montre une tendance positive vers l'objectif de 8% de la Vision 2035. Il en est également du taux d'alphabétisation (89,9 % chez les garçons et 81,4 % chez les filles) ou de l’incidence du VIH tombe à 0,24 en 2024. La proportion de femmes en </w:t>
      </w:r>
      <w:r>
        <w:lastRenderedPageBreak/>
        <w:t xml:space="preserve">postes politique augmente (23,56 %), la confiance du public en la justice (54 % en 2023 cotre 46,3 % en 2020), les avancées en gestion durable des forêts (117% en 2025) et en résilience des ménages agricoles (58 %) sont également des indices d’une probable contribution des Nations Unies aux résultats nationaux. </w:t>
      </w:r>
    </w:p>
    <w:p w14:paraId="4337F7F1" w14:textId="77777777" w:rsidR="00EA6DED" w:rsidRDefault="00EA6DED">
      <w:pPr>
        <w:contextualSpacing/>
      </w:pPr>
    </w:p>
    <w:p w14:paraId="4337F7F2" w14:textId="77777777" w:rsidR="00EA6DED" w:rsidRDefault="007504AE">
      <w:pPr>
        <w:contextualSpacing/>
        <w:jc w:val="both"/>
      </w:pPr>
      <w:r>
        <w:t xml:space="preserve">En dehors des chiffres, le CC a offert une valeur ajoutée qualitative en contribuant de manière continue à l'élaboration et à l'adoption de lois, au soutien au système électoral et à la gouvernance institutionnelle, tout en renforçant le dialogue politique et la participation citoyenne. Cependant, la principale question pour l’orientation vers l’impact n’est pas le fait d’avoir donné ou non un impact, mais plutôt la difficulté de l’évaluer, de le mesurer, de le valoriser et de le diffuser.     </w:t>
      </w:r>
    </w:p>
    <w:p w14:paraId="4337F7F3" w14:textId="77777777" w:rsidR="00EA6DED" w:rsidRDefault="00EA6DED">
      <w:pPr>
        <w:jc w:val="both"/>
      </w:pPr>
    </w:p>
    <w:p w14:paraId="4337F7F4" w14:textId="77777777" w:rsidR="00EA6DED" w:rsidRDefault="007504AE">
      <w:pPr>
        <w:contextualSpacing/>
        <w:rPr>
          <w:b/>
        </w:rPr>
      </w:pPr>
      <w:r>
        <w:rPr>
          <w:b/>
        </w:rPr>
        <w:t>Durabilité</w:t>
      </w:r>
    </w:p>
    <w:p w14:paraId="4337F7F5" w14:textId="77777777" w:rsidR="00EA6DED" w:rsidRDefault="007504AE">
      <w:pPr>
        <w:pStyle w:val="NormalWeb"/>
        <w:spacing w:before="0" w:beforeAutospacing="0" w:after="0" w:afterAutospacing="0"/>
        <w:contextualSpacing/>
        <w:jc w:val="both"/>
        <w:rPr>
          <w:rFonts w:ascii="TimesNewRomanPSMT" w:hAnsi="TimesNewRomanPSMT" w:cs="TimesNewRomanPSMT"/>
          <w:sz w:val="28"/>
        </w:rPr>
      </w:pPr>
      <w:r>
        <w:t xml:space="preserve">A travers sa cohérence, son adaptabilité aux priorités nationales et ses mécanismes de mise en œuvre, le CC a établi des mécanismes pour garantir la pérennité des acquis sur les plans socio-politiques, institutionnels, financiers et environnementaux. Cette dynamique repose sur une architecture intégrée qui combine la planification stratégique participative, le suivi décentralisé conjoint et le renforcement progressif des capacités. </w:t>
      </w:r>
      <w:r>
        <w:rPr>
          <w:rFonts w:eastAsia="Calibri"/>
          <w:szCs w:val="22"/>
        </w:rPr>
        <w:t xml:space="preserve">Les agences s'efforcent à aligner et à faire endosser leurs projets par les programmes nationaux. Les visites conjointes, l’appui technique, financier et logistique et la co-création des programmes traduisent une démarche active pour la durabilité.   </w:t>
      </w:r>
    </w:p>
    <w:p w14:paraId="4337F7F6" w14:textId="77777777" w:rsidR="00EA6DED" w:rsidRDefault="007504AE">
      <w:pPr>
        <w:pStyle w:val="NormalWeb"/>
        <w:jc w:val="both"/>
        <w:rPr>
          <w:rFonts w:eastAsia="Calibri"/>
          <w:szCs w:val="22"/>
        </w:rPr>
      </w:pPr>
      <w:r>
        <w:t xml:space="preserve">Sur le plan financier, des mécanismes de planification et d'intégration budgétaire ont été mis en place pour soutenir les programmes nationaux, à travers des initiatives conjointes et le soutien budgétaire. La durabilité des investissements, tant physiques qu'humains, est renforcée par des mécanismes de rétrocession des infrastructures et des équipements, ainsi que par un transfert progressif des compétences aux autorités locales. </w:t>
      </w:r>
      <w:r>
        <w:rPr>
          <w:rFonts w:eastAsia="Calibri"/>
          <w:szCs w:val="22"/>
        </w:rPr>
        <w:t xml:space="preserve">Toutefois, le plan de pérennisation ne fait pas systématiquement partie de chaque projet et les capacités institutionnelles des partenaires locaux présentent des lacunes à combler.  </w:t>
      </w:r>
    </w:p>
    <w:p w14:paraId="4337F7F7" w14:textId="77777777" w:rsidR="00EA6DED" w:rsidRDefault="007504AE">
      <w:pPr>
        <w:pStyle w:val="Titre2"/>
        <w:numPr>
          <w:ilvl w:val="1"/>
          <w:numId w:val="4"/>
        </w:numPr>
        <w:rPr>
          <w:rFonts w:ascii="Times New Roman" w:hAnsi="Times New Roman"/>
          <w:color w:val="0000FF"/>
          <w:sz w:val="24"/>
          <w:szCs w:val="24"/>
        </w:rPr>
      </w:pPr>
      <w:r>
        <w:rPr>
          <w:rFonts w:ascii="Times New Roman" w:hAnsi="Times New Roman"/>
          <w:color w:val="0000FF"/>
          <w:sz w:val="24"/>
          <w:szCs w:val="24"/>
        </w:rPr>
        <w:t xml:space="preserve"> </w:t>
      </w:r>
      <w:bookmarkStart w:id="23" w:name="_Toc25201"/>
      <w:r>
        <w:rPr>
          <w:rFonts w:ascii="Times New Roman" w:hAnsi="Times New Roman"/>
          <w:color w:val="0000FF"/>
          <w:sz w:val="24"/>
          <w:szCs w:val="24"/>
        </w:rPr>
        <w:t>Principales conclusions</w:t>
      </w:r>
      <w:bookmarkEnd w:id="23"/>
    </w:p>
    <w:p w14:paraId="4337F7F8" w14:textId="77777777" w:rsidR="00EA6DED" w:rsidRDefault="00EA6DED">
      <w:pPr>
        <w:rPr>
          <w:b/>
          <w:i/>
          <w:sz w:val="21"/>
          <w:szCs w:val="21"/>
        </w:rPr>
      </w:pPr>
    </w:p>
    <w:p w14:paraId="4337F7F9" w14:textId="77777777" w:rsidR="00EA6DED" w:rsidRDefault="007504AE">
      <w:pPr>
        <w:rPr>
          <w:b/>
        </w:rPr>
      </w:pPr>
      <w:r>
        <w:rPr>
          <w:b/>
        </w:rPr>
        <w:t>Pertinence et adaptabilité </w:t>
      </w:r>
    </w:p>
    <w:p w14:paraId="4337F7FA" w14:textId="77777777" w:rsidR="00EA6DED" w:rsidRDefault="007504AE">
      <w:pPr>
        <w:contextualSpacing/>
        <w:jc w:val="both"/>
        <w:rPr>
          <w:rFonts w:eastAsia="Calibri"/>
          <w:szCs w:val="22"/>
        </w:rPr>
      </w:pPr>
      <w:r>
        <w:rPr>
          <w:rFonts w:eastAsia="Calibri"/>
          <w:szCs w:val="22"/>
        </w:rPr>
        <w:t>Le CC 2022-2026 a été assez pertinent et flexible. En effet, ses priorités stratégiques sont pertinemment alignées aux priorités nationales (SND30), régionales (axes de développement de la CEMAC et aspirations de l’agenda 2063 aspirations de UA) et internationales (agenda 2030) avec une meilleure prise en compte des principes de planification des Nations Unies. Toutefois, l’insuffisante transversalité intersectorielle dans la programmation a nui à l'activation des liens nécessaires entre les programmes sectoriels. En outre, le caractère statique de la Théorie de changement et la faible prise en compte des modalités de la Gestion Axée sur les Résultats (GAR) ont entravé la redevabilité programmatique. Également, l'engagement actif du secteur privé dans les questions économiques, l'analyse des programmes à travers le prisme de l'agenda 2030, l’enrôlement et l’encadrement de la diaspora dans le cadre de la transformation économique, la mobilisation des ressources, l’innovation technologique, la promotion de la localisation des Transitions-clés et du Pacte mondial pour l’avenir au contexte du Cameroun, n'ont pas été explorés de manière optimale.</w:t>
      </w:r>
    </w:p>
    <w:p w14:paraId="4337F7FB" w14:textId="77777777" w:rsidR="00EA6DED" w:rsidRPr="004F65CF" w:rsidRDefault="00EA6DED" w:rsidP="004F65CF">
      <w:pPr>
        <w:tabs>
          <w:tab w:val="left" w:pos="313"/>
        </w:tabs>
        <w:spacing w:line="276" w:lineRule="auto"/>
        <w:jc w:val="both"/>
        <w:rPr>
          <w:rFonts w:eastAsia="Calibri"/>
          <w:szCs w:val="22"/>
        </w:rPr>
      </w:pPr>
    </w:p>
    <w:p w14:paraId="4337F7FC" w14:textId="77777777" w:rsidR="00EA6DED" w:rsidRPr="004F65CF" w:rsidRDefault="007504AE" w:rsidP="004F65CF">
      <w:pPr>
        <w:pStyle w:val="Lgende"/>
        <w:spacing w:line="249" w:lineRule="auto"/>
        <w:jc w:val="both"/>
        <w:rPr>
          <w:rFonts w:ascii="Times New Roman" w:eastAsia="Calibri" w:hAnsi="Times New Roman"/>
          <w:b w:val="0"/>
          <w:i w:val="0"/>
          <w:iCs w:val="0"/>
          <w:color w:val="auto"/>
          <w:szCs w:val="22"/>
        </w:rPr>
      </w:pPr>
      <w:r w:rsidRPr="004F65CF">
        <w:rPr>
          <w:rFonts w:ascii="Times New Roman" w:eastAsia="Calibri" w:hAnsi="Times New Roman"/>
          <w:b w:val="0"/>
          <w:i w:val="0"/>
          <w:iCs w:val="0"/>
          <w:color w:val="auto"/>
          <w:szCs w:val="22"/>
        </w:rPr>
        <w:t xml:space="preserve">Le CC 2022-2026 s’est adapté aux enjeux émergents du pays au moment de sa conception et pendant sa mise en œuvre à travers une analyse des causes profondes de vulnérabilité et de pauvreté. Par contre, les mécanismes d'adaptation continue du Plan Cadre de Coopération sont limités, pour répondre de manière proactive aux défis et opportunités émergents. En effet, la théorie de changement, par essence dynamique est restée inerte depuis 2022.   </w:t>
      </w:r>
    </w:p>
    <w:p w14:paraId="4337F7FD" w14:textId="77777777" w:rsidR="00EA6DED" w:rsidRDefault="00EA6DED">
      <w:pPr>
        <w:rPr>
          <w:b/>
          <w:i/>
        </w:rPr>
      </w:pPr>
    </w:p>
    <w:p w14:paraId="4337F7FE" w14:textId="77777777" w:rsidR="00EA6DED" w:rsidRPr="004F65CF" w:rsidRDefault="007504AE">
      <w:pPr>
        <w:rPr>
          <w:rFonts w:eastAsia="Calibri"/>
          <w:szCs w:val="22"/>
        </w:rPr>
      </w:pPr>
      <w:r>
        <w:rPr>
          <w:b/>
        </w:rPr>
        <w:t>Coordination et cohérence</w:t>
      </w:r>
    </w:p>
    <w:p w14:paraId="4337F7FF" w14:textId="77777777" w:rsidR="00EA6DED" w:rsidRDefault="007504AE">
      <w:pPr>
        <w:pStyle w:val="NormalWeb"/>
        <w:spacing w:before="0" w:beforeAutospacing="0" w:after="0" w:afterAutospacing="0"/>
        <w:jc w:val="both"/>
        <w:rPr>
          <w:rFonts w:ascii="Calibri" w:hAnsi="Calibri" w:cs="Calibri"/>
        </w:rPr>
      </w:pPr>
      <w:r w:rsidRPr="004F65CF">
        <w:rPr>
          <w:rFonts w:eastAsia="Calibri"/>
          <w:szCs w:val="22"/>
        </w:rPr>
        <w:t>Le CC dispose d’une bonne cohérence interne et externe avec coordination effic</w:t>
      </w:r>
      <w:r>
        <w:t xml:space="preserve">ace. Elles se traduisent par des mécanismes de partenariat et de dialogue établis avec le gouvernement et les parties prenantes pour assurer la couverture programmatique et des groupes vulnérables. En interne, il dispose des plans de travail conjoints par groupe de résultats, des programmes/projets ou des initiatives conjointes, une approche sur le nexus, une </w:t>
      </w:r>
      <w:r>
        <w:lastRenderedPageBreak/>
        <w:t>stratégie sur les zones de convergence et des procédures opérationnelles standards (SOP) pour la gestion et la mobilisation des ressources conjointes. La revue des CPD et des plans de travail des agences, le cycle des programmes pays et le contenu des rapports d’activités annuels montrent un ancrage stratégique significatif des interventions des agences au cadre de coopération. Le problème observé n’est pas tant celui de la dérivation mais la capacité des agences à développer et à mettre en œuvre conjointement un véritable plan de travail sans les velléités identitaires, considérées comme une vraie menace pour le « Delivery as One ». En outre, la plupart de ces mécanismes peinent à avoir les résultats attendus à cause du faible leadership collectif des agences vis-à-vis des programmes conjoints, l’enchevêtrement thématique des mandats qui ne facilite pas la lisibilité des rôles et des compétences comparatives, la spécificité</w:t>
      </w:r>
      <w:r>
        <w:rPr>
          <w:rFonts w:ascii="Calibri" w:hAnsi="Calibri" w:cs="Calibri"/>
        </w:rPr>
        <w:t xml:space="preserve"> </w:t>
      </w:r>
      <w:r>
        <w:rPr>
          <w:rFonts w:cs="Calibri"/>
          <w:bCs/>
        </w:rPr>
        <w:t xml:space="preserve">des procédures administratives et financières selon les agences et la faible coordination au niveau local.   </w:t>
      </w:r>
    </w:p>
    <w:p w14:paraId="4337F800" w14:textId="77777777" w:rsidR="00EA6DED" w:rsidRDefault="00EA6DED">
      <w:pPr>
        <w:spacing w:line="276" w:lineRule="auto"/>
        <w:jc w:val="both"/>
        <w:rPr>
          <w:rFonts w:eastAsia="SimSun"/>
        </w:rPr>
      </w:pPr>
    </w:p>
    <w:p w14:paraId="4337F801" w14:textId="77777777" w:rsidR="00EA6DED" w:rsidRDefault="007504AE">
      <w:pPr>
        <w:rPr>
          <w:b/>
        </w:rPr>
      </w:pPr>
      <w:r>
        <w:rPr>
          <w:b/>
        </w:rPr>
        <w:t>Efficacité</w:t>
      </w:r>
    </w:p>
    <w:p w14:paraId="4337F802" w14:textId="77777777" w:rsidR="00EA6DED" w:rsidRDefault="007504AE">
      <w:pPr>
        <w:contextualSpacing/>
        <w:jc w:val="both"/>
        <w:rPr>
          <w:color w:val="000000" w:themeColor="text1"/>
        </w:rPr>
      </w:pPr>
      <w:r>
        <w:rPr>
          <w:rFonts w:eastAsia="Arial"/>
          <w:bCs/>
          <w:color w:val="000000" w:themeColor="text1"/>
        </w:rPr>
        <w:t>Le</w:t>
      </w:r>
      <w:r>
        <w:rPr>
          <w:rFonts w:eastAsia="Arial"/>
          <w:b/>
          <w:color w:val="000000" w:themeColor="text1"/>
        </w:rPr>
        <w:t xml:space="preserve"> </w:t>
      </w:r>
      <w:r>
        <w:rPr>
          <w:rFonts w:eastAsia="Arial"/>
          <w:color w:val="000000" w:themeColor="text1"/>
        </w:rPr>
        <w:t>CC</w:t>
      </w:r>
      <w:r>
        <w:rPr>
          <w:color w:val="000000" w:themeColor="text1"/>
        </w:rPr>
        <w:t xml:space="preserve"> 2022-2026 est assez efficace.  En effet, il a utilisé une stratégie de mise en œuvre basée sur la répartition des Réalisations et des priorités stratégiques structurées par groupe de résultats. Son cadre de résultats a des liens logiques et contributifs entre les indicateurs de Produits et ceux de Réalisations. Bien que ce cadre de résultats soit bien structuré, la plupart des indicateurs de produits et d’effets ne sont pas assez spécifiques et mesurables pour démontrer les progrès. </w:t>
      </w:r>
      <w:r>
        <w:rPr>
          <w:rFonts w:eastAsia="Arial"/>
          <w:color w:val="000000" w:themeColor="text1"/>
        </w:rPr>
        <w:t>Les enjeux de la durabilité</w:t>
      </w:r>
      <w:r>
        <w:rPr>
          <w:rFonts w:eastAsia="Arial"/>
          <w:color w:val="000000" w:themeColor="text1"/>
          <w:sz w:val="22"/>
          <w:szCs w:val="22"/>
        </w:rPr>
        <w:t xml:space="preserve"> </w:t>
      </w:r>
      <w:r>
        <w:rPr>
          <w:color w:val="000000" w:themeColor="text1"/>
        </w:rPr>
        <w:t xml:space="preserve">environnementale, le triple lien développement-paix-humanitaire (nexus) et les problématiques régionales et transfrontalières émergent clairement des Produits et des approches d’intervention avec des indicateurs spécifiques pour les appréhender. Le CC 2022-2026 a contribué à travers l’élaboration des lois, des politiques et des cadres normatifs, à des changements institutionnels et législatifs dans la gouvernance, le capital humain, l’appui institutionnel ou la durabilité environnementale. Globalement, </w:t>
      </w:r>
      <w:r>
        <w:rPr>
          <w:rFonts w:ascii="TimesNewRomanPSMT" w:hAnsi="TimesNewRomanPSMT" w:cs="TimesNewRomanPSMT"/>
          <w:color w:val="000000" w:themeColor="text1"/>
        </w:rPr>
        <w:t>la mesure des performances des Produits du CC s’est heurtée pour la plupart à la carence des données tant en interne pour certains indicateurs de Produits qu’en externe avec certains indicateurs de Réalisation, et à la communication résiduelle entre les agences travaillant dans les mêmes zones ou sur les mêmes thématiques. En outre, l</w:t>
      </w:r>
      <w:r>
        <w:rPr>
          <w:color w:val="000000" w:themeColor="text1"/>
        </w:rPr>
        <w:t>a formulation inadéquate de la plupart des indicateurs de Produits et l’introduction des sous-produits dans les plans de travail conjoints</w:t>
      </w:r>
      <w:r>
        <w:rPr>
          <w:rStyle w:val="Marquedecommentaire"/>
          <w:rFonts w:ascii="Calibri" w:eastAsia="Calibri" w:hAnsi="Calibri"/>
          <w:color w:val="000000" w:themeColor="text1"/>
        </w:rPr>
        <w:t xml:space="preserve">, </w:t>
      </w:r>
      <w:r>
        <w:rPr>
          <w:color w:val="000000" w:themeColor="text1"/>
        </w:rPr>
        <w:t xml:space="preserve">ont induit un système de rapportage plus axé sur les activités que sur les résultats. L’absence des métadonnées n’a pas facilité la compréhension commune du contenu, ni de la méthode de collecte et de validation des indicateurs.  </w:t>
      </w:r>
    </w:p>
    <w:p w14:paraId="4337F803" w14:textId="77777777" w:rsidR="00EA6DED" w:rsidRDefault="00EA6DED">
      <w:pPr>
        <w:rPr>
          <w:b/>
        </w:rPr>
      </w:pPr>
    </w:p>
    <w:p w14:paraId="4337F804" w14:textId="77777777" w:rsidR="00EA6DED" w:rsidRDefault="007504AE">
      <w:pPr>
        <w:rPr>
          <w:b/>
        </w:rPr>
      </w:pPr>
      <w:r>
        <w:rPr>
          <w:b/>
        </w:rPr>
        <w:t>Efficience</w:t>
      </w:r>
    </w:p>
    <w:p w14:paraId="4337F805" w14:textId="77777777" w:rsidR="00EA6DED" w:rsidRDefault="007504AE">
      <w:pPr>
        <w:jc w:val="both"/>
        <w:rPr>
          <w:rFonts w:eastAsia="Calibri"/>
          <w:sz w:val="22"/>
          <w:szCs w:val="22"/>
          <w:highlight w:val="yellow"/>
        </w:rPr>
      </w:pPr>
      <w:r>
        <w:t>Le CC 2022-2026 dispose des mécanismes d’optimisation des coûts et des modalités de gestion basées sur le BOS et HACT pour réduire les coûts de transaction entre les agences et faciliter le décaissement et le suivi des fonds auprès des partenaires gouvernementaux. En matière de communication, en dehors des plateformes de communication en ligne un accord est signé avec les médias d’Etat pour la promotion et la diffusion des résultats du Cadre de coopération. Les agences des Nations Unies mettent conjointement leurs expertises comparatives pour mobiliser les ressources et réduire les charges opérationnelles des projets conjoints. En outre, le CC 2022-2026 s’est doté d'un cadre de financement intégré avec une stratégie de mobilisation de ressources et des outils adaptés. L'allocation des ressources s'effectue en fonction des priorités collectives, en tenant compte des cibles LNOB et des enjeux de durabilité environnementale, de la résilience économique ou de l’inclusion sociale. Toutefois, la rotation fréquente du personnel, les sous-effectifs dans certaines agences y compris au BCR, le modèle financier rigide des agences, l’utilisation approximative de UNinfo, la faible capacité de planification, de gestion et de suivi des programmes, limitent l’optimalité des ressources et l’efficience programmatique. En outre, l’efficience du CC fait face à l’absence d’un dispositif harmonisé de suivi financier pour améliorer la transparence et l’analyse de l’optimalité des ressources, dans la perspective de la mise en œuvre de l’approche One UN budget</w:t>
      </w:r>
      <w:r>
        <w:rPr>
          <w:sz w:val="22"/>
          <w:szCs w:val="22"/>
        </w:rPr>
        <w:t xml:space="preserve">. </w:t>
      </w:r>
    </w:p>
    <w:p w14:paraId="4337F806" w14:textId="77777777" w:rsidR="00EA6DED" w:rsidRDefault="00EA6DED">
      <w:pPr>
        <w:contextualSpacing/>
        <w:rPr>
          <w:b/>
        </w:rPr>
      </w:pPr>
    </w:p>
    <w:p w14:paraId="4337F807" w14:textId="77777777" w:rsidR="00EA6DED" w:rsidRDefault="007504AE">
      <w:pPr>
        <w:contextualSpacing/>
        <w:rPr>
          <w:b/>
        </w:rPr>
      </w:pPr>
      <w:r>
        <w:rPr>
          <w:b/>
        </w:rPr>
        <w:t>Orientation vers l’impact</w:t>
      </w:r>
    </w:p>
    <w:p w14:paraId="4337F808" w14:textId="77777777" w:rsidR="00EA6DED" w:rsidRDefault="007504AE">
      <w:pPr>
        <w:pStyle w:val="NormalWeb"/>
        <w:spacing w:before="0" w:beforeAutospacing="0" w:after="0" w:afterAutospacing="0"/>
        <w:contextualSpacing/>
        <w:jc w:val="both"/>
        <w:rPr>
          <w:rFonts w:eastAsia="Times New Roman"/>
        </w:rPr>
      </w:pPr>
      <w:r>
        <w:rPr>
          <w:rFonts w:eastAsia="Times New Roman"/>
        </w:rPr>
        <w:t xml:space="preserve">Le CC 2022-2026 présente une excellente orientation vers l’impact. En effet, il a joué un rôle clé dans l'identification et la coordination des réponses aux enjeux émergents, grâce à un partage d'informations opportunes, à une capacité d'adaptation aux circonstances changeantes et à l'engagement des parties prenantes pour assurer la cohérence interne et externe. En effet, la tendance globalement positive des indicateurs de réalisations, le soutien des Nations Unies au gouvernement, l'alignement du cadre de coopération sur les </w:t>
      </w:r>
      <w:r>
        <w:rPr>
          <w:rFonts w:eastAsia="Times New Roman"/>
        </w:rPr>
        <w:lastRenderedPageBreak/>
        <w:t>priorités nationales, régionales et internationales, ainsi que l'appui à l'élaboration des lois et des cadres normatifs, illustrent le potentiel du CC à générer un impact, en dépit de l’absence d’un cadre de mesure efficace et robuste, pour apprécier son poids dans les résultats nationaux.</w:t>
      </w:r>
    </w:p>
    <w:p w14:paraId="4337F809" w14:textId="77777777" w:rsidR="00EA6DED" w:rsidRDefault="00EA6DED">
      <w:pPr>
        <w:pStyle w:val="NormalWeb"/>
        <w:spacing w:before="0" w:beforeAutospacing="0" w:after="0" w:afterAutospacing="0"/>
        <w:contextualSpacing/>
        <w:jc w:val="both"/>
      </w:pPr>
    </w:p>
    <w:p w14:paraId="4337F80A" w14:textId="77777777" w:rsidR="00EA6DED" w:rsidRDefault="007504AE">
      <w:pPr>
        <w:rPr>
          <w:b/>
        </w:rPr>
      </w:pPr>
      <w:r>
        <w:rPr>
          <w:b/>
        </w:rPr>
        <w:t>Durabilité</w:t>
      </w:r>
    </w:p>
    <w:p w14:paraId="4337F80B" w14:textId="77777777" w:rsidR="00EA6DED" w:rsidRDefault="007504AE">
      <w:pPr>
        <w:contextualSpacing/>
        <w:jc w:val="both"/>
      </w:pPr>
      <w:r>
        <w:t>Le cadre de coopération a intégré dans sa structure des mécanismes visant à promouvoir la pérennité des acquis sur les plans socio-politiques, institutionnels, financiers et environnementaux. Cela inclut la planification conjointe, l’assistance technique et financière, une stratégie de faire-faire, le suivi au sein des plateformes sectorielles, ainsi que la rétrocession des infrastructures et des équipements. De nombreuses agences appliquent l'approche HACT, et des visites conjointes entre le gouvernement et les agences ont été effectuées. Les activités des nations unies proposent des approches durables qui s’intègrent dans les priorités nationales et les besoins à long terme des institutions et des populations. En outre, la durabilité environnementale constitue un marqueur transversal majeur dans le cadre des interventions. Cependant, l’absence d’un plan de dévolution des programmes et les faibles capacités institutionnelles/organisationnelles des partenaires nationaux restent un obstacle majeur à la durabilité</w:t>
      </w:r>
      <w:bookmarkStart w:id="24" w:name="_heading=h.pjnalan9bvi9" w:colFirst="0" w:colLast="0"/>
      <w:bookmarkEnd w:id="24"/>
      <w:r>
        <w:t xml:space="preserve">. </w:t>
      </w:r>
    </w:p>
    <w:p w14:paraId="4337F80C" w14:textId="77777777" w:rsidR="00EA6DED" w:rsidRDefault="00EA6DED">
      <w:pPr>
        <w:spacing w:line="276" w:lineRule="auto"/>
        <w:jc w:val="both"/>
      </w:pPr>
    </w:p>
    <w:p w14:paraId="4337F80D" w14:textId="77777777" w:rsidR="00EA6DED" w:rsidRDefault="007504AE">
      <w:pPr>
        <w:pStyle w:val="Titre2"/>
        <w:rPr>
          <w:rFonts w:ascii="Times New Roman" w:hAnsi="Times New Roman"/>
          <w:color w:val="0000FF"/>
          <w:sz w:val="24"/>
          <w:szCs w:val="24"/>
        </w:rPr>
      </w:pPr>
      <w:bookmarkStart w:id="25" w:name="_Toc8896"/>
      <w:r>
        <w:rPr>
          <w:rFonts w:ascii="Times New Roman" w:hAnsi="Times New Roman"/>
          <w:color w:val="0000FF"/>
          <w:sz w:val="24"/>
          <w:szCs w:val="24"/>
        </w:rPr>
        <w:t>1.6 Principales Recommandations</w:t>
      </w:r>
      <w:bookmarkEnd w:id="25"/>
      <w:r>
        <w:rPr>
          <w:rFonts w:ascii="Times New Roman" w:hAnsi="Times New Roman"/>
          <w:color w:val="0000FF"/>
          <w:sz w:val="24"/>
          <w:szCs w:val="24"/>
        </w:rPr>
        <w:t xml:space="preserve"> </w:t>
      </w:r>
    </w:p>
    <w:p w14:paraId="4337F80E" w14:textId="77777777" w:rsidR="00EA6DED" w:rsidRDefault="007504AE">
      <w:pPr>
        <w:rPr>
          <w:b/>
          <w:color w:val="000000"/>
          <w:szCs w:val="21"/>
        </w:rPr>
      </w:pPr>
      <w:r>
        <w:rPr>
          <w:b/>
          <w:color w:val="000000"/>
          <w:szCs w:val="21"/>
        </w:rPr>
        <w:t>Recommandations stratégiques</w:t>
      </w:r>
    </w:p>
    <w:p w14:paraId="4337F80F" w14:textId="77777777" w:rsidR="00EA6DED" w:rsidRDefault="007504AE">
      <w:pPr>
        <w:pStyle w:val="Paragraphedeliste"/>
        <w:numPr>
          <w:ilvl w:val="0"/>
          <w:numId w:val="5"/>
        </w:numPr>
        <w:jc w:val="both"/>
        <w:rPr>
          <w:b/>
          <w:color w:val="000000"/>
          <w:szCs w:val="21"/>
        </w:rPr>
      </w:pPr>
      <w:r>
        <w:t xml:space="preserve">Renforcer les mécanismes d'adaptation continue du Plan Cadre de Coopération pour assurer que les programmes du SNU répondent de manière proactive aux défis et opportunités émergents. En plus de l’actualisation annuelle de l'Analyse Commune de Pays (ACP), ces mécanismes devraient inclure une revue annuelle de la théorie du changement et un point spécifique à l’ordre du jour des sessions du COPIL sur les défis et les opportunités émergentes.  </w:t>
      </w:r>
    </w:p>
    <w:p w14:paraId="4337F810" w14:textId="77777777" w:rsidR="00EA6DED" w:rsidRDefault="007504AE">
      <w:pPr>
        <w:pStyle w:val="Paragraphedeliste"/>
        <w:ind w:left="360"/>
        <w:jc w:val="both"/>
        <w:rPr>
          <w:b/>
          <w:color w:val="000000"/>
          <w:szCs w:val="21"/>
        </w:rPr>
      </w:pPr>
      <w:r>
        <w:rPr>
          <w:b/>
          <w:color w:val="000000"/>
          <w:szCs w:val="21"/>
        </w:rPr>
        <w:t xml:space="preserve"> </w:t>
      </w:r>
    </w:p>
    <w:p w14:paraId="4337F811" w14:textId="77777777" w:rsidR="00EA6DED" w:rsidRDefault="007504AE">
      <w:pPr>
        <w:pStyle w:val="Paragraphedeliste"/>
        <w:numPr>
          <w:ilvl w:val="0"/>
          <w:numId w:val="5"/>
        </w:numPr>
        <w:ind w:hanging="357"/>
        <w:jc w:val="both"/>
        <w:rPr>
          <w:color w:val="000000" w:themeColor="text1"/>
        </w:rPr>
      </w:pPr>
      <w:r>
        <w:t xml:space="preserve">Engager un dialogue politique stratégique structuré avec les partenaires nationaux pour un ancrage plus adéquat du prochain Cadre de </w:t>
      </w:r>
      <w:r>
        <w:rPr>
          <w:color w:val="000000" w:themeColor="text1"/>
        </w:rPr>
        <w:t>Coopération aux priorités nationales et aux défis émergents en se concentrant sur l'intégration de solutions concrètes dans les domaines suivants :</w:t>
      </w:r>
    </w:p>
    <w:p w14:paraId="4337F812" w14:textId="77777777" w:rsidR="00EA6DED" w:rsidRDefault="007504AE">
      <w:pPr>
        <w:pStyle w:val="Paragraphedeliste"/>
        <w:numPr>
          <w:ilvl w:val="1"/>
          <w:numId w:val="5"/>
        </w:numPr>
        <w:ind w:left="993" w:hanging="357"/>
        <w:jc w:val="both"/>
        <w:rPr>
          <w:color w:val="000000" w:themeColor="text1"/>
        </w:rPr>
      </w:pPr>
      <w:r>
        <w:rPr>
          <w:color w:val="000000" w:themeColor="text1"/>
        </w:rPr>
        <w:t>L’expertise de la diaspora et la mobilisation des ressources pour la transformation économique.</w:t>
      </w:r>
    </w:p>
    <w:p w14:paraId="4337F813" w14:textId="77777777" w:rsidR="00EA6DED" w:rsidRDefault="007504AE">
      <w:pPr>
        <w:pStyle w:val="Paragraphedeliste"/>
        <w:numPr>
          <w:ilvl w:val="1"/>
          <w:numId w:val="5"/>
        </w:numPr>
        <w:ind w:left="993" w:hanging="357"/>
        <w:jc w:val="both"/>
        <w:rPr>
          <w:color w:val="000000" w:themeColor="text1"/>
        </w:rPr>
      </w:pPr>
      <w:r>
        <w:rPr>
          <w:color w:val="000000" w:themeColor="text1"/>
        </w:rPr>
        <w:t>L’accélération de la transition numérique et le développement de solutions technologiques innovantes.</w:t>
      </w:r>
    </w:p>
    <w:p w14:paraId="4337F814" w14:textId="77777777" w:rsidR="00EA6DED" w:rsidRDefault="007504AE">
      <w:pPr>
        <w:pStyle w:val="Paragraphedeliste"/>
        <w:numPr>
          <w:ilvl w:val="1"/>
          <w:numId w:val="5"/>
        </w:numPr>
        <w:ind w:left="993" w:hanging="357"/>
        <w:jc w:val="both"/>
        <w:rPr>
          <w:color w:val="000000" w:themeColor="text1"/>
        </w:rPr>
      </w:pPr>
      <w:r>
        <w:rPr>
          <w:color w:val="000000" w:themeColor="text1"/>
        </w:rPr>
        <w:t>Le soutien à la compétitivité et à l'attractivité du secteur privé, en vue de la création d'emplois durables.</w:t>
      </w:r>
    </w:p>
    <w:p w14:paraId="4337F815" w14:textId="77777777" w:rsidR="00EA6DED" w:rsidRDefault="007504AE">
      <w:pPr>
        <w:pStyle w:val="Paragraphedeliste"/>
        <w:numPr>
          <w:ilvl w:val="1"/>
          <w:numId w:val="5"/>
        </w:numPr>
        <w:ind w:left="993" w:hanging="357"/>
        <w:jc w:val="both"/>
        <w:rPr>
          <w:color w:val="000000" w:themeColor="text1"/>
        </w:rPr>
      </w:pPr>
      <w:r>
        <w:rPr>
          <w:color w:val="000000" w:themeColor="text1"/>
        </w:rPr>
        <w:t>L’investissement ciblé dans les secteurs où le progrès des ODD est lent (analyse par "niche").</w:t>
      </w:r>
    </w:p>
    <w:p w14:paraId="4337F816" w14:textId="77777777" w:rsidR="00EA6DED" w:rsidRDefault="007504AE">
      <w:pPr>
        <w:pStyle w:val="Paragraphedeliste"/>
        <w:numPr>
          <w:ilvl w:val="1"/>
          <w:numId w:val="5"/>
        </w:numPr>
        <w:ind w:left="993" w:hanging="357"/>
        <w:jc w:val="both"/>
        <w:rPr>
          <w:color w:val="000000" w:themeColor="text1"/>
        </w:rPr>
      </w:pPr>
      <w:r>
        <w:rPr>
          <w:color w:val="000000" w:themeColor="text1"/>
        </w:rPr>
        <w:t>Le développement de partenariats stratégiques et de services intégrés dans les zones de convergence ou les thématiques convergentes.</w:t>
      </w:r>
    </w:p>
    <w:p w14:paraId="4337F817" w14:textId="77777777" w:rsidR="00EA6DED" w:rsidRDefault="007504AE">
      <w:pPr>
        <w:pStyle w:val="Paragraphedeliste"/>
        <w:numPr>
          <w:ilvl w:val="1"/>
          <w:numId w:val="5"/>
        </w:numPr>
        <w:ind w:left="993" w:hanging="357"/>
        <w:jc w:val="both"/>
        <w:rPr>
          <w:color w:val="000000" w:themeColor="text1"/>
        </w:rPr>
      </w:pPr>
      <w:r>
        <w:rPr>
          <w:color w:val="000000" w:themeColor="text1"/>
        </w:rPr>
        <w:t>La localisation des transitions clés et du Pacte mondial pour l'avenir pour les adapter au contexte camerounais.</w:t>
      </w:r>
    </w:p>
    <w:p w14:paraId="4337F818" w14:textId="77777777" w:rsidR="00EA6DED" w:rsidRDefault="00EA6DED">
      <w:pPr>
        <w:jc w:val="both"/>
        <w:rPr>
          <w:b/>
          <w:color w:val="000000"/>
          <w:szCs w:val="21"/>
        </w:rPr>
      </w:pPr>
    </w:p>
    <w:p w14:paraId="4337F819" w14:textId="77777777" w:rsidR="00EA6DED" w:rsidRDefault="007504AE">
      <w:pPr>
        <w:jc w:val="both"/>
        <w:rPr>
          <w:b/>
          <w:color w:val="000000"/>
          <w:szCs w:val="21"/>
        </w:rPr>
      </w:pPr>
      <w:r>
        <w:rPr>
          <w:b/>
          <w:color w:val="000000"/>
          <w:szCs w:val="21"/>
        </w:rPr>
        <w:t xml:space="preserve">Recommandations programmatiques </w:t>
      </w:r>
    </w:p>
    <w:p w14:paraId="4337F81A" w14:textId="77777777" w:rsidR="00EA6DED" w:rsidRDefault="007504AE">
      <w:pPr>
        <w:pStyle w:val="Paragraphedeliste"/>
        <w:numPr>
          <w:ilvl w:val="0"/>
          <w:numId w:val="6"/>
        </w:numPr>
        <w:jc w:val="both"/>
        <w:rPr>
          <w:b/>
          <w:color w:val="000000"/>
          <w:szCs w:val="21"/>
        </w:rPr>
      </w:pPr>
      <w:r>
        <w:t>Assurer l’efficacité et la redevabilité programmatique du prochain cadre de coopération en se basant sur les leçons tirées d’une analyse critique du cadre de résultats du Plan de coopération actuel, en renforçant les capacités du SNU et des partenaires nationaux en Gestion Axée sur les Résultats avec des indicateurs mesurables de performance et de suivi ;</w:t>
      </w:r>
    </w:p>
    <w:p w14:paraId="4337F81B" w14:textId="77777777" w:rsidR="00EA6DED" w:rsidRDefault="007504AE">
      <w:pPr>
        <w:pStyle w:val="Paragraphedeliste"/>
        <w:numPr>
          <w:ilvl w:val="0"/>
          <w:numId w:val="6"/>
        </w:numPr>
        <w:jc w:val="both"/>
        <w:rPr>
          <w:b/>
          <w:color w:val="000000"/>
          <w:szCs w:val="21"/>
        </w:rPr>
      </w:pPr>
      <w:r>
        <w:t xml:space="preserve">Renforcer le système de génération des données et informations stratégiques au sein du SNU pour un suivi, rapportage et évaluation efficaces du Plan Cadre de Coopération en améliorant l’usage de la plateforme Uninfo, en développant des métadonnées communes, et en soutenant durablement les structures nationales dans la production et la gestion des données ; </w:t>
      </w:r>
    </w:p>
    <w:p w14:paraId="4337F81C" w14:textId="77777777" w:rsidR="00EA6DED" w:rsidRDefault="007504AE">
      <w:pPr>
        <w:pStyle w:val="Paragraphedeliste"/>
        <w:numPr>
          <w:ilvl w:val="0"/>
          <w:numId w:val="6"/>
        </w:numPr>
        <w:jc w:val="both"/>
        <w:rPr>
          <w:b/>
          <w:color w:val="000000"/>
          <w:szCs w:val="21"/>
        </w:rPr>
      </w:pPr>
      <w:r>
        <w:t>Intégrer dans les Procédures Opérationnelles Standards (SOP) d’élaboration des projets et programmes du SNU, un plan de dévolution comme marqueur de durabilité, détaillant les modalités de transfert des responsabilités, capacités et ressources aux institutions nationales ou partenaires.</w:t>
      </w:r>
    </w:p>
    <w:p w14:paraId="4337F81D" w14:textId="77777777" w:rsidR="00EA6DED" w:rsidRDefault="00EA6DED">
      <w:pPr>
        <w:rPr>
          <w:b/>
          <w:color w:val="000000"/>
          <w:szCs w:val="21"/>
        </w:rPr>
      </w:pPr>
    </w:p>
    <w:p w14:paraId="4337F81E" w14:textId="77777777" w:rsidR="00EA6DED" w:rsidRDefault="00EA6DED">
      <w:pPr>
        <w:rPr>
          <w:b/>
          <w:color w:val="000000"/>
          <w:szCs w:val="21"/>
        </w:rPr>
      </w:pPr>
    </w:p>
    <w:p w14:paraId="4337F81F" w14:textId="77777777" w:rsidR="00EA6DED" w:rsidRDefault="007504AE">
      <w:pPr>
        <w:numPr>
          <w:ilvl w:val="0"/>
          <w:numId w:val="3"/>
        </w:numPr>
        <w:ind w:right="550"/>
        <w:rPr>
          <w:rStyle w:val="Titre1Car"/>
          <w:rFonts w:ascii="Times New Roman" w:hAnsi="Times New Roman"/>
          <w:sz w:val="28"/>
          <w:shd w:val="clear" w:color="auto" w:fill="FFFFFF"/>
        </w:rPr>
      </w:pPr>
      <w:bookmarkStart w:id="26" w:name="_Toc14930"/>
      <w:r>
        <w:rPr>
          <w:rStyle w:val="Titre1Car"/>
          <w:rFonts w:ascii="Times New Roman" w:hAnsi="Times New Roman"/>
          <w:sz w:val="28"/>
          <w:shd w:val="clear" w:color="auto" w:fill="FFFFFF"/>
        </w:rPr>
        <w:lastRenderedPageBreak/>
        <w:t xml:space="preserve">Introduction </w:t>
      </w:r>
    </w:p>
    <w:bookmarkEnd w:id="26"/>
    <w:p w14:paraId="4337F820" w14:textId="77777777" w:rsidR="00EA6DED" w:rsidRDefault="00EA6DED">
      <w:pPr>
        <w:ind w:firstLine="708"/>
        <w:contextualSpacing/>
        <w:rPr>
          <w:sz w:val="22"/>
          <w:szCs w:val="22"/>
        </w:rPr>
      </w:pPr>
    </w:p>
    <w:p w14:paraId="4337F821" w14:textId="77777777" w:rsidR="00EA6DED" w:rsidRDefault="007504AE">
      <w:pPr>
        <w:pStyle w:val="Titre2"/>
        <w:rPr>
          <w:rFonts w:ascii="Times New Roman" w:hAnsi="Times New Roman"/>
          <w:color w:val="0000FF"/>
          <w:sz w:val="24"/>
          <w:szCs w:val="24"/>
        </w:rPr>
      </w:pPr>
      <w:bookmarkStart w:id="27" w:name="_Toc19791"/>
      <w:r>
        <w:rPr>
          <w:rFonts w:ascii="Times New Roman" w:hAnsi="Times New Roman"/>
          <w:color w:val="0000FF"/>
          <w:sz w:val="24"/>
          <w:szCs w:val="24"/>
        </w:rPr>
        <w:t>2.1 But et objectif de l’évaluation</w:t>
      </w:r>
      <w:bookmarkEnd w:id="27"/>
    </w:p>
    <w:p w14:paraId="4337F822" w14:textId="77777777" w:rsidR="00EA6DED" w:rsidRDefault="007504AE">
      <w:pPr>
        <w:jc w:val="both"/>
      </w:pPr>
      <w:r>
        <w:t xml:space="preserve">Mandatée par le SNU au Cameroun, l'évaluation finale du CC 2022-2026 est un exercice </w:t>
      </w:r>
      <w:r>
        <w:rPr>
          <w:kern w:val="2"/>
        </w:rPr>
        <w:t>obligatoire et indépendant réalisé à l’échelle du pays et du système des Nations Unies. Elle permet d’assurer la redevabilité, le soutien et l’apprentissage et éclaire les décisions concernant la conception du prochain cadre de coopération.</w:t>
      </w:r>
      <w:r>
        <w:t xml:space="preserve"> Les résultats de cette évaluation profiteront à divers acteurs dont le SNU, le Gouvernement, les partenaires techniques et financiers, les OSC, le secteur privé et les bénéficiaires eux-mêmes pour apprécier la pertinence et la performance des interventions du SNU et orienter les stratégies de collaboration et de financement. Ils contribueront également à la préparation du prochain Cadre de coopération, afin d’assurer une meilleure prise en compte des besoins des populations et un plus grand alignement aux priorités nationales.</w:t>
      </w:r>
    </w:p>
    <w:p w14:paraId="4337F823" w14:textId="77777777" w:rsidR="00EA6DED" w:rsidRDefault="00EA6DED">
      <w:pPr>
        <w:jc w:val="both"/>
      </w:pPr>
    </w:p>
    <w:p w14:paraId="4337F824" w14:textId="77777777" w:rsidR="00EA6DED" w:rsidRDefault="007504AE">
      <w:pPr>
        <w:jc w:val="both"/>
      </w:pPr>
      <w:r>
        <w:t>De manière spécifique, cette évaluation a permis de :</w:t>
      </w:r>
    </w:p>
    <w:p w14:paraId="4337F825" w14:textId="77777777" w:rsidR="00EA6DED" w:rsidRDefault="007504AE">
      <w:pPr>
        <w:pStyle w:val="Paragraphedeliste"/>
        <w:numPr>
          <w:ilvl w:val="0"/>
          <w:numId w:val="7"/>
        </w:numPr>
        <w:jc w:val="both"/>
      </w:pPr>
      <w:r>
        <w:t xml:space="preserve">Apprécier le positionnement stratégique de l’Equipe-Pays des Nations Unies, par rapport aux priorités nationales en évaluant la pertinence de la contribution du CC à l’atteinte des résultats nationaux ; </w:t>
      </w:r>
    </w:p>
    <w:p w14:paraId="4337F826" w14:textId="77777777" w:rsidR="00EA6DED" w:rsidRDefault="007504AE">
      <w:pPr>
        <w:pStyle w:val="Paragraphedeliste"/>
        <w:numPr>
          <w:ilvl w:val="0"/>
          <w:numId w:val="7"/>
        </w:numPr>
        <w:jc w:val="both"/>
      </w:pPr>
      <w:r>
        <w:t>Apprécier les changements induits par les interventions du SNU sur les institutions et sur les populations cibles en termes d’efficacité, de durabilité et d’efficience ;</w:t>
      </w:r>
    </w:p>
    <w:p w14:paraId="4337F827" w14:textId="77777777" w:rsidR="00EA6DED" w:rsidRDefault="007504AE">
      <w:pPr>
        <w:pStyle w:val="Paragraphedeliste"/>
        <w:numPr>
          <w:ilvl w:val="0"/>
          <w:numId w:val="7"/>
        </w:numPr>
        <w:jc w:val="both"/>
      </w:pPr>
      <w:r>
        <w:t xml:space="preserve">Recenser les facteurs qui ont affecté l’effectivité et/ou les goulots d’étranglement lors de la mise en œuvre ; </w:t>
      </w:r>
    </w:p>
    <w:p w14:paraId="4337F828" w14:textId="77777777" w:rsidR="00EA6DED" w:rsidRDefault="007504AE">
      <w:pPr>
        <w:pStyle w:val="Paragraphedeliste"/>
        <w:numPr>
          <w:ilvl w:val="0"/>
          <w:numId w:val="7"/>
        </w:numPr>
        <w:jc w:val="both"/>
      </w:pPr>
      <w:r>
        <w:t>Analyser la prise en compte, des résultats acquis par priorité stratégique et effets induits ;</w:t>
      </w:r>
    </w:p>
    <w:p w14:paraId="4337F829" w14:textId="77777777" w:rsidR="00EA6DED" w:rsidRDefault="007504AE">
      <w:pPr>
        <w:pStyle w:val="Paragraphedeliste"/>
        <w:numPr>
          <w:ilvl w:val="0"/>
          <w:numId w:val="7"/>
        </w:numPr>
        <w:jc w:val="both"/>
      </w:pPr>
      <w:r>
        <w:t>Identifier les contraintes dans la mise en œuvre du CC notamment en termes de fonctionnalité des différents comités de suivi, de mobilisation de ressources, d’efficacité du cadre institutionnel, dans la mise en œuvre des plans de travail conjoints ;</w:t>
      </w:r>
    </w:p>
    <w:p w14:paraId="4337F82A" w14:textId="77777777" w:rsidR="00EA6DED" w:rsidRDefault="007504AE">
      <w:pPr>
        <w:pStyle w:val="Paragraphedeliste"/>
        <w:numPr>
          <w:ilvl w:val="0"/>
          <w:numId w:val="7"/>
        </w:numPr>
        <w:jc w:val="both"/>
      </w:pPr>
      <w:r>
        <w:t>Fournir des recommandations à capitaliser dans le cadre de l’élaboration du prochain cycle du Cadre de Coopération.</w:t>
      </w:r>
    </w:p>
    <w:p w14:paraId="4337F82B" w14:textId="77777777" w:rsidR="00EA6DED" w:rsidRDefault="00EA6DED">
      <w:pPr>
        <w:jc w:val="both"/>
        <w:rPr>
          <w:rFonts w:eastAsia="Arial"/>
          <w:sz w:val="28"/>
        </w:rPr>
      </w:pPr>
    </w:p>
    <w:p w14:paraId="4337F82C" w14:textId="77777777" w:rsidR="00EA6DED" w:rsidRDefault="007504AE">
      <w:pPr>
        <w:pStyle w:val="Titre2"/>
        <w:rPr>
          <w:rFonts w:ascii="Times New Roman" w:hAnsi="Times New Roman"/>
          <w:color w:val="0000FF"/>
          <w:sz w:val="24"/>
          <w:szCs w:val="24"/>
        </w:rPr>
      </w:pPr>
      <w:bookmarkStart w:id="28" w:name="_Toc7598"/>
      <w:r>
        <w:rPr>
          <w:rFonts w:ascii="Times New Roman" w:hAnsi="Times New Roman"/>
          <w:color w:val="0000FF"/>
          <w:sz w:val="24"/>
          <w:szCs w:val="24"/>
        </w:rPr>
        <w:t>2.2 Portée de l’évaluation</w:t>
      </w:r>
      <w:bookmarkEnd w:id="28"/>
    </w:p>
    <w:p w14:paraId="4337F82D" w14:textId="77777777" w:rsidR="00EA6DED" w:rsidRDefault="007504AE">
      <w:pPr>
        <w:contextualSpacing/>
        <w:jc w:val="both"/>
        <w:rPr>
          <w:color w:val="000000"/>
        </w:rPr>
      </w:pPr>
      <w:r>
        <w:rPr>
          <w:color w:val="000000"/>
        </w:rPr>
        <w:t xml:space="preserve">Cette évaluation s’est faite de manière analytique, inclusive, participative et intégrée à travers une portée programmatique, thématique, temporelle et géographique. </w:t>
      </w:r>
    </w:p>
    <w:p w14:paraId="4337F82E" w14:textId="77777777" w:rsidR="00EA6DED" w:rsidRDefault="00EA6DED">
      <w:pPr>
        <w:contextualSpacing/>
        <w:jc w:val="both"/>
        <w:rPr>
          <w:color w:val="000000"/>
          <w:sz w:val="4"/>
          <w:szCs w:val="4"/>
        </w:rPr>
      </w:pPr>
    </w:p>
    <w:p w14:paraId="4337F82F" w14:textId="77777777" w:rsidR="00EA6DED" w:rsidRDefault="007504AE">
      <w:pPr>
        <w:contextualSpacing/>
        <w:jc w:val="both"/>
      </w:pPr>
      <w:r>
        <w:rPr>
          <w:b/>
          <w:bCs/>
          <w:color w:val="000000"/>
        </w:rPr>
        <w:t xml:space="preserve">Au niveau </w:t>
      </w:r>
      <w:r>
        <w:rPr>
          <w:rFonts w:eastAsia="Calibri"/>
          <w:b/>
          <w:bCs/>
          <w:color w:val="000000"/>
          <w:lang w:val="zh-CN"/>
        </w:rPr>
        <w:t>programmatique et thématique</w:t>
      </w:r>
      <w:r>
        <w:rPr>
          <w:rFonts w:eastAsia="Calibri"/>
          <w:bCs/>
          <w:color w:val="000000"/>
          <w:lang w:val="zh-CN"/>
        </w:rPr>
        <w:t xml:space="preserve">, </w:t>
      </w:r>
      <w:r>
        <w:t>l’évaluation a couvert l’ensemble des contributions aux résultats du CC à travers les programmes, projets et interventions contenus dans les plans de travail conjoints et  mis en œuvre par l’Équipe-Pays des Nations Unies, tant au niveau national que régional, pour la période considérée. Elle a intégré les apports des différentes agences signataires du Cadre de Coopération 2022-2026 et s’est appuyée sur les évaluations existantes disponibles de certaines agences ou sectorielles. Elle a pris en compte les priorités transversales du cadre de coopération 2022-2026 et les principes programmatiques des Nations Unies, notamment : le principe « Ne laisser personne de côté » (LNOB), les droits humains, l’égalité de genre et l’autonomisation des femmes, l’inclusion des personnes handicapées et des jeunes, la durabilité environnementale ainsi que la gestion axée sur les résultats. L’évaluation a également examiné la mise en œuvre, le suivi, le rapportage et les mécanismes de coordination et de gouvernance de CC 2022-2026. Enfin, elle a considéré les évolutions du contexte national.</w:t>
      </w:r>
    </w:p>
    <w:p w14:paraId="4337F830" w14:textId="77777777" w:rsidR="00EA6DED" w:rsidRDefault="00EA6DED">
      <w:pPr>
        <w:jc w:val="both"/>
        <w:rPr>
          <w:rFonts w:eastAsia="Calibri"/>
          <w:color w:val="000000"/>
          <w:lang w:val="zh-CN" w:eastAsia="zh-CN"/>
        </w:rPr>
      </w:pPr>
    </w:p>
    <w:p w14:paraId="4337F831" w14:textId="77777777" w:rsidR="00EA6DED" w:rsidRDefault="007504AE">
      <w:pPr>
        <w:jc w:val="both"/>
        <w:rPr>
          <w:rFonts w:eastAsia="AppleMyungjo"/>
        </w:rPr>
      </w:pPr>
      <w:r>
        <w:rPr>
          <w:rFonts w:eastAsia="Segoe UI"/>
          <w:b/>
          <w:bCs/>
          <w:color w:val="000000"/>
          <w:lang w:val="zh-CN"/>
        </w:rPr>
        <w:t xml:space="preserve">Au niveau temporel, </w:t>
      </w:r>
      <w:r>
        <w:rPr>
          <w:rFonts w:eastAsia="Segoe UI"/>
          <w:bCs/>
          <w:color w:val="000000"/>
          <w:lang w:val="zh-CN"/>
        </w:rPr>
        <w:t>elle</w:t>
      </w:r>
      <w:r>
        <w:rPr>
          <w:rFonts w:eastAsia="Calibri"/>
          <w:color w:val="000000"/>
          <w:lang w:val="zh-CN"/>
        </w:rPr>
        <w:t xml:space="preserve"> a couvert la période du 1</w:t>
      </w:r>
      <w:r>
        <w:rPr>
          <w:rFonts w:eastAsia="Calibri"/>
          <w:color w:val="000000"/>
          <w:vertAlign w:val="superscript"/>
          <w:lang w:val="zh-CN"/>
        </w:rPr>
        <w:t>er</w:t>
      </w:r>
      <w:r>
        <w:rPr>
          <w:rFonts w:eastAsia="Calibri"/>
          <w:color w:val="000000"/>
          <w:lang w:val="zh-CN"/>
        </w:rPr>
        <w:t xml:space="preserve"> Janvier 2022 au 31 décembre 2024</w:t>
      </w:r>
      <w:r>
        <w:rPr>
          <w:rFonts w:eastAsia="Calibri"/>
          <w:color w:val="000000"/>
        </w:rPr>
        <w:t xml:space="preserve"> pour des raisons de disponibilité des données</w:t>
      </w:r>
      <w:r>
        <w:rPr>
          <w:rFonts w:eastAsia="Calibri"/>
          <w:color w:val="000000"/>
          <w:lang w:val="zh-CN"/>
        </w:rPr>
        <w:t>, en mettant en évidence les tendances de changement sur ces années et la prise en compte inclusive des groupes cibles et les autres parties prenantes.</w:t>
      </w:r>
      <w:r>
        <w:rPr>
          <w:rFonts w:eastAsia="Calibri"/>
          <w:bCs/>
          <w:color w:val="000000"/>
          <w:lang w:val="zh-CN"/>
        </w:rPr>
        <w:t xml:space="preserve"> Quant à la portée géographique, </w:t>
      </w:r>
      <w:r>
        <w:rPr>
          <w:rFonts w:eastAsia="Calibri"/>
          <w:bCs/>
          <w:color w:val="000000"/>
        </w:rPr>
        <w:t xml:space="preserve">l’exploitation documentaire a concerné toutes les régions alors que la collecte des données </w:t>
      </w:r>
      <w:r>
        <w:rPr>
          <w:rFonts w:eastAsia="Calibri"/>
          <w:bCs/>
          <w:color w:val="000000"/>
          <w:lang w:val="zh-CN"/>
        </w:rPr>
        <w:t xml:space="preserve">a couvert </w:t>
      </w:r>
      <w:r>
        <w:rPr>
          <w:rFonts w:eastAsia="Calibri"/>
          <w:bCs/>
          <w:color w:val="000000"/>
        </w:rPr>
        <w:t xml:space="preserve">de manière spécifique les régions du </w:t>
      </w:r>
      <w:r>
        <w:rPr>
          <w:rFonts w:eastAsia="Calibri"/>
          <w:bCs/>
          <w:color w:val="000000"/>
          <w:lang w:val="zh-CN"/>
        </w:rPr>
        <w:t>Centre de l’Extrême-Nord, de l’Est, de l’Ouest et du Sud-Ouest</w:t>
      </w:r>
      <w:r>
        <w:rPr>
          <w:rFonts w:eastAsia="Calibri"/>
          <w:color w:val="000000"/>
          <w:lang w:val="zh-CN"/>
        </w:rPr>
        <w:t xml:space="preserve">. </w:t>
      </w:r>
      <w:r>
        <w:rPr>
          <w:rFonts w:eastAsia="AppleMyungjo"/>
        </w:rPr>
        <w:t xml:space="preserve">Ces zones ont été identifiées avec les orientations de l’équipe-pays et de la partie nationale sur la base de la cartographie des interventions, la vulnérabilité des populations dans certaines régions, l’accessibilité, la concentration et/ou la convergence des programmes/projets de développement et humanitaires du SNU. </w:t>
      </w:r>
    </w:p>
    <w:p w14:paraId="4337F832" w14:textId="77777777" w:rsidR="00EA6DED" w:rsidRDefault="00EA6DED">
      <w:pPr>
        <w:jc w:val="both"/>
        <w:rPr>
          <w:rFonts w:eastAsia="AppleMyungjo"/>
        </w:rPr>
      </w:pPr>
    </w:p>
    <w:p w14:paraId="4337F833" w14:textId="77777777" w:rsidR="00EA6DED" w:rsidRDefault="00EA6DED">
      <w:pPr>
        <w:jc w:val="both"/>
        <w:rPr>
          <w:rFonts w:eastAsia="Aptos"/>
          <w:color w:val="000000"/>
          <w:lang w:val="zh-CN"/>
        </w:rPr>
      </w:pPr>
    </w:p>
    <w:p w14:paraId="4337F834" w14:textId="77777777" w:rsidR="00EA6DED" w:rsidRDefault="00EA6DED">
      <w:pPr>
        <w:contextualSpacing/>
        <w:rPr>
          <w:b/>
          <w:color w:val="0070C0"/>
          <w:sz w:val="22"/>
          <w:szCs w:val="22"/>
        </w:rPr>
      </w:pPr>
      <w:bookmarkStart w:id="29" w:name="_Toc194240174"/>
      <w:bookmarkStart w:id="30" w:name="_Toc194239717"/>
    </w:p>
    <w:p w14:paraId="4337F835" w14:textId="77777777" w:rsidR="00EA6DED" w:rsidRDefault="007504AE">
      <w:pPr>
        <w:contextualSpacing/>
        <w:rPr>
          <w:b/>
          <w:color w:val="0000FF"/>
          <w:szCs w:val="22"/>
        </w:rPr>
      </w:pPr>
      <w:r>
        <w:rPr>
          <w:b/>
          <w:color w:val="0000FF"/>
          <w:szCs w:val="22"/>
        </w:rPr>
        <w:lastRenderedPageBreak/>
        <w:t>2.3. Critères et questions de l’évaluation</w:t>
      </w:r>
    </w:p>
    <w:p w14:paraId="4337F836" w14:textId="77777777" w:rsidR="00EA6DED" w:rsidRDefault="007504AE">
      <w:pPr>
        <w:jc w:val="both"/>
      </w:pPr>
      <w:r>
        <w:t xml:space="preserve">En conformité aux normes UNEG/DCO (septembre 2021) et aux indications des Termes de Référence, cette évaluation a reposé sur six critères dont la Pertinence/Adaptabilité, la Cohérence/Coordination, l’Efficacité, l’Efficience, l’Orientation vers l’impact et la Durabilité. Elle a également intégré des thématiques transversales liées à l’Agenda 2030, telles que l’égalité des sexes, la résilience, la durabilité environnementale et les droits humains. Dans les outils de collecte, des questions </w:t>
      </w:r>
      <w:r>
        <w:rPr>
          <w:bCs/>
        </w:rPr>
        <w:t>d’évaluation spécifiques</w:t>
      </w:r>
      <w:r>
        <w:t xml:space="preserve">, l’utilisation des </w:t>
      </w:r>
      <w:r>
        <w:rPr>
          <w:bCs/>
        </w:rPr>
        <w:t xml:space="preserve">données désagrégées, des consultations participatives ont permis d’examiner </w:t>
      </w:r>
      <w:r>
        <w:t>les mécanismes mis en place pour que les bénéficiaires, les partenaires nationaux et la société civile puissent donner leur avis et être entendus. Ils ont aussi permis de vérifier si les interventions ciblent et atteignent les groupes vulnérables (zones rurales, personnes handicapées, déplacés, jeunes, femmes, minorités), respectent et renforcent les droits fondamentaux (participation, non-discrimination, inclusion, accès aux services) et dans quelle mesure les programmes renforcent la capacité des individus, communautés et institutions à faire face aux crises (sécurité, climat, économiques).</w:t>
      </w:r>
    </w:p>
    <w:p w14:paraId="4337F837" w14:textId="77777777" w:rsidR="00EA6DED" w:rsidRDefault="00EA6DED">
      <w:pPr>
        <w:jc w:val="both"/>
      </w:pPr>
    </w:p>
    <w:p w14:paraId="4337F838" w14:textId="77777777" w:rsidR="00EA6DED" w:rsidRDefault="007504AE">
      <w:pPr>
        <w:pStyle w:val="Lgende"/>
        <w:rPr>
          <w:sz w:val="20"/>
          <w:szCs w:val="20"/>
        </w:rPr>
      </w:pPr>
      <w:bookmarkStart w:id="31" w:name="_Ref1980"/>
      <w:r>
        <w:rPr>
          <w:sz w:val="20"/>
          <w:szCs w:val="20"/>
        </w:rPr>
        <w:t xml:space="preserve">Tableau </w:t>
      </w:r>
      <w:r>
        <w:rPr>
          <w:sz w:val="20"/>
          <w:szCs w:val="20"/>
        </w:rPr>
        <w:fldChar w:fldCharType="begin"/>
      </w:r>
      <w:r>
        <w:rPr>
          <w:sz w:val="20"/>
          <w:szCs w:val="20"/>
        </w:rPr>
        <w:instrText xml:space="preserve"> SEQ Tableau \* ARABIC </w:instrText>
      </w:r>
      <w:r>
        <w:rPr>
          <w:sz w:val="20"/>
          <w:szCs w:val="20"/>
        </w:rPr>
        <w:fldChar w:fldCharType="separate"/>
      </w:r>
      <w:r>
        <w:rPr>
          <w:sz w:val="20"/>
          <w:szCs w:val="20"/>
        </w:rPr>
        <w:t>1</w:t>
      </w:r>
      <w:r>
        <w:rPr>
          <w:sz w:val="20"/>
          <w:szCs w:val="20"/>
        </w:rPr>
        <w:fldChar w:fldCharType="end"/>
      </w:r>
      <w:bookmarkStart w:id="32" w:name="_Toc29275"/>
      <w:r>
        <w:rPr>
          <w:sz w:val="20"/>
          <w:szCs w:val="20"/>
        </w:rPr>
        <w:t xml:space="preserve">: Principales questions d’évaluation par critère d’évaluation </w:t>
      </w:r>
      <w:bookmarkEnd w:id="31"/>
      <w:bookmarkEnd w:id="32"/>
    </w:p>
    <w:p w14:paraId="4337F839" w14:textId="77777777" w:rsidR="00EA6DED" w:rsidRDefault="00EA6DED"/>
    <w:tbl>
      <w:tblPr>
        <w:tblW w:w="10055" w:type="dxa"/>
        <w:tblLayout w:type="fixed"/>
        <w:tblLook w:val="04A0" w:firstRow="1" w:lastRow="0" w:firstColumn="1" w:lastColumn="0" w:noHBand="0" w:noVBand="1"/>
      </w:tblPr>
      <w:tblGrid>
        <w:gridCol w:w="1550"/>
        <w:gridCol w:w="8505"/>
      </w:tblGrid>
      <w:tr w:rsidR="00EA6DED" w14:paraId="4337F83C" w14:textId="77777777">
        <w:trPr>
          <w:trHeight w:val="300"/>
        </w:trPr>
        <w:tc>
          <w:tcPr>
            <w:tcW w:w="1550" w:type="dxa"/>
            <w:tcBorders>
              <w:top w:val="single" w:sz="8" w:space="0" w:color="auto"/>
              <w:left w:val="single" w:sz="8" w:space="0" w:color="auto"/>
              <w:bottom w:val="single" w:sz="8" w:space="0" w:color="auto"/>
              <w:right w:val="single" w:sz="8" w:space="0" w:color="auto"/>
            </w:tcBorders>
            <w:shd w:val="clear" w:color="auto" w:fill="009ED8"/>
            <w:tcMar>
              <w:left w:w="108" w:type="dxa"/>
              <w:right w:w="108" w:type="dxa"/>
            </w:tcMar>
            <w:vAlign w:val="center"/>
          </w:tcPr>
          <w:bookmarkEnd w:id="29"/>
          <w:bookmarkEnd w:id="30"/>
          <w:p w14:paraId="4337F83A" w14:textId="77777777" w:rsidR="00EA6DED" w:rsidRDefault="007504AE">
            <w:pPr>
              <w:spacing w:line="276" w:lineRule="auto"/>
              <w:jc w:val="center"/>
              <w:rPr>
                <w:rFonts w:eastAsia="Arial"/>
                <w:b/>
                <w:bCs/>
                <w:sz w:val="22"/>
                <w:szCs w:val="22"/>
              </w:rPr>
            </w:pPr>
            <w:r>
              <w:rPr>
                <w:rFonts w:eastAsia="Arial"/>
                <w:b/>
                <w:bCs/>
                <w:color w:val="FFFFFF"/>
                <w:sz w:val="22"/>
                <w:szCs w:val="22"/>
              </w:rPr>
              <w:t>Critères d'évaluation</w:t>
            </w:r>
          </w:p>
        </w:tc>
        <w:tc>
          <w:tcPr>
            <w:tcW w:w="8505" w:type="dxa"/>
            <w:tcBorders>
              <w:top w:val="single" w:sz="8" w:space="0" w:color="auto"/>
              <w:left w:val="single" w:sz="8" w:space="0" w:color="auto"/>
              <w:bottom w:val="single" w:sz="8" w:space="0" w:color="auto"/>
              <w:right w:val="single" w:sz="8" w:space="0" w:color="auto"/>
            </w:tcBorders>
            <w:shd w:val="clear" w:color="auto" w:fill="009ED8"/>
            <w:tcMar>
              <w:left w:w="108" w:type="dxa"/>
              <w:right w:w="108" w:type="dxa"/>
            </w:tcMar>
            <w:vAlign w:val="center"/>
          </w:tcPr>
          <w:p w14:paraId="4337F83B" w14:textId="77777777" w:rsidR="00EA6DED" w:rsidRDefault="007504AE">
            <w:pPr>
              <w:spacing w:line="276" w:lineRule="auto"/>
              <w:jc w:val="center"/>
              <w:rPr>
                <w:rFonts w:eastAsia="Arial"/>
                <w:b/>
                <w:bCs/>
                <w:sz w:val="22"/>
                <w:szCs w:val="22"/>
              </w:rPr>
            </w:pPr>
            <w:r>
              <w:rPr>
                <w:rFonts w:eastAsia="Arial"/>
                <w:b/>
                <w:bCs/>
                <w:color w:val="FFFFFF"/>
                <w:sz w:val="22"/>
                <w:szCs w:val="22"/>
              </w:rPr>
              <w:t>Questions d'évaluation</w:t>
            </w:r>
          </w:p>
        </w:tc>
      </w:tr>
      <w:tr w:rsidR="00EA6DED" w14:paraId="4337F842" w14:textId="77777777">
        <w:trPr>
          <w:trHeight w:val="689"/>
        </w:trPr>
        <w:tc>
          <w:tcPr>
            <w:tcW w:w="1550" w:type="dxa"/>
            <w:tcBorders>
              <w:top w:val="single" w:sz="8" w:space="0" w:color="auto"/>
              <w:left w:val="single" w:sz="8" w:space="0" w:color="auto"/>
              <w:bottom w:val="single" w:sz="8" w:space="0" w:color="auto"/>
              <w:right w:val="single" w:sz="8" w:space="0" w:color="auto"/>
            </w:tcBorders>
            <w:tcMar>
              <w:left w:w="108" w:type="dxa"/>
              <w:right w:w="108" w:type="dxa"/>
            </w:tcMar>
          </w:tcPr>
          <w:p w14:paraId="4337F83D" w14:textId="77777777" w:rsidR="00EA6DED" w:rsidRDefault="007504AE">
            <w:pPr>
              <w:spacing w:line="276" w:lineRule="auto"/>
              <w:jc w:val="both"/>
              <w:rPr>
                <w:rFonts w:eastAsia="Arial"/>
                <w:b/>
                <w:bCs/>
                <w:sz w:val="22"/>
                <w:szCs w:val="22"/>
                <w:u w:val="single"/>
              </w:rPr>
            </w:pPr>
            <w:r>
              <w:rPr>
                <w:rFonts w:eastAsia="Arial"/>
                <w:b/>
                <w:bCs/>
                <w:sz w:val="22"/>
                <w:szCs w:val="22"/>
                <w:u w:val="single"/>
              </w:rPr>
              <w:t>Pertinence/ adaptabilité</w:t>
            </w:r>
          </w:p>
          <w:p w14:paraId="4337F83E" w14:textId="77777777" w:rsidR="00EA6DED" w:rsidRDefault="00EA6DED">
            <w:pPr>
              <w:spacing w:line="276" w:lineRule="auto"/>
              <w:jc w:val="both"/>
              <w:rPr>
                <w:rFonts w:eastAsia="Arial"/>
                <w:i/>
                <w:iCs/>
                <w:sz w:val="22"/>
                <w:szCs w:val="22"/>
              </w:rPr>
            </w:pPr>
          </w:p>
        </w:tc>
        <w:tc>
          <w:tcPr>
            <w:tcW w:w="8505" w:type="dxa"/>
            <w:tcBorders>
              <w:top w:val="single" w:sz="8" w:space="0" w:color="auto"/>
              <w:left w:val="single" w:sz="8" w:space="0" w:color="auto"/>
              <w:bottom w:val="single" w:sz="8" w:space="0" w:color="auto"/>
              <w:right w:val="single" w:sz="8" w:space="0" w:color="auto"/>
            </w:tcBorders>
            <w:tcMar>
              <w:left w:w="108" w:type="dxa"/>
              <w:right w:w="108" w:type="dxa"/>
            </w:tcMar>
          </w:tcPr>
          <w:p w14:paraId="4337F83F" w14:textId="77777777" w:rsidR="00EA6DED" w:rsidRDefault="007504AE">
            <w:pPr>
              <w:spacing w:line="276" w:lineRule="auto"/>
              <w:jc w:val="both"/>
              <w:rPr>
                <w:rFonts w:eastAsia="Arial"/>
                <w:b/>
                <w:color w:val="000000"/>
                <w:sz w:val="22"/>
                <w:szCs w:val="22"/>
              </w:rPr>
            </w:pPr>
            <w:r>
              <w:rPr>
                <w:rFonts w:eastAsia="Arial"/>
                <w:b/>
                <w:color w:val="000000"/>
                <w:sz w:val="22"/>
                <w:szCs w:val="22"/>
              </w:rPr>
              <w:t xml:space="preserve">1. </w:t>
            </w:r>
            <w:r>
              <w:rPr>
                <w:rFonts w:eastAsia="Arial"/>
                <w:bCs/>
                <w:color w:val="000000"/>
                <w:sz w:val="22"/>
                <w:szCs w:val="22"/>
              </w:rPr>
              <w:t>Dans quelle mesure les priorités stratégiques du CC tout en tenant compte du genre, droits humains, égalité des sexes, sont alignées aux besoins et priorités nationales, régionales et internationales ?</w:t>
            </w:r>
          </w:p>
          <w:p w14:paraId="4337F840" w14:textId="77777777" w:rsidR="00EA6DED" w:rsidRDefault="007504AE">
            <w:pPr>
              <w:pStyle w:val="Paragraphedeliste"/>
              <w:numPr>
                <w:ilvl w:val="0"/>
                <w:numId w:val="4"/>
              </w:numPr>
              <w:spacing w:line="276" w:lineRule="auto"/>
              <w:jc w:val="both"/>
              <w:rPr>
                <w:rFonts w:eastAsia="Arial"/>
                <w:bCs/>
                <w:color w:val="000000"/>
                <w:sz w:val="22"/>
                <w:szCs w:val="22"/>
              </w:rPr>
            </w:pPr>
            <w:r>
              <w:rPr>
                <w:rFonts w:eastAsia="Arial"/>
                <w:bCs/>
                <w:color w:val="000000"/>
                <w:sz w:val="22"/>
                <w:szCs w:val="22"/>
              </w:rPr>
              <w:t>Dans quelle mesure la mise en œuvre du CC s’est-elle adaptée aux problèmes émergents rencontrés par le pays y compris ceux identifiés par l'Analyse Commune du Pays (CCA) des Nations Unies</w:t>
            </w:r>
            <w:r>
              <w:rPr>
                <w:rFonts w:eastAsia="Arial"/>
                <w:b/>
                <w:bCs/>
                <w:color w:val="000000"/>
                <w:sz w:val="22"/>
                <w:szCs w:val="22"/>
              </w:rPr>
              <w:t xml:space="preserve"> </w:t>
            </w:r>
            <w:r>
              <w:rPr>
                <w:rFonts w:eastAsia="Arial"/>
                <w:bCs/>
                <w:color w:val="000000"/>
                <w:sz w:val="22"/>
                <w:szCs w:val="22"/>
              </w:rPr>
              <w:t>?</w:t>
            </w:r>
          </w:p>
          <w:p w14:paraId="4337F841" w14:textId="77777777" w:rsidR="00EA6DED" w:rsidRDefault="00EA6DED">
            <w:pPr>
              <w:spacing w:line="276" w:lineRule="auto"/>
              <w:jc w:val="both"/>
              <w:rPr>
                <w:rFonts w:eastAsia="Arial"/>
                <w:b/>
                <w:color w:val="000000"/>
                <w:sz w:val="22"/>
                <w:szCs w:val="22"/>
              </w:rPr>
            </w:pPr>
          </w:p>
        </w:tc>
      </w:tr>
      <w:tr w:rsidR="00EA6DED" w14:paraId="4337F84A" w14:textId="77777777">
        <w:trPr>
          <w:trHeight w:val="3327"/>
        </w:trPr>
        <w:tc>
          <w:tcPr>
            <w:tcW w:w="1550" w:type="dxa"/>
            <w:tcBorders>
              <w:top w:val="single" w:sz="8" w:space="0" w:color="auto"/>
              <w:left w:val="single" w:sz="8" w:space="0" w:color="auto"/>
              <w:right w:val="single" w:sz="8" w:space="0" w:color="auto"/>
            </w:tcBorders>
            <w:tcMar>
              <w:left w:w="108" w:type="dxa"/>
              <w:right w:w="108" w:type="dxa"/>
            </w:tcMar>
          </w:tcPr>
          <w:p w14:paraId="4337F843" w14:textId="77777777" w:rsidR="00EA6DED" w:rsidRDefault="007504AE">
            <w:pPr>
              <w:spacing w:line="276" w:lineRule="auto"/>
              <w:jc w:val="both"/>
              <w:rPr>
                <w:rFonts w:eastAsia="Arial"/>
                <w:b/>
                <w:bCs/>
                <w:sz w:val="22"/>
                <w:szCs w:val="22"/>
                <w:u w:val="single"/>
              </w:rPr>
            </w:pPr>
            <w:r>
              <w:rPr>
                <w:rFonts w:eastAsia="Arial"/>
                <w:b/>
                <w:bCs/>
                <w:sz w:val="22"/>
                <w:szCs w:val="22"/>
                <w:u w:val="single"/>
              </w:rPr>
              <w:t xml:space="preserve">Cohérence/ </w:t>
            </w:r>
          </w:p>
          <w:p w14:paraId="4337F844" w14:textId="77777777" w:rsidR="00EA6DED" w:rsidRDefault="007504AE">
            <w:pPr>
              <w:spacing w:line="276" w:lineRule="auto"/>
              <w:jc w:val="both"/>
              <w:rPr>
                <w:rFonts w:eastAsia="Arial"/>
                <w:b/>
                <w:bCs/>
                <w:sz w:val="22"/>
                <w:szCs w:val="22"/>
                <w:u w:val="single"/>
              </w:rPr>
            </w:pPr>
            <w:r>
              <w:rPr>
                <w:rFonts w:eastAsia="Arial"/>
                <w:b/>
                <w:bCs/>
                <w:sz w:val="22"/>
                <w:szCs w:val="22"/>
                <w:u w:val="single"/>
              </w:rPr>
              <w:t>Coordination</w:t>
            </w:r>
          </w:p>
          <w:p w14:paraId="4337F845" w14:textId="77777777" w:rsidR="00EA6DED" w:rsidRDefault="00EA6DED">
            <w:pPr>
              <w:spacing w:line="276" w:lineRule="auto"/>
              <w:jc w:val="both"/>
              <w:rPr>
                <w:rFonts w:eastAsia="Arial"/>
                <w:i/>
                <w:iCs/>
                <w:sz w:val="22"/>
                <w:szCs w:val="22"/>
              </w:rPr>
            </w:pPr>
          </w:p>
          <w:p w14:paraId="4337F846" w14:textId="77777777" w:rsidR="00EA6DED" w:rsidRDefault="00EA6DED">
            <w:pPr>
              <w:spacing w:line="276" w:lineRule="auto"/>
              <w:jc w:val="both"/>
              <w:rPr>
                <w:rFonts w:eastAsia="Arial"/>
                <w:i/>
                <w:iCs/>
                <w:sz w:val="22"/>
                <w:szCs w:val="22"/>
              </w:rPr>
            </w:pPr>
          </w:p>
        </w:tc>
        <w:tc>
          <w:tcPr>
            <w:tcW w:w="8505" w:type="dxa"/>
            <w:tcBorders>
              <w:top w:val="single" w:sz="8" w:space="0" w:color="auto"/>
              <w:left w:val="single" w:sz="8" w:space="0" w:color="auto"/>
              <w:right w:val="single" w:sz="8" w:space="0" w:color="auto"/>
            </w:tcBorders>
            <w:tcMar>
              <w:left w:w="108" w:type="dxa"/>
              <w:right w:w="108" w:type="dxa"/>
            </w:tcMar>
          </w:tcPr>
          <w:p w14:paraId="4337F847" w14:textId="77777777" w:rsidR="00EA6DED" w:rsidRDefault="007504AE">
            <w:pPr>
              <w:spacing w:line="276" w:lineRule="auto"/>
              <w:jc w:val="both"/>
              <w:rPr>
                <w:rFonts w:eastAsia="Arial"/>
                <w:b/>
                <w:color w:val="000000"/>
                <w:sz w:val="22"/>
                <w:szCs w:val="22"/>
              </w:rPr>
            </w:pPr>
            <w:r>
              <w:rPr>
                <w:rFonts w:eastAsia="Arial"/>
                <w:b/>
                <w:color w:val="000000"/>
                <w:sz w:val="22"/>
                <w:szCs w:val="22"/>
              </w:rPr>
              <w:t>3.</w:t>
            </w:r>
            <w:r>
              <w:rPr>
                <w:rFonts w:eastAsia="Arial"/>
                <w:color w:val="000000"/>
                <w:sz w:val="22"/>
                <w:szCs w:val="22"/>
              </w:rPr>
              <w:t xml:space="preserve">  Dans quelle mesure le CC a-t-il promu la complémentarité, l’harmonisation et la coordination avec d’autres partenaires clés du développement pour maximiser l’obtention des résultats ?</w:t>
            </w:r>
          </w:p>
          <w:p w14:paraId="4337F848" w14:textId="77777777" w:rsidR="00EA6DED" w:rsidRDefault="007504AE">
            <w:pPr>
              <w:spacing w:line="276" w:lineRule="auto"/>
              <w:jc w:val="both"/>
              <w:rPr>
                <w:rFonts w:eastAsia="Arial"/>
                <w:color w:val="000000"/>
                <w:sz w:val="22"/>
                <w:szCs w:val="22"/>
              </w:rPr>
            </w:pPr>
            <w:r>
              <w:rPr>
                <w:rFonts w:eastAsia="Arial"/>
                <w:b/>
                <w:color w:val="000000"/>
                <w:sz w:val="22"/>
                <w:szCs w:val="22"/>
              </w:rPr>
              <w:t>4</w:t>
            </w:r>
            <w:r>
              <w:rPr>
                <w:rFonts w:eastAsia="Arial"/>
                <w:color w:val="000000"/>
                <w:sz w:val="22"/>
                <w:szCs w:val="22"/>
              </w:rPr>
              <w:t>.  Après la réforme de l'ONU, dans quelle mesure les programmes et plans de travail des agences des Nations Unies ont-ils été efficacement et significativement dérivés du CC tant dans la conception que dans la mise en œuvre ?</w:t>
            </w:r>
          </w:p>
          <w:p w14:paraId="4337F849" w14:textId="77777777" w:rsidR="00EA6DED" w:rsidRDefault="007504AE">
            <w:pPr>
              <w:spacing w:line="276" w:lineRule="auto"/>
              <w:jc w:val="both"/>
              <w:rPr>
                <w:rFonts w:eastAsia="Arial"/>
                <w:color w:val="000000"/>
                <w:sz w:val="22"/>
                <w:szCs w:val="22"/>
              </w:rPr>
            </w:pPr>
            <w:r>
              <w:rPr>
                <w:rFonts w:eastAsia="Arial"/>
                <w:b/>
                <w:color w:val="000000"/>
                <w:sz w:val="22"/>
                <w:szCs w:val="22"/>
              </w:rPr>
              <w:t>5.</w:t>
            </w:r>
            <w:r>
              <w:rPr>
                <w:rFonts w:eastAsia="Arial"/>
                <w:color w:val="000000"/>
                <w:sz w:val="22"/>
                <w:szCs w:val="22"/>
              </w:rPr>
              <w:t xml:space="preserve">  Dans quelle mesure la partie nationale et le système des Nations Unies en particulier le Bureau du Coordonnateur Résidant, ont-ils coordonné avec succès la mise en œuvre du C, en s’appuyant sur les structures de gestion (Copil, Groupes de résultat, PMT, Équipe pays, Groupe suivi- évaluation, etc.) pour maximiser l’efficacité, la couverture, atteindre les plus vulnérables (handicapés, femmes, jeunes, etc.) tout en réduisant les chevauchements ?</w:t>
            </w:r>
          </w:p>
        </w:tc>
      </w:tr>
      <w:tr w:rsidR="00EA6DED" w14:paraId="4337F855" w14:textId="77777777">
        <w:trPr>
          <w:trHeight w:val="840"/>
        </w:trPr>
        <w:tc>
          <w:tcPr>
            <w:tcW w:w="1550" w:type="dxa"/>
            <w:tcBorders>
              <w:top w:val="single" w:sz="8" w:space="0" w:color="auto"/>
              <w:left w:val="single" w:sz="8" w:space="0" w:color="auto"/>
              <w:bottom w:val="single" w:sz="8" w:space="0" w:color="auto"/>
              <w:right w:val="single" w:sz="8" w:space="0" w:color="auto"/>
            </w:tcBorders>
            <w:tcMar>
              <w:left w:w="108" w:type="dxa"/>
              <w:right w:w="108" w:type="dxa"/>
            </w:tcMar>
          </w:tcPr>
          <w:p w14:paraId="4337F84B" w14:textId="77777777" w:rsidR="00EA6DED" w:rsidRDefault="007504AE">
            <w:pPr>
              <w:spacing w:line="276" w:lineRule="auto"/>
              <w:jc w:val="both"/>
              <w:rPr>
                <w:rFonts w:eastAsia="Arial"/>
                <w:b/>
                <w:bCs/>
                <w:sz w:val="22"/>
                <w:szCs w:val="22"/>
                <w:u w:val="single"/>
              </w:rPr>
            </w:pPr>
            <w:r>
              <w:rPr>
                <w:rFonts w:eastAsia="Arial"/>
                <w:b/>
                <w:bCs/>
                <w:sz w:val="22"/>
                <w:szCs w:val="22"/>
                <w:u w:val="single"/>
              </w:rPr>
              <w:t>Efficacité</w:t>
            </w:r>
          </w:p>
          <w:p w14:paraId="4337F84C" w14:textId="77777777" w:rsidR="00EA6DED" w:rsidRDefault="00EA6DED">
            <w:pPr>
              <w:spacing w:line="276" w:lineRule="auto"/>
              <w:jc w:val="both"/>
              <w:rPr>
                <w:rFonts w:eastAsia="Arial"/>
                <w:sz w:val="22"/>
                <w:szCs w:val="22"/>
              </w:rPr>
            </w:pPr>
          </w:p>
        </w:tc>
        <w:tc>
          <w:tcPr>
            <w:tcW w:w="8505" w:type="dxa"/>
            <w:tcBorders>
              <w:top w:val="single" w:sz="8" w:space="0" w:color="auto"/>
              <w:left w:val="single" w:sz="8" w:space="0" w:color="auto"/>
              <w:bottom w:val="single" w:sz="8" w:space="0" w:color="auto"/>
              <w:right w:val="single" w:sz="8" w:space="0" w:color="auto"/>
            </w:tcBorders>
            <w:tcMar>
              <w:left w:w="108" w:type="dxa"/>
              <w:right w:w="108" w:type="dxa"/>
            </w:tcMar>
          </w:tcPr>
          <w:p w14:paraId="4337F84D" w14:textId="77777777" w:rsidR="00EA6DED" w:rsidRDefault="00EA6DED">
            <w:pPr>
              <w:spacing w:line="276" w:lineRule="auto"/>
              <w:jc w:val="both"/>
              <w:rPr>
                <w:rFonts w:eastAsia="Arial"/>
                <w:b/>
                <w:color w:val="000000"/>
                <w:sz w:val="22"/>
                <w:szCs w:val="22"/>
              </w:rPr>
            </w:pPr>
          </w:p>
          <w:p w14:paraId="4337F84E" w14:textId="77777777" w:rsidR="00EA6DED" w:rsidRDefault="007504AE">
            <w:pPr>
              <w:spacing w:line="276" w:lineRule="auto"/>
              <w:jc w:val="both"/>
              <w:rPr>
                <w:rFonts w:eastAsia="Arial"/>
                <w:color w:val="000000"/>
                <w:sz w:val="22"/>
                <w:szCs w:val="22"/>
              </w:rPr>
            </w:pPr>
            <w:r>
              <w:rPr>
                <w:rFonts w:eastAsia="Arial"/>
                <w:b/>
                <w:color w:val="000000"/>
                <w:sz w:val="22"/>
                <w:szCs w:val="22"/>
              </w:rPr>
              <w:t>6.</w:t>
            </w:r>
            <w:r>
              <w:rPr>
                <w:rFonts w:eastAsia="Arial"/>
                <w:color w:val="000000"/>
                <w:sz w:val="22"/>
                <w:szCs w:val="22"/>
              </w:rPr>
              <w:t xml:space="preserve"> Dans quelle mesure le CC a-t-il été efficace dans l'atteinte des réalisations définis dans le cadre des résultats tout en promouvant l’égalité de genres, les droits humains, la durabilité environnementale et le « ne laisser personne de côté » ?</w:t>
            </w:r>
          </w:p>
          <w:p w14:paraId="4337F84F" w14:textId="77777777" w:rsidR="00EA6DED" w:rsidRDefault="007504AE">
            <w:pPr>
              <w:contextualSpacing/>
              <w:rPr>
                <w:rFonts w:eastAsia="Arial"/>
                <w:color w:val="000000" w:themeColor="text1"/>
                <w:sz w:val="22"/>
                <w:szCs w:val="22"/>
              </w:rPr>
            </w:pPr>
            <w:r>
              <w:rPr>
                <w:rFonts w:eastAsia="Arial"/>
                <w:color w:val="000000" w:themeColor="text1"/>
                <w:sz w:val="22"/>
                <w:szCs w:val="22"/>
              </w:rPr>
              <w:t>7. Dans quelle mesure le CC a-t-il contribué à des changements institutionnels, comportementaux et législatifs clés nécessaires pour catalyser des progrès vers l'impact souhaité du gouvernement ?</w:t>
            </w:r>
            <w:r>
              <w:rPr>
                <w:sz w:val="22"/>
                <w:szCs w:val="22"/>
              </w:rPr>
              <w:t xml:space="preserve"> Qu’en est -il de :</w:t>
            </w:r>
            <w:r>
              <w:rPr>
                <w:b/>
                <w:sz w:val="22"/>
                <w:szCs w:val="22"/>
              </w:rPr>
              <w:t xml:space="preserve"> </w:t>
            </w:r>
          </w:p>
          <w:p w14:paraId="4337F850" w14:textId="77777777" w:rsidR="00EA6DED" w:rsidRDefault="007504AE">
            <w:pPr>
              <w:pStyle w:val="Paragraphedeliste"/>
              <w:numPr>
                <w:ilvl w:val="1"/>
                <w:numId w:val="8"/>
              </w:numPr>
              <w:jc w:val="both"/>
              <w:rPr>
                <w:sz w:val="22"/>
                <w:szCs w:val="22"/>
              </w:rPr>
            </w:pPr>
            <w:r>
              <w:rPr>
                <w:sz w:val="22"/>
                <w:szCs w:val="22"/>
              </w:rPr>
              <w:t xml:space="preserve">La durabilité environnementale ? </w:t>
            </w:r>
          </w:p>
          <w:p w14:paraId="4337F851" w14:textId="77777777" w:rsidR="00EA6DED" w:rsidRDefault="007504AE">
            <w:pPr>
              <w:pStyle w:val="Paragraphedeliste"/>
              <w:numPr>
                <w:ilvl w:val="1"/>
                <w:numId w:val="8"/>
              </w:numPr>
              <w:rPr>
                <w:sz w:val="22"/>
                <w:szCs w:val="22"/>
              </w:rPr>
            </w:pPr>
            <w:r>
              <w:rPr>
                <w:sz w:val="22"/>
                <w:szCs w:val="22"/>
              </w:rPr>
              <w:t xml:space="preserve">Du triple lien développement-paix-humanitaire, </w:t>
            </w:r>
          </w:p>
          <w:p w14:paraId="4337F852" w14:textId="77777777" w:rsidR="00EA6DED" w:rsidRDefault="007504AE">
            <w:pPr>
              <w:pStyle w:val="Paragraphedeliste"/>
              <w:numPr>
                <w:ilvl w:val="1"/>
                <w:numId w:val="8"/>
              </w:numPr>
              <w:rPr>
                <w:sz w:val="22"/>
                <w:szCs w:val="22"/>
              </w:rPr>
            </w:pPr>
            <w:r>
              <w:rPr>
                <w:sz w:val="22"/>
                <w:szCs w:val="22"/>
              </w:rPr>
              <w:t xml:space="preserve">De l’approche de résilience, </w:t>
            </w:r>
          </w:p>
          <w:p w14:paraId="4337F853" w14:textId="77777777" w:rsidR="00EA6DED" w:rsidRDefault="007504AE">
            <w:pPr>
              <w:pStyle w:val="Paragraphedeliste"/>
              <w:numPr>
                <w:ilvl w:val="1"/>
                <w:numId w:val="8"/>
              </w:numPr>
              <w:rPr>
                <w:sz w:val="22"/>
                <w:szCs w:val="22"/>
              </w:rPr>
            </w:pPr>
            <w:r>
              <w:rPr>
                <w:sz w:val="22"/>
                <w:szCs w:val="22"/>
              </w:rPr>
              <w:t>Des problèmes régionaux et transfrontaliers ?</w:t>
            </w:r>
          </w:p>
          <w:p w14:paraId="4337F854" w14:textId="77777777" w:rsidR="00EA6DED" w:rsidRDefault="007504AE">
            <w:pPr>
              <w:pStyle w:val="Paragraphedeliste"/>
              <w:numPr>
                <w:ilvl w:val="1"/>
                <w:numId w:val="8"/>
              </w:numPr>
            </w:pPr>
            <w:r>
              <w:rPr>
                <w:sz w:val="22"/>
                <w:szCs w:val="22"/>
              </w:rPr>
              <w:t>la promotion des droits de l’homme, y compris la prise en compte des intérêts des personnes handicapées et autres groupes vulnérables?</w:t>
            </w:r>
          </w:p>
        </w:tc>
      </w:tr>
      <w:tr w:rsidR="00EA6DED" w14:paraId="4337F85C" w14:textId="77777777">
        <w:trPr>
          <w:trHeight w:val="1693"/>
        </w:trPr>
        <w:tc>
          <w:tcPr>
            <w:tcW w:w="1550" w:type="dxa"/>
            <w:tcBorders>
              <w:top w:val="single" w:sz="8" w:space="0" w:color="auto"/>
              <w:left w:val="single" w:sz="8" w:space="0" w:color="auto"/>
              <w:bottom w:val="single" w:sz="8" w:space="0" w:color="auto"/>
              <w:right w:val="single" w:sz="8" w:space="0" w:color="auto"/>
            </w:tcBorders>
            <w:tcMar>
              <w:left w:w="108" w:type="dxa"/>
              <w:right w:w="108" w:type="dxa"/>
            </w:tcMar>
          </w:tcPr>
          <w:p w14:paraId="4337F856" w14:textId="77777777" w:rsidR="00EA6DED" w:rsidRDefault="007504AE">
            <w:pPr>
              <w:spacing w:line="276" w:lineRule="auto"/>
              <w:jc w:val="both"/>
              <w:rPr>
                <w:rFonts w:eastAsia="Arial"/>
                <w:b/>
                <w:bCs/>
                <w:sz w:val="22"/>
                <w:szCs w:val="22"/>
                <w:u w:val="single"/>
              </w:rPr>
            </w:pPr>
            <w:r>
              <w:rPr>
                <w:rFonts w:eastAsia="Arial"/>
                <w:b/>
                <w:bCs/>
                <w:sz w:val="22"/>
                <w:szCs w:val="22"/>
                <w:u w:val="single"/>
              </w:rPr>
              <w:lastRenderedPageBreak/>
              <w:t>Efficience</w:t>
            </w:r>
          </w:p>
        </w:tc>
        <w:tc>
          <w:tcPr>
            <w:tcW w:w="8505" w:type="dxa"/>
            <w:tcBorders>
              <w:top w:val="single" w:sz="8" w:space="0" w:color="auto"/>
              <w:left w:val="single" w:sz="8" w:space="0" w:color="auto"/>
              <w:bottom w:val="single" w:sz="8" w:space="0" w:color="auto"/>
              <w:right w:val="single" w:sz="8" w:space="0" w:color="auto"/>
            </w:tcBorders>
            <w:tcMar>
              <w:left w:w="108" w:type="dxa"/>
              <w:right w:w="108" w:type="dxa"/>
            </w:tcMar>
          </w:tcPr>
          <w:p w14:paraId="4337F857" w14:textId="77777777" w:rsidR="00EA6DED" w:rsidRDefault="007504AE">
            <w:pPr>
              <w:spacing w:line="276" w:lineRule="auto"/>
              <w:jc w:val="both"/>
              <w:rPr>
                <w:rFonts w:eastAsia="Arial"/>
                <w:color w:val="000000"/>
                <w:sz w:val="22"/>
                <w:szCs w:val="22"/>
              </w:rPr>
            </w:pPr>
            <w:r>
              <w:rPr>
                <w:rFonts w:eastAsia="Arial"/>
                <w:b/>
                <w:color w:val="000000"/>
                <w:sz w:val="22"/>
                <w:szCs w:val="22"/>
              </w:rPr>
              <w:t>8.</w:t>
            </w:r>
            <w:r>
              <w:rPr>
                <w:rFonts w:eastAsia="Arial"/>
                <w:color w:val="000000"/>
                <w:sz w:val="22"/>
                <w:szCs w:val="22"/>
              </w:rPr>
              <w:t xml:space="preserve"> Dans quelle mesure les ressources (humaines, matérielles, logistiques, partenariats stratégiques, etc.) ont- elles été mobilisées et utilisées de manière optimale en s’appuyant sur la stratégie de partenariat et mobilisation des ressources, le BOS, le HACT pour atteindre les réalisations escomptées du CC ?</w:t>
            </w:r>
          </w:p>
          <w:p w14:paraId="4337F858" w14:textId="77777777" w:rsidR="00EA6DED" w:rsidRDefault="007504AE">
            <w:pPr>
              <w:spacing w:line="276" w:lineRule="auto"/>
              <w:jc w:val="both"/>
              <w:rPr>
                <w:rFonts w:eastAsia="Arial"/>
                <w:color w:val="000000"/>
                <w:sz w:val="22"/>
                <w:szCs w:val="22"/>
              </w:rPr>
            </w:pPr>
            <w:r>
              <w:rPr>
                <w:rFonts w:eastAsia="Arial"/>
                <w:color w:val="000000"/>
                <w:sz w:val="22"/>
                <w:szCs w:val="22"/>
              </w:rPr>
              <w:t xml:space="preserve">9. Dans quelle mesure le CC a-t-il facilité l'identification et l'accès à de nouveaux flux de financement à grande échelle pour les partenaires nationaux ? Le Cadre de Coopération était-il soutenu par un cadre de financement intégré et par des instruments de financement adéquats ? </w:t>
            </w:r>
          </w:p>
          <w:p w14:paraId="4337F859" w14:textId="77777777" w:rsidR="00EA6DED" w:rsidRDefault="007504AE">
            <w:pPr>
              <w:pStyle w:val="Paragraphedeliste"/>
              <w:numPr>
                <w:ilvl w:val="0"/>
                <w:numId w:val="9"/>
              </w:numPr>
              <w:jc w:val="both"/>
              <w:rPr>
                <w:rFonts w:eastAsia="Arial"/>
                <w:color w:val="000000"/>
                <w:sz w:val="22"/>
                <w:szCs w:val="22"/>
              </w:rPr>
            </w:pPr>
            <w:r>
              <w:rPr>
                <w:rFonts w:eastAsia="Arial"/>
                <w:color w:val="000000"/>
                <w:sz w:val="22"/>
                <w:szCs w:val="22"/>
              </w:rPr>
              <w:t xml:space="preserve">Quelles étaient les forces et les lacunes, le cas échéant ? </w:t>
            </w:r>
          </w:p>
          <w:p w14:paraId="4337F85A" w14:textId="77777777" w:rsidR="00EA6DED" w:rsidRDefault="007504AE">
            <w:pPr>
              <w:pStyle w:val="Paragraphedeliste"/>
              <w:numPr>
                <w:ilvl w:val="0"/>
                <w:numId w:val="9"/>
              </w:numPr>
              <w:jc w:val="both"/>
              <w:rPr>
                <w:rFonts w:eastAsia="Arial"/>
                <w:color w:val="000000"/>
                <w:sz w:val="22"/>
                <w:szCs w:val="22"/>
              </w:rPr>
            </w:pPr>
            <w:r>
              <w:rPr>
                <w:rFonts w:eastAsia="Arial"/>
                <w:color w:val="000000"/>
                <w:sz w:val="22"/>
                <w:szCs w:val="22"/>
              </w:rPr>
              <w:t xml:space="preserve">Les ressources ont-elles été allouées efficacement ? </w:t>
            </w:r>
          </w:p>
          <w:p w14:paraId="4337F85B" w14:textId="77777777" w:rsidR="00EA6DED" w:rsidRDefault="007504AE">
            <w:pPr>
              <w:pStyle w:val="Paragraphedeliste"/>
              <w:numPr>
                <w:ilvl w:val="0"/>
                <w:numId w:val="9"/>
              </w:numPr>
              <w:jc w:val="both"/>
            </w:pPr>
            <w:r>
              <w:rPr>
                <w:rFonts w:eastAsia="Arial"/>
                <w:color w:val="000000"/>
                <w:sz w:val="22"/>
                <w:szCs w:val="22"/>
              </w:rPr>
              <w:t>Comment les ressources étaient allouées aux interventions permettant des résultats touchant les femmes, les jeunes, les personnes handicapées, les déplacés internes/migrants, la durabilité environnementale ?</w:t>
            </w:r>
          </w:p>
        </w:tc>
      </w:tr>
      <w:tr w:rsidR="00EA6DED" w14:paraId="4337F860" w14:textId="77777777">
        <w:trPr>
          <w:trHeight w:val="300"/>
        </w:trPr>
        <w:tc>
          <w:tcPr>
            <w:tcW w:w="1550" w:type="dxa"/>
            <w:tcBorders>
              <w:top w:val="single" w:sz="8" w:space="0" w:color="auto"/>
              <w:left w:val="single" w:sz="8" w:space="0" w:color="auto"/>
              <w:bottom w:val="single" w:sz="8" w:space="0" w:color="auto"/>
              <w:right w:val="single" w:sz="8" w:space="0" w:color="auto"/>
            </w:tcBorders>
            <w:tcMar>
              <w:left w:w="108" w:type="dxa"/>
              <w:right w:w="108" w:type="dxa"/>
            </w:tcMar>
          </w:tcPr>
          <w:p w14:paraId="4337F85D" w14:textId="77777777" w:rsidR="00EA6DED" w:rsidRDefault="007504AE">
            <w:pPr>
              <w:spacing w:line="276" w:lineRule="auto"/>
              <w:jc w:val="both"/>
              <w:rPr>
                <w:rFonts w:eastAsia="Arial"/>
                <w:b/>
                <w:sz w:val="22"/>
                <w:szCs w:val="22"/>
                <w:u w:val="single"/>
              </w:rPr>
            </w:pPr>
            <w:r>
              <w:rPr>
                <w:rFonts w:eastAsia="Arial"/>
                <w:b/>
                <w:sz w:val="22"/>
                <w:szCs w:val="22"/>
                <w:u w:val="single"/>
              </w:rPr>
              <w:t>Orientation vers l’impact</w:t>
            </w:r>
          </w:p>
          <w:p w14:paraId="4337F85E" w14:textId="77777777" w:rsidR="00EA6DED" w:rsidRDefault="00EA6DED">
            <w:pPr>
              <w:spacing w:line="276" w:lineRule="auto"/>
              <w:jc w:val="both"/>
              <w:rPr>
                <w:rFonts w:eastAsia="Arial"/>
                <w:i/>
                <w:iCs/>
                <w:sz w:val="22"/>
                <w:szCs w:val="22"/>
              </w:rPr>
            </w:pPr>
          </w:p>
        </w:tc>
        <w:tc>
          <w:tcPr>
            <w:tcW w:w="8505" w:type="dxa"/>
            <w:tcBorders>
              <w:top w:val="single" w:sz="8" w:space="0" w:color="auto"/>
              <w:left w:val="single" w:sz="8" w:space="0" w:color="auto"/>
              <w:bottom w:val="single" w:sz="8" w:space="0" w:color="auto"/>
              <w:right w:val="single" w:sz="8" w:space="0" w:color="auto"/>
            </w:tcBorders>
            <w:tcMar>
              <w:left w:w="108" w:type="dxa"/>
              <w:right w:w="108" w:type="dxa"/>
            </w:tcMar>
          </w:tcPr>
          <w:p w14:paraId="4337F85F" w14:textId="77777777" w:rsidR="00EA6DED" w:rsidRDefault="007504AE">
            <w:pPr>
              <w:spacing w:line="276" w:lineRule="auto"/>
              <w:jc w:val="both"/>
              <w:rPr>
                <w:rFonts w:eastAsia="Arial"/>
                <w:color w:val="000000"/>
                <w:sz w:val="22"/>
                <w:szCs w:val="22"/>
              </w:rPr>
            </w:pPr>
            <w:r>
              <w:rPr>
                <w:rFonts w:eastAsia="Arial"/>
                <w:b/>
                <w:color w:val="000000"/>
                <w:sz w:val="22"/>
                <w:szCs w:val="22"/>
              </w:rPr>
              <w:t>10.</w:t>
            </w:r>
            <w:r>
              <w:rPr>
                <w:rFonts w:eastAsia="Arial"/>
                <w:color w:val="000000"/>
                <w:sz w:val="22"/>
                <w:szCs w:val="22"/>
              </w:rPr>
              <w:t xml:space="preserve"> Dans quelle mesure le CC a-t-il contribué à des progrès mesurables dans la résilience économique, la réduction de la vulnérabilité aux crises, l’égalité des genres, la durabilité environnementale, les réformes institutionnelles et le renforcement du capital humain ? </w:t>
            </w:r>
          </w:p>
        </w:tc>
      </w:tr>
      <w:tr w:rsidR="00EA6DED" w14:paraId="4337F866" w14:textId="77777777">
        <w:trPr>
          <w:trHeight w:val="300"/>
        </w:trPr>
        <w:tc>
          <w:tcPr>
            <w:tcW w:w="1550" w:type="dxa"/>
            <w:tcBorders>
              <w:top w:val="single" w:sz="8" w:space="0" w:color="auto"/>
              <w:left w:val="single" w:sz="8" w:space="0" w:color="auto"/>
              <w:bottom w:val="single" w:sz="8" w:space="0" w:color="auto"/>
              <w:right w:val="single" w:sz="8" w:space="0" w:color="auto"/>
            </w:tcBorders>
            <w:tcMar>
              <w:left w:w="108" w:type="dxa"/>
              <w:right w:w="108" w:type="dxa"/>
            </w:tcMar>
          </w:tcPr>
          <w:p w14:paraId="4337F861" w14:textId="77777777" w:rsidR="00EA6DED" w:rsidRDefault="007504AE">
            <w:pPr>
              <w:spacing w:line="276" w:lineRule="auto"/>
              <w:jc w:val="both"/>
              <w:rPr>
                <w:rFonts w:eastAsia="Arial"/>
                <w:b/>
                <w:bCs/>
                <w:sz w:val="22"/>
                <w:szCs w:val="22"/>
                <w:u w:val="single"/>
              </w:rPr>
            </w:pPr>
            <w:r>
              <w:rPr>
                <w:rFonts w:eastAsia="Arial"/>
                <w:b/>
                <w:bCs/>
                <w:sz w:val="22"/>
                <w:szCs w:val="22"/>
                <w:u w:val="single"/>
              </w:rPr>
              <w:t>Durabilité</w:t>
            </w:r>
          </w:p>
          <w:p w14:paraId="4337F862" w14:textId="77777777" w:rsidR="00EA6DED" w:rsidRDefault="00EA6DED">
            <w:pPr>
              <w:spacing w:line="276" w:lineRule="auto"/>
              <w:jc w:val="both"/>
              <w:rPr>
                <w:rFonts w:eastAsia="Arial"/>
                <w:i/>
                <w:iCs/>
                <w:sz w:val="22"/>
                <w:szCs w:val="22"/>
              </w:rPr>
            </w:pPr>
          </w:p>
        </w:tc>
        <w:tc>
          <w:tcPr>
            <w:tcW w:w="8505" w:type="dxa"/>
            <w:tcBorders>
              <w:top w:val="single" w:sz="8" w:space="0" w:color="auto"/>
              <w:left w:val="single" w:sz="8" w:space="0" w:color="auto"/>
              <w:bottom w:val="single" w:sz="8" w:space="0" w:color="auto"/>
              <w:right w:val="single" w:sz="8" w:space="0" w:color="auto"/>
            </w:tcBorders>
            <w:tcMar>
              <w:left w:w="108" w:type="dxa"/>
              <w:right w:w="108" w:type="dxa"/>
            </w:tcMar>
          </w:tcPr>
          <w:p w14:paraId="4337F863" w14:textId="77777777" w:rsidR="00EA6DED" w:rsidRDefault="007504AE">
            <w:pPr>
              <w:spacing w:line="276" w:lineRule="auto"/>
              <w:jc w:val="both"/>
              <w:rPr>
                <w:rFonts w:eastAsia="Arial"/>
                <w:color w:val="000000"/>
                <w:sz w:val="22"/>
                <w:szCs w:val="22"/>
              </w:rPr>
            </w:pPr>
            <w:r>
              <w:rPr>
                <w:rFonts w:eastAsia="Arial"/>
                <w:b/>
                <w:color w:val="000000"/>
                <w:sz w:val="22"/>
                <w:szCs w:val="22"/>
              </w:rPr>
              <w:t>11.</w:t>
            </w:r>
            <w:r>
              <w:rPr>
                <w:rFonts w:eastAsia="Arial"/>
                <w:color w:val="000000"/>
                <w:sz w:val="22"/>
                <w:szCs w:val="22"/>
              </w:rPr>
              <w:t xml:space="preserve">  Quels mécanismes, le cas échéant, le CC a-t-il mis en place pour garantir la durabilité socio-politique, institutionnelle, financière et environnementale ?</w:t>
            </w:r>
          </w:p>
          <w:p w14:paraId="4337F864" w14:textId="77777777" w:rsidR="00EA6DED" w:rsidRDefault="00EA6DED">
            <w:pPr>
              <w:spacing w:line="276" w:lineRule="auto"/>
              <w:jc w:val="both"/>
              <w:rPr>
                <w:rFonts w:eastAsia="Arial"/>
                <w:color w:val="000000"/>
                <w:sz w:val="22"/>
                <w:szCs w:val="22"/>
              </w:rPr>
            </w:pPr>
          </w:p>
          <w:p w14:paraId="4337F865" w14:textId="77777777" w:rsidR="00EA6DED" w:rsidRDefault="007504AE">
            <w:pPr>
              <w:spacing w:line="276" w:lineRule="auto"/>
              <w:jc w:val="both"/>
              <w:rPr>
                <w:rFonts w:eastAsia="Arial"/>
                <w:color w:val="000000"/>
                <w:sz w:val="22"/>
                <w:szCs w:val="22"/>
              </w:rPr>
            </w:pPr>
            <w:r>
              <w:rPr>
                <w:rFonts w:eastAsia="Arial"/>
                <w:b/>
                <w:color w:val="000000"/>
                <w:sz w:val="22"/>
                <w:szCs w:val="22"/>
              </w:rPr>
              <w:t>12.</w:t>
            </w:r>
            <w:r>
              <w:rPr>
                <w:rFonts w:eastAsia="Arial"/>
                <w:color w:val="000000"/>
                <w:sz w:val="22"/>
                <w:szCs w:val="22"/>
              </w:rPr>
              <w:t xml:space="preserve"> Dans quelle mesure le CC a-t-il investi et concentré ses efforts sur le développement des capacités nationales de façon à soutenir les partenaires et parties prenantes nationaux au fil du temps ?</w:t>
            </w:r>
          </w:p>
        </w:tc>
      </w:tr>
    </w:tbl>
    <w:p w14:paraId="4337F867" w14:textId="77777777" w:rsidR="00EA6DED" w:rsidRDefault="00EA6DED">
      <w:pPr>
        <w:contextualSpacing/>
        <w:rPr>
          <w:b/>
          <w:color w:val="0070C0"/>
          <w:szCs w:val="22"/>
        </w:rPr>
      </w:pPr>
    </w:p>
    <w:p w14:paraId="4337F868" w14:textId="77777777" w:rsidR="00EA6DED" w:rsidRDefault="007504AE">
      <w:pPr>
        <w:pStyle w:val="Titre2"/>
        <w:rPr>
          <w:rFonts w:ascii="Times New Roman" w:hAnsi="Times New Roman"/>
          <w:color w:val="0000FF"/>
          <w:sz w:val="24"/>
          <w:szCs w:val="24"/>
        </w:rPr>
      </w:pPr>
      <w:bookmarkStart w:id="33" w:name="_Toc3388"/>
      <w:r>
        <w:rPr>
          <w:rFonts w:ascii="Times New Roman" w:hAnsi="Times New Roman"/>
          <w:color w:val="0000FF"/>
          <w:sz w:val="24"/>
          <w:szCs w:val="24"/>
        </w:rPr>
        <w:t>2.4 Structure du rapport</w:t>
      </w:r>
      <w:bookmarkEnd w:id="33"/>
    </w:p>
    <w:p w14:paraId="4337F869" w14:textId="77777777" w:rsidR="00EA6DED" w:rsidRDefault="007504AE">
      <w:pPr>
        <w:jc w:val="both"/>
        <w:rPr>
          <w:rFonts w:eastAsia="Times"/>
        </w:rPr>
      </w:pPr>
      <w:r>
        <w:rPr>
          <w:rFonts w:eastAsia="Times"/>
        </w:rPr>
        <w:t>Ce rapport comprend neuf parties y compris les annexes en conformité aux exigences méthodologiques de l’UNEG</w:t>
      </w:r>
      <w:r>
        <w:rPr>
          <w:rStyle w:val="Appelnotedebasdep"/>
          <w:rFonts w:eastAsia="SimSun"/>
        </w:rPr>
        <w:footnoteReference w:id="2"/>
      </w:r>
      <w:r>
        <w:rPr>
          <w:rFonts w:eastAsia="Times"/>
        </w:rPr>
        <w:t>. Il s’agit d’un résumé exécutif (Partie I), d’une introduction (Partie II) portant sur les objectifs et portée de l’évaluation, du contexte du pays (Partie III), de la méthodologie de l’évaluation (Partie IV), des principaux résultats de l’évaluation (Partie V), des principales conclusions (Partie VI), des recommandations (Partie VII), des leçons apprises (Partie VIII) et des annexes (Partie IX).</w:t>
      </w:r>
    </w:p>
    <w:p w14:paraId="4337F86A" w14:textId="77777777" w:rsidR="00EA6DED" w:rsidRDefault="00EA6DED">
      <w:pPr>
        <w:rPr>
          <w:b/>
          <w:sz w:val="16"/>
          <w:szCs w:val="16"/>
        </w:rPr>
      </w:pPr>
    </w:p>
    <w:p w14:paraId="4337F86B" w14:textId="77777777" w:rsidR="00EA6DED" w:rsidRDefault="00EA6DED">
      <w:pPr>
        <w:rPr>
          <w:color w:val="000000"/>
          <w:sz w:val="16"/>
          <w:szCs w:val="18"/>
        </w:rPr>
      </w:pPr>
    </w:p>
    <w:p w14:paraId="4337F86C" w14:textId="77777777" w:rsidR="00EA6DED" w:rsidRDefault="007504AE">
      <w:pPr>
        <w:numPr>
          <w:ilvl w:val="0"/>
          <w:numId w:val="3"/>
        </w:numPr>
        <w:ind w:right="550"/>
        <w:rPr>
          <w:rStyle w:val="Titre1Car"/>
          <w:rFonts w:ascii="Times New Roman" w:hAnsi="Times New Roman"/>
          <w:sz w:val="28"/>
          <w:shd w:val="clear" w:color="auto" w:fill="FFFFFF"/>
        </w:rPr>
      </w:pPr>
      <w:bookmarkStart w:id="34" w:name="_Toc26243"/>
      <w:r>
        <w:rPr>
          <w:rStyle w:val="Titre1Car"/>
          <w:rFonts w:ascii="Times New Roman" w:hAnsi="Times New Roman"/>
          <w:sz w:val="28"/>
          <w:shd w:val="clear" w:color="auto" w:fill="FFFFFF"/>
        </w:rPr>
        <w:t xml:space="preserve">Contexte national </w:t>
      </w:r>
    </w:p>
    <w:bookmarkEnd w:id="34"/>
    <w:p w14:paraId="4337F86D" w14:textId="77777777" w:rsidR="00EA6DED" w:rsidRDefault="00EA6DED">
      <w:pPr>
        <w:pStyle w:val="Paragraphedeliste"/>
        <w:rPr>
          <w:b/>
          <w:color w:val="00B0F0"/>
          <w:sz w:val="28"/>
        </w:rPr>
      </w:pPr>
    </w:p>
    <w:p w14:paraId="4337F86E" w14:textId="77777777" w:rsidR="00EA6DED" w:rsidRDefault="007504AE">
      <w:pPr>
        <w:pStyle w:val="Titre2"/>
        <w:rPr>
          <w:rFonts w:ascii="Times New Roman" w:hAnsi="Times New Roman"/>
          <w:color w:val="0000FF"/>
          <w:sz w:val="24"/>
          <w:szCs w:val="24"/>
        </w:rPr>
      </w:pPr>
      <w:bookmarkStart w:id="35" w:name="_Toc195028399"/>
      <w:bookmarkStart w:id="36" w:name="_Toc17672"/>
      <w:bookmarkStart w:id="37" w:name="_Hlk193914031"/>
      <w:r>
        <w:rPr>
          <w:rFonts w:ascii="Times New Roman" w:hAnsi="Times New Roman"/>
          <w:color w:val="0000FF"/>
          <w:sz w:val="24"/>
          <w:szCs w:val="24"/>
        </w:rPr>
        <w:t xml:space="preserve">3.1.  </w:t>
      </w:r>
      <w:bookmarkStart w:id="38" w:name="_Hlk208339486"/>
      <w:r>
        <w:rPr>
          <w:rFonts w:ascii="Times New Roman" w:hAnsi="Times New Roman"/>
          <w:color w:val="0000FF"/>
          <w:sz w:val="24"/>
          <w:szCs w:val="24"/>
        </w:rPr>
        <w:t>La République du Cameroun et son potentiel économique</w:t>
      </w:r>
      <w:bookmarkEnd w:id="35"/>
      <w:bookmarkEnd w:id="36"/>
    </w:p>
    <w:p w14:paraId="4337F86F" w14:textId="77777777" w:rsidR="00EA6DED" w:rsidRDefault="007504AE">
      <w:pPr>
        <w:contextualSpacing/>
        <w:jc w:val="both"/>
      </w:pPr>
      <w:bookmarkStart w:id="39" w:name="_Toc177200348"/>
      <w:bookmarkStart w:id="40" w:name="_Toc195028401"/>
      <w:bookmarkEnd w:id="37"/>
      <w:r>
        <w:t>Avec une population estimée à environ 29,9 millions d’habitants en 2025, la croissance réelle du PIB du Cameroun s’est accélérée, passant de 3,2 % en 2023 à 4,4 % en 2025, témoignant d’une dynamique économique positive et soutenue. Parallèlement, le PIB par habitant affiche une progression notable, passant de 1 604,9 $US en 2022 à 2 050 $ US en 2025</w:t>
      </w:r>
      <w:r>
        <w:rPr>
          <w:rStyle w:val="Appelnotedebasdep"/>
          <w:rFonts w:eastAsia="SimSun"/>
        </w:rPr>
        <w:footnoteReference w:id="3"/>
      </w:r>
      <w:r>
        <w:t>. Après avoir atteint un pic à 7,4% en 2023, l’inflation est projetée à 4,3 % en 2025 suite à une remarquable réduction des coûts en faveur de la stabilisation des prix</w:t>
      </w:r>
      <w:r>
        <w:rPr>
          <w:rStyle w:val="Appelnotedebasdep"/>
          <w:rFonts w:eastAsia="SimSun"/>
        </w:rPr>
        <w:footnoteReference w:id="4"/>
      </w:r>
      <w:r>
        <w:t xml:space="preserve">. </w:t>
      </w:r>
      <w:bookmarkEnd w:id="38"/>
      <w:r>
        <w:t xml:space="preserve">En matière de finances publiques, le déficit budgétaire se contracte légèrement, passant de -1,1 % du PIB en 2022 à -0,5 % en 2025, sans toutefois atteindre l’équilibre budgétaire, ce qui souligne la nécessité de poursuivre les réformes structurelles pour renforcer la soutenabilité fiscale. </w:t>
      </w:r>
    </w:p>
    <w:p w14:paraId="4337F870" w14:textId="77777777" w:rsidR="00EA6DED" w:rsidRDefault="00EA6DED">
      <w:pPr>
        <w:contextualSpacing/>
        <w:jc w:val="both"/>
      </w:pPr>
    </w:p>
    <w:p w14:paraId="4337F871" w14:textId="77777777" w:rsidR="00EA6DED" w:rsidRDefault="007504AE">
      <w:pPr>
        <w:pStyle w:val="Commentaire"/>
        <w:jc w:val="both"/>
        <w:rPr>
          <w:rFonts w:ascii="Times New Roman" w:eastAsia="SimSun" w:hAnsi="Times New Roman"/>
          <w:sz w:val="24"/>
          <w:szCs w:val="24"/>
        </w:rPr>
      </w:pPr>
      <w:r>
        <w:rPr>
          <w:rFonts w:ascii="Times New Roman" w:eastAsia="SimSun" w:hAnsi="Times New Roman"/>
          <w:sz w:val="24"/>
          <w:szCs w:val="24"/>
        </w:rPr>
        <w:t>Sur le plan démographique, la population est jeune avec 43% jeunes de 15 -34 ans. Cette jeunesse peut être un potentiel économique et un moteur de croissance si le dividende démographique est mieux exploité et traduit en investissements dans l’éducation, la formation et l’emploi.</w:t>
      </w:r>
    </w:p>
    <w:p w14:paraId="4337F872" w14:textId="77777777" w:rsidR="00EA6DED" w:rsidRDefault="00EA6DED">
      <w:pPr>
        <w:pStyle w:val="Commentaire"/>
        <w:jc w:val="both"/>
        <w:rPr>
          <w:rFonts w:ascii="Times New Roman" w:eastAsia="SimSun" w:hAnsi="Times New Roman"/>
          <w:sz w:val="24"/>
          <w:szCs w:val="24"/>
        </w:rPr>
      </w:pPr>
    </w:p>
    <w:p w14:paraId="4337F873" w14:textId="77777777" w:rsidR="00EA6DED" w:rsidRDefault="00EA6DED">
      <w:pPr>
        <w:pStyle w:val="Paragraphedeliste"/>
        <w:ind w:left="0"/>
        <w:rPr>
          <w:b/>
          <w:color w:val="00B0F0"/>
          <w:sz w:val="28"/>
        </w:rPr>
      </w:pPr>
      <w:bookmarkStart w:id="41" w:name="_Toc195992095"/>
      <w:bookmarkStart w:id="42" w:name="_Toc195996478"/>
      <w:bookmarkEnd w:id="39"/>
    </w:p>
    <w:p w14:paraId="4337F874" w14:textId="77777777" w:rsidR="00EA6DED" w:rsidRDefault="007504AE">
      <w:pPr>
        <w:pStyle w:val="Titre2"/>
        <w:rPr>
          <w:rFonts w:ascii="Times New Roman" w:hAnsi="Times New Roman"/>
          <w:color w:val="0000FF"/>
          <w:sz w:val="24"/>
          <w:szCs w:val="24"/>
        </w:rPr>
      </w:pPr>
      <w:bookmarkStart w:id="43" w:name="_Toc993"/>
      <w:r>
        <w:rPr>
          <w:rFonts w:ascii="Times New Roman" w:hAnsi="Times New Roman"/>
          <w:color w:val="0000FF"/>
          <w:sz w:val="24"/>
          <w:szCs w:val="24"/>
        </w:rPr>
        <w:lastRenderedPageBreak/>
        <w:t>3.2. Des enjeux et des défis de développement de plus en plus importants</w:t>
      </w:r>
      <w:bookmarkEnd w:id="41"/>
      <w:bookmarkEnd w:id="42"/>
      <w:bookmarkEnd w:id="43"/>
      <w:r>
        <w:rPr>
          <w:rFonts w:ascii="Times New Roman" w:hAnsi="Times New Roman"/>
          <w:color w:val="0000FF"/>
          <w:sz w:val="24"/>
          <w:szCs w:val="24"/>
        </w:rPr>
        <w:t xml:space="preserve"> </w:t>
      </w:r>
      <w:bookmarkStart w:id="44" w:name="_heading=h.35nkun2" w:colFirst="0" w:colLast="0"/>
      <w:bookmarkStart w:id="45" w:name="_Toc195992096"/>
      <w:bookmarkStart w:id="46" w:name="_Toc195996479"/>
      <w:bookmarkEnd w:id="44"/>
    </w:p>
    <w:p w14:paraId="4337F875" w14:textId="77777777" w:rsidR="00EA6DED" w:rsidRDefault="00EA6DED"/>
    <w:p w14:paraId="4337F876" w14:textId="77777777" w:rsidR="00EA6DED" w:rsidRDefault="007504AE">
      <w:pPr>
        <w:pStyle w:val="Titre3"/>
        <w:rPr>
          <w:rFonts w:ascii="Times New Roman" w:hAnsi="Times New Roman"/>
          <w:i/>
          <w:iCs/>
          <w:color w:val="000000"/>
          <w:sz w:val="22"/>
          <w:szCs w:val="22"/>
        </w:rPr>
      </w:pPr>
      <w:bookmarkStart w:id="47" w:name="_Toc11210"/>
      <w:r>
        <w:rPr>
          <w:rFonts w:ascii="Times New Roman" w:hAnsi="Times New Roman"/>
          <w:i/>
          <w:iCs/>
          <w:color w:val="000000"/>
          <w:sz w:val="22"/>
          <w:szCs w:val="22"/>
        </w:rPr>
        <w:t>3.2.1- Gouvernance politique et institutionnelle</w:t>
      </w:r>
      <w:bookmarkEnd w:id="45"/>
      <w:bookmarkEnd w:id="46"/>
      <w:bookmarkEnd w:id="47"/>
    </w:p>
    <w:p w14:paraId="4337F877" w14:textId="77777777" w:rsidR="00EA6DED" w:rsidRDefault="007504AE">
      <w:pPr>
        <w:contextualSpacing/>
        <w:jc w:val="both"/>
      </w:pPr>
      <w:r>
        <w:t>Le Cameroun est un État unitaire, décentralisé, laïc et démocratique. Le pouvoir législatif est bicaméral et confié à l’Assemblée Nationale et au Sénat. Le pouvoir judiciaire, est assuré par la Cour Suprême, le Conseil Supérieur de la Magistrature et d’autres juridictions spécialisées</w:t>
      </w:r>
      <w:r>
        <w:rPr>
          <w:rStyle w:val="Appelnotedebasdep"/>
          <w:rFonts w:eastAsia="DengXian Light"/>
        </w:rPr>
        <w:footnoteReference w:id="5"/>
      </w:r>
      <w:r>
        <w:t xml:space="preserve">. Le Conseil Constitutionnel, la Commission Nationale des Droits de l’Homme et Elections Cameroon (ELECAM) sont des institutions indépendantes mises en place pour garantir la démocratie, la transparence électorale et les droits fondamentaux. Toutefois, la forte centralisation du pouvoir exécutif, l’insuffisance des contre-pouvoirs parlementaire et judiciaire sont de véritables défis à surmonter. </w:t>
      </w:r>
    </w:p>
    <w:p w14:paraId="4337F878" w14:textId="77777777" w:rsidR="00EA6DED" w:rsidRDefault="00EA6DED">
      <w:pPr>
        <w:contextualSpacing/>
        <w:jc w:val="both"/>
      </w:pPr>
    </w:p>
    <w:p w14:paraId="4337F879" w14:textId="77777777" w:rsidR="00EA6DED" w:rsidRDefault="007504AE">
      <w:pPr>
        <w:pStyle w:val="Titre3"/>
        <w:rPr>
          <w:rFonts w:ascii="Times New Roman" w:hAnsi="Times New Roman"/>
          <w:i/>
          <w:iCs/>
          <w:color w:val="000000"/>
          <w:sz w:val="22"/>
          <w:szCs w:val="22"/>
        </w:rPr>
      </w:pPr>
      <w:bookmarkStart w:id="48" w:name="_Toc195992099"/>
      <w:bookmarkStart w:id="49" w:name="_Toc195996482"/>
      <w:bookmarkStart w:id="50" w:name="_Toc27554"/>
      <w:r>
        <w:rPr>
          <w:rFonts w:ascii="Times New Roman" w:hAnsi="Times New Roman"/>
          <w:i/>
          <w:iCs/>
          <w:color w:val="000000"/>
          <w:sz w:val="22"/>
          <w:szCs w:val="22"/>
        </w:rPr>
        <w:t>3.2.2- Gouvernance locale</w:t>
      </w:r>
      <w:bookmarkEnd w:id="48"/>
      <w:bookmarkEnd w:id="49"/>
      <w:bookmarkEnd w:id="50"/>
      <w:r>
        <w:rPr>
          <w:rFonts w:ascii="Times New Roman" w:hAnsi="Times New Roman"/>
          <w:i/>
          <w:iCs/>
          <w:color w:val="000000"/>
          <w:sz w:val="22"/>
          <w:szCs w:val="22"/>
        </w:rPr>
        <w:t xml:space="preserve"> </w:t>
      </w:r>
      <w:r>
        <w:rPr>
          <w:rFonts w:ascii="Times New Roman" w:hAnsi="Times New Roman"/>
          <w:i/>
          <w:iCs/>
          <w:color w:val="000000"/>
          <w:sz w:val="22"/>
          <w:szCs w:val="22"/>
        </w:rPr>
        <w:tab/>
      </w:r>
    </w:p>
    <w:p w14:paraId="4337F87A" w14:textId="77777777" w:rsidR="00EA6DED" w:rsidRDefault="007504AE">
      <w:pPr>
        <w:pStyle w:val="NormalWeb"/>
        <w:spacing w:before="0" w:beforeAutospacing="0" w:after="0" w:afterAutospacing="0"/>
        <w:contextualSpacing/>
        <w:jc w:val="both"/>
      </w:pPr>
      <w:r>
        <w:rPr>
          <w:lang w:val="fr"/>
        </w:rPr>
        <w:t>Depuis la promulgation des lois de 2004 sur la décentralisation, le Cameroun a formellement engagé un processus de transfert de compétences aux collectivités territoriales décentralisées (CTD). Toutefois, la décentralisation reste limitée par une forte tutelle de l’État central, une autonomie financière réduite, et une capacité technique encore faible dans de nombreuses collectivités territoriales. Des conseils régionaux ont été installés en 2020 pour compléter le processus, mais leur impact demeure limité par l’insuffisance des ressources allouées</w:t>
      </w:r>
      <w:r>
        <w:rPr>
          <w:rStyle w:val="Appelnotedebasdep"/>
          <w:rFonts w:eastAsia="SimSun"/>
          <w:lang w:val="fr"/>
        </w:rPr>
        <w:footnoteReference w:id="6"/>
      </w:r>
      <w:r>
        <w:rPr>
          <w:lang w:val="fr"/>
        </w:rPr>
        <w:t>. La gouvernance locale est également confrontée à des problèmes de transparence, de faible participation citoyenne, et de faible efficacité des politiques publiques locales</w:t>
      </w:r>
      <w:r>
        <w:rPr>
          <w:rStyle w:val="Appelnotedebasdep"/>
          <w:rFonts w:eastAsia="DengXian Light"/>
          <w:lang w:val="fr"/>
        </w:rPr>
        <w:footnoteReference w:id="7"/>
      </w:r>
      <w:r>
        <w:rPr>
          <w:lang w:val="fr"/>
        </w:rPr>
        <w:t xml:space="preserve">. </w:t>
      </w:r>
    </w:p>
    <w:p w14:paraId="4337F87B" w14:textId="77777777" w:rsidR="00EA6DED" w:rsidRDefault="00EA6DED">
      <w:pPr>
        <w:spacing w:line="276" w:lineRule="auto"/>
        <w:jc w:val="both"/>
        <w:rPr>
          <w:lang w:val="fr"/>
        </w:rPr>
      </w:pPr>
    </w:p>
    <w:p w14:paraId="4337F87C" w14:textId="77777777" w:rsidR="00EA6DED" w:rsidRDefault="007504AE">
      <w:pPr>
        <w:pStyle w:val="Titre3"/>
        <w:rPr>
          <w:rFonts w:ascii="Times New Roman" w:hAnsi="Times New Roman"/>
          <w:i/>
          <w:iCs/>
          <w:color w:val="000000"/>
          <w:sz w:val="22"/>
          <w:szCs w:val="22"/>
        </w:rPr>
      </w:pPr>
      <w:bookmarkStart w:id="51" w:name="_Toc195996483"/>
      <w:bookmarkStart w:id="52" w:name="_Toc195992100"/>
      <w:bookmarkStart w:id="53" w:name="_Toc5778"/>
      <w:r>
        <w:rPr>
          <w:rFonts w:ascii="Times New Roman" w:hAnsi="Times New Roman"/>
          <w:i/>
          <w:iCs/>
          <w:color w:val="000000"/>
          <w:sz w:val="22"/>
          <w:szCs w:val="22"/>
        </w:rPr>
        <w:t xml:space="preserve">3.2.3- </w:t>
      </w:r>
      <w:bookmarkEnd w:id="51"/>
      <w:bookmarkEnd w:id="52"/>
      <w:r>
        <w:rPr>
          <w:rFonts w:ascii="Times New Roman" w:hAnsi="Times New Roman"/>
          <w:i/>
          <w:iCs/>
          <w:color w:val="000000"/>
          <w:sz w:val="22"/>
          <w:szCs w:val="22"/>
        </w:rPr>
        <w:t>Crises sécuritaires et conflits</w:t>
      </w:r>
      <w:bookmarkEnd w:id="53"/>
      <w:r>
        <w:rPr>
          <w:rFonts w:ascii="Times New Roman" w:hAnsi="Times New Roman"/>
          <w:i/>
          <w:iCs/>
          <w:color w:val="000000"/>
          <w:sz w:val="22"/>
          <w:szCs w:val="22"/>
        </w:rPr>
        <w:t xml:space="preserve"> </w:t>
      </w:r>
    </w:p>
    <w:p w14:paraId="4337F87D" w14:textId="77777777" w:rsidR="00EA6DED" w:rsidRDefault="007504AE">
      <w:pPr>
        <w:jc w:val="both"/>
        <w:rPr>
          <w:lang w:val="fr"/>
        </w:rPr>
      </w:pPr>
      <w:r>
        <w:rPr>
          <w:lang w:val="fr"/>
        </w:rPr>
        <w:t>Le Cameroun fait face à plusieurs défis sécuritaires majeurs. À l’Extrême-Nord, les attaques de la secte islamique Boko Haram, quoi qu’en nette régression, continuent de perturber la stabilité de la région. Dans les régions du Nord-Ouest et du Sud-Ouest, la crise dite ‘anglophone ’ a évolué depuis 2016 en un conflit armé ayant des conséquences humanitaires et sécuritaires considérables. A l’Est, la proximité avec la République Centrafricaine génère des défis liés à la gestion des réfugiés et à la sécurité transfrontalière.</w:t>
      </w:r>
    </w:p>
    <w:p w14:paraId="4337F87E" w14:textId="77777777" w:rsidR="00EA6DED" w:rsidRDefault="00EA6DED">
      <w:pPr>
        <w:jc w:val="both"/>
        <w:rPr>
          <w:rFonts w:eastAsia="Calibri"/>
          <w:lang w:val="fr"/>
        </w:rPr>
      </w:pPr>
    </w:p>
    <w:p w14:paraId="4337F87F" w14:textId="77777777" w:rsidR="00EA6DED" w:rsidRDefault="007504AE">
      <w:pPr>
        <w:jc w:val="both"/>
      </w:pPr>
      <w:r>
        <w:t>En dépit des efforts gouvernementaux à travers diverses initiatives dont le Programme Présidentiel de Reconstruction et de Développement du Sud-Ouest et du Nord-Ouest (PPRD),, le Cameroun comptait au 31 décembre 2024 près de 2,1 millions de personnes déplacées de force. Cela inclut plus de 426 000 réfugiés et demandeurs d’asile, principalement originaires de la République centrafricaine (73 %) et du Nigeria (26 %) et 1 % provenant de 40 autres pays, 1,07 million de personnes déplacées à l’intérieur du pays (PDI) et rapatriés.  60 % des réfugiés sont présents dans le pays depuis plus de dix ans et vivent dans une situation de déplacement prolongé. 53 % des réfugiés sont des femmes, et les adultes (âgés de 18 à 60 ans) constituent 46 % de la population réfugiée.</w:t>
      </w:r>
    </w:p>
    <w:p w14:paraId="4337F880" w14:textId="77777777" w:rsidR="00EA6DED" w:rsidRDefault="00EA6DED">
      <w:pPr>
        <w:jc w:val="both"/>
        <w:rPr>
          <w:rFonts w:eastAsia="Calibri"/>
          <w:lang w:val="fr"/>
        </w:rPr>
      </w:pPr>
    </w:p>
    <w:p w14:paraId="4337F881" w14:textId="77777777" w:rsidR="00EA6DED" w:rsidRDefault="007504AE">
      <w:pPr>
        <w:jc w:val="both"/>
        <w:rPr>
          <w:i/>
          <w:iCs/>
          <w:color w:val="000000"/>
          <w:sz w:val="22"/>
          <w:szCs w:val="22"/>
        </w:rPr>
      </w:pPr>
      <w:bookmarkStart w:id="54" w:name="_Toc195992101"/>
      <w:bookmarkStart w:id="55" w:name="_Toc195996484"/>
      <w:r>
        <w:rPr>
          <w:i/>
          <w:color w:val="000000"/>
          <w:sz w:val="22"/>
        </w:rPr>
        <w:t xml:space="preserve">3.2.4- </w:t>
      </w:r>
      <w:r>
        <w:rPr>
          <w:i/>
          <w:iCs/>
          <w:color w:val="000000"/>
          <w:sz w:val="22"/>
          <w:szCs w:val="22"/>
        </w:rPr>
        <w:t>Situation économique générale</w:t>
      </w:r>
    </w:p>
    <w:p w14:paraId="4337F882" w14:textId="77777777" w:rsidR="00EA6DED" w:rsidRDefault="007504AE">
      <w:pPr>
        <w:jc w:val="both"/>
        <w:rPr>
          <w:rFonts w:eastAsia="Arial"/>
        </w:rPr>
      </w:pPr>
      <w:r>
        <w:rPr>
          <w:rFonts w:eastAsia="Arial"/>
        </w:rPr>
        <w:t>L’économie reste peu diversifiée et fortement dépendante des matières premières ainsi que des importations. Le secteur informel prédomine, tandis que le sous-emploi, notamment chez les jeunes, demeure préoccupant. Le secteur agricole est vulnérable aux aléas climatiques et souffre d’un manque d’infrastructures de transformation. L’accès aux financements est limité, la pauvreté persiste dans certaines régions, et l’on note un déficit d’infrastructures de base (énergie, eau, assainissement)</w:t>
      </w:r>
      <w:r>
        <w:rPr>
          <w:rStyle w:val="Appelnotedebasdep"/>
          <w:rFonts w:eastAsia="SimSun"/>
        </w:rPr>
        <w:footnoteReference w:id="8"/>
      </w:r>
      <w:r>
        <w:rPr>
          <w:rFonts w:eastAsia="Arial"/>
        </w:rPr>
        <w:t xml:space="preserve">. </w:t>
      </w:r>
    </w:p>
    <w:p w14:paraId="4337F883" w14:textId="77777777" w:rsidR="00EA6DED" w:rsidRDefault="00EA6DED">
      <w:pPr>
        <w:pStyle w:val="Titre3"/>
        <w:rPr>
          <w:rFonts w:ascii="Times New Roman" w:hAnsi="Times New Roman"/>
          <w:i/>
          <w:iCs/>
          <w:color w:val="000000"/>
          <w:sz w:val="22"/>
          <w:szCs w:val="22"/>
        </w:rPr>
      </w:pPr>
    </w:p>
    <w:p w14:paraId="4337F884" w14:textId="77777777" w:rsidR="00EA6DED" w:rsidRDefault="00EA6DED">
      <w:pPr>
        <w:pStyle w:val="Titre3"/>
        <w:rPr>
          <w:rFonts w:ascii="Times New Roman" w:hAnsi="Times New Roman"/>
          <w:i/>
          <w:iCs/>
          <w:color w:val="000000"/>
          <w:sz w:val="22"/>
          <w:szCs w:val="22"/>
        </w:rPr>
      </w:pPr>
    </w:p>
    <w:p w14:paraId="4337F885" w14:textId="77777777" w:rsidR="00EA6DED" w:rsidRDefault="007504AE">
      <w:pPr>
        <w:pStyle w:val="Titre3"/>
        <w:rPr>
          <w:rFonts w:ascii="Times New Roman" w:hAnsi="Times New Roman"/>
          <w:i/>
          <w:iCs/>
          <w:color w:val="000000"/>
          <w:sz w:val="22"/>
          <w:szCs w:val="22"/>
        </w:rPr>
      </w:pPr>
      <w:bookmarkStart w:id="56" w:name="_Toc25289"/>
      <w:r>
        <w:rPr>
          <w:rFonts w:ascii="Times New Roman" w:hAnsi="Times New Roman"/>
          <w:i/>
          <w:iCs/>
          <w:color w:val="000000"/>
          <w:sz w:val="22"/>
          <w:szCs w:val="22"/>
        </w:rPr>
        <w:t>3.2.5Accès aux services sociaux de base</w:t>
      </w:r>
      <w:bookmarkEnd w:id="54"/>
      <w:bookmarkEnd w:id="55"/>
      <w:bookmarkEnd w:id="56"/>
    </w:p>
    <w:p w14:paraId="4337F886" w14:textId="77777777" w:rsidR="00EA6DED" w:rsidRDefault="007504AE">
      <w:pPr>
        <w:jc w:val="both"/>
        <w:rPr>
          <w:rFonts w:eastAsia="Arial"/>
          <w:b/>
        </w:rPr>
      </w:pPr>
      <w:r>
        <w:rPr>
          <w:rFonts w:eastAsia="Arial"/>
          <w:b/>
        </w:rPr>
        <w:t xml:space="preserve">Éducation : </w:t>
      </w:r>
      <w:r>
        <w:rPr>
          <w:lang w:val="fr"/>
        </w:rPr>
        <w:t xml:space="preserve">Au Cameroun, le système éducatif est régi par la loi d'orientation de l'éducation n° 98/004 du 14 avril 1998 qui fixe les différents ordres d'enseignement (maternel, primaire, post-primaire, l'enseignement secondaire, normal et supérieur), et réaffirme l'option nationale du biculturalisme à travers deux sous-systèmes, </w:t>
      </w:r>
      <w:r>
        <w:rPr>
          <w:lang w:val="fr"/>
        </w:rPr>
        <w:lastRenderedPageBreak/>
        <w:t>hérités de la double tutelle coloniale française et britannique. La part des dépenses d'éducation dans les dépenses totales de l'État s'établit en moyenne arithmétique à 14,4 % avec un plancher de 12,9 % en 2014 et un plafond de 16,9 % en 2018</w:t>
      </w:r>
      <w:r>
        <w:rPr>
          <w:rStyle w:val="Appelnotedebasdep"/>
          <w:rFonts w:eastAsia="DengXian Light"/>
          <w:lang w:val="fr"/>
        </w:rPr>
        <w:footnoteReference w:id="9"/>
      </w:r>
      <w:r>
        <w:rPr>
          <w:lang w:val="fr"/>
        </w:rPr>
        <w:t>. Le financement des ménages reste important (9% pour le primaire et 10% pour le secondaire) de leurs revenus à l’éducation, bien que l'école primaire publique soit gratuite et l'enseignement secondaire public subventionné</w:t>
      </w:r>
      <w:r>
        <w:rPr>
          <w:rStyle w:val="Appelnotedebasdep"/>
          <w:rFonts w:eastAsia="DengXian Light"/>
          <w:lang w:val="fr"/>
        </w:rPr>
        <w:footnoteReference w:id="10"/>
      </w:r>
      <w:r>
        <w:rPr>
          <w:lang w:val="fr"/>
        </w:rPr>
        <w:t>.</w:t>
      </w:r>
    </w:p>
    <w:p w14:paraId="4337F887" w14:textId="77777777" w:rsidR="00EA6DED" w:rsidRDefault="00EA6DED">
      <w:pPr>
        <w:jc w:val="both"/>
        <w:rPr>
          <w:rFonts w:eastAsia="Arial"/>
          <w:b/>
        </w:rPr>
      </w:pPr>
    </w:p>
    <w:p w14:paraId="4337F888" w14:textId="77777777" w:rsidR="00EA6DED" w:rsidRDefault="007504AE">
      <w:pPr>
        <w:jc w:val="both"/>
      </w:pPr>
      <w:r>
        <w:rPr>
          <w:rFonts w:eastAsia="Arial"/>
          <w:b/>
        </w:rPr>
        <w:t xml:space="preserve">Santé : </w:t>
      </w:r>
      <w:r>
        <w:t>Au Cameroun, la part du budget allouée à la santé est passée de 3,89% entre 2015 et 2020</w:t>
      </w:r>
      <w:r>
        <w:rPr>
          <w:rStyle w:val="Appelnotedebasdep"/>
          <w:rFonts w:eastAsia="DengXian Light"/>
        </w:rPr>
        <w:footnoteReference w:id="11"/>
      </w:r>
      <w:r>
        <w:t xml:space="preserve"> à 3,6 % en 2023</w:t>
      </w:r>
      <w:r>
        <w:rPr>
          <w:rStyle w:val="Appelnotedebasdep"/>
          <w:rFonts w:eastAsia="DengXian Light"/>
        </w:rPr>
        <w:footnoteReference w:id="12"/>
      </w:r>
      <w:r>
        <w:t xml:space="preserve">. </w:t>
      </w:r>
      <w:r>
        <w:rPr>
          <w:lang w:val="fr"/>
        </w:rPr>
        <w:t xml:space="preserve">Ce chiffre est largement en deçà des 15% recommandés par la Déclaration d'Abuja de 2001. </w:t>
      </w:r>
      <w:r>
        <w:t>Selon la direction des ressources financières et du patrimoine public au ministère de la Santé publique, la contribution des ménages représentait près de 72% des dépenses courantes de santé en 2024</w:t>
      </w:r>
      <w:r>
        <w:rPr>
          <w:rStyle w:val="Appelnotedebasdep"/>
          <w:rFonts w:eastAsia="DengXian Light"/>
        </w:rPr>
        <w:footnoteReference w:id="13"/>
      </w:r>
      <w:r>
        <w:t xml:space="preserve">. </w:t>
      </w:r>
      <w:r>
        <w:rPr>
          <w:lang w:val="fr"/>
        </w:rPr>
        <w:t xml:space="preserve">Sur le plan sanitaire, le profil épidémiologique est dominé par les maladies parasitaires et infectieuses, malgré une forte augmentation des maladies non transmissibles. </w:t>
      </w:r>
      <w:r>
        <w:t>Selon l'Organisation mondiale de la Santé (OMS), le Cameroun fait partie des 11 pays High Burden to High Impact (HBHI) représentant 70% du fardeau mondial du paludisme</w:t>
      </w:r>
      <w:r>
        <w:rPr>
          <w:rStyle w:val="Appelnotedebasdep"/>
          <w:rFonts w:eastAsia="DengXian Light"/>
        </w:rPr>
        <w:footnoteReference w:id="14"/>
      </w:r>
      <w:r>
        <w:t xml:space="preserve">. Le paludisme est responsable de 50% des hospitalisations dans les établissements de santé (Rapport annuel du PNLP, 2021), 65% des cas concernant des enfants de moins de cinq ans. </w:t>
      </w:r>
      <w:r>
        <w:rPr>
          <w:rFonts w:eastAsia="SimSun"/>
        </w:rPr>
        <w:t xml:space="preserve"> </w:t>
      </w:r>
      <w:r>
        <w:t>Depuis 2011, l</w:t>
      </w:r>
      <w:r>
        <w:rPr>
          <w:rFonts w:eastAsia="SimSun"/>
        </w:rPr>
        <w:t>a mortalit</w:t>
      </w:r>
      <w:r>
        <w:rPr>
          <w:rFonts w:eastAsia="SimSun" w:hint="eastAsia"/>
        </w:rPr>
        <w:t>é</w:t>
      </w:r>
      <w:r>
        <w:rPr>
          <w:rFonts w:eastAsia="SimSun"/>
        </w:rPr>
        <w:t xml:space="preserve"> maternelle a </w:t>
      </w:r>
      <w:r>
        <w:rPr>
          <w:rFonts w:eastAsia="SimSun" w:hint="eastAsia"/>
        </w:rPr>
        <w:t>é</w:t>
      </w:r>
      <w:r>
        <w:rPr>
          <w:rFonts w:eastAsia="SimSun"/>
        </w:rPr>
        <w:t>t</w:t>
      </w:r>
      <w:r>
        <w:rPr>
          <w:rFonts w:eastAsia="SimSun" w:hint="eastAsia"/>
        </w:rPr>
        <w:t>é</w:t>
      </w:r>
      <w:r>
        <w:rPr>
          <w:rFonts w:eastAsia="SimSun"/>
        </w:rPr>
        <w:t xml:space="preserve"> r</w:t>
      </w:r>
      <w:r>
        <w:rPr>
          <w:rFonts w:eastAsia="SimSun" w:hint="eastAsia"/>
        </w:rPr>
        <w:t>é</w:t>
      </w:r>
      <w:r>
        <w:rPr>
          <w:rFonts w:eastAsia="SimSun"/>
        </w:rPr>
        <w:t>duite presque de moiti</w:t>
      </w:r>
      <w:r>
        <w:rPr>
          <w:rFonts w:eastAsia="SimSun" w:hint="eastAsia"/>
        </w:rPr>
        <w:t>é</w:t>
      </w:r>
      <w:r>
        <w:rPr>
          <w:rFonts w:eastAsia="SimSun"/>
        </w:rPr>
        <w:t xml:space="preserve">, passant de 782 </w:t>
      </w:r>
      <w:r>
        <w:rPr>
          <w:rFonts w:eastAsia="SimSun" w:hint="eastAsia"/>
        </w:rPr>
        <w:t>à</w:t>
      </w:r>
      <w:r>
        <w:rPr>
          <w:rFonts w:eastAsia="SimSun"/>
        </w:rPr>
        <w:t xml:space="preserve"> 406 d</w:t>
      </w:r>
      <w:r>
        <w:rPr>
          <w:rFonts w:eastAsia="SimSun" w:hint="eastAsia"/>
        </w:rPr>
        <w:t>é</w:t>
      </w:r>
      <w:r>
        <w:rPr>
          <w:rFonts w:eastAsia="SimSun"/>
        </w:rPr>
        <w:t>c</w:t>
      </w:r>
      <w:r>
        <w:rPr>
          <w:rFonts w:eastAsia="SimSun" w:hint="eastAsia"/>
        </w:rPr>
        <w:t>è</w:t>
      </w:r>
      <w:r>
        <w:rPr>
          <w:rFonts w:eastAsia="SimSun"/>
        </w:rPr>
        <w:t>s maternels pour 100 000 naissances vivantes en 2018. Les a</w:t>
      </w:r>
      <w:r>
        <w:t>cc</w:t>
      </w:r>
      <w:r>
        <w:rPr>
          <w:rFonts w:eastAsia="SimSun"/>
        </w:rPr>
        <w:t>ouchements assist</w:t>
      </w:r>
      <w:r>
        <w:rPr>
          <w:rFonts w:eastAsia="SimSun" w:hint="eastAsia"/>
        </w:rPr>
        <w:t>é</w:t>
      </w:r>
      <w:r>
        <w:rPr>
          <w:rFonts w:eastAsia="SimSun"/>
        </w:rPr>
        <w:t>s par un prestataire de sant</w:t>
      </w:r>
      <w:r>
        <w:rPr>
          <w:rFonts w:eastAsia="SimSun" w:hint="eastAsia"/>
        </w:rPr>
        <w:t>é</w:t>
      </w:r>
      <w:r>
        <w:rPr>
          <w:rFonts w:eastAsia="SimSun"/>
        </w:rPr>
        <w:t xml:space="preserve"> qualifi</w:t>
      </w:r>
      <w:r>
        <w:rPr>
          <w:rFonts w:eastAsia="SimSun" w:hint="eastAsia"/>
        </w:rPr>
        <w:t>é</w:t>
      </w:r>
      <w:r>
        <w:rPr>
          <w:rFonts w:eastAsia="SimSun"/>
        </w:rPr>
        <w:t xml:space="preserve"> ont augment</w:t>
      </w:r>
      <w:r>
        <w:rPr>
          <w:rFonts w:eastAsia="SimSun" w:hint="eastAsia"/>
        </w:rPr>
        <w:t>é</w:t>
      </w:r>
      <w:r>
        <w:rPr>
          <w:rFonts w:eastAsia="SimSun"/>
        </w:rPr>
        <w:t xml:space="preserve"> de 64% </w:t>
      </w:r>
      <w:r>
        <w:rPr>
          <w:rFonts w:eastAsia="SimSun" w:hint="eastAsia"/>
        </w:rPr>
        <w:t>à</w:t>
      </w:r>
      <w:r>
        <w:rPr>
          <w:rFonts w:eastAsia="SimSun"/>
        </w:rPr>
        <w:t xml:space="preserve"> 69% et la pr</w:t>
      </w:r>
      <w:r>
        <w:rPr>
          <w:rFonts w:eastAsia="SimSun" w:hint="eastAsia"/>
        </w:rPr>
        <w:t>é</w:t>
      </w:r>
      <w:r>
        <w:rPr>
          <w:rFonts w:eastAsia="SimSun"/>
        </w:rPr>
        <w:t>valence contraceptive moderne a a</w:t>
      </w:r>
      <w:r>
        <w:t>cc</w:t>
      </w:r>
      <w:r>
        <w:rPr>
          <w:rFonts w:eastAsia="SimSun"/>
        </w:rPr>
        <w:t xml:space="preserve">ru de 14 </w:t>
      </w:r>
      <w:r>
        <w:rPr>
          <w:rFonts w:eastAsia="SimSun" w:hint="eastAsia"/>
        </w:rPr>
        <w:t>à</w:t>
      </w:r>
      <w:r>
        <w:rPr>
          <w:rFonts w:eastAsia="SimSun"/>
        </w:rPr>
        <w:t xml:space="preserve"> 15% sur la m</w:t>
      </w:r>
      <w:r>
        <w:rPr>
          <w:rFonts w:eastAsia="SimSun" w:hint="eastAsia"/>
        </w:rPr>
        <w:t>ê</w:t>
      </w:r>
      <w:r>
        <w:rPr>
          <w:rFonts w:eastAsia="SimSun"/>
        </w:rPr>
        <w:t>me p</w:t>
      </w:r>
      <w:r>
        <w:rPr>
          <w:rFonts w:eastAsia="SimSun" w:hint="eastAsia"/>
        </w:rPr>
        <w:t>é</w:t>
      </w:r>
      <w:r>
        <w:rPr>
          <w:rFonts w:eastAsia="SimSun"/>
        </w:rPr>
        <w:t>riode</w:t>
      </w:r>
      <w:r>
        <w:rPr>
          <w:rStyle w:val="Appelnotedebasdep"/>
          <w:rFonts w:eastAsia="SimSun"/>
        </w:rPr>
        <w:footnoteReference w:id="15"/>
      </w:r>
      <w:r>
        <w:rPr>
          <w:rFonts w:eastAsia="SimSun"/>
        </w:rPr>
        <w:t>.</w:t>
      </w:r>
    </w:p>
    <w:p w14:paraId="4337F889" w14:textId="77777777" w:rsidR="00EA6DED" w:rsidRDefault="00EA6DED">
      <w:pPr>
        <w:jc w:val="both"/>
        <w:rPr>
          <w:rFonts w:eastAsia="Arial"/>
          <w:b/>
          <w:i/>
        </w:rPr>
      </w:pPr>
    </w:p>
    <w:p w14:paraId="4337F88A" w14:textId="77777777" w:rsidR="00EA6DED" w:rsidRDefault="00EA6DED">
      <w:pPr>
        <w:spacing w:line="257" w:lineRule="auto"/>
        <w:jc w:val="both"/>
        <w:rPr>
          <w:lang w:val="fr"/>
        </w:rPr>
      </w:pPr>
    </w:p>
    <w:p w14:paraId="4337F88B" w14:textId="77777777" w:rsidR="00EA6DED" w:rsidRDefault="007504AE">
      <w:pPr>
        <w:contextualSpacing/>
        <w:jc w:val="both"/>
        <w:rPr>
          <w:rFonts w:eastAsia="Arial"/>
          <w:b/>
          <w:i/>
        </w:rPr>
      </w:pPr>
      <w:r>
        <w:rPr>
          <w:rFonts w:eastAsia="Arial"/>
          <w:b/>
        </w:rPr>
        <w:t xml:space="preserve">Eau, assainissement et hygiène : </w:t>
      </w:r>
      <w:r>
        <w:t xml:space="preserve">Le contexte WASH au Cameroun est caractérisé par une population croissante, l'urbanisation et les impacts du changement climatique avec des disparités significatives dans l'accès à l'eau, l'assainissement et les services d'hygiène entre les zones urbaines et rurales. </w:t>
      </w:r>
      <w:r>
        <w:rPr>
          <w:lang w:val="fr"/>
        </w:rPr>
        <w:t xml:space="preserve">Selon le ministère de l’eau et de l’énergie en 2020, le taux de défécation à l’air libre était d’environ 7% au niveau national avec des disparités en fonction des régions. L’Extrême-Nord et le Nord ont des taux d’accès aux toilettes améliorées les plus faibles, respectivement 14.3% et 32.8%.  </w:t>
      </w:r>
      <w:r>
        <w:t>Le taux d'accès à une source d'eau potable est de 70% pour l'ensemble de la population, avec une couverture de 82 % dans les zones urbaines et de 52% dans les régions rurales</w:t>
      </w:r>
      <w:r>
        <w:rPr>
          <w:rStyle w:val="Appelnotedebasdep"/>
          <w:rFonts w:eastAsia="DengXian Light"/>
        </w:rPr>
        <w:footnoteReference w:id="16"/>
      </w:r>
      <w:r>
        <w:t>. Seulement 43% de la population camerounaise a accès à des installations sanitaires de base, avec un écart important entre les zones urbaines (58%) et les zones rurales (22 %)</w:t>
      </w:r>
      <w:r>
        <w:rPr>
          <w:rStyle w:val="Appelnotedebasdep"/>
          <w:rFonts w:eastAsia="DengXian Light"/>
        </w:rPr>
        <w:footnoteReference w:id="17"/>
      </w:r>
      <w:r>
        <w:t>.</w:t>
      </w:r>
    </w:p>
    <w:p w14:paraId="4337F88C" w14:textId="77777777" w:rsidR="00EA6DED" w:rsidRDefault="00EA6DED">
      <w:pPr>
        <w:contextualSpacing/>
        <w:jc w:val="both"/>
        <w:rPr>
          <w:rFonts w:eastAsia="Arial"/>
          <w:b/>
          <w:i/>
        </w:rPr>
      </w:pPr>
    </w:p>
    <w:p w14:paraId="4337F88D" w14:textId="77777777" w:rsidR="00EA6DED" w:rsidRDefault="007504AE">
      <w:pPr>
        <w:jc w:val="both"/>
      </w:pPr>
      <w:bookmarkStart w:id="57" w:name="_Toc195992102"/>
      <w:bookmarkStart w:id="58" w:name="_Toc195996485"/>
      <w:r>
        <w:rPr>
          <w:rFonts w:eastAsia="Arial"/>
          <w:b/>
        </w:rPr>
        <w:t>Sécurité alimentaire</w:t>
      </w:r>
      <w:bookmarkEnd w:id="57"/>
      <w:bookmarkEnd w:id="58"/>
      <w:r>
        <w:rPr>
          <w:rFonts w:eastAsia="Arial"/>
          <w:b/>
        </w:rPr>
        <w:t xml:space="preserve"> : </w:t>
      </w:r>
      <w:r>
        <w:t>L'Indice mondial de la faim (GHI) classe le Cameroun au 79e rang sur 127 pays évalués, et la gravité de la situation est jugée modérée avec un score de 18.3</w:t>
      </w:r>
      <w:r>
        <w:rPr>
          <w:vertAlign w:val="superscript"/>
        </w:rPr>
        <w:footnoteReference w:id="18"/>
      </w:r>
      <w:r>
        <w:t xml:space="preserve">. Comparée à situation jugée grave avec un score de 20.8 en 2016, la sécurité alimentaire du pays s'est améliorée au cours des huit dernières années (GHI, 2024). D’après les résultats de l’analyse du Cadre harmonisé d’octobre 2024, les principaux facteurs déterminants du danger et de la vulnérabilité de la sécurité alimentaire sont: i)les inondations dans le région de l’Extrême-Nord avec une sévérité plus importante dans les départements du Logone &amp; Chari et du Mayo Danay ; ii) les poches de sècheresse accrue dans les départements du Mayo Louti et de la Bénoué ; iii) la persistance de la crise socio politique dans le Nord-Ouest et Sud-Ouest ; iv) les enlèvements avec demande de rançon dans le Mayo Rey et l’Adamaoua, v) les incursions sporadiques de Boko Haram dans les départements du Mayo Sava, du Mayo Tsanaga et du Logone et Chari ; vi) les attaques des chenilles sur les céréales dû aux poches de sècheresse dans la Bénoué, le Mayo Louti; et vii) la hausse des prix généralisée des denrées alimentaires tributaire de l’augmentation du prix du carburant. </w:t>
      </w:r>
      <w:bookmarkStart w:id="59" w:name="_Toc195992103"/>
      <w:bookmarkStart w:id="60" w:name="_Toc195996486"/>
    </w:p>
    <w:p w14:paraId="4337F88E" w14:textId="77777777" w:rsidR="00EA6DED" w:rsidRDefault="00EA6DED">
      <w:pPr>
        <w:pStyle w:val="Titre3"/>
        <w:rPr>
          <w:rFonts w:ascii="Times New Roman" w:hAnsi="Times New Roman"/>
          <w:i/>
          <w:iCs/>
          <w:color w:val="000000"/>
          <w:sz w:val="22"/>
          <w:szCs w:val="22"/>
        </w:rPr>
      </w:pPr>
    </w:p>
    <w:p w14:paraId="4337F88F" w14:textId="77777777" w:rsidR="00EA6DED" w:rsidRDefault="007504AE">
      <w:pPr>
        <w:pStyle w:val="Titre3"/>
        <w:rPr>
          <w:rFonts w:ascii="Times New Roman" w:hAnsi="Times New Roman"/>
          <w:i/>
          <w:iCs/>
          <w:color w:val="000000"/>
          <w:sz w:val="22"/>
          <w:szCs w:val="22"/>
        </w:rPr>
      </w:pPr>
      <w:bookmarkStart w:id="61" w:name="_Toc12734"/>
      <w:r>
        <w:rPr>
          <w:rFonts w:ascii="Times New Roman" w:hAnsi="Times New Roman"/>
          <w:i/>
          <w:iCs/>
          <w:color w:val="000000"/>
          <w:sz w:val="22"/>
          <w:szCs w:val="22"/>
        </w:rPr>
        <w:t>3.2.5. Protection des minorités sociales</w:t>
      </w:r>
      <w:bookmarkEnd w:id="59"/>
      <w:bookmarkEnd w:id="60"/>
      <w:r>
        <w:rPr>
          <w:rFonts w:ascii="Times New Roman" w:hAnsi="Times New Roman"/>
          <w:i/>
          <w:iCs/>
          <w:color w:val="000000"/>
          <w:sz w:val="22"/>
          <w:szCs w:val="22"/>
        </w:rPr>
        <w:t xml:space="preserve"> et égalité des genres</w:t>
      </w:r>
      <w:bookmarkEnd w:id="61"/>
    </w:p>
    <w:p w14:paraId="4337F890" w14:textId="77777777" w:rsidR="00EA6DED" w:rsidRDefault="007504AE">
      <w:pPr>
        <w:spacing w:after="160" w:line="257" w:lineRule="auto"/>
        <w:jc w:val="both"/>
      </w:pPr>
      <w:r>
        <w:rPr>
          <w:lang w:val="fr"/>
        </w:rPr>
        <w:t>Les femmes et les filles constituent le groupe le plus marginalisé en matière de politiques sociales. Les personnes handicapées font également partie des populations vulnérables physiquement, socialement et économiquement et méritent donc une attention particulière dans les programmes de développement du gouvernement et dans les programmes de coopération. Dans le cadre de l’approche “Ne laisser personne de côté” (LNOB), les réfugiés et les personnes déplacées internes (PDI) sont explicitement considérés comme sous-groupes à inclure, nécessitant des modalités d’accès adaptées (documentation civile, accès à l’asile et protection sociale). Le système de sécurité sociale au Cameroun comprend deux principaux régimes : (i) un régime général de sécurité sociale géré par la Caisse nationale de prévoyance sociale (CNPS) pour les salariés du secteur privé ; (ii) le régime général des fonctionnaires et agents de l’État géré par le ministère des Finances.  À cela s’ajoutent un régime spécial de sécurité sociale pour les parlementaires, un régime d’assurance volontaire pour les travailleurs indépendants géré par la CNPS, des régimes d’entreprise et des mutuelles sociales.</w:t>
      </w:r>
    </w:p>
    <w:p w14:paraId="4337F891" w14:textId="77777777" w:rsidR="00EA6DED" w:rsidRDefault="007504AE">
      <w:pPr>
        <w:spacing w:before="120" w:after="120"/>
        <w:jc w:val="both"/>
        <w:rPr>
          <w:rFonts w:eastAsia="Arial"/>
          <w:lang w:val="fr"/>
        </w:rPr>
      </w:pPr>
      <w:r>
        <w:rPr>
          <w:rFonts w:eastAsia="Arial"/>
        </w:rPr>
        <w:t>En plus de la Politique Nationale Genre (2022-2030), des stratégies</w:t>
      </w:r>
      <w:r>
        <w:rPr>
          <w:rStyle w:val="Appelnotedebasdep"/>
          <w:rFonts w:eastAsia="DengXian Light"/>
        </w:rPr>
        <w:footnoteReference w:id="19"/>
      </w:r>
      <w:r>
        <w:rPr>
          <w:rFonts w:eastAsia="Arial"/>
        </w:rPr>
        <w:t xml:space="preserve"> sectorielles et thématiques intégrant le genre ont également été élaborées</w:t>
      </w:r>
      <w:r>
        <w:rPr>
          <w:rStyle w:val="Appelnotedebasdep"/>
          <w:rFonts w:eastAsia="SimSun"/>
        </w:rPr>
        <w:footnoteReference w:id="20"/>
      </w:r>
      <w:r>
        <w:rPr>
          <w:rFonts w:eastAsia="Arial"/>
        </w:rPr>
        <w:t xml:space="preserve">. </w:t>
      </w:r>
      <w:r>
        <w:rPr>
          <w:rFonts w:eastAsia="Arial"/>
          <w:lang w:val="fr"/>
        </w:rPr>
        <w:t>Malgré ces efforts, le Cameroun se classe en 138</w:t>
      </w:r>
      <w:r>
        <w:rPr>
          <w:rFonts w:eastAsia="Arial"/>
          <w:vertAlign w:val="superscript"/>
          <w:lang w:val="fr"/>
        </w:rPr>
        <w:t xml:space="preserve">ème </w:t>
      </w:r>
      <w:r>
        <w:rPr>
          <w:rFonts w:eastAsia="Arial"/>
          <w:lang w:val="fr"/>
        </w:rPr>
        <w:t>position sur les 156 pays évalués en ce qui concerne l’égalité des sexes (Forum Économique Mondial, 2021)</w:t>
      </w:r>
      <w:r>
        <w:rPr>
          <w:rStyle w:val="Appelnotedebasdep"/>
          <w:rFonts w:eastAsia="DengXian Light"/>
          <w:lang w:val="fr"/>
        </w:rPr>
        <w:footnoteReference w:id="21"/>
      </w:r>
      <w:r>
        <w:rPr>
          <w:rFonts w:eastAsia="Arial"/>
          <w:lang w:val="fr"/>
        </w:rPr>
        <w:t xml:space="preserve">. </w:t>
      </w:r>
    </w:p>
    <w:p w14:paraId="4337F892" w14:textId="77777777" w:rsidR="00EA6DED" w:rsidRDefault="00EA6DED">
      <w:pPr>
        <w:spacing w:before="120" w:after="120"/>
        <w:jc w:val="both"/>
        <w:rPr>
          <w:sz w:val="10"/>
          <w:szCs w:val="10"/>
        </w:rPr>
      </w:pPr>
    </w:p>
    <w:p w14:paraId="4337F893" w14:textId="77777777" w:rsidR="00EA6DED" w:rsidRDefault="007504AE">
      <w:pPr>
        <w:pStyle w:val="Titre3"/>
        <w:rPr>
          <w:rFonts w:ascii="Times New Roman" w:hAnsi="Times New Roman"/>
          <w:i/>
          <w:iCs/>
          <w:color w:val="000000"/>
          <w:sz w:val="22"/>
          <w:szCs w:val="22"/>
        </w:rPr>
      </w:pPr>
      <w:bookmarkStart w:id="62" w:name="_heading=h.ib8mo37vqwo6"/>
      <w:bookmarkStart w:id="63" w:name="_Toc195992104"/>
      <w:bookmarkStart w:id="64" w:name="_Toc195996487"/>
      <w:bookmarkStart w:id="65" w:name="_Toc6653"/>
      <w:bookmarkEnd w:id="62"/>
      <w:r>
        <w:rPr>
          <w:rFonts w:ascii="Times New Roman" w:hAnsi="Times New Roman"/>
          <w:i/>
          <w:iCs/>
          <w:color w:val="000000"/>
          <w:sz w:val="22"/>
          <w:szCs w:val="22"/>
        </w:rPr>
        <w:t>3.2.6.  Énergie</w:t>
      </w:r>
      <w:bookmarkEnd w:id="63"/>
      <w:bookmarkEnd w:id="64"/>
      <w:bookmarkEnd w:id="65"/>
      <w:r>
        <w:rPr>
          <w:rFonts w:ascii="Times New Roman" w:hAnsi="Times New Roman"/>
          <w:i/>
          <w:iCs/>
          <w:color w:val="000000"/>
          <w:sz w:val="22"/>
          <w:szCs w:val="22"/>
        </w:rPr>
        <w:t xml:space="preserve"> </w:t>
      </w:r>
    </w:p>
    <w:p w14:paraId="4337F894" w14:textId="77777777" w:rsidR="00EA6DED" w:rsidRDefault="007504AE">
      <w:pPr>
        <w:contextualSpacing/>
        <w:jc w:val="both"/>
      </w:pPr>
      <w:r>
        <w:rPr>
          <w:rFonts w:eastAsia="Arial"/>
        </w:rPr>
        <w:t>Le secteur de l'énergie au Cameroun est caractérisé par une offre insuffisante. Moins de 40 % de la population a accès à l'électricité (à peine 10 % en milieu rural). 65 % de la consommation finale d'énergie du pays repose sur des sources d'énergie traditionnelles (bois, charbon de bois, etc.), qui couvrent au moins 95 % des besoins de cuisson des ménages les plus pauvres, notamment en milieu rural (EIS, 2010).  Les populations rurales du Cameroun dépendent entièrement du bois-énergie pour la cuisson. On estime que les populations rurales auto consomment chaque année environ 4 millions de tonnes de bois de feu, qu'elles collectent directement dans leur environnement. En ce qui concerne les énergies renouvelables, le pic de production de biogaz est en 2019 avec 28219,145 m3. C’est le solaire qui prend de l’ampleur pour le moment dans les énergies renouvelables grâce aux centrales solaires du projet 166 localités, les centrales de Djoum et Lomié de la société ENEO.</w:t>
      </w:r>
    </w:p>
    <w:p w14:paraId="4337F895" w14:textId="77777777" w:rsidR="00EA6DED" w:rsidRDefault="00EA6DED">
      <w:pPr>
        <w:pStyle w:val="Titre3"/>
        <w:spacing w:line="276" w:lineRule="auto"/>
        <w:rPr>
          <w:rFonts w:ascii="Times New Roman" w:hAnsi="Times New Roman"/>
          <w:b w:val="0"/>
          <w:color w:val="0070C0"/>
          <w:sz w:val="24"/>
        </w:rPr>
      </w:pPr>
    </w:p>
    <w:p w14:paraId="4337F896" w14:textId="77777777" w:rsidR="00EA6DED" w:rsidRDefault="007504AE">
      <w:pPr>
        <w:pStyle w:val="Titre3"/>
        <w:rPr>
          <w:rFonts w:ascii="Times New Roman" w:hAnsi="Times New Roman"/>
          <w:i/>
          <w:iCs/>
          <w:color w:val="000000"/>
          <w:sz w:val="22"/>
          <w:szCs w:val="22"/>
        </w:rPr>
      </w:pPr>
      <w:bookmarkStart w:id="66" w:name="_Toc195992106"/>
      <w:bookmarkStart w:id="67" w:name="_Toc195996489"/>
      <w:bookmarkStart w:id="68" w:name="_Toc21014"/>
      <w:r>
        <w:rPr>
          <w:rFonts w:ascii="Times New Roman" w:hAnsi="Times New Roman"/>
          <w:i/>
          <w:iCs/>
          <w:color w:val="000000"/>
          <w:sz w:val="22"/>
          <w:szCs w:val="22"/>
        </w:rPr>
        <w:t>3.2.7 Gouvernance climatique et environnementale</w:t>
      </w:r>
      <w:bookmarkEnd w:id="66"/>
      <w:bookmarkEnd w:id="67"/>
      <w:bookmarkEnd w:id="68"/>
      <w:r>
        <w:rPr>
          <w:rFonts w:ascii="Times New Roman" w:hAnsi="Times New Roman"/>
          <w:i/>
          <w:iCs/>
          <w:color w:val="000000"/>
          <w:sz w:val="22"/>
          <w:szCs w:val="22"/>
        </w:rPr>
        <w:t xml:space="preserve"> </w:t>
      </w:r>
    </w:p>
    <w:p w14:paraId="4337F897" w14:textId="77777777" w:rsidR="00EA6DED" w:rsidRDefault="007504AE">
      <w:pPr>
        <w:spacing w:after="120"/>
        <w:jc w:val="both"/>
        <w:rPr>
          <w:rFonts w:eastAsia="Arial"/>
        </w:rPr>
      </w:pPr>
      <w:r>
        <w:rPr>
          <w:rFonts w:eastAsia="Arial"/>
        </w:rPr>
        <w:t>L’analyse des chocs climatiques au Cameroun montre que le pays subit les conséquences de l’évolution climatique dans les domaines les plus vulnérables : énergie, santé, agriculture, sécurité alimentaire et ressources en eau (PNUE</w:t>
      </w:r>
      <w:r>
        <w:rPr>
          <w:rStyle w:val="Appelnotedebasdep"/>
          <w:rFonts w:eastAsia="DengXian Light"/>
        </w:rPr>
        <w:footnoteReference w:id="22"/>
      </w:r>
      <w:r>
        <w:rPr>
          <w:rFonts w:eastAsia="Arial"/>
        </w:rPr>
        <w:t xml:space="preserve"> 2000 et MINEF 2001</w:t>
      </w:r>
      <w:r>
        <w:rPr>
          <w:rStyle w:val="Appelnotedebasdep"/>
          <w:rFonts w:eastAsia="DengXian Light"/>
        </w:rPr>
        <w:footnoteReference w:id="23"/>
      </w:r>
      <w:r>
        <w:rPr>
          <w:rFonts w:eastAsia="Arial"/>
        </w:rPr>
        <w:t xml:space="preserve">) à cause des </w:t>
      </w:r>
      <w:r>
        <w:t>sécheresses, des inondations, des épidémies ou des conflits communautaires entre agriculteurs et éleveurs</w:t>
      </w:r>
      <w:r>
        <w:rPr>
          <w:rFonts w:eastAsia="Arial"/>
        </w:rPr>
        <w:t xml:space="preserve">. C’est dans cette logique que le pays a adopté le Protocole de Kyoto en 2017. Entre 1995 et 2012, d’importantes réformes juridico-institutionnelles ont été entreprises avec la création en 2004, d’un ministère consacré exclusivement aux questions environnementales, d’un Comité National du MDP (Mécanisme de Développement Propre) représenté par l’Autorité Nationale Désignée (AND) et d’un Observatoire National sur les Changements Climatiques (ONACC) en 2009. Un Fonds National de l’Environnement et du Développement Durable (FNEDD) existe depuis 2020. Suivant les accords de Paris, le cadre mondial pour la biodiversité post-2020, les ODD et la vision 2063 de l’Union africaine, le processus de restauration AFR 100, des cadres de concertation sont créés en fonction des thématiques concernées (REDD+, Restauration des paysages, lutte contre la pollution, gestion des déchets…). </w:t>
      </w:r>
    </w:p>
    <w:p w14:paraId="4337F898" w14:textId="77777777" w:rsidR="00EA6DED" w:rsidRDefault="007504AE">
      <w:pPr>
        <w:jc w:val="both"/>
        <w:rPr>
          <w:rFonts w:eastAsia="Arial"/>
        </w:rPr>
      </w:pPr>
      <w:r>
        <w:rPr>
          <w:rFonts w:eastAsia="Arial"/>
        </w:rPr>
        <w:t xml:space="preserve">Avec 8500 espèces végétales identifiées, 271 espèces animales endémiques et 3 sites inscrits au patrimoine mondial de l’UNESCO, le pays a réalisé des progrès significatifs de conservation de sa biodiversité illustrée par la création de 02 aires protégées marines et de 103 aires protégées terrestres tous représentant 22 % du </w:t>
      </w:r>
      <w:r>
        <w:rPr>
          <w:rFonts w:eastAsia="Arial"/>
        </w:rPr>
        <w:lastRenderedPageBreak/>
        <w:t>territoire national. D’autres Aires Protégées sont en cours de création. Une couverture bien au-delà de l’objectif 11 d’Aichi fixé à 17 % (MINEPDED</w:t>
      </w:r>
      <w:r>
        <w:rPr>
          <w:rStyle w:val="Appelnotedebasdep"/>
          <w:rFonts w:eastAsia="DengXian Light"/>
        </w:rPr>
        <w:footnoteReference w:id="24"/>
      </w:r>
      <w:r>
        <w:rPr>
          <w:rFonts w:eastAsia="Arial"/>
        </w:rPr>
        <w:t xml:space="preserve">, 2022). </w:t>
      </w:r>
    </w:p>
    <w:p w14:paraId="4337F899" w14:textId="77777777" w:rsidR="00EA6DED" w:rsidRDefault="00EA6DED">
      <w:pPr>
        <w:jc w:val="both"/>
        <w:rPr>
          <w:rFonts w:eastAsia="Arial"/>
        </w:rPr>
      </w:pPr>
    </w:p>
    <w:p w14:paraId="4337F89A" w14:textId="77777777" w:rsidR="00EA6DED" w:rsidRDefault="007504AE">
      <w:pPr>
        <w:pStyle w:val="Titre2"/>
        <w:rPr>
          <w:rFonts w:ascii="Times New Roman" w:hAnsi="Times New Roman"/>
          <w:color w:val="00B050"/>
          <w:sz w:val="24"/>
          <w:szCs w:val="24"/>
        </w:rPr>
      </w:pPr>
      <w:bookmarkStart w:id="69" w:name="_heading=h.3o7alnk" w:colFirst="0" w:colLast="0"/>
      <w:bookmarkStart w:id="70" w:name="_Toc18107"/>
      <w:bookmarkEnd w:id="40"/>
      <w:bookmarkEnd w:id="69"/>
      <w:r>
        <w:rPr>
          <w:rFonts w:ascii="Times New Roman" w:hAnsi="Times New Roman"/>
          <w:color w:val="0000FF"/>
          <w:sz w:val="24"/>
          <w:szCs w:val="24"/>
        </w:rPr>
        <w:t>3.3.  La Stratégie Nationale de Développement à l’Horizon 2030 (SND30), un cadre d’orientation pour le développement inclusif de la République du Cameroun</w:t>
      </w:r>
      <w:bookmarkEnd w:id="70"/>
      <w:r>
        <w:rPr>
          <w:rFonts w:ascii="Times New Roman" w:hAnsi="Times New Roman"/>
          <w:color w:val="00B050"/>
          <w:sz w:val="24"/>
          <w:szCs w:val="24"/>
        </w:rPr>
        <w:t xml:space="preserve"> </w:t>
      </w:r>
    </w:p>
    <w:p w14:paraId="4337F89B" w14:textId="77777777" w:rsidR="00EA6DED" w:rsidRDefault="007504AE">
      <w:pPr>
        <w:spacing w:before="240" w:after="240" w:line="276" w:lineRule="auto"/>
        <w:jc w:val="both"/>
        <w:rPr>
          <w:lang w:val="zh-CN"/>
        </w:rPr>
      </w:pPr>
      <w:r>
        <w:rPr>
          <w:rFonts w:eastAsia="Arial"/>
          <w:lang w:val="fr"/>
        </w:rPr>
        <w:t xml:space="preserve">La République du Cameroun a adopté en 2020 la Stratégie Nationale de Développement (SND30) qui prend le relais du Document de Stratégie pour la Croissance et l'Emploi (DSCE 2010-2020). Elle </w:t>
      </w:r>
      <w:r>
        <w:rPr>
          <w:lang w:val="zh-CN"/>
        </w:rPr>
        <w:t xml:space="preserve">ambitionne de procéder à la transformation structurelle de l’économie en opérant des changements fondamentaux dans les structures économiques et sociales afin de favoriser un développement endogène, inclusif tout en préservant les chances des générations futures. Elle s’articule autour de  piliers ci-après : </w:t>
      </w:r>
      <w:r>
        <w:t xml:space="preserve">la diversification et une </w:t>
      </w:r>
      <w:r>
        <w:rPr>
          <w:bCs/>
        </w:rPr>
        <w:t>industrialisation</w:t>
      </w:r>
      <w:r>
        <w:t xml:space="preserve"> plus poussée et la modernisation de son </w:t>
      </w:r>
      <w:r>
        <w:rPr>
          <w:bCs/>
        </w:rPr>
        <w:t>secteur agricole ;</w:t>
      </w:r>
      <w:r>
        <w:t xml:space="preserve"> le développement du </w:t>
      </w:r>
      <w:r>
        <w:rPr>
          <w:bCs/>
        </w:rPr>
        <w:t>capital humain</w:t>
      </w:r>
      <w:r>
        <w:t xml:space="preserve"> par l'amélioration de l'éducation et de la santé, mais aussi la promotion d'un </w:t>
      </w:r>
      <w:r>
        <w:rPr>
          <w:bCs/>
        </w:rPr>
        <w:t>emploi décent</w:t>
      </w:r>
      <w:r>
        <w:t xml:space="preserve">, notamment pour les jeunes et dans les zones rurales ; la </w:t>
      </w:r>
      <w:r>
        <w:rPr>
          <w:bCs/>
        </w:rPr>
        <w:t>gouvernance</w:t>
      </w:r>
      <w:r>
        <w:t xml:space="preserve"> et la </w:t>
      </w:r>
      <w:r>
        <w:rPr>
          <w:bCs/>
        </w:rPr>
        <w:t>décentralisation</w:t>
      </w:r>
      <w:r>
        <w:t xml:space="preserve"> pour une gestion plus efficace des ressources et une plus grande participation citoyenne, déterminant pour réduire la pauvreté et les inégalités.</w:t>
      </w:r>
    </w:p>
    <w:p w14:paraId="4337F89C" w14:textId="77777777" w:rsidR="00EA6DED" w:rsidRDefault="007504AE">
      <w:pPr>
        <w:pStyle w:val="Titre2"/>
        <w:rPr>
          <w:rFonts w:ascii="Times New Roman" w:hAnsi="Times New Roman"/>
          <w:color w:val="00B050"/>
          <w:sz w:val="24"/>
          <w:szCs w:val="24"/>
        </w:rPr>
      </w:pPr>
      <w:bookmarkStart w:id="71" w:name="_heading=h.1kqc3cufea3b" w:colFirst="0" w:colLast="0"/>
      <w:bookmarkStart w:id="72" w:name="_heading=h.yg8poat0gw73" w:colFirst="0" w:colLast="0"/>
      <w:bookmarkStart w:id="73" w:name="_Toc939"/>
      <w:bookmarkEnd w:id="71"/>
      <w:bookmarkEnd w:id="72"/>
      <w:r>
        <w:rPr>
          <w:rFonts w:ascii="Times New Roman" w:hAnsi="Times New Roman"/>
          <w:color w:val="0000FF"/>
          <w:sz w:val="24"/>
          <w:szCs w:val="24"/>
        </w:rPr>
        <w:t>3.4. Progrès du pays vers la réalisation des objectifs de développement durable</w:t>
      </w:r>
      <w:bookmarkEnd w:id="73"/>
      <w:r>
        <w:rPr>
          <w:rFonts w:ascii="Times New Roman" w:hAnsi="Times New Roman"/>
          <w:color w:val="00B050"/>
          <w:sz w:val="24"/>
          <w:szCs w:val="24"/>
        </w:rPr>
        <w:t xml:space="preserve"> </w:t>
      </w:r>
    </w:p>
    <w:p w14:paraId="4337F89D" w14:textId="77777777" w:rsidR="00EA6DED" w:rsidRDefault="007504AE">
      <w:pPr>
        <w:contextualSpacing/>
        <w:jc w:val="both"/>
        <w:rPr>
          <w:rFonts w:eastAsia="Arial"/>
          <w:lang w:val="fr"/>
        </w:rPr>
      </w:pPr>
      <w:r>
        <w:rPr>
          <w:rFonts w:eastAsia="Arial"/>
          <w:lang w:val="fr"/>
        </w:rPr>
        <w:t>Selon le rapport</w:t>
      </w:r>
      <w:r>
        <w:rPr>
          <w:rStyle w:val="Appelnotedebasdep"/>
          <w:rFonts w:eastAsia="DengXian Light"/>
          <w:lang w:val="fr"/>
        </w:rPr>
        <w:footnoteReference w:id="25"/>
      </w:r>
      <w:r>
        <w:rPr>
          <w:rFonts w:eastAsia="Arial"/>
          <w:lang w:val="fr"/>
        </w:rPr>
        <w:t xml:space="preserve"> sur le développement durable 2025, le Cameroun occupe le 133</w:t>
      </w:r>
      <w:r>
        <w:rPr>
          <w:rFonts w:eastAsia="Arial"/>
          <w:vertAlign w:val="superscript"/>
          <w:lang w:val="fr"/>
        </w:rPr>
        <w:t xml:space="preserve">e </w:t>
      </w:r>
      <w:r>
        <w:rPr>
          <w:rFonts w:eastAsia="Arial"/>
          <w:lang w:val="fr"/>
        </w:rPr>
        <w:t>rang sur 167, avec un score de 57.8. D’après la figure 2 ci-dessous, les progrès du pays vers la réalisation des objectifs de développement durable (ODD) sont dans l’ensemble mitigés. Bien qu’en stagnation, des défis majeurs sont à relever au niveau des ODD 1 (Éradication de pauvreté), 2 (Lutte contre la faim), 3 (Accès à la santé), 4 (Accès à l’éducation de qualité), 6 (Accès à l’eau salubre et à l’assainissement), 7 (Recours aux énergies renouvelables), 8 (Accès à des emplois décents), 9</w:t>
      </w:r>
      <w:r>
        <w:rPr>
          <w:lang w:val="fr"/>
        </w:rPr>
        <w:t xml:space="preserve"> (</w:t>
      </w:r>
      <w:r>
        <w:rPr>
          <w:rFonts w:eastAsia="Arial"/>
          <w:lang w:val="fr"/>
        </w:rPr>
        <w:t xml:space="preserve">Innovation et infrastructures), 11(Villes et communautés durables), 15 (Protection de la faune et de la flore terrestres), 16 (Justice et paix) et 17 (Renforcement des partenariats). Pour ces ODD, des progrès sont encore attendus. </w:t>
      </w:r>
    </w:p>
    <w:p w14:paraId="4337F89E" w14:textId="77777777" w:rsidR="00EA6DED" w:rsidRDefault="00EA6DED">
      <w:pPr>
        <w:contextualSpacing/>
        <w:jc w:val="both"/>
        <w:rPr>
          <w:rFonts w:eastAsia="Arial"/>
          <w:lang w:val="fr"/>
        </w:rPr>
      </w:pPr>
    </w:p>
    <w:p w14:paraId="4337F89F" w14:textId="77777777" w:rsidR="00EA6DED" w:rsidRPr="004F65CF" w:rsidRDefault="007504AE" w:rsidP="004F65CF">
      <w:pPr>
        <w:contextualSpacing/>
        <w:jc w:val="both"/>
        <w:rPr>
          <w:rFonts w:eastAsia="Arial"/>
          <w:lang w:val="fr"/>
        </w:rPr>
      </w:pPr>
      <w:r>
        <w:rPr>
          <w:rFonts w:eastAsia="Arial"/>
          <w:lang w:val="fr"/>
        </w:rPr>
        <w:t>En revanche, malgré une amélioration modérée, les ODD 5 (Egalité des genres) et 10 (Réduction des inégalités) présentent des défis majeurs à relever. Bien que des défis subsistent, des progrès sont perceptibles au niveau de l’ODD 12 (Modes de consommations), même si une stagnation y est observée et le 13 (Mesures relatives au changement climatique) où l’action climatique est en bonne voie, avec un maintien d’une trajectoire à la hausse.</w:t>
      </w:r>
    </w:p>
    <w:p w14:paraId="4337F8A0" w14:textId="77777777" w:rsidR="00EA6DED" w:rsidRDefault="00EA6DED">
      <w:pPr>
        <w:rPr>
          <w:rFonts w:eastAsia="Arial"/>
          <w:b/>
          <w:i/>
          <w:color w:val="0070C0"/>
        </w:rPr>
      </w:pPr>
    </w:p>
    <w:p w14:paraId="4337F8A1" w14:textId="77777777" w:rsidR="00EA6DED" w:rsidRDefault="007504AE">
      <w:pPr>
        <w:spacing w:line="276" w:lineRule="auto"/>
        <w:rPr>
          <w:rFonts w:eastAsia="Arial"/>
          <w:sz w:val="22"/>
          <w:szCs w:val="22"/>
        </w:rPr>
      </w:pPr>
      <w:bookmarkStart w:id="74" w:name="_heading=h.2bn6wsx"/>
      <w:bookmarkStart w:id="75" w:name="_Toc2842"/>
      <w:bookmarkStart w:id="76" w:name="_Toc9860"/>
      <w:bookmarkEnd w:id="74"/>
      <w:r>
        <w:rPr>
          <w:rFonts w:ascii="Cambria" w:eastAsia="SimSun" w:hAnsi="Cambria"/>
          <w:b/>
          <w:i/>
          <w:iCs/>
          <w:color w:val="0000CC"/>
          <w:szCs w:val="18"/>
        </w:rPr>
        <w:t xml:space="preserve">Figure </w:t>
      </w:r>
      <w:r>
        <w:rPr>
          <w:rFonts w:ascii="Cambria" w:eastAsia="SimSun" w:hAnsi="Cambria"/>
          <w:b/>
          <w:i/>
          <w:iCs/>
          <w:color w:val="0000CC"/>
          <w:szCs w:val="18"/>
        </w:rPr>
        <w:fldChar w:fldCharType="begin"/>
      </w:r>
      <w:r>
        <w:rPr>
          <w:rFonts w:ascii="Cambria" w:eastAsia="SimSun" w:hAnsi="Cambria"/>
          <w:b/>
          <w:i/>
          <w:iCs/>
          <w:color w:val="0000CC"/>
          <w:szCs w:val="18"/>
        </w:rPr>
        <w:instrText xml:space="preserve"> SEQ Figure \* ARABIC </w:instrText>
      </w:r>
      <w:r>
        <w:rPr>
          <w:rFonts w:ascii="Cambria" w:eastAsia="SimSun" w:hAnsi="Cambria"/>
          <w:b/>
          <w:i/>
          <w:iCs/>
          <w:color w:val="0000CC"/>
          <w:szCs w:val="18"/>
        </w:rPr>
        <w:fldChar w:fldCharType="separate"/>
      </w:r>
      <w:r>
        <w:rPr>
          <w:rFonts w:ascii="Cambria" w:eastAsia="SimSun" w:hAnsi="Cambria"/>
          <w:b/>
          <w:i/>
          <w:iCs/>
          <w:color w:val="0000CC"/>
          <w:szCs w:val="18"/>
        </w:rPr>
        <w:t>2</w:t>
      </w:r>
      <w:r>
        <w:rPr>
          <w:rFonts w:ascii="Cambria" w:eastAsia="SimSun" w:hAnsi="Cambria"/>
          <w:b/>
          <w:i/>
          <w:iCs/>
          <w:color w:val="0000CC"/>
          <w:szCs w:val="18"/>
        </w:rPr>
        <w:fldChar w:fldCharType="end"/>
      </w:r>
      <w:bookmarkStart w:id="77" w:name="_Toc29175"/>
      <w:r>
        <w:rPr>
          <w:rFonts w:ascii="Cambria" w:eastAsia="SimSun" w:hAnsi="Cambria"/>
          <w:b/>
          <w:i/>
          <w:iCs/>
          <w:color w:val="0000CC"/>
          <w:szCs w:val="18"/>
        </w:rPr>
        <w:t>:  État des ODDs de la République du Cameroun en 2025</w:t>
      </w:r>
      <w:r>
        <w:rPr>
          <w:rStyle w:val="Appelnotedebasdep"/>
          <w:rFonts w:eastAsia="SimSun"/>
          <w:color w:val="0070C0"/>
        </w:rPr>
        <w:footnoteReference w:id="26"/>
      </w:r>
      <w:bookmarkEnd w:id="75"/>
      <w:bookmarkEnd w:id="76"/>
      <w:r>
        <w:rPr>
          <w:rFonts w:eastAsia="Arial"/>
          <w:sz w:val="22"/>
          <w:szCs w:val="22"/>
        </w:rPr>
        <w:t xml:space="preserve">     </w:t>
      </w:r>
      <w:bookmarkEnd w:id="77"/>
    </w:p>
    <w:p w14:paraId="4337F8A2" w14:textId="77777777" w:rsidR="00EA6DED" w:rsidRDefault="00EA6DED">
      <w:pPr>
        <w:pStyle w:val="Titre2"/>
        <w:rPr>
          <w:rFonts w:ascii="Times New Roman" w:hAnsi="Times New Roman"/>
          <w:color w:val="0000FF"/>
          <w:sz w:val="24"/>
          <w:szCs w:val="24"/>
        </w:rPr>
      </w:pPr>
    </w:p>
    <w:p w14:paraId="4337F8A3" w14:textId="77777777" w:rsidR="00EA6DED" w:rsidRDefault="007504AE">
      <w:pPr>
        <w:spacing w:line="276" w:lineRule="auto"/>
      </w:pPr>
      <w:r>
        <w:rPr>
          <w:rFonts w:eastAsia="Arial"/>
          <w:sz w:val="22"/>
          <w:szCs w:val="22"/>
        </w:rPr>
        <w:t xml:space="preserve">    </w:t>
      </w:r>
    </w:p>
    <w:p w14:paraId="4337F8A4" w14:textId="77777777" w:rsidR="00EA6DED" w:rsidRDefault="007504AE">
      <w:r>
        <w:rPr>
          <w:noProof/>
        </w:rPr>
        <w:lastRenderedPageBreak/>
        <w:drawing>
          <wp:inline distT="0" distB="0" distL="0" distR="0" wp14:anchorId="4337FDE5" wp14:editId="4337FDE6">
            <wp:extent cx="6007100" cy="3787775"/>
            <wp:effectExtent l="0" t="0" r="0" b="0"/>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6065221" cy="3824326"/>
                    </a:xfrm>
                    <a:prstGeom prst="rect">
                      <a:avLst/>
                    </a:prstGeom>
                    <a:noFill/>
                    <a:ln>
                      <a:noFill/>
                    </a:ln>
                  </pic:spPr>
                </pic:pic>
              </a:graphicData>
            </a:graphic>
          </wp:inline>
        </w:drawing>
      </w:r>
    </w:p>
    <w:p w14:paraId="4337F8A5" w14:textId="77777777" w:rsidR="00EA6DED" w:rsidRDefault="00EA6DED">
      <w:pPr>
        <w:pStyle w:val="Titre2"/>
        <w:rPr>
          <w:rFonts w:ascii="Times New Roman" w:hAnsi="Times New Roman"/>
          <w:color w:val="0000FF"/>
          <w:sz w:val="24"/>
          <w:szCs w:val="24"/>
        </w:rPr>
      </w:pPr>
    </w:p>
    <w:p w14:paraId="4337F8A6" w14:textId="77777777" w:rsidR="00EA6DED" w:rsidRDefault="007504AE">
      <w:pPr>
        <w:pStyle w:val="Titre2"/>
        <w:rPr>
          <w:rFonts w:ascii="Times New Roman" w:hAnsi="Times New Roman"/>
          <w:color w:val="0000FF"/>
          <w:sz w:val="24"/>
          <w:szCs w:val="24"/>
        </w:rPr>
      </w:pPr>
      <w:bookmarkStart w:id="78" w:name="_Toc26418"/>
      <w:r>
        <w:rPr>
          <w:rFonts w:ascii="Times New Roman" w:hAnsi="Times New Roman"/>
          <w:color w:val="0000FF"/>
          <w:sz w:val="24"/>
          <w:szCs w:val="24"/>
        </w:rPr>
        <w:t>3.5. Réponses stratégiques des Nations Unies à travers le Cadre de Coopération (CC 2022 – 2026)</w:t>
      </w:r>
      <w:bookmarkEnd w:id="78"/>
    </w:p>
    <w:p w14:paraId="4337F8A7" w14:textId="77777777" w:rsidR="00EA6DED" w:rsidRDefault="007504AE">
      <w:pPr>
        <w:spacing w:before="240" w:after="240" w:line="276" w:lineRule="auto"/>
        <w:jc w:val="both"/>
        <w:rPr>
          <w:color w:val="000000"/>
        </w:rPr>
      </w:pPr>
      <w:r>
        <w:rPr>
          <w:color w:val="000000"/>
        </w:rPr>
        <w:t xml:space="preserve">Avec une enveloppe prévisionnelle de 1 152 363 453 USD, le CCCC 2022-2026 au Cameroun a été signé en 2021 par le Gouvernement camerounais et l’Équipe pays des Nations Unies. Cette initiative conjointe s’inscrit dans une volonté d’appuyer plus efficacement les ambitions nationales en matière de développement durable. Structuré autour de quatre priorités stratégiques dont : (i) une croissance inclusive et durable ; (ii) un développement humain et social de qualité, inclusif et équitable ; (iii) un appui institutionnel et participation citoyenne ; (iv) durabilité environnementale , gestion des risques climatiques et des catastrophes, ce cadre vise à faire du Cameroun un espace d’opportunités, de participation citoyenne et de bien-être pour toutes les populations. </w:t>
      </w:r>
    </w:p>
    <w:p w14:paraId="4337F8A8" w14:textId="77777777" w:rsidR="00EA6DED" w:rsidRDefault="007504AE">
      <w:pPr>
        <w:contextualSpacing/>
        <w:jc w:val="both"/>
      </w:pPr>
      <w:r>
        <w:rPr>
          <w:color w:val="000000"/>
        </w:rPr>
        <w:t>Aligné sur les axes de la Stratégie Nationale de Développement (SND30) et fondé sur les conclusions du Bilan commun de pays de 2020, il ambitionne de consolider la programmation intégrée et de favoriser l’élargissement des partenariats multi-acteurs, notamment public-privé, en soutien à la réalisation des Objectifs de développement durable (ODD). Il accorde une attention particulière aux populations les plus vulnérables, à la cohésion sociale et à la transformation socio-économique du pays. Le cadre commun de résultats et de financement mobilise l’ensemble des entités des Nations Unies présentes au Cameroun autour des principes de ‘l’unité d’action’’, ‘ne laisser personne de côté’’; ‘Respect des droits humains et dignité pour tous’’; ‘’Égalité des sexes et autonomisation des femmes’’; Résilience des individus, des institutions et des systèmes ; Durabilité des interventions et Redevabilité partagée entre le Gouvernement et l’Équipe pays du Système des Nations Unies.</w:t>
      </w:r>
    </w:p>
    <w:p w14:paraId="4337F8A9" w14:textId="77777777" w:rsidR="00EA6DED" w:rsidRDefault="00EA6DED">
      <w:pPr>
        <w:jc w:val="both"/>
        <w:rPr>
          <w:color w:val="000000"/>
        </w:rPr>
      </w:pPr>
    </w:p>
    <w:p w14:paraId="4337F8AA" w14:textId="77777777" w:rsidR="00EA6DED" w:rsidRDefault="007504AE">
      <w:pPr>
        <w:pStyle w:val="Commentaire"/>
        <w:jc w:val="both"/>
        <w:rPr>
          <w:sz w:val="24"/>
          <w:szCs w:val="24"/>
        </w:rPr>
      </w:pPr>
      <w:r>
        <w:rPr>
          <w:color w:val="000000"/>
          <w:sz w:val="24"/>
          <w:szCs w:val="24"/>
        </w:rPr>
        <w:t xml:space="preserve">La mise en œuvre de ce plan s’articule autour de cinq réalisations fédératrices et 24 produits programmatiques, guidés par six principes clés qui assurent sa cohérence et son ancrage dans les réalités nationales en conformité avec le contenu et la structure de la sa théorie de changement. Elle se traduit également </w:t>
      </w:r>
      <w:r>
        <w:rPr>
          <w:sz w:val="24"/>
          <w:szCs w:val="24"/>
        </w:rPr>
        <w:t xml:space="preserve">à travers les plans de travail conjoints et des programmes des agences sous la coordination du Bureau du Coordonnateur Résident et des autres organes de gestion du CC que sont le Copil, l’Equipe de Pays, l’Equipe des programmes, l’Equipe de opérations et des autres groupes inter agences. </w:t>
      </w:r>
    </w:p>
    <w:p w14:paraId="4337F8AB" w14:textId="77777777" w:rsidR="00EA6DED" w:rsidRDefault="007504AE">
      <w:pPr>
        <w:jc w:val="both"/>
      </w:pPr>
      <w:r>
        <w:lastRenderedPageBreak/>
        <w:t xml:space="preserve"> </w:t>
      </w:r>
    </w:p>
    <w:p w14:paraId="4337F8AC" w14:textId="77777777" w:rsidR="00EA6DED" w:rsidRDefault="00EA6DED">
      <w:pPr>
        <w:jc w:val="both"/>
        <w:rPr>
          <w:color w:val="000000"/>
        </w:rPr>
      </w:pPr>
    </w:p>
    <w:p w14:paraId="4337F8AD" w14:textId="77777777" w:rsidR="00EA6DED" w:rsidRDefault="007504AE">
      <w:pPr>
        <w:pStyle w:val="Lgende"/>
        <w:rPr>
          <w:rFonts w:ascii="Times New Roman" w:hAnsi="Times New Roman"/>
          <w:sz w:val="20"/>
          <w:szCs w:val="20"/>
          <w:lang w:eastAsia="en-US"/>
        </w:rPr>
      </w:pPr>
      <w:bookmarkStart w:id="79" w:name="_Toc195996421"/>
      <w:bookmarkStart w:id="80" w:name="_Toc28219"/>
      <w:bookmarkStart w:id="81" w:name="_Toc4487"/>
      <w:r>
        <w:rPr>
          <w:sz w:val="20"/>
          <w:szCs w:val="20"/>
        </w:rPr>
        <w:t xml:space="preserve">Figure </w:t>
      </w:r>
      <w:r>
        <w:rPr>
          <w:sz w:val="20"/>
          <w:szCs w:val="20"/>
        </w:rPr>
        <w:fldChar w:fldCharType="begin"/>
      </w:r>
      <w:r>
        <w:rPr>
          <w:sz w:val="20"/>
          <w:szCs w:val="20"/>
        </w:rPr>
        <w:instrText xml:space="preserve"> SEQ Figure \* ARABIC </w:instrText>
      </w:r>
      <w:r>
        <w:rPr>
          <w:sz w:val="20"/>
          <w:szCs w:val="20"/>
        </w:rPr>
        <w:fldChar w:fldCharType="separate"/>
      </w:r>
      <w:r>
        <w:rPr>
          <w:sz w:val="20"/>
          <w:szCs w:val="20"/>
        </w:rPr>
        <w:t>3</w:t>
      </w:r>
      <w:r>
        <w:rPr>
          <w:sz w:val="20"/>
          <w:szCs w:val="20"/>
        </w:rPr>
        <w:fldChar w:fldCharType="end"/>
      </w:r>
      <w:bookmarkStart w:id="82" w:name="_Toc10947"/>
      <w:r>
        <w:rPr>
          <w:sz w:val="20"/>
          <w:szCs w:val="20"/>
        </w:rPr>
        <w:t>: Cartographie des liens les priorités stratégiques du CC 2022 – 2026, les piliers de SND 30 et les OD</w:t>
      </w:r>
      <w:r>
        <w:rPr>
          <w:rFonts w:ascii="Times New Roman" w:eastAsia="Arial" w:hAnsi="Times New Roman"/>
          <w:color w:val="0070C0"/>
          <w:sz w:val="20"/>
          <w:szCs w:val="20"/>
        </w:rPr>
        <w:t>D.</w:t>
      </w:r>
      <w:bookmarkEnd w:id="79"/>
      <w:bookmarkEnd w:id="80"/>
      <w:bookmarkEnd w:id="81"/>
      <w:r>
        <w:rPr>
          <w:rFonts w:ascii="Times New Roman" w:hAnsi="Times New Roman"/>
          <w:sz w:val="20"/>
          <w:szCs w:val="20"/>
          <w:lang w:eastAsia="en-US"/>
        </w:rPr>
        <w:t xml:space="preserve"> </w:t>
      </w:r>
      <w:bookmarkEnd w:id="82"/>
    </w:p>
    <w:p w14:paraId="4337F8AE" w14:textId="77777777" w:rsidR="00EA6DED" w:rsidRDefault="00EA6DED">
      <w:pPr>
        <w:rPr>
          <w:lang w:eastAsia="en-US"/>
        </w:rPr>
      </w:pPr>
    </w:p>
    <w:p w14:paraId="4337F8AF" w14:textId="77777777" w:rsidR="00EA6DED" w:rsidRDefault="007504AE">
      <w:r>
        <w:rPr>
          <w:noProof/>
          <w:lang w:val="en-US" w:eastAsia="en-US"/>
        </w:rPr>
        <w:drawing>
          <wp:inline distT="0" distB="0" distL="0" distR="0" wp14:anchorId="4337FDE7" wp14:editId="4337FDE8">
            <wp:extent cx="6062980" cy="4138295"/>
            <wp:effectExtent l="0" t="0" r="0" b="1905"/>
            <wp:docPr id="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6070568" cy="4143813"/>
                    </a:xfrm>
                    <a:prstGeom prst="rect">
                      <a:avLst/>
                    </a:prstGeom>
                    <a:noFill/>
                    <a:ln>
                      <a:noFill/>
                    </a:ln>
                  </pic:spPr>
                </pic:pic>
              </a:graphicData>
            </a:graphic>
          </wp:inline>
        </w:drawing>
      </w:r>
    </w:p>
    <w:p w14:paraId="4337F8B0" w14:textId="77777777" w:rsidR="00EA6DED" w:rsidRDefault="00EA6DED">
      <w:pPr>
        <w:rPr>
          <w:b/>
          <w:bCs/>
          <w:color w:val="000000"/>
        </w:rPr>
      </w:pPr>
    </w:p>
    <w:p w14:paraId="4337F8B1" w14:textId="77777777" w:rsidR="00EA6DED" w:rsidRDefault="007504AE">
      <w:pPr>
        <w:jc w:val="both"/>
        <w:rPr>
          <w:bCs/>
          <w:color w:val="000000"/>
        </w:rPr>
      </w:pPr>
      <w:r>
        <w:rPr>
          <w:bCs/>
          <w:color w:val="000000"/>
        </w:rPr>
        <w:t xml:space="preserve">Ce cadre de coopération est conjointement mis en œuvre par le Système des Nations Unies (Agences, Fonds et Programmes) et le gouvernement, en partenariat avec le secteur privé, les Partenaires Techniques et Financiers (PTF), les organisations bi/multilatérales, les organisations de la société civile nationales et internationales et les organisations communautaires. </w:t>
      </w:r>
    </w:p>
    <w:p w14:paraId="4337F8B2" w14:textId="77777777" w:rsidR="00EA6DED" w:rsidRDefault="00EA6DED">
      <w:pPr>
        <w:jc w:val="both"/>
        <w:rPr>
          <w:bCs/>
          <w:color w:val="000000"/>
        </w:rPr>
      </w:pPr>
    </w:p>
    <w:p w14:paraId="4337F8B3" w14:textId="77777777" w:rsidR="00EA6DED" w:rsidRDefault="007504AE">
      <w:pPr>
        <w:jc w:val="both"/>
        <w:rPr>
          <w:rFonts w:ascii="Cambria" w:eastAsia="SimSun" w:hAnsi="Cambria"/>
          <w:b/>
          <w:i/>
          <w:iCs/>
          <w:color w:val="0000CC"/>
          <w:sz w:val="20"/>
          <w:szCs w:val="20"/>
        </w:rPr>
      </w:pPr>
      <w:r>
        <w:rPr>
          <w:rFonts w:ascii="Cambria" w:eastAsia="SimSun" w:hAnsi="Cambria"/>
          <w:b/>
          <w:i/>
          <w:iCs/>
          <w:color w:val="0000CC"/>
          <w:sz w:val="20"/>
          <w:szCs w:val="20"/>
        </w:rPr>
        <w:t xml:space="preserve">Tableau </w:t>
      </w:r>
      <w:r>
        <w:rPr>
          <w:rFonts w:ascii="Cambria" w:eastAsia="SimSun" w:hAnsi="Cambria"/>
          <w:b/>
          <w:i/>
          <w:iCs/>
          <w:color w:val="0000CC"/>
          <w:sz w:val="20"/>
          <w:szCs w:val="20"/>
        </w:rPr>
        <w:fldChar w:fldCharType="begin"/>
      </w:r>
      <w:r>
        <w:rPr>
          <w:rFonts w:ascii="Cambria" w:eastAsia="SimSun" w:hAnsi="Cambria"/>
          <w:b/>
          <w:i/>
          <w:iCs/>
          <w:color w:val="0000CC"/>
          <w:sz w:val="20"/>
          <w:szCs w:val="20"/>
        </w:rPr>
        <w:instrText xml:space="preserve"> SEQ Tableau \* ARABIC </w:instrText>
      </w:r>
      <w:r>
        <w:rPr>
          <w:rFonts w:ascii="Cambria" w:eastAsia="SimSun" w:hAnsi="Cambria"/>
          <w:b/>
          <w:i/>
          <w:iCs/>
          <w:color w:val="0000CC"/>
          <w:sz w:val="20"/>
          <w:szCs w:val="20"/>
        </w:rPr>
        <w:fldChar w:fldCharType="separate"/>
      </w:r>
      <w:r>
        <w:rPr>
          <w:rFonts w:ascii="Cambria" w:eastAsia="SimSun" w:hAnsi="Cambria"/>
          <w:b/>
          <w:i/>
          <w:iCs/>
          <w:color w:val="0000CC"/>
          <w:sz w:val="20"/>
          <w:szCs w:val="20"/>
        </w:rPr>
        <w:t>2</w:t>
      </w:r>
      <w:r>
        <w:rPr>
          <w:rFonts w:ascii="Cambria" w:eastAsia="SimSun" w:hAnsi="Cambria"/>
          <w:b/>
          <w:i/>
          <w:iCs/>
          <w:color w:val="0000CC"/>
          <w:sz w:val="20"/>
          <w:szCs w:val="20"/>
        </w:rPr>
        <w:fldChar w:fldCharType="end"/>
      </w:r>
      <w:bookmarkStart w:id="83" w:name="_Toc23869"/>
      <w:r>
        <w:rPr>
          <w:rFonts w:ascii="Cambria" w:eastAsia="SimSun" w:hAnsi="Cambria"/>
          <w:b/>
          <w:i/>
          <w:iCs/>
          <w:color w:val="0000CC"/>
          <w:sz w:val="20"/>
          <w:szCs w:val="20"/>
        </w:rPr>
        <w:t>:</w:t>
      </w:r>
      <w:r>
        <w:rPr>
          <w:sz w:val="21"/>
          <w:szCs w:val="15"/>
        </w:rPr>
        <w:t xml:space="preserve"> </w:t>
      </w:r>
      <w:r>
        <w:rPr>
          <w:rFonts w:ascii="Cambria" w:eastAsia="SimSun" w:hAnsi="Cambria"/>
          <w:b/>
          <w:i/>
          <w:iCs/>
          <w:color w:val="0000CC"/>
          <w:sz w:val="20"/>
          <w:szCs w:val="20"/>
        </w:rPr>
        <w:t xml:space="preserve">Cadre budgétaire par Réalisation selon le statut des fonds (à mobiliser, disponibles et total prévisionnel). </w:t>
      </w:r>
      <w:bookmarkEnd w:id="83"/>
    </w:p>
    <w:tbl>
      <w:tblPr>
        <w:tblW w:w="10348" w:type="dxa"/>
        <w:tblInd w:w="-1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686"/>
        <w:gridCol w:w="1252"/>
        <w:gridCol w:w="1350"/>
        <w:gridCol w:w="1440"/>
        <w:gridCol w:w="2620"/>
      </w:tblGrid>
      <w:tr w:rsidR="00EA6DED" w14:paraId="4337F8BA" w14:textId="77777777">
        <w:trPr>
          <w:trHeight w:val="300"/>
        </w:trPr>
        <w:tc>
          <w:tcPr>
            <w:tcW w:w="3686" w:type="dxa"/>
            <w:vMerge w:val="restart"/>
            <w:tcBorders>
              <w:top w:val="single" w:sz="8" w:space="0" w:color="58595B"/>
              <w:left w:val="single" w:sz="8" w:space="0" w:color="58595B"/>
              <w:bottom w:val="single" w:sz="8" w:space="0" w:color="58595B"/>
              <w:right w:val="single" w:sz="8" w:space="0" w:color="58595B"/>
            </w:tcBorders>
            <w:shd w:val="clear" w:color="auto" w:fill="A8D08D" w:themeFill="accent6" w:themeFillTint="99"/>
            <w:tcMar>
              <w:top w:w="15" w:type="dxa"/>
              <w:left w:w="15" w:type="dxa"/>
              <w:bottom w:w="15" w:type="dxa"/>
              <w:right w:w="15" w:type="dxa"/>
            </w:tcMar>
          </w:tcPr>
          <w:p w14:paraId="4337F8B4" w14:textId="77777777" w:rsidR="00EA6DED" w:rsidRDefault="00EA6DED">
            <w:pPr>
              <w:spacing w:before="85"/>
              <w:rPr>
                <w:color w:val="44546A" w:themeColor="text2"/>
                <w:sz w:val="18"/>
                <w:szCs w:val="20"/>
              </w:rPr>
            </w:pPr>
          </w:p>
          <w:p w14:paraId="4337F8B5" w14:textId="77777777" w:rsidR="00EA6DED" w:rsidRDefault="007504AE">
            <w:pPr>
              <w:spacing w:before="85"/>
              <w:ind w:left="75"/>
              <w:rPr>
                <w:color w:val="44546A" w:themeColor="text2"/>
                <w:sz w:val="18"/>
                <w:szCs w:val="20"/>
              </w:rPr>
            </w:pPr>
            <w:r>
              <w:rPr>
                <w:b/>
                <w:bCs/>
                <w:color w:val="44546A" w:themeColor="text2"/>
                <w:sz w:val="18"/>
                <w:szCs w:val="20"/>
              </w:rPr>
              <w:t xml:space="preserve">Réalisation </w:t>
            </w:r>
            <w:r>
              <w:rPr>
                <w:color w:val="44546A" w:themeColor="text2"/>
                <w:sz w:val="18"/>
                <w:szCs w:val="20"/>
              </w:rPr>
              <w:t xml:space="preserve"> </w:t>
            </w:r>
          </w:p>
          <w:p w14:paraId="4337F8B6" w14:textId="77777777" w:rsidR="00EA6DED" w:rsidRDefault="007504AE">
            <w:pPr>
              <w:spacing w:before="85"/>
              <w:ind w:left="225"/>
              <w:rPr>
                <w:rFonts w:eastAsia="Arial"/>
                <w:color w:val="44546A" w:themeColor="text2"/>
                <w:sz w:val="18"/>
                <w:szCs w:val="20"/>
              </w:rPr>
            </w:pPr>
            <w:r>
              <w:rPr>
                <w:rFonts w:eastAsia="Arial"/>
                <w:color w:val="44546A" w:themeColor="text2"/>
                <w:sz w:val="18"/>
                <w:szCs w:val="20"/>
              </w:rPr>
              <w:t xml:space="preserve"> </w:t>
            </w:r>
          </w:p>
        </w:tc>
        <w:tc>
          <w:tcPr>
            <w:tcW w:w="4042" w:type="dxa"/>
            <w:gridSpan w:val="3"/>
            <w:tcBorders>
              <w:top w:val="single" w:sz="8" w:space="0" w:color="58595B"/>
              <w:left w:val="single" w:sz="8" w:space="0" w:color="58595B"/>
              <w:bottom w:val="single" w:sz="8" w:space="0" w:color="58595B"/>
              <w:right w:val="single" w:sz="8" w:space="0" w:color="58595B"/>
            </w:tcBorders>
            <w:shd w:val="clear" w:color="auto" w:fill="A8D08D" w:themeFill="accent6" w:themeFillTint="99"/>
            <w:tcMar>
              <w:top w:w="15" w:type="dxa"/>
              <w:left w:w="15" w:type="dxa"/>
              <w:bottom w:w="15" w:type="dxa"/>
              <w:right w:w="15" w:type="dxa"/>
            </w:tcMar>
          </w:tcPr>
          <w:p w14:paraId="4337F8B7" w14:textId="77777777" w:rsidR="00EA6DED" w:rsidRDefault="007504AE">
            <w:pPr>
              <w:spacing w:before="85"/>
              <w:ind w:left="255" w:hanging="150"/>
              <w:jc w:val="center"/>
              <w:rPr>
                <w:rFonts w:eastAsia="Arial"/>
                <w:color w:val="44546A" w:themeColor="text2"/>
                <w:sz w:val="18"/>
                <w:szCs w:val="20"/>
              </w:rPr>
            </w:pPr>
            <w:r>
              <w:rPr>
                <w:rFonts w:eastAsia="Arial"/>
                <w:color w:val="44546A" w:themeColor="text2"/>
                <w:sz w:val="18"/>
                <w:szCs w:val="20"/>
              </w:rPr>
              <w:t xml:space="preserve">Ressources (US Dollars) </w:t>
            </w:r>
          </w:p>
        </w:tc>
        <w:tc>
          <w:tcPr>
            <w:tcW w:w="2620" w:type="dxa"/>
            <w:vMerge w:val="restart"/>
            <w:tcBorders>
              <w:top w:val="single" w:sz="8" w:space="0" w:color="58595B"/>
              <w:left w:val="nil"/>
              <w:bottom w:val="single" w:sz="8" w:space="0" w:color="58595B"/>
              <w:right w:val="single" w:sz="8" w:space="0" w:color="58595B"/>
            </w:tcBorders>
            <w:shd w:val="clear" w:color="auto" w:fill="A8D08D" w:themeFill="accent6" w:themeFillTint="99"/>
            <w:tcMar>
              <w:top w:w="15" w:type="dxa"/>
              <w:left w:w="15" w:type="dxa"/>
              <w:bottom w:w="15" w:type="dxa"/>
              <w:right w:w="15" w:type="dxa"/>
            </w:tcMar>
          </w:tcPr>
          <w:p w14:paraId="4337F8B8" w14:textId="77777777" w:rsidR="00EA6DED" w:rsidRDefault="007504AE">
            <w:pPr>
              <w:spacing w:before="85"/>
              <w:ind w:left="105" w:firstLine="240"/>
              <w:rPr>
                <w:rFonts w:eastAsia="Arial"/>
                <w:color w:val="44546A" w:themeColor="text2"/>
                <w:sz w:val="18"/>
                <w:szCs w:val="20"/>
              </w:rPr>
            </w:pPr>
            <w:r>
              <w:rPr>
                <w:rFonts w:eastAsia="Arial"/>
                <w:color w:val="44546A" w:themeColor="text2"/>
                <w:sz w:val="18"/>
                <w:szCs w:val="20"/>
              </w:rPr>
              <w:t xml:space="preserve"> </w:t>
            </w:r>
          </w:p>
          <w:p w14:paraId="4337F8B9" w14:textId="77777777" w:rsidR="00EA6DED" w:rsidRDefault="007504AE">
            <w:pPr>
              <w:spacing w:before="85"/>
              <w:ind w:left="105" w:firstLine="240"/>
              <w:rPr>
                <w:rFonts w:eastAsia="Arial"/>
                <w:color w:val="44546A" w:themeColor="text2"/>
                <w:sz w:val="18"/>
                <w:szCs w:val="20"/>
              </w:rPr>
            </w:pPr>
            <w:r>
              <w:rPr>
                <w:rFonts w:eastAsia="Arial"/>
                <w:b/>
                <w:bCs/>
                <w:color w:val="44546A" w:themeColor="text2"/>
                <w:sz w:val="18"/>
                <w:szCs w:val="20"/>
              </w:rPr>
              <w:t>Agences</w:t>
            </w:r>
            <w:r>
              <w:rPr>
                <w:rFonts w:eastAsia="Arial"/>
                <w:color w:val="44546A" w:themeColor="text2"/>
                <w:sz w:val="18"/>
                <w:szCs w:val="20"/>
              </w:rPr>
              <w:t xml:space="preserve"> </w:t>
            </w:r>
          </w:p>
        </w:tc>
      </w:tr>
      <w:tr w:rsidR="00EA6DED" w14:paraId="4337F8C0" w14:textId="77777777">
        <w:trPr>
          <w:trHeight w:val="300"/>
        </w:trPr>
        <w:tc>
          <w:tcPr>
            <w:tcW w:w="3686" w:type="dxa"/>
            <w:vMerge/>
            <w:tcBorders>
              <w:left w:val="single" w:sz="0" w:space="0" w:color="58595B"/>
              <w:bottom w:val="single" w:sz="0" w:space="0" w:color="58595B"/>
              <w:right w:val="single" w:sz="0" w:space="0" w:color="58595B"/>
            </w:tcBorders>
            <w:vAlign w:val="center"/>
          </w:tcPr>
          <w:p w14:paraId="4337F8BB" w14:textId="77777777" w:rsidR="00EA6DED" w:rsidRDefault="00EA6DED">
            <w:pPr>
              <w:rPr>
                <w:color w:val="44546A" w:themeColor="text2"/>
                <w:sz w:val="18"/>
                <w:szCs w:val="20"/>
              </w:rPr>
            </w:pPr>
          </w:p>
        </w:tc>
        <w:tc>
          <w:tcPr>
            <w:tcW w:w="1252" w:type="dxa"/>
            <w:tcBorders>
              <w:top w:val="single" w:sz="8" w:space="0" w:color="58595B"/>
              <w:left w:val="nil"/>
              <w:bottom w:val="single" w:sz="8" w:space="0" w:color="58595B"/>
              <w:right w:val="single" w:sz="8" w:space="0" w:color="58595B"/>
            </w:tcBorders>
            <w:shd w:val="clear" w:color="auto" w:fill="A8D08D" w:themeFill="accent6" w:themeFillTint="99"/>
            <w:tcMar>
              <w:top w:w="15" w:type="dxa"/>
              <w:left w:w="15" w:type="dxa"/>
              <w:bottom w:w="15" w:type="dxa"/>
              <w:right w:w="15" w:type="dxa"/>
            </w:tcMar>
          </w:tcPr>
          <w:p w14:paraId="4337F8BC" w14:textId="77777777" w:rsidR="00EA6DED" w:rsidRDefault="007504AE">
            <w:pPr>
              <w:spacing w:before="85"/>
              <w:ind w:left="255" w:hanging="150"/>
              <w:rPr>
                <w:rFonts w:eastAsia="Arial"/>
                <w:color w:val="44546A" w:themeColor="text2"/>
                <w:sz w:val="18"/>
                <w:szCs w:val="20"/>
              </w:rPr>
            </w:pPr>
            <w:r>
              <w:rPr>
                <w:rFonts w:eastAsia="Arial"/>
                <w:color w:val="44546A" w:themeColor="text2"/>
                <w:sz w:val="18"/>
                <w:szCs w:val="20"/>
              </w:rPr>
              <w:t xml:space="preserve">Ressources à mobiliser  </w:t>
            </w:r>
          </w:p>
        </w:tc>
        <w:tc>
          <w:tcPr>
            <w:tcW w:w="1350" w:type="dxa"/>
            <w:tcBorders>
              <w:top w:val="nil"/>
              <w:left w:val="single" w:sz="8" w:space="0" w:color="auto"/>
              <w:bottom w:val="single" w:sz="8" w:space="0" w:color="58595B"/>
              <w:right w:val="single" w:sz="8" w:space="0" w:color="auto"/>
            </w:tcBorders>
            <w:shd w:val="clear" w:color="auto" w:fill="A8D08D" w:themeFill="accent6" w:themeFillTint="99"/>
            <w:tcMar>
              <w:top w:w="15" w:type="dxa"/>
              <w:left w:w="15" w:type="dxa"/>
              <w:bottom w:w="15" w:type="dxa"/>
              <w:right w:w="15" w:type="dxa"/>
            </w:tcMar>
          </w:tcPr>
          <w:p w14:paraId="4337F8BD" w14:textId="77777777" w:rsidR="00EA6DED" w:rsidRDefault="007504AE">
            <w:pPr>
              <w:spacing w:before="85"/>
              <w:ind w:left="255" w:hanging="150"/>
              <w:rPr>
                <w:rFonts w:eastAsia="Arial"/>
                <w:color w:val="44546A" w:themeColor="text2"/>
                <w:sz w:val="18"/>
                <w:szCs w:val="20"/>
              </w:rPr>
            </w:pPr>
            <w:r>
              <w:rPr>
                <w:rFonts w:eastAsia="Arial"/>
                <w:color w:val="44546A" w:themeColor="text2"/>
                <w:sz w:val="18"/>
                <w:szCs w:val="20"/>
              </w:rPr>
              <w:t xml:space="preserve">Prévisions des ressources devant être disponibles </w:t>
            </w:r>
          </w:p>
        </w:tc>
        <w:tc>
          <w:tcPr>
            <w:tcW w:w="1440" w:type="dxa"/>
            <w:tcBorders>
              <w:top w:val="nil"/>
              <w:left w:val="single" w:sz="8" w:space="0" w:color="auto"/>
              <w:bottom w:val="single" w:sz="8" w:space="0" w:color="58595B"/>
              <w:right w:val="single" w:sz="8" w:space="0" w:color="58595B"/>
            </w:tcBorders>
            <w:shd w:val="clear" w:color="auto" w:fill="A8D08D" w:themeFill="accent6" w:themeFillTint="99"/>
            <w:tcMar>
              <w:top w:w="15" w:type="dxa"/>
              <w:left w:w="15" w:type="dxa"/>
              <w:bottom w:w="15" w:type="dxa"/>
              <w:right w:w="15" w:type="dxa"/>
            </w:tcMar>
          </w:tcPr>
          <w:p w14:paraId="4337F8BE" w14:textId="77777777" w:rsidR="00EA6DED" w:rsidRDefault="007504AE">
            <w:pPr>
              <w:spacing w:before="85"/>
              <w:ind w:left="255" w:hanging="150"/>
              <w:rPr>
                <w:rFonts w:eastAsia="Arial"/>
                <w:color w:val="44546A" w:themeColor="text2"/>
                <w:sz w:val="18"/>
                <w:szCs w:val="20"/>
              </w:rPr>
            </w:pPr>
            <w:r>
              <w:rPr>
                <w:rFonts w:eastAsia="Arial"/>
                <w:color w:val="44546A" w:themeColor="text2"/>
                <w:sz w:val="18"/>
                <w:szCs w:val="20"/>
              </w:rPr>
              <w:t xml:space="preserve">Total budget prévisionnel  </w:t>
            </w:r>
          </w:p>
        </w:tc>
        <w:tc>
          <w:tcPr>
            <w:tcW w:w="2620" w:type="dxa"/>
            <w:vMerge/>
            <w:tcBorders>
              <w:left w:val="nil"/>
              <w:bottom w:val="single" w:sz="0" w:space="0" w:color="58595B"/>
              <w:right w:val="single" w:sz="0" w:space="0" w:color="58595B"/>
            </w:tcBorders>
            <w:vAlign w:val="center"/>
          </w:tcPr>
          <w:p w14:paraId="4337F8BF" w14:textId="77777777" w:rsidR="00EA6DED" w:rsidRDefault="00EA6DED">
            <w:pPr>
              <w:rPr>
                <w:sz w:val="18"/>
                <w:szCs w:val="20"/>
              </w:rPr>
            </w:pPr>
          </w:p>
        </w:tc>
      </w:tr>
      <w:tr w:rsidR="00EA6DED" w14:paraId="4337F8D0" w14:textId="77777777">
        <w:trPr>
          <w:trHeight w:val="300"/>
        </w:trPr>
        <w:tc>
          <w:tcPr>
            <w:tcW w:w="3686" w:type="dxa"/>
            <w:tcBorders>
              <w:left w:val="single" w:sz="0" w:space="0" w:color="58595B"/>
              <w:bottom w:val="single" w:sz="0" w:space="0" w:color="58595B"/>
              <w:right w:val="single" w:sz="0" w:space="0" w:color="58595B"/>
            </w:tcBorders>
            <w:shd w:val="clear" w:color="auto" w:fill="FFF2CC" w:themeFill="accent4" w:themeFillTint="33"/>
            <w:vAlign w:val="center"/>
          </w:tcPr>
          <w:p w14:paraId="4337F8C1" w14:textId="77777777" w:rsidR="00EA6DED" w:rsidRDefault="007504AE">
            <w:pPr>
              <w:rPr>
                <w:sz w:val="18"/>
                <w:szCs w:val="20"/>
              </w:rPr>
            </w:pPr>
            <w:r>
              <w:rPr>
                <w:rFonts w:eastAsia="Verdana"/>
                <w:b/>
                <w:bCs/>
                <w:color w:val="000000" w:themeColor="text1"/>
                <w:sz w:val="18"/>
                <w:szCs w:val="20"/>
              </w:rPr>
              <w:t>Effet 1 :</w:t>
            </w:r>
            <w:r>
              <w:rPr>
                <w:rFonts w:eastAsia="Arial"/>
                <w:i/>
                <w:iCs/>
                <w:color w:val="000000" w:themeColor="text1"/>
                <w:sz w:val="18"/>
                <w:szCs w:val="20"/>
              </w:rPr>
              <w:t xml:space="preserve"> </w:t>
            </w:r>
            <w:r>
              <w:rPr>
                <w:color w:val="000000" w:themeColor="text1"/>
                <w:sz w:val="18"/>
                <w:szCs w:val="20"/>
              </w:rPr>
              <w:t>D’ici à 2026, davantage de personnes, plus particulièrement les jeunes, les femmes et les personnes socialement et économiquement vulnérables, y compris les réfugiés et les PDI, bénéficient de façon équitable d’opportunités accrues, dans une économie verte, diversifiée, transformatrice, résiliente et inclusive, créatrice d’emplois décents dans les secteurs productifs (ODD 1, 5, 8, 9, 10, 12, 17)</w:t>
            </w:r>
          </w:p>
        </w:tc>
        <w:tc>
          <w:tcPr>
            <w:tcW w:w="1252" w:type="dxa"/>
            <w:tcBorders>
              <w:top w:val="single" w:sz="8" w:space="0" w:color="58595B"/>
              <w:left w:val="nil"/>
              <w:bottom w:val="single" w:sz="8" w:space="0" w:color="58595B"/>
              <w:right w:val="single" w:sz="8" w:space="0" w:color="58595B"/>
            </w:tcBorders>
            <w:shd w:val="clear" w:color="auto" w:fill="FFF2CC" w:themeFill="accent4" w:themeFillTint="33"/>
            <w:tcMar>
              <w:top w:w="15" w:type="dxa"/>
              <w:left w:w="15" w:type="dxa"/>
              <w:bottom w:w="15" w:type="dxa"/>
              <w:right w:w="15" w:type="dxa"/>
            </w:tcMar>
          </w:tcPr>
          <w:p w14:paraId="4337F8C2" w14:textId="77777777" w:rsidR="00EA6DED" w:rsidRDefault="007504AE">
            <w:pPr>
              <w:spacing w:before="85"/>
              <w:ind w:left="255" w:hanging="150"/>
              <w:rPr>
                <w:rFonts w:eastAsia="Arial"/>
                <w:color w:val="58595B"/>
                <w:sz w:val="18"/>
                <w:szCs w:val="20"/>
              </w:rPr>
            </w:pPr>
            <w:r>
              <w:rPr>
                <w:rFonts w:eastAsia="Arial"/>
                <w:color w:val="58595B"/>
                <w:sz w:val="18"/>
                <w:szCs w:val="20"/>
              </w:rPr>
              <w:t xml:space="preserve"> </w:t>
            </w:r>
          </w:p>
          <w:p w14:paraId="4337F8C3" w14:textId="77777777" w:rsidR="00EA6DED" w:rsidRDefault="00EA6DED">
            <w:pPr>
              <w:spacing w:before="85"/>
              <w:ind w:left="255" w:hanging="150"/>
              <w:rPr>
                <w:rFonts w:eastAsia="Arial Black"/>
                <w:sz w:val="18"/>
                <w:szCs w:val="20"/>
              </w:rPr>
            </w:pPr>
          </w:p>
          <w:p w14:paraId="4337F8C4" w14:textId="77777777" w:rsidR="00EA6DED" w:rsidRDefault="00EA6DED">
            <w:pPr>
              <w:spacing w:before="85"/>
              <w:ind w:left="255" w:hanging="150"/>
              <w:rPr>
                <w:rFonts w:eastAsia="Arial Black"/>
                <w:sz w:val="18"/>
                <w:szCs w:val="20"/>
              </w:rPr>
            </w:pPr>
          </w:p>
          <w:p w14:paraId="4337F8C5" w14:textId="77777777" w:rsidR="00EA6DED" w:rsidRDefault="007504AE">
            <w:pPr>
              <w:spacing w:before="85"/>
              <w:ind w:left="255" w:hanging="150"/>
              <w:rPr>
                <w:rFonts w:eastAsia="Arial Black"/>
                <w:sz w:val="18"/>
                <w:szCs w:val="20"/>
              </w:rPr>
            </w:pPr>
            <w:r>
              <w:rPr>
                <w:rFonts w:eastAsia="Arial Black"/>
                <w:sz w:val="18"/>
                <w:szCs w:val="20"/>
              </w:rPr>
              <w:t>84,571,000</w:t>
            </w:r>
          </w:p>
        </w:tc>
        <w:tc>
          <w:tcPr>
            <w:tcW w:w="1350" w:type="dxa"/>
            <w:tcBorders>
              <w:top w:val="nil"/>
              <w:left w:val="single" w:sz="8" w:space="0" w:color="auto"/>
              <w:bottom w:val="single" w:sz="8" w:space="0" w:color="58595B"/>
              <w:right w:val="single" w:sz="8" w:space="0" w:color="auto"/>
            </w:tcBorders>
            <w:shd w:val="clear" w:color="auto" w:fill="FFF2CC" w:themeFill="accent4" w:themeFillTint="33"/>
            <w:tcMar>
              <w:top w:w="15" w:type="dxa"/>
              <w:left w:w="15" w:type="dxa"/>
              <w:bottom w:w="15" w:type="dxa"/>
              <w:right w:w="15" w:type="dxa"/>
            </w:tcMar>
          </w:tcPr>
          <w:p w14:paraId="4337F8C6" w14:textId="77777777" w:rsidR="00EA6DED" w:rsidRDefault="007504AE">
            <w:pPr>
              <w:spacing w:before="85"/>
              <w:ind w:left="255" w:hanging="150"/>
              <w:rPr>
                <w:rFonts w:eastAsia="Arial"/>
                <w:color w:val="58595B"/>
                <w:sz w:val="18"/>
                <w:szCs w:val="20"/>
              </w:rPr>
            </w:pPr>
            <w:r>
              <w:rPr>
                <w:rFonts w:eastAsia="Arial"/>
                <w:color w:val="58595B"/>
                <w:sz w:val="18"/>
                <w:szCs w:val="20"/>
              </w:rPr>
              <w:t xml:space="preserve"> </w:t>
            </w:r>
          </w:p>
          <w:p w14:paraId="4337F8C7" w14:textId="77777777" w:rsidR="00EA6DED" w:rsidRDefault="00EA6DED">
            <w:pPr>
              <w:spacing w:before="85"/>
              <w:ind w:left="255" w:hanging="150"/>
              <w:rPr>
                <w:rFonts w:eastAsia="Arial Black"/>
                <w:sz w:val="18"/>
                <w:szCs w:val="20"/>
              </w:rPr>
            </w:pPr>
          </w:p>
          <w:p w14:paraId="4337F8C8" w14:textId="77777777" w:rsidR="00EA6DED" w:rsidRDefault="00EA6DED">
            <w:pPr>
              <w:spacing w:before="85"/>
              <w:ind w:left="255" w:hanging="150"/>
              <w:rPr>
                <w:rFonts w:eastAsia="Arial Black"/>
                <w:sz w:val="18"/>
                <w:szCs w:val="20"/>
              </w:rPr>
            </w:pPr>
          </w:p>
          <w:p w14:paraId="4337F8C9" w14:textId="77777777" w:rsidR="00EA6DED" w:rsidRDefault="007504AE">
            <w:pPr>
              <w:spacing w:before="85"/>
              <w:ind w:left="255" w:hanging="150"/>
              <w:rPr>
                <w:rFonts w:eastAsia="Arial Black"/>
                <w:sz w:val="18"/>
                <w:szCs w:val="20"/>
              </w:rPr>
            </w:pPr>
            <w:r>
              <w:rPr>
                <w:rFonts w:eastAsia="Arial Black"/>
                <w:sz w:val="18"/>
                <w:szCs w:val="20"/>
              </w:rPr>
              <w:t>65,922,928</w:t>
            </w:r>
          </w:p>
        </w:tc>
        <w:tc>
          <w:tcPr>
            <w:tcW w:w="1440" w:type="dxa"/>
            <w:tcBorders>
              <w:top w:val="nil"/>
              <w:left w:val="single" w:sz="8" w:space="0" w:color="auto"/>
              <w:bottom w:val="single" w:sz="8" w:space="0" w:color="58595B"/>
              <w:right w:val="single" w:sz="8" w:space="0" w:color="58595B"/>
            </w:tcBorders>
            <w:shd w:val="clear" w:color="auto" w:fill="FFF2CC" w:themeFill="accent4" w:themeFillTint="33"/>
            <w:tcMar>
              <w:top w:w="15" w:type="dxa"/>
              <w:left w:w="15" w:type="dxa"/>
              <w:bottom w:w="15" w:type="dxa"/>
              <w:right w:w="15" w:type="dxa"/>
            </w:tcMar>
          </w:tcPr>
          <w:p w14:paraId="4337F8CA" w14:textId="77777777" w:rsidR="00EA6DED" w:rsidRDefault="007504AE">
            <w:pPr>
              <w:spacing w:before="85"/>
              <w:ind w:left="255" w:hanging="150"/>
              <w:rPr>
                <w:rFonts w:eastAsia="Arial"/>
                <w:color w:val="58595B"/>
                <w:sz w:val="18"/>
                <w:szCs w:val="20"/>
              </w:rPr>
            </w:pPr>
            <w:r>
              <w:rPr>
                <w:rFonts w:eastAsia="Arial"/>
                <w:color w:val="58595B"/>
                <w:sz w:val="18"/>
                <w:szCs w:val="20"/>
              </w:rPr>
              <w:t xml:space="preserve"> </w:t>
            </w:r>
          </w:p>
          <w:p w14:paraId="4337F8CB" w14:textId="77777777" w:rsidR="00EA6DED" w:rsidRDefault="00EA6DED">
            <w:pPr>
              <w:spacing w:before="85"/>
              <w:ind w:left="255" w:hanging="150"/>
              <w:rPr>
                <w:rFonts w:eastAsia="Arial Black"/>
                <w:sz w:val="18"/>
                <w:szCs w:val="20"/>
              </w:rPr>
            </w:pPr>
          </w:p>
          <w:p w14:paraId="4337F8CC" w14:textId="77777777" w:rsidR="00EA6DED" w:rsidRDefault="00EA6DED">
            <w:pPr>
              <w:spacing w:before="85"/>
              <w:ind w:left="255" w:hanging="150"/>
              <w:rPr>
                <w:rFonts w:eastAsia="Arial Black"/>
                <w:sz w:val="18"/>
                <w:szCs w:val="20"/>
              </w:rPr>
            </w:pPr>
          </w:p>
          <w:p w14:paraId="4337F8CD" w14:textId="77777777" w:rsidR="00EA6DED" w:rsidRDefault="007504AE">
            <w:pPr>
              <w:spacing w:before="85"/>
              <w:ind w:left="255" w:hanging="150"/>
              <w:rPr>
                <w:rFonts w:eastAsia="Arial Black"/>
                <w:sz w:val="18"/>
                <w:szCs w:val="20"/>
              </w:rPr>
            </w:pPr>
            <w:r>
              <w:rPr>
                <w:rFonts w:eastAsia="Arial Black"/>
                <w:sz w:val="18"/>
                <w:szCs w:val="20"/>
              </w:rPr>
              <w:t>150,493,929</w:t>
            </w:r>
          </w:p>
        </w:tc>
        <w:tc>
          <w:tcPr>
            <w:tcW w:w="2620" w:type="dxa"/>
            <w:tcBorders>
              <w:left w:val="nil"/>
              <w:bottom w:val="single" w:sz="0" w:space="0" w:color="58595B"/>
              <w:right w:val="single" w:sz="0" w:space="0" w:color="58595B"/>
            </w:tcBorders>
            <w:shd w:val="clear" w:color="auto" w:fill="FFF2CC" w:themeFill="accent4" w:themeFillTint="33"/>
            <w:vAlign w:val="center"/>
          </w:tcPr>
          <w:p w14:paraId="4337F8CE" w14:textId="77777777" w:rsidR="00EA6DED" w:rsidRDefault="007504AE">
            <w:pPr>
              <w:spacing w:before="86"/>
              <w:rPr>
                <w:sz w:val="18"/>
                <w:szCs w:val="20"/>
              </w:rPr>
            </w:pPr>
            <w:r>
              <w:rPr>
                <w:rFonts w:eastAsia="Verdana"/>
                <w:color w:val="000000" w:themeColor="text1"/>
                <w:sz w:val="18"/>
                <w:szCs w:val="20"/>
              </w:rPr>
              <w:t>ILO, FAO,</w:t>
            </w:r>
            <w:r>
              <w:rPr>
                <w:color w:val="000000" w:themeColor="text1"/>
                <w:sz w:val="18"/>
                <w:szCs w:val="20"/>
              </w:rPr>
              <w:t xml:space="preserve"> </w:t>
            </w:r>
            <w:r>
              <w:rPr>
                <w:rFonts w:eastAsia="Verdana"/>
                <w:color w:val="000000" w:themeColor="text1"/>
                <w:sz w:val="18"/>
                <w:szCs w:val="20"/>
              </w:rPr>
              <w:t>FIDA,</w:t>
            </w:r>
            <w:r>
              <w:rPr>
                <w:color w:val="000000" w:themeColor="text1"/>
                <w:sz w:val="18"/>
                <w:szCs w:val="20"/>
              </w:rPr>
              <w:t xml:space="preserve"> </w:t>
            </w:r>
            <w:r>
              <w:rPr>
                <w:rFonts w:eastAsia="Verdana"/>
                <w:color w:val="000000" w:themeColor="text1"/>
                <w:sz w:val="18"/>
                <w:szCs w:val="20"/>
              </w:rPr>
              <w:t>UNESCO</w:t>
            </w:r>
            <w:r>
              <w:rPr>
                <w:color w:val="000000" w:themeColor="text1"/>
                <w:sz w:val="18"/>
                <w:szCs w:val="20"/>
              </w:rPr>
              <w:t xml:space="preserve"> </w:t>
            </w:r>
            <w:r>
              <w:rPr>
                <w:rFonts w:eastAsia="Verdana"/>
                <w:color w:val="000000" w:themeColor="text1"/>
                <w:sz w:val="18"/>
                <w:szCs w:val="20"/>
              </w:rPr>
              <w:t>UNOPS,</w:t>
            </w:r>
            <w:r>
              <w:rPr>
                <w:color w:val="000000" w:themeColor="text1"/>
                <w:sz w:val="18"/>
                <w:szCs w:val="20"/>
              </w:rPr>
              <w:t xml:space="preserve"> </w:t>
            </w:r>
            <w:r>
              <w:rPr>
                <w:rFonts w:eastAsia="Verdana"/>
                <w:color w:val="000000" w:themeColor="text1"/>
                <w:sz w:val="18"/>
                <w:szCs w:val="20"/>
              </w:rPr>
              <w:t>HCR,</w:t>
            </w:r>
            <w:r>
              <w:rPr>
                <w:color w:val="000000" w:themeColor="text1"/>
                <w:sz w:val="18"/>
                <w:szCs w:val="20"/>
              </w:rPr>
              <w:t xml:space="preserve"> </w:t>
            </w:r>
            <w:r>
              <w:rPr>
                <w:rFonts w:eastAsia="Verdana"/>
                <w:color w:val="000000" w:themeColor="text1"/>
                <w:sz w:val="18"/>
                <w:szCs w:val="20"/>
              </w:rPr>
              <w:t>PNUD, ONUDI</w:t>
            </w:r>
            <w:r>
              <w:rPr>
                <w:color w:val="000000" w:themeColor="text1"/>
                <w:sz w:val="18"/>
                <w:szCs w:val="20"/>
              </w:rPr>
              <w:t xml:space="preserve"> </w:t>
            </w:r>
            <w:r>
              <w:rPr>
                <w:rFonts w:eastAsia="Verdana"/>
                <w:color w:val="000000" w:themeColor="text1"/>
                <w:sz w:val="18"/>
                <w:szCs w:val="20"/>
              </w:rPr>
              <w:t>PNUE, UNICEF, OIM, ONU-Femmes, HCR, PNUD, ONU-Habitat, ONUDI, PNUE, ONUDC, PAM</w:t>
            </w:r>
          </w:p>
          <w:p w14:paraId="4337F8CF" w14:textId="77777777" w:rsidR="00EA6DED" w:rsidRDefault="00EA6DED">
            <w:pPr>
              <w:rPr>
                <w:sz w:val="18"/>
                <w:szCs w:val="20"/>
              </w:rPr>
            </w:pPr>
          </w:p>
        </w:tc>
      </w:tr>
      <w:tr w:rsidR="00EA6DED" w14:paraId="4337F8DF" w14:textId="77777777">
        <w:trPr>
          <w:trHeight w:val="300"/>
        </w:trPr>
        <w:tc>
          <w:tcPr>
            <w:tcW w:w="3686" w:type="dxa"/>
            <w:tcBorders>
              <w:top w:val="single" w:sz="8" w:space="0" w:color="58595B"/>
              <w:left w:val="single" w:sz="8" w:space="0" w:color="58595B"/>
              <w:bottom w:val="single" w:sz="8" w:space="0" w:color="58595B"/>
              <w:right w:val="single" w:sz="8" w:space="0" w:color="58595B"/>
            </w:tcBorders>
            <w:shd w:val="clear" w:color="auto" w:fill="FFE599" w:themeFill="accent4" w:themeFillTint="66"/>
            <w:tcMar>
              <w:top w:w="15" w:type="dxa"/>
              <w:left w:w="15" w:type="dxa"/>
              <w:bottom w:w="15" w:type="dxa"/>
              <w:right w:w="15" w:type="dxa"/>
            </w:tcMar>
          </w:tcPr>
          <w:p w14:paraId="4337F8D1" w14:textId="77777777" w:rsidR="00EA6DED" w:rsidRDefault="007504AE">
            <w:pPr>
              <w:spacing w:before="77"/>
              <w:ind w:left="75" w:right="105"/>
              <w:rPr>
                <w:rFonts w:eastAsia="Verdana"/>
                <w:b/>
                <w:bCs/>
                <w:color w:val="58595B"/>
                <w:sz w:val="18"/>
                <w:szCs w:val="20"/>
              </w:rPr>
            </w:pPr>
            <w:r>
              <w:rPr>
                <w:rFonts w:eastAsia="Verdana"/>
                <w:b/>
                <w:bCs/>
                <w:color w:val="000000" w:themeColor="text1"/>
                <w:sz w:val="18"/>
                <w:szCs w:val="20"/>
              </w:rPr>
              <w:t>Effet 2.1</w:t>
            </w:r>
            <w:r>
              <w:rPr>
                <w:rFonts w:eastAsia="Arial"/>
                <w:i/>
                <w:iCs/>
                <w:color w:val="000000" w:themeColor="text1"/>
                <w:sz w:val="18"/>
                <w:szCs w:val="20"/>
              </w:rPr>
              <w:t xml:space="preserve"> :  </w:t>
            </w:r>
            <w:r>
              <w:rPr>
                <w:color w:val="000000" w:themeColor="text1"/>
                <w:sz w:val="18"/>
                <w:szCs w:val="20"/>
              </w:rPr>
              <w:t xml:space="preserve">D’ici à 2026, davantage de personnes, par tranche d’âge, particulièrement les plus vulnérables, y compris les réfugiés et les PDI, utilisent des services sociaux de base de qualité de façon équitable et durable pour réaliser leur plein potentiel humain et accroitre </w:t>
            </w:r>
            <w:r>
              <w:rPr>
                <w:color w:val="000000" w:themeColor="text1"/>
                <w:sz w:val="18"/>
                <w:szCs w:val="20"/>
              </w:rPr>
              <w:lastRenderedPageBreak/>
              <w:t>leur bien-être social et économique (ODD 1, 2, 3, 4, 5, 6, 8, 9, 10, 11, 12, 16, 17).</w:t>
            </w:r>
          </w:p>
        </w:tc>
        <w:tc>
          <w:tcPr>
            <w:tcW w:w="1252" w:type="dxa"/>
            <w:tcBorders>
              <w:top w:val="single" w:sz="8" w:space="0" w:color="58595B"/>
              <w:left w:val="single" w:sz="8" w:space="0" w:color="58595B"/>
              <w:bottom w:val="single" w:sz="8" w:space="0" w:color="58595B"/>
              <w:right w:val="single" w:sz="8" w:space="0" w:color="58595B"/>
            </w:tcBorders>
            <w:shd w:val="clear" w:color="auto" w:fill="FFE599" w:themeFill="accent4" w:themeFillTint="66"/>
            <w:tcMar>
              <w:top w:w="15" w:type="dxa"/>
              <w:left w:w="15" w:type="dxa"/>
              <w:bottom w:w="15" w:type="dxa"/>
              <w:right w:w="15" w:type="dxa"/>
            </w:tcMar>
          </w:tcPr>
          <w:p w14:paraId="4337F8D2" w14:textId="77777777" w:rsidR="00EA6DED" w:rsidRDefault="007504AE">
            <w:pPr>
              <w:spacing w:before="85"/>
              <w:ind w:left="255" w:hanging="150"/>
              <w:rPr>
                <w:rFonts w:eastAsia="Arial"/>
                <w:color w:val="58595B"/>
                <w:sz w:val="18"/>
                <w:szCs w:val="20"/>
              </w:rPr>
            </w:pPr>
            <w:r>
              <w:rPr>
                <w:rFonts w:eastAsia="Arial"/>
                <w:color w:val="58595B"/>
                <w:sz w:val="18"/>
                <w:szCs w:val="20"/>
              </w:rPr>
              <w:lastRenderedPageBreak/>
              <w:t xml:space="preserve"> </w:t>
            </w:r>
          </w:p>
          <w:p w14:paraId="4337F8D3" w14:textId="77777777" w:rsidR="00EA6DED" w:rsidRDefault="00EA6DED">
            <w:pPr>
              <w:spacing w:before="85"/>
              <w:ind w:left="255" w:hanging="150"/>
              <w:rPr>
                <w:rFonts w:eastAsia="Arial Black"/>
                <w:sz w:val="18"/>
                <w:szCs w:val="20"/>
              </w:rPr>
            </w:pPr>
          </w:p>
          <w:p w14:paraId="4337F8D4" w14:textId="77777777" w:rsidR="00EA6DED" w:rsidRDefault="00EA6DED">
            <w:pPr>
              <w:spacing w:before="85"/>
              <w:ind w:left="255" w:hanging="150"/>
              <w:rPr>
                <w:rFonts w:eastAsia="Arial Black"/>
                <w:sz w:val="18"/>
                <w:szCs w:val="20"/>
              </w:rPr>
            </w:pPr>
          </w:p>
          <w:p w14:paraId="4337F8D5" w14:textId="77777777" w:rsidR="00EA6DED" w:rsidRDefault="007504AE">
            <w:pPr>
              <w:spacing w:before="85"/>
              <w:ind w:left="255" w:hanging="150"/>
              <w:rPr>
                <w:rFonts w:eastAsia="Arial Black"/>
                <w:sz w:val="18"/>
                <w:szCs w:val="20"/>
              </w:rPr>
            </w:pPr>
            <w:r>
              <w:rPr>
                <w:rFonts w:eastAsia="Arial Black"/>
                <w:sz w:val="18"/>
                <w:szCs w:val="20"/>
              </w:rPr>
              <w:t>423,916,218</w:t>
            </w:r>
          </w:p>
        </w:tc>
        <w:tc>
          <w:tcPr>
            <w:tcW w:w="1350" w:type="dxa"/>
            <w:tcBorders>
              <w:top w:val="single" w:sz="8" w:space="0" w:color="58595B"/>
              <w:left w:val="single" w:sz="8" w:space="0" w:color="58595B"/>
              <w:bottom w:val="single" w:sz="8" w:space="0" w:color="58595B"/>
              <w:right w:val="single" w:sz="8" w:space="0" w:color="58595B"/>
            </w:tcBorders>
            <w:shd w:val="clear" w:color="auto" w:fill="FFE599" w:themeFill="accent4" w:themeFillTint="66"/>
            <w:tcMar>
              <w:top w:w="15" w:type="dxa"/>
              <w:left w:w="15" w:type="dxa"/>
              <w:bottom w:w="15" w:type="dxa"/>
              <w:right w:w="15" w:type="dxa"/>
            </w:tcMar>
          </w:tcPr>
          <w:p w14:paraId="4337F8D6" w14:textId="77777777" w:rsidR="00EA6DED" w:rsidRDefault="007504AE">
            <w:pPr>
              <w:spacing w:before="85"/>
              <w:ind w:left="255" w:hanging="150"/>
              <w:rPr>
                <w:rFonts w:eastAsia="Arial"/>
                <w:color w:val="58595B"/>
                <w:sz w:val="18"/>
                <w:szCs w:val="20"/>
              </w:rPr>
            </w:pPr>
            <w:r>
              <w:rPr>
                <w:rFonts w:eastAsia="Arial"/>
                <w:color w:val="58595B"/>
                <w:sz w:val="18"/>
                <w:szCs w:val="20"/>
              </w:rPr>
              <w:t xml:space="preserve"> </w:t>
            </w:r>
          </w:p>
          <w:p w14:paraId="4337F8D7" w14:textId="77777777" w:rsidR="00EA6DED" w:rsidRDefault="00EA6DED">
            <w:pPr>
              <w:spacing w:before="85"/>
              <w:ind w:left="255" w:hanging="150"/>
              <w:rPr>
                <w:rFonts w:eastAsia="Arial Black"/>
                <w:sz w:val="18"/>
                <w:szCs w:val="20"/>
              </w:rPr>
            </w:pPr>
          </w:p>
          <w:p w14:paraId="4337F8D8" w14:textId="77777777" w:rsidR="00EA6DED" w:rsidRDefault="00EA6DED">
            <w:pPr>
              <w:spacing w:before="85"/>
              <w:ind w:left="255" w:hanging="150"/>
              <w:rPr>
                <w:rFonts w:eastAsia="Arial Black"/>
                <w:sz w:val="18"/>
                <w:szCs w:val="20"/>
              </w:rPr>
            </w:pPr>
          </w:p>
          <w:p w14:paraId="4337F8D9" w14:textId="77777777" w:rsidR="00EA6DED" w:rsidRDefault="007504AE">
            <w:pPr>
              <w:spacing w:before="85"/>
              <w:ind w:left="255" w:hanging="150"/>
              <w:rPr>
                <w:rFonts w:eastAsia="Arial Black"/>
                <w:sz w:val="18"/>
                <w:szCs w:val="20"/>
              </w:rPr>
            </w:pPr>
            <w:r>
              <w:rPr>
                <w:rFonts w:eastAsia="Arial Black"/>
                <w:sz w:val="18"/>
                <w:szCs w:val="20"/>
              </w:rPr>
              <w:t>227,790,389</w:t>
            </w:r>
          </w:p>
        </w:tc>
        <w:tc>
          <w:tcPr>
            <w:tcW w:w="1440" w:type="dxa"/>
            <w:tcBorders>
              <w:top w:val="single" w:sz="8" w:space="0" w:color="58595B"/>
              <w:left w:val="single" w:sz="8" w:space="0" w:color="58595B"/>
              <w:bottom w:val="single" w:sz="8" w:space="0" w:color="58595B"/>
              <w:right w:val="single" w:sz="8" w:space="0" w:color="58595B"/>
            </w:tcBorders>
            <w:shd w:val="clear" w:color="auto" w:fill="FFE599" w:themeFill="accent4" w:themeFillTint="66"/>
            <w:tcMar>
              <w:top w:w="15" w:type="dxa"/>
              <w:left w:w="15" w:type="dxa"/>
              <w:bottom w:w="15" w:type="dxa"/>
              <w:right w:w="15" w:type="dxa"/>
            </w:tcMar>
          </w:tcPr>
          <w:p w14:paraId="4337F8DA" w14:textId="77777777" w:rsidR="00EA6DED" w:rsidRDefault="007504AE">
            <w:pPr>
              <w:spacing w:before="85"/>
              <w:ind w:left="255" w:hanging="150"/>
              <w:rPr>
                <w:rFonts w:eastAsia="Arial"/>
                <w:color w:val="58595B"/>
                <w:sz w:val="18"/>
                <w:szCs w:val="20"/>
              </w:rPr>
            </w:pPr>
            <w:r>
              <w:rPr>
                <w:rFonts w:eastAsia="Arial"/>
                <w:color w:val="58595B"/>
                <w:sz w:val="18"/>
                <w:szCs w:val="20"/>
              </w:rPr>
              <w:t xml:space="preserve"> </w:t>
            </w:r>
          </w:p>
          <w:p w14:paraId="4337F8DB" w14:textId="77777777" w:rsidR="00EA6DED" w:rsidRDefault="00EA6DED">
            <w:pPr>
              <w:spacing w:before="85"/>
              <w:ind w:left="255" w:hanging="150"/>
              <w:rPr>
                <w:rFonts w:eastAsia="Arial Black"/>
                <w:sz w:val="18"/>
                <w:szCs w:val="20"/>
              </w:rPr>
            </w:pPr>
          </w:p>
          <w:p w14:paraId="4337F8DC" w14:textId="77777777" w:rsidR="00EA6DED" w:rsidRDefault="00EA6DED">
            <w:pPr>
              <w:spacing w:before="85"/>
              <w:ind w:left="255" w:hanging="150"/>
              <w:rPr>
                <w:rFonts w:eastAsia="Arial Black"/>
                <w:sz w:val="18"/>
                <w:szCs w:val="20"/>
              </w:rPr>
            </w:pPr>
          </w:p>
          <w:p w14:paraId="4337F8DD" w14:textId="77777777" w:rsidR="00EA6DED" w:rsidRDefault="007504AE">
            <w:pPr>
              <w:spacing w:before="85"/>
              <w:ind w:left="255" w:hanging="150"/>
              <w:rPr>
                <w:rFonts w:eastAsia="Arial Black"/>
                <w:sz w:val="18"/>
                <w:szCs w:val="20"/>
              </w:rPr>
            </w:pPr>
            <w:r>
              <w:rPr>
                <w:rFonts w:eastAsia="Arial Black"/>
                <w:sz w:val="18"/>
                <w:szCs w:val="20"/>
              </w:rPr>
              <w:t>651,706,607</w:t>
            </w:r>
          </w:p>
        </w:tc>
        <w:tc>
          <w:tcPr>
            <w:tcW w:w="2620" w:type="dxa"/>
            <w:tcBorders>
              <w:top w:val="single" w:sz="8" w:space="0" w:color="58595B"/>
              <w:left w:val="single" w:sz="8" w:space="0" w:color="58595B"/>
              <w:bottom w:val="single" w:sz="8" w:space="0" w:color="58595B"/>
              <w:right w:val="single" w:sz="8" w:space="0" w:color="58595B"/>
            </w:tcBorders>
            <w:shd w:val="clear" w:color="auto" w:fill="FFE599" w:themeFill="accent4" w:themeFillTint="66"/>
            <w:tcMar>
              <w:top w:w="15" w:type="dxa"/>
              <w:left w:w="15" w:type="dxa"/>
              <w:bottom w:w="15" w:type="dxa"/>
              <w:right w:w="15" w:type="dxa"/>
            </w:tcMar>
          </w:tcPr>
          <w:p w14:paraId="4337F8DE" w14:textId="77777777" w:rsidR="00EA6DED" w:rsidRDefault="007504AE">
            <w:pPr>
              <w:spacing w:before="76"/>
              <w:rPr>
                <w:rFonts w:eastAsia="Verdana"/>
                <w:color w:val="000000" w:themeColor="text1"/>
                <w:sz w:val="18"/>
                <w:szCs w:val="20"/>
              </w:rPr>
            </w:pPr>
            <w:r>
              <w:rPr>
                <w:rFonts w:eastAsia="Verdana"/>
                <w:color w:val="000000" w:themeColor="text1"/>
                <w:sz w:val="18"/>
                <w:szCs w:val="20"/>
              </w:rPr>
              <w:t>UNICEF,</w:t>
            </w:r>
            <w:r>
              <w:rPr>
                <w:color w:val="000000" w:themeColor="text1"/>
                <w:sz w:val="18"/>
                <w:szCs w:val="20"/>
              </w:rPr>
              <w:t xml:space="preserve"> </w:t>
            </w:r>
            <w:r>
              <w:rPr>
                <w:rFonts w:eastAsia="Verdana"/>
                <w:color w:val="000000" w:themeColor="text1"/>
                <w:sz w:val="18"/>
                <w:szCs w:val="20"/>
              </w:rPr>
              <w:t>FAO</w:t>
            </w:r>
            <w:r>
              <w:rPr>
                <w:color w:val="000000" w:themeColor="text1"/>
                <w:sz w:val="18"/>
                <w:szCs w:val="20"/>
              </w:rPr>
              <w:t xml:space="preserve"> </w:t>
            </w:r>
            <w:r>
              <w:rPr>
                <w:rFonts w:eastAsia="Verdana"/>
                <w:color w:val="000000" w:themeColor="text1"/>
                <w:sz w:val="18"/>
                <w:szCs w:val="20"/>
              </w:rPr>
              <w:t>OMS,</w:t>
            </w:r>
            <w:r>
              <w:rPr>
                <w:color w:val="000000" w:themeColor="text1"/>
                <w:sz w:val="18"/>
                <w:szCs w:val="20"/>
              </w:rPr>
              <w:t xml:space="preserve"> </w:t>
            </w:r>
            <w:r>
              <w:rPr>
                <w:rFonts w:eastAsia="Verdana"/>
                <w:color w:val="000000" w:themeColor="text1"/>
                <w:sz w:val="18"/>
                <w:szCs w:val="20"/>
              </w:rPr>
              <w:t>HCR,</w:t>
            </w:r>
            <w:r>
              <w:rPr>
                <w:color w:val="000000" w:themeColor="text1"/>
                <w:sz w:val="18"/>
                <w:szCs w:val="20"/>
              </w:rPr>
              <w:t xml:space="preserve"> </w:t>
            </w:r>
            <w:r>
              <w:rPr>
                <w:rFonts w:eastAsia="Verdana"/>
                <w:color w:val="000000" w:themeColor="text1"/>
                <w:sz w:val="18"/>
                <w:szCs w:val="20"/>
              </w:rPr>
              <w:t>UNFPA,</w:t>
            </w:r>
            <w:r>
              <w:rPr>
                <w:color w:val="000000" w:themeColor="text1"/>
                <w:sz w:val="18"/>
                <w:szCs w:val="20"/>
              </w:rPr>
              <w:t xml:space="preserve"> </w:t>
            </w:r>
            <w:r>
              <w:rPr>
                <w:rFonts w:eastAsia="Verdana"/>
                <w:color w:val="000000" w:themeColor="text1"/>
                <w:sz w:val="18"/>
                <w:szCs w:val="20"/>
              </w:rPr>
              <w:t>PAM OIT,</w:t>
            </w:r>
            <w:r>
              <w:rPr>
                <w:color w:val="000000" w:themeColor="text1"/>
                <w:sz w:val="18"/>
                <w:szCs w:val="20"/>
              </w:rPr>
              <w:t xml:space="preserve"> </w:t>
            </w:r>
            <w:r>
              <w:rPr>
                <w:rFonts w:eastAsia="Verdana"/>
                <w:color w:val="000000" w:themeColor="text1"/>
                <w:sz w:val="18"/>
                <w:szCs w:val="20"/>
              </w:rPr>
              <w:t>UNOPS,</w:t>
            </w:r>
            <w:r>
              <w:rPr>
                <w:color w:val="000000" w:themeColor="text1"/>
                <w:sz w:val="18"/>
                <w:szCs w:val="20"/>
              </w:rPr>
              <w:t xml:space="preserve"> </w:t>
            </w:r>
            <w:r>
              <w:rPr>
                <w:rFonts w:eastAsia="Verdana"/>
                <w:color w:val="000000" w:themeColor="text1"/>
                <w:sz w:val="18"/>
                <w:szCs w:val="20"/>
              </w:rPr>
              <w:t>OMS,</w:t>
            </w:r>
            <w:r>
              <w:rPr>
                <w:color w:val="000000" w:themeColor="text1"/>
                <w:sz w:val="18"/>
                <w:szCs w:val="20"/>
              </w:rPr>
              <w:t xml:space="preserve"> </w:t>
            </w:r>
            <w:r>
              <w:rPr>
                <w:rFonts w:eastAsia="Verdana"/>
                <w:color w:val="000000" w:themeColor="text1"/>
                <w:sz w:val="18"/>
                <w:szCs w:val="20"/>
              </w:rPr>
              <w:t>ONUSIDA, FIDA, UNESCO; ONU-Habitat</w:t>
            </w:r>
          </w:p>
        </w:tc>
      </w:tr>
      <w:tr w:rsidR="00EA6DED" w14:paraId="4337F8EB" w14:textId="77777777">
        <w:trPr>
          <w:trHeight w:val="300"/>
        </w:trPr>
        <w:tc>
          <w:tcPr>
            <w:tcW w:w="3686" w:type="dxa"/>
            <w:tcBorders>
              <w:top w:val="single" w:sz="8" w:space="0" w:color="58595B"/>
              <w:left w:val="single" w:sz="8" w:space="0" w:color="58595B"/>
              <w:bottom w:val="single" w:sz="8" w:space="0" w:color="58595B"/>
              <w:right w:val="single" w:sz="8" w:space="0" w:color="58595B"/>
            </w:tcBorders>
            <w:shd w:val="clear" w:color="auto" w:fill="A8D08D" w:themeFill="accent6" w:themeFillTint="99"/>
            <w:tcMar>
              <w:top w:w="15" w:type="dxa"/>
              <w:left w:w="15" w:type="dxa"/>
              <w:bottom w:w="15" w:type="dxa"/>
              <w:right w:w="15" w:type="dxa"/>
            </w:tcMar>
          </w:tcPr>
          <w:p w14:paraId="4337F8E0" w14:textId="77777777" w:rsidR="00EA6DED" w:rsidRDefault="007504AE">
            <w:pPr>
              <w:spacing w:before="77"/>
              <w:ind w:left="75" w:right="105"/>
              <w:rPr>
                <w:rFonts w:eastAsia="Verdana"/>
                <w:b/>
                <w:bCs/>
                <w:color w:val="58595B"/>
                <w:sz w:val="18"/>
                <w:szCs w:val="20"/>
              </w:rPr>
            </w:pPr>
            <w:r>
              <w:rPr>
                <w:rFonts w:eastAsia="Verdana"/>
                <w:b/>
                <w:bCs/>
                <w:color w:val="000000" w:themeColor="text1"/>
                <w:sz w:val="18"/>
                <w:szCs w:val="20"/>
              </w:rPr>
              <w:t>Effet 2.2</w:t>
            </w:r>
            <w:r>
              <w:rPr>
                <w:rFonts w:eastAsia="Arial"/>
                <w:i/>
                <w:iCs/>
                <w:color w:val="000000" w:themeColor="text1"/>
                <w:sz w:val="18"/>
                <w:szCs w:val="20"/>
              </w:rPr>
              <w:t xml:space="preserve"> : </w:t>
            </w:r>
            <w:r>
              <w:rPr>
                <w:color w:val="000000" w:themeColor="text1"/>
                <w:sz w:val="18"/>
                <w:szCs w:val="20"/>
              </w:rPr>
              <w:t>D’ici à 2026, les écarts dans les indicateurs clés socio-économiques sont réduits, reflétant une plus grande égalité des sexes et une progression dans l’autonomisation des jeunes, des femmes et des filles, et d’autres groupes vulnérables, y compris dans les contextes humanitaires (ODD 1, 2, 3, 4, 5, 6, 7, 8, 9, 10, 11, 12, 13, 14, 15, 16, 17)</w:t>
            </w:r>
          </w:p>
        </w:tc>
        <w:tc>
          <w:tcPr>
            <w:tcW w:w="1252" w:type="dxa"/>
            <w:tcBorders>
              <w:top w:val="single" w:sz="8" w:space="0" w:color="58595B"/>
              <w:left w:val="single" w:sz="8" w:space="0" w:color="58595B"/>
              <w:bottom w:val="single" w:sz="8" w:space="0" w:color="58595B"/>
              <w:right w:val="single" w:sz="8" w:space="0" w:color="58595B"/>
            </w:tcBorders>
            <w:shd w:val="clear" w:color="auto" w:fill="A8D08D" w:themeFill="accent6" w:themeFillTint="99"/>
            <w:tcMar>
              <w:top w:w="15" w:type="dxa"/>
              <w:left w:w="15" w:type="dxa"/>
              <w:bottom w:w="15" w:type="dxa"/>
              <w:right w:w="15" w:type="dxa"/>
            </w:tcMar>
          </w:tcPr>
          <w:p w14:paraId="4337F8E1" w14:textId="77777777" w:rsidR="00EA6DED" w:rsidRDefault="00EA6DED">
            <w:pPr>
              <w:spacing w:before="87"/>
              <w:ind w:right="60"/>
              <w:jc w:val="center"/>
              <w:rPr>
                <w:rFonts w:eastAsia="Arial Black"/>
                <w:sz w:val="18"/>
                <w:szCs w:val="20"/>
              </w:rPr>
            </w:pPr>
          </w:p>
          <w:p w14:paraId="4337F8E2" w14:textId="77777777" w:rsidR="00EA6DED" w:rsidRDefault="00EA6DED">
            <w:pPr>
              <w:spacing w:before="87"/>
              <w:ind w:right="60"/>
              <w:jc w:val="center"/>
              <w:rPr>
                <w:rFonts w:eastAsia="Arial Black"/>
                <w:sz w:val="18"/>
                <w:szCs w:val="20"/>
              </w:rPr>
            </w:pPr>
          </w:p>
          <w:p w14:paraId="4337F8E3" w14:textId="77777777" w:rsidR="00EA6DED" w:rsidRDefault="007504AE">
            <w:pPr>
              <w:spacing w:before="87"/>
              <w:ind w:right="60"/>
              <w:jc w:val="center"/>
              <w:rPr>
                <w:rFonts w:eastAsia="Arial"/>
                <w:color w:val="58595B"/>
                <w:sz w:val="18"/>
                <w:szCs w:val="20"/>
              </w:rPr>
            </w:pPr>
            <w:r>
              <w:rPr>
                <w:rFonts w:eastAsia="Arial Black"/>
                <w:sz w:val="18"/>
                <w:szCs w:val="20"/>
              </w:rPr>
              <w:t>45,432,932</w:t>
            </w:r>
            <w:r>
              <w:rPr>
                <w:rFonts w:eastAsia="Arial"/>
                <w:color w:val="58595B"/>
                <w:sz w:val="18"/>
                <w:szCs w:val="20"/>
              </w:rPr>
              <w:t xml:space="preserve"> </w:t>
            </w:r>
          </w:p>
        </w:tc>
        <w:tc>
          <w:tcPr>
            <w:tcW w:w="1350" w:type="dxa"/>
            <w:tcBorders>
              <w:top w:val="single" w:sz="8" w:space="0" w:color="58595B"/>
              <w:left w:val="single" w:sz="8" w:space="0" w:color="58595B"/>
              <w:bottom w:val="single" w:sz="8" w:space="0" w:color="58595B"/>
              <w:right w:val="single" w:sz="8" w:space="0" w:color="58595B"/>
            </w:tcBorders>
            <w:shd w:val="clear" w:color="auto" w:fill="A8D08D" w:themeFill="accent6" w:themeFillTint="99"/>
            <w:tcMar>
              <w:top w:w="15" w:type="dxa"/>
              <w:left w:w="15" w:type="dxa"/>
              <w:bottom w:w="15" w:type="dxa"/>
              <w:right w:w="15" w:type="dxa"/>
            </w:tcMar>
          </w:tcPr>
          <w:p w14:paraId="4337F8E4" w14:textId="77777777" w:rsidR="00EA6DED" w:rsidRDefault="007504AE">
            <w:pPr>
              <w:spacing w:before="87"/>
              <w:ind w:right="60"/>
              <w:jc w:val="center"/>
              <w:rPr>
                <w:rFonts w:eastAsia="Arial"/>
                <w:color w:val="58595B"/>
                <w:sz w:val="18"/>
                <w:szCs w:val="20"/>
              </w:rPr>
            </w:pPr>
            <w:r>
              <w:rPr>
                <w:rFonts w:eastAsia="Arial"/>
                <w:color w:val="58595B"/>
                <w:sz w:val="18"/>
                <w:szCs w:val="20"/>
              </w:rPr>
              <w:t xml:space="preserve"> </w:t>
            </w:r>
          </w:p>
          <w:p w14:paraId="4337F8E5" w14:textId="77777777" w:rsidR="00EA6DED" w:rsidRDefault="00EA6DED">
            <w:pPr>
              <w:spacing w:before="87"/>
              <w:ind w:right="60"/>
              <w:jc w:val="center"/>
              <w:rPr>
                <w:rFonts w:eastAsia="Arial Black"/>
                <w:sz w:val="18"/>
                <w:szCs w:val="20"/>
              </w:rPr>
            </w:pPr>
          </w:p>
          <w:p w14:paraId="4337F8E6" w14:textId="77777777" w:rsidR="00EA6DED" w:rsidRDefault="007504AE">
            <w:pPr>
              <w:spacing w:before="87"/>
              <w:ind w:right="60"/>
              <w:jc w:val="center"/>
              <w:rPr>
                <w:rFonts w:eastAsia="Arial Black"/>
                <w:sz w:val="18"/>
                <w:szCs w:val="20"/>
              </w:rPr>
            </w:pPr>
            <w:r>
              <w:rPr>
                <w:rFonts w:eastAsia="Arial Black"/>
                <w:sz w:val="18"/>
                <w:szCs w:val="20"/>
              </w:rPr>
              <w:t>13,701,636</w:t>
            </w:r>
          </w:p>
        </w:tc>
        <w:tc>
          <w:tcPr>
            <w:tcW w:w="1440" w:type="dxa"/>
            <w:tcBorders>
              <w:top w:val="single" w:sz="8" w:space="0" w:color="58595B"/>
              <w:left w:val="single" w:sz="8" w:space="0" w:color="58595B"/>
              <w:bottom w:val="single" w:sz="8" w:space="0" w:color="58595B"/>
              <w:right w:val="single" w:sz="8" w:space="0" w:color="58595B"/>
            </w:tcBorders>
            <w:shd w:val="clear" w:color="auto" w:fill="A8D08D" w:themeFill="accent6" w:themeFillTint="99"/>
            <w:tcMar>
              <w:top w:w="15" w:type="dxa"/>
              <w:left w:w="15" w:type="dxa"/>
              <w:bottom w:w="15" w:type="dxa"/>
              <w:right w:w="15" w:type="dxa"/>
            </w:tcMar>
          </w:tcPr>
          <w:p w14:paraId="4337F8E7" w14:textId="77777777" w:rsidR="00EA6DED" w:rsidRDefault="00EA6DED">
            <w:pPr>
              <w:spacing w:before="87"/>
              <w:ind w:right="60"/>
              <w:jc w:val="center"/>
              <w:rPr>
                <w:rFonts w:eastAsia="Arial Black"/>
                <w:sz w:val="18"/>
                <w:szCs w:val="20"/>
              </w:rPr>
            </w:pPr>
          </w:p>
          <w:p w14:paraId="4337F8E8" w14:textId="77777777" w:rsidR="00EA6DED" w:rsidRDefault="00EA6DED">
            <w:pPr>
              <w:spacing w:before="87"/>
              <w:ind w:right="60"/>
              <w:jc w:val="center"/>
              <w:rPr>
                <w:rFonts w:eastAsia="Arial Black"/>
                <w:sz w:val="18"/>
                <w:szCs w:val="20"/>
              </w:rPr>
            </w:pPr>
          </w:p>
          <w:p w14:paraId="4337F8E9" w14:textId="77777777" w:rsidR="00EA6DED" w:rsidRDefault="007504AE">
            <w:pPr>
              <w:spacing w:before="87"/>
              <w:ind w:right="60"/>
              <w:jc w:val="center"/>
              <w:rPr>
                <w:rFonts w:eastAsia="Arial"/>
                <w:color w:val="58595B"/>
                <w:sz w:val="18"/>
                <w:szCs w:val="20"/>
              </w:rPr>
            </w:pPr>
            <w:r>
              <w:rPr>
                <w:rFonts w:eastAsia="Arial Black"/>
                <w:sz w:val="18"/>
                <w:szCs w:val="20"/>
              </w:rPr>
              <w:t>59,134,568</w:t>
            </w:r>
            <w:r>
              <w:rPr>
                <w:rFonts w:eastAsia="Arial"/>
                <w:color w:val="58595B"/>
                <w:sz w:val="18"/>
                <w:szCs w:val="20"/>
              </w:rPr>
              <w:t xml:space="preserve"> </w:t>
            </w:r>
          </w:p>
        </w:tc>
        <w:tc>
          <w:tcPr>
            <w:tcW w:w="2620" w:type="dxa"/>
            <w:tcBorders>
              <w:top w:val="single" w:sz="8" w:space="0" w:color="58595B"/>
              <w:left w:val="single" w:sz="8" w:space="0" w:color="58595B"/>
              <w:bottom w:val="single" w:sz="8" w:space="0" w:color="58595B"/>
              <w:right w:val="single" w:sz="8" w:space="0" w:color="58595B"/>
            </w:tcBorders>
            <w:shd w:val="clear" w:color="auto" w:fill="A8D08D" w:themeFill="accent6" w:themeFillTint="99"/>
            <w:tcMar>
              <w:top w:w="15" w:type="dxa"/>
              <w:left w:w="15" w:type="dxa"/>
              <w:bottom w:w="15" w:type="dxa"/>
              <w:right w:w="15" w:type="dxa"/>
            </w:tcMar>
          </w:tcPr>
          <w:p w14:paraId="4337F8EA" w14:textId="77777777" w:rsidR="00EA6DED" w:rsidRDefault="007504AE">
            <w:pPr>
              <w:spacing w:before="86"/>
              <w:ind w:left="75"/>
              <w:rPr>
                <w:rFonts w:eastAsia="Verdana"/>
                <w:color w:val="000000" w:themeColor="text1"/>
                <w:sz w:val="18"/>
                <w:szCs w:val="20"/>
              </w:rPr>
            </w:pPr>
            <w:r>
              <w:rPr>
                <w:rFonts w:eastAsia="Verdana"/>
                <w:color w:val="000000" w:themeColor="text1"/>
                <w:sz w:val="18"/>
                <w:szCs w:val="20"/>
              </w:rPr>
              <w:t>ONU-Femmes,</w:t>
            </w:r>
            <w:r>
              <w:rPr>
                <w:color w:val="000000" w:themeColor="text1"/>
                <w:sz w:val="18"/>
                <w:szCs w:val="20"/>
              </w:rPr>
              <w:t xml:space="preserve"> </w:t>
            </w:r>
            <w:r>
              <w:rPr>
                <w:rFonts w:eastAsia="Verdana"/>
                <w:color w:val="000000" w:themeColor="text1"/>
                <w:sz w:val="18"/>
                <w:szCs w:val="20"/>
              </w:rPr>
              <w:t>FAO,</w:t>
            </w:r>
            <w:r>
              <w:rPr>
                <w:color w:val="000000" w:themeColor="text1"/>
                <w:sz w:val="18"/>
                <w:szCs w:val="20"/>
              </w:rPr>
              <w:t xml:space="preserve"> </w:t>
            </w:r>
            <w:r>
              <w:rPr>
                <w:rFonts w:eastAsia="Verdana"/>
                <w:color w:val="000000" w:themeColor="text1"/>
                <w:sz w:val="18"/>
                <w:szCs w:val="20"/>
              </w:rPr>
              <w:t>UNFPA,</w:t>
            </w:r>
            <w:r>
              <w:rPr>
                <w:color w:val="000000" w:themeColor="text1"/>
                <w:sz w:val="18"/>
                <w:szCs w:val="20"/>
              </w:rPr>
              <w:t xml:space="preserve"> </w:t>
            </w:r>
            <w:r>
              <w:rPr>
                <w:rFonts w:eastAsia="Verdana"/>
                <w:color w:val="000000" w:themeColor="text1"/>
                <w:sz w:val="18"/>
                <w:szCs w:val="20"/>
              </w:rPr>
              <w:t>ONUDI UNICEF,</w:t>
            </w:r>
            <w:r>
              <w:rPr>
                <w:color w:val="000000" w:themeColor="text1"/>
                <w:sz w:val="18"/>
                <w:szCs w:val="20"/>
              </w:rPr>
              <w:t xml:space="preserve"> </w:t>
            </w:r>
            <w:r>
              <w:rPr>
                <w:rFonts w:eastAsia="Verdana"/>
                <w:color w:val="000000" w:themeColor="text1"/>
                <w:sz w:val="18"/>
                <w:szCs w:val="20"/>
              </w:rPr>
              <w:t>OIT,</w:t>
            </w:r>
            <w:r>
              <w:rPr>
                <w:color w:val="000000" w:themeColor="text1"/>
                <w:sz w:val="18"/>
                <w:szCs w:val="20"/>
              </w:rPr>
              <w:t xml:space="preserve"> PAM, ONUDC</w:t>
            </w:r>
            <w:r>
              <w:rPr>
                <w:rFonts w:eastAsia="Verdana"/>
                <w:color w:val="000000" w:themeColor="text1"/>
                <w:sz w:val="18"/>
                <w:szCs w:val="20"/>
              </w:rPr>
              <w:t>, HCR,</w:t>
            </w:r>
            <w:r>
              <w:rPr>
                <w:color w:val="000000" w:themeColor="text1"/>
                <w:sz w:val="18"/>
                <w:szCs w:val="20"/>
              </w:rPr>
              <w:t xml:space="preserve"> UNFPA, ONU</w:t>
            </w:r>
            <w:r>
              <w:rPr>
                <w:rFonts w:eastAsia="Verdana"/>
                <w:color w:val="000000" w:themeColor="text1"/>
                <w:sz w:val="18"/>
                <w:szCs w:val="20"/>
              </w:rPr>
              <w:t>-Habitat</w:t>
            </w:r>
          </w:p>
        </w:tc>
      </w:tr>
      <w:tr w:rsidR="00EA6DED" w14:paraId="4337F8F7" w14:textId="77777777">
        <w:trPr>
          <w:trHeight w:val="300"/>
        </w:trPr>
        <w:tc>
          <w:tcPr>
            <w:tcW w:w="3686" w:type="dxa"/>
            <w:tcBorders>
              <w:top w:val="single" w:sz="8" w:space="0" w:color="auto"/>
              <w:left w:val="single" w:sz="8" w:space="0" w:color="auto"/>
              <w:bottom w:val="single" w:sz="8" w:space="0" w:color="auto"/>
              <w:right w:val="single" w:sz="8" w:space="0" w:color="auto"/>
            </w:tcBorders>
            <w:shd w:val="clear" w:color="auto" w:fill="C9C9C9" w:themeFill="accent3" w:themeFillTint="99"/>
            <w:tcMar>
              <w:top w:w="15" w:type="dxa"/>
              <w:left w:w="15" w:type="dxa"/>
              <w:bottom w:w="15" w:type="dxa"/>
              <w:right w:w="15" w:type="dxa"/>
            </w:tcMar>
          </w:tcPr>
          <w:p w14:paraId="4337F8EC" w14:textId="77777777" w:rsidR="00EA6DED" w:rsidRDefault="007504AE">
            <w:pPr>
              <w:spacing w:before="87"/>
              <w:ind w:left="75"/>
              <w:rPr>
                <w:rFonts w:eastAsia="Verdana"/>
                <w:b/>
                <w:bCs/>
                <w:color w:val="58595B"/>
                <w:sz w:val="18"/>
                <w:szCs w:val="20"/>
              </w:rPr>
            </w:pPr>
            <w:r>
              <w:rPr>
                <w:rFonts w:eastAsia="Verdana"/>
                <w:b/>
                <w:bCs/>
                <w:color w:val="000000" w:themeColor="text1"/>
                <w:sz w:val="18"/>
                <w:szCs w:val="20"/>
              </w:rPr>
              <w:t>Effet 3 :</w:t>
            </w:r>
            <w:r>
              <w:rPr>
                <w:rFonts w:eastAsia="Arial"/>
                <w:i/>
                <w:iCs/>
                <w:color w:val="000000" w:themeColor="text1"/>
                <w:sz w:val="18"/>
                <w:szCs w:val="20"/>
              </w:rPr>
              <w:t xml:space="preserve">  </w:t>
            </w:r>
            <w:r>
              <w:rPr>
                <w:color w:val="000000" w:themeColor="text1"/>
                <w:sz w:val="18"/>
                <w:szCs w:val="20"/>
              </w:rPr>
              <w:t>D’ici à 2026, les jeunes, les femmes, les groupes les plus vulnérables, les personnes vivant avec un handicap, y compris les réfugiés et PDI, contribuent active ment à l’efficacité des politiques et à la performance des institutions publiques au niveau national, régional et communal, et jouissent pleinement de leurs droits (ODD 5, 10, 11, 13, 14, 15, 16, 17).</w:t>
            </w:r>
          </w:p>
        </w:tc>
        <w:tc>
          <w:tcPr>
            <w:tcW w:w="1252" w:type="dxa"/>
            <w:tcBorders>
              <w:top w:val="single" w:sz="8" w:space="0" w:color="auto"/>
              <w:left w:val="single" w:sz="8" w:space="0" w:color="auto"/>
              <w:bottom w:val="single" w:sz="8" w:space="0" w:color="auto"/>
              <w:right w:val="single" w:sz="8" w:space="0" w:color="auto"/>
            </w:tcBorders>
            <w:shd w:val="clear" w:color="auto" w:fill="C9C9C9" w:themeFill="accent3" w:themeFillTint="99"/>
            <w:tcMar>
              <w:top w:w="15" w:type="dxa"/>
              <w:left w:w="15" w:type="dxa"/>
              <w:bottom w:w="15" w:type="dxa"/>
              <w:right w:w="15" w:type="dxa"/>
            </w:tcMar>
          </w:tcPr>
          <w:p w14:paraId="4337F8ED" w14:textId="77777777" w:rsidR="00EA6DED" w:rsidRDefault="00EA6DED">
            <w:pPr>
              <w:spacing w:before="87"/>
              <w:ind w:right="60"/>
              <w:jc w:val="center"/>
              <w:rPr>
                <w:rFonts w:eastAsia="Arial Black"/>
                <w:sz w:val="18"/>
                <w:szCs w:val="20"/>
              </w:rPr>
            </w:pPr>
          </w:p>
          <w:p w14:paraId="4337F8EE" w14:textId="77777777" w:rsidR="00EA6DED" w:rsidRDefault="00EA6DED">
            <w:pPr>
              <w:spacing w:before="87"/>
              <w:ind w:right="60"/>
              <w:jc w:val="center"/>
              <w:rPr>
                <w:rFonts w:eastAsia="Arial Black"/>
                <w:sz w:val="18"/>
                <w:szCs w:val="20"/>
              </w:rPr>
            </w:pPr>
          </w:p>
          <w:p w14:paraId="4337F8EF" w14:textId="77777777" w:rsidR="00EA6DED" w:rsidRDefault="007504AE">
            <w:pPr>
              <w:spacing w:before="87"/>
              <w:ind w:right="60"/>
              <w:jc w:val="center"/>
              <w:rPr>
                <w:rFonts w:eastAsia="Arial"/>
                <w:color w:val="58595B"/>
                <w:sz w:val="18"/>
                <w:szCs w:val="20"/>
              </w:rPr>
            </w:pPr>
            <w:r>
              <w:rPr>
                <w:rFonts w:eastAsia="Arial Black"/>
                <w:sz w:val="18"/>
                <w:szCs w:val="20"/>
              </w:rPr>
              <w:t>112,934,611</w:t>
            </w:r>
            <w:r>
              <w:rPr>
                <w:rFonts w:eastAsia="Arial"/>
                <w:color w:val="58595B"/>
                <w:sz w:val="18"/>
                <w:szCs w:val="20"/>
              </w:rPr>
              <w:t xml:space="preserve"> </w:t>
            </w:r>
          </w:p>
        </w:tc>
        <w:tc>
          <w:tcPr>
            <w:tcW w:w="1350" w:type="dxa"/>
            <w:tcBorders>
              <w:top w:val="single" w:sz="8" w:space="0" w:color="auto"/>
              <w:left w:val="single" w:sz="8" w:space="0" w:color="auto"/>
              <w:bottom w:val="single" w:sz="8" w:space="0" w:color="auto"/>
              <w:right w:val="single" w:sz="8" w:space="0" w:color="auto"/>
            </w:tcBorders>
            <w:shd w:val="clear" w:color="auto" w:fill="C9C9C9" w:themeFill="accent3" w:themeFillTint="99"/>
            <w:tcMar>
              <w:top w:w="15" w:type="dxa"/>
              <w:left w:w="15" w:type="dxa"/>
              <w:bottom w:w="15" w:type="dxa"/>
              <w:right w:w="15" w:type="dxa"/>
            </w:tcMar>
          </w:tcPr>
          <w:p w14:paraId="4337F8F0" w14:textId="77777777" w:rsidR="00EA6DED" w:rsidRDefault="007504AE">
            <w:pPr>
              <w:spacing w:before="87"/>
              <w:ind w:right="60"/>
              <w:jc w:val="center"/>
              <w:rPr>
                <w:rFonts w:eastAsia="Arial"/>
                <w:color w:val="58595B"/>
                <w:sz w:val="18"/>
                <w:szCs w:val="20"/>
              </w:rPr>
            </w:pPr>
            <w:r>
              <w:rPr>
                <w:rFonts w:eastAsia="Arial"/>
                <w:color w:val="58595B"/>
                <w:sz w:val="18"/>
                <w:szCs w:val="20"/>
              </w:rPr>
              <w:t xml:space="preserve"> </w:t>
            </w:r>
          </w:p>
          <w:p w14:paraId="4337F8F1" w14:textId="77777777" w:rsidR="00EA6DED" w:rsidRDefault="00EA6DED">
            <w:pPr>
              <w:spacing w:before="87"/>
              <w:ind w:right="60"/>
              <w:jc w:val="center"/>
              <w:rPr>
                <w:rFonts w:eastAsia="Arial Black"/>
                <w:sz w:val="18"/>
                <w:szCs w:val="20"/>
              </w:rPr>
            </w:pPr>
          </w:p>
          <w:p w14:paraId="4337F8F2" w14:textId="77777777" w:rsidR="00EA6DED" w:rsidRDefault="007504AE">
            <w:pPr>
              <w:spacing w:before="87"/>
              <w:ind w:right="60"/>
              <w:jc w:val="center"/>
              <w:rPr>
                <w:rFonts w:eastAsia="Arial Black"/>
                <w:sz w:val="18"/>
                <w:szCs w:val="20"/>
              </w:rPr>
            </w:pPr>
            <w:r>
              <w:rPr>
                <w:rFonts w:eastAsia="Arial Black"/>
                <w:sz w:val="18"/>
                <w:szCs w:val="20"/>
              </w:rPr>
              <w:t>35,881,634</w:t>
            </w:r>
          </w:p>
        </w:tc>
        <w:tc>
          <w:tcPr>
            <w:tcW w:w="1440" w:type="dxa"/>
            <w:tcBorders>
              <w:top w:val="single" w:sz="8" w:space="0" w:color="auto"/>
              <w:left w:val="single" w:sz="8" w:space="0" w:color="auto"/>
              <w:bottom w:val="single" w:sz="8" w:space="0" w:color="auto"/>
              <w:right w:val="single" w:sz="8" w:space="0" w:color="auto"/>
            </w:tcBorders>
            <w:shd w:val="clear" w:color="auto" w:fill="C9C9C9" w:themeFill="accent3" w:themeFillTint="99"/>
            <w:tcMar>
              <w:top w:w="15" w:type="dxa"/>
              <w:left w:w="15" w:type="dxa"/>
              <w:bottom w:w="15" w:type="dxa"/>
              <w:right w:w="15" w:type="dxa"/>
            </w:tcMar>
          </w:tcPr>
          <w:p w14:paraId="4337F8F3" w14:textId="77777777" w:rsidR="00EA6DED" w:rsidRDefault="00EA6DED">
            <w:pPr>
              <w:spacing w:before="87"/>
              <w:ind w:right="60"/>
              <w:jc w:val="center"/>
              <w:rPr>
                <w:rFonts w:eastAsia="Arial Black"/>
                <w:sz w:val="18"/>
                <w:szCs w:val="20"/>
              </w:rPr>
            </w:pPr>
          </w:p>
          <w:p w14:paraId="4337F8F4" w14:textId="77777777" w:rsidR="00EA6DED" w:rsidRDefault="00EA6DED">
            <w:pPr>
              <w:spacing w:before="87"/>
              <w:ind w:right="60"/>
              <w:jc w:val="center"/>
              <w:rPr>
                <w:rFonts w:eastAsia="Arial Black"/>
                <w:sz w:val="18"/>
                <w:szCs w:val="20"/>
              </w:rPr>
            </w:pPr>
          </w:p>
          <w:p w14:paraId="4337F8F5" w14:textId="77777777" w:rsidR="00EA6DED" w:rsidRDefault="007504AE">
            <w:pPr>
              <w:spacing w:before="87"/>
              <w:ind w:right="60"/>
              <w:jc w:val="center"/>
              <w:rPr>
                <w:rFonts w:eastAsia="Arial"/>
                <w:color w:val="58595B"/>
                <w:sz w:val="18"/>
                <w:szCs w:val="20"/>
              </w:rPr>
            </w:pPr>
            <w:r>
              <w:rPr>
                <w:rFonts w:eastAsia="Arial Black"/>
                <w:sz w:val="18"/>
                <w:szCs w:val="20"/>
              </w:rPr>
              <w:t>148,816,244</w:t>
            </w:r>
            <w:r>
              <w:rPr>
                <w:rFonts w:eastAsia="Arial"/>
                <w:color w:val="58595B"/>
                <w:sz w:val="18"/>
                <w:szCs w:val="20"/>
              </w:rPr>
              <w:t xml:space="preserve"> </w:t>
            </w:r>
          </w:p>
        </w:tc>
        <w:tc>
          <w:tcPr>
            <w:tcW w:w="2620" w:type="dxa"/>
            <w:tcBorders>
              <w:top w:val="single" w:sz="8" w:space="0" w:color="auto"/>
              <w:left w:val="single" w:sz="8" w:space="0" w:color="auto"/>
              <w:bottom w:val="single" w:sz="8" w:space="0" w:color="auto"/>
              <w:right w:val="single" w:sz="8" w:space="0" w:color="auto"/>
            </w:tcBorders>
            <w:shd w:val="clear" w:color="auto" w:fill="C9C9C9" w:themeFill="accent3" w:themeFillTint="99"/>
            <w:tcMar>
              <w:top w:w="15" w:type="dxa"/>
              <w:left w:w="15" w:type="dxa"/>
              <w:bottom w:w="15" w:type="dxa"/>
              <w:right w:w="15" w:type="dxa"/>
            </w:tcMar>
          </w:tcPr>
          <w:p w14:paraId="4337F8F6" w14:textId="77777777" w:rsidR="00EA6DED" w:rsidRDefault="007504AE">
            <w:pPr>
              <w:spacing w:before="76"/>
              <w:ind w:left="75"/>
              <w:rPr>
                <w:rFonts w:eastAsia="Verdana"/>
                <w:color w:val="000000" w:themeColor="text1"/>
                <w:sz w:val="18"/>
                <w:szCs w:val="20"/>
              </w:rPr>
            </w:pPr>
            <w:r>
              <w:rPr>
                <w:rFonts w:eastAsia="Verdana"/>
                <w:color w:val="000000" w:themeColor="text1"/>
                <w:sz w:val="18"/>
                <w:szCs w:val="20"/>
              </w:rPr>
              <w:t>UNICEF, UNESCO, FAO,</w:t>
            </w:r>
            <w:r>
              <w:rPr>
                <w:color w:val="000000" w:themeColor="text1"/>
                <w:sz w:val="18"/>
                <w:szCs w:val="20"/>
              </w:rPr>
              <w:t xml:space="preserve"> OIM, UNOPS</w:t>
            </w:r>
            <w:r>
              <w:rPr>
                <w:rFonts w:eastAsia="Verdana"/>
                <w:color w:val="000000" w:themeColor="text1"/>
                <w:sz w:val="18"/>
                <w:szCs w:val="20"/>
              </w:rPr>
              <w:t>,</w:t>
            </w:r>
            <w:r>
              <w:rPr>
                <w:color w:val="000000" w:themeColor="text1"/>
                <w:sz w:val="18"/>
                <w:szCs w:val="20"/>
              </w:rPr>
              <w:t xml:space="preserve"> HCR, PNUD</w:t>
            </w:r>
            <w:r>
              <w:rPr>
                <w:rFonts w:eastAsia="Verdana"/>
                <w:color w:val="000000" w:themeColor="text1"/>
                <w:sz w:val="18"/>
                <w:szCs w:val="20"/>
              </w:rPr>
              <w:t>,</w:t>
            </w:r>
            <w:r>
              <w:rPr>
                <w:color w:val="000000" w:themeColor="text1"/>
                <w:sz w:val="18"/>
                <w:szCs w:val="20"/>
              </w:rPr>
              <w:t xml:space="preserve"> </w:t>
            </w:r>
            <w:r>
              <w:rPr>
                <w:rFonts w:eastAsia="Verdana"/>
                <w:color w:val="000000" w:themeColor="text1"/>
                <w:sz w:val="18"/>
                <w:szCs w:val="20"/>
              </w:rPr>
              <w:t>ONU-Habitat,</w:t>
            </w:r>
            <w:r>
              <w:rPr>
                <w:color w:val="000000" w:themeColor="text1"/>
                <w:sz w:val="18"/>
                <w:szCs w:val="20"/>
              </w:rPr>
              <w:t xml:space="preserve"> </w:t>
            </w:r>
            <w:r>
              <w:rPr>
                <w:rFonts w:eastAsia="Verdana"/>
                <w:color w:val="000000" w:themeColor="text1"/>
                <w:sz w:val="18"/>
                <w:szCs w:val="20"/>
              </w:rPr>
              <w:t>ONUDC, ONU-Femmes,</w:t>
            </w:r>
            <w:r>
              <w:rPr>
                <w:color w:val="000000" w:themeColor="text1"/>
                <w:sz w:val="18"/>
                <w:szCs w:val="20"/>
              </w:rPr>
              <w:t xml:space="preserve"> </w:t>
            </w:r>
            <w:r>
              <w:rPr>
                <w:rFonts w:eastAsia="Verdana"/>
                <w:color w:val="000000" w:themeColor="text1"/>
                <w:sz w:val="18"/>
                <w:szCs w:val="20"/>
              </w:rPr>
              <w:t>OIT</w:t>
            </w:r>
            <w:r>
              <w:rPr>
                <w:color w:val="000000" w:themeColor="text1"/>
                <w:sz w:val="18"/>
                <w:szCs w:val="20"/>
              </w:rPr>
              <w:t xml:space="preserve"> </w:t>
            </w:r>
            <w:r>
              <w:rPr>
                <w:rFonts w:eastAsia="Verdana"/>
                <w:color w:val="000000" w:themeColor="text1"/>
                <w:sz w:val="18"/>
                <w:szCs w:val="20"/>
              </w:rPr>
              <w:t>Habitat,</w:t>
            </w:r>
            <w:r>
              <w:rPr>
                <w:color w:val="000000" w:themeColor="text1"/>
                <w:sz w:val="18"/>
                <w:szCs w:val="20"/>
              </w:rPr>
              <w:t xml:space="preserve"> </w:t>
            </w:r>
            <w:r>
              <w:rPr>
                <w:rFonts w:eastAsia="Verdana"/>
                <w:color w:val="000000" w:themeColor="text1"/>
                <w:sz w:val="18"/>
                <w:szCs w:val="20"/>
              </w:rPr>
              <w:t>PNUE, PAM</w:t>
            </w:r>
          </w:p>
        </w:tc>
      </w:tr>
      <w:tr w:rsidR="00EA6DED" w14:paraId="4337F904" w14:textId="77777777">
        <w:trPr>
          <w:trHeight w:val="300"/>
        </w:trPr>
        <w:tc>
          <w:tcPr>
            <w:tcW w:w="3686" w:type="dxa"/>
            <w:tcBorders>
              <w:top w:val="single" w:sz="8" w:space="0" w:color="auto"/>
              <w:left w:val="single" w:sz="8" w:space="0" w:color="auto"/>
              <w:bottom w:val="single" w:sz="8" w:space="0" w:color="auto"/>
              <w:right w:val="single" w:sz="8" w:space="0" w:color="auto"/>
            </w:tcBorders>
            <w:shd w:val="clear" w:color="auto" w:fill="FFE599" w:themeFill="accent4" w:themeFillTint="66"/>
            <w:tcMar>
              <w:top w:w="15" w:type="dxa"/>
              <w:left w:w="15" w:type="dxa"/>
              <w:bottom w:w="15" w:type="dxa"/>
              <w:right w:w="15" w:type="dxa"/>
            </w:tcMar>
          </w:tcPr>
          <w:p w14:paraId="4337F8F8" w14:textId="77777777" w:rsidR="00EA6DED" w:rsidRDefault="007504AE">
            <w:pPr>
              <w:spacing w:before="76"/>
              <w:ind w:left="75" w:right="210"/>
              <w:jc w:val="both"/>
              <w:rPr>
                <w:rFonts w:eastAsia="Verdana"/>
                <w:b/>
                <w:bCs/>
                <w:color w:val="58595B"/>
                <w:sz w:val="18"/>
                <w:szCs w:val="20"/>
              </w:rPr>
            </w:pPr>
            <w:r>
              <w:rPr>
                <w:rFonts w:eastAsia="Verdana"/>
                <w:color w:val="000000" w:themeColor="text1"/>
                <w:sz w:val="18"/>
                <w:szCs w:val="20"/>
              </w:rPr>
              <w:t>Effet 4 : D’ici</w:t>
            </w:r>
            <w:r>
              <w:rPr>
                <w:color w:val="000000" w:themeColor="text1"/>
                <w:sz w:val="18"/>
                <w:szCs w:val="20"/>
              </w:rPr>
              <w:t xml:space="preserve"> à 2026, les populations des différentes zones agro écologiques, y compris les jeunes, les femmes et les groupes sociale ment vulnérables, vivent dans un environnement plus sain, gèrent de manière durable les ressources environnementales, y compris la biodiversité, et sont plus résilientes aux chocs liés aux catastrophes et aux changements climatiques (ODD 5, 11, 13, 14, 15, 16, 17)</w:t>
            </w:r>
          </w:p>
        </w:tc>
        <w:tc>
          <w:tcPr>
            <w:tcW w:w="1252" w:type="dxa"/>
            <w:tcBorders>
              <w:top w:val="single" w:sz="8" w:space="0" w:color="auto"/>
              <w:left w:val="single" w:sz="8" w:space="0" w:color="auto"/>
              <w:bottom w:val="single" w:sz="8" w:space="0" w:color="auto"/>
              <w:right w:val="single" w:sz="8" w:space="0" w:color="auto"/>
            </w:tcBorders>
            <w:shd w:val="clear" w:color="auto" w:fill="FFE599" w:themeFill="accent4" w:themeFillTint="66"/>
            <w:tcMar>
              <w:top w:w="15" w:type="dxa"/>
              <w:left w:w="15" w:type="dxa"/>
              <w:bottom w:w="15" w:type="dxa"/>
              <w:right w:w="15" w:type="dxa"/>
            </w:tcMar>
          </w:tcPr>
          <w:p w14:paraId="4337F8F9" w14:textId="77777777" w:rsidR="00EA6DED" w:rsidRDefault="007504AE">
            <w:pPr>
              <w:spacing w:before="87"/>
              <w:ind w:right="60"/>
              <w:jc w:val="center"/>
              <w:rPr>
                <w:rFonts w:eastAsia="Arial"/>
                <w:color w:val="58595B"/>
                <w:sz w:val="18"/>
                <w:szCs w:val="20"/>
              </w:rPr>
            </w:pPr>
            <w:r>
              <w:rPr>
                <w:rFonts w:eastAsia="Arial"/>
                <w:color w:val="58595B"/>
                <w:sz w:val="18"/>
                <w:szCs w:val="20"/>
              </w:rPr>
              <w:t xml:space="preserve"> </w:t>
            </w:r>
          </w:p>
          <w:p w14:paraId="4337F8FA" w14:textId="77777777" w:rsidR="00EA6DED" w:rsidRDefault="00EA6DED">
            <w:pPr>
              <w:spacing w:before="87"/>
              <w:ind w:right="60"/>
              <w:jc w:val="center"/>
              <w:rPr>
                <w:rFonts w:eastAsia="Arial Black"/>
                <w:sz w:val="18"/>
                <w:szCs w:val="20"/>
              </w:rPr>
            </w:pPr>
          </w:p>
          <w:p w14:paraId="4337F8FB" w14:textId="77777777" w:rsidR="00EA6DED" w:rsidRDefault="007504AE">
            <w:pPr>
              <w:spacing w:before="87"/>
              <w:ind w:right="60"/>
              <w:jc w:val="center"/>
              <w:rPr>
                <w:rFonts w:eastAsia="Arial Black"/>
                <w:sz w:val="18"/>
                <w:szCs w:val="20"/>
              </w:rPr>
            </w:pPr>
            <w:r>
              <w:rPr>
                <w:rFonts w:eastAsia="Arial Black"/>
                <w:sz w:val="18"/>
                <w:szCs w:val="20"/>
              </w:rPr>
              <w:t>99,399,027</w:t>
            </w:r>
          </w:p>
        </w:tc>
        <w:tc>
          <w:tcPr>
            <w:tcW w:w="1350" w:type="dxa"/>
            <w:tcBorders>
              <w:top w:val="single" w:sz="8" w:space="0" w:color="auto"/>
              <w:left w:val="single" w:sz="8" w:space="0" w:color="auto"/>
              <w:bottom w:val="single" w:sz="8" w:space="0" w:color="auto"/>
              <w:right w:val="single" w:sz="8" w:space="0" w:color="auto"/>
            </w:tcBorders>
            <w:shd w:val="clear" w:color="auto" w:fill="FFE599" w:themeFill="accent4" w:themeFillTint="66"/>
            <w:tcMar>
              <w:top w:w="15" w:type="dxa"/>
              <w:left w:w="15" w:type="dxa"/>
              <w:bottom w:w="15" w:type="dxa"/>
              <w:right w:w="15" w:type="dxa"/>
            </w:tcMar>
          </w:tcPr>
          <w:p w14:paraId="4337F8FC" w14:textId="77777777" w:rsidR="00EA6DED" w:rsidRDefault="00EA6DED">
            <w:pPr>
              <w:spacing w:before="87"/>
              <w:ind w:right="60"/>
              <w:jc w:val="center"/>
              <w:rPr>
                <w:rFonts w:eastAsia="Arial Black"/>
                <w:sz w:val="18"/>
                <w:szCs w:val="20"/>
              </w:rPr>
            </w:pPr>
          </w:p>
          <w:p w14:paraId="4337F8FD" w14:textId="77777777" w:rsidR="00EA6DED" w:rsidRDefault="00EA6DED">
            <w:pPr>
              <w:spacing w:before="87"/>
              <w:ind w:right="60"/>
              <w:jc w:val="center"/>
              <w:rPr>
                <w:rFonts w:eastAsia="Arial Black"/>
                <w:sz w:val="18"/>
                <w:szCs w:val="20"/>
              </w:rPr>
            </w:pPr>
          </w:p>
          <w:p w14:paraId="4337F8FE" w14:textId="77777777" w:rsidR="00EA6DED" w:rsidRDefault="007504AE">
            <w:pPr>
              <w:spacing w:before="87"/>
              <w:ind w:right="60"/>
              <w:jc w:val="center"/>
              <w:rPr>
                <w:rFonts w:eastAsia="Arial"/>
                <w:color w:val="58595B"/>
                <w:sz w:val="18"/>
                <w:szCs w:val="20"/>
              </w:rPr>
            </w:pPr>
            <w:r>
              <w:rPr>
                <w:rFonts w:eastAsia="Arial Black"/>
                <w:sz w:val="18"/>
                <w:szCs w:val="20"/>
              </w:rPr>
              <w:t>42,813,078</w:t>
            </w:r>
            <w:r>
              <w:rPr>
                <w:rFonts w:eastAsia="Arial"/>
                <w:color w:val="58595B"/>
                <w:sz w:val="18"/>
                <w:szCs w:val="20"/>
              </w:rPr>
              <w:t xml:space="preserve"> </w:t>
            </w:r>
          </w:p>
        </w:tc>
        <w:tc>
          <w:tcPr>
            <w:tcW w:w="1440" w:type="dxa"/>
            <w:tcBorders>
              <w:top w:val="single" w:sz="8" w:space="0" w:color="auto"/>
              <w:left w:val="single" w:sz="8" w:space="0" w:color="auto"/>
              <w:bottom w:val="single" w:sz="8" w:space="0" w:color="auto"/>
              <w:right w:val="single" w:sz="8" w:space="0" w:color="auto"/>
            </w:tcBorders>
            <w:shd w:val="clear" w:color="auto" w:fill="FFE599" w:themeFill="accent4" w:themeFillTint="66"/>
            <w:tcMar>
              <w:top w:w="15" w:type="dxa"/>
              <w:left w:w="15" w:type="dxa"/>
              <w:bottom w:w="15" w:type="dxa"/>
              <w:right w:w="15" w:type="dxa"/>
            </w:tcMar>
          </w:tcPr>
          <w:p w14:paraId="4337F8FF" w14:textId="77777777" w:rsidR="00EA6DED" w:rsidRDefault="00EA6DED">
            <w:pPr>
              <w:spacing w:before="87"/>
              <w:ind w:right="60"/>
              <w:jc w:val="center"/>
              <w:rPr>
                <w:rFonts w:eastAsia="Arial Black"/>
                <w:sz w:val="18"/>
                <w:szCs w:val="20"/>
              </w:rPr>
            </w:pPr>
          </w:p>
          <w:p w14:paraId="4337F900" w14:textId="77777777" w:rsidR="00EA6DED" w:rsidRDefault="00EA6DED">
            <w:pPr>
              <w:spacing w:before="87"/>
              <w:ind w:right="60"/>
              <w:jc w:val="center"/>
              <w:rPr>
                <w:rFonts w:eastAsia="Arial Black"/>
                <w:sz w:val="18"/>
                <w:szCs w:val="20"/>
              </w:rPr>
            </w:pPr>
          </w:p>
          <w:p w14:paraId="4337F901" w14:textId="77777777" w:rsidR="00EA6DED" w:rsidRDefault="007504AE">
            <w:pPr>
              <w:spacing w:before="87"/>
              <w:ind w:right="60"/>
              <w:jc w:val="center"/>
              <w:rPr>
                <w:rFonts w:eastAsia="Arial Black"/>
                <w:sz w:val="18"/>
                <w:szCs w:val="20"/>
              </w:rPr>
            </w:pPr>
            <w:r>
              <w:rPr>
                <w:rFonts w:eastAsia="Arial Black"/>
                <w:sz w:val="18"/>
                <w:szCs w:val="20"/>
              </w:rPr>
              <w:t>142,412,105</w:t>
            </w:r>
          </w:p>
        </w:tc>
        <w:tc>
          <w:tcPr>
            <w:tcW w:w="2620" w:type="dxa"/>
            <w:tcBorders>
              <w:top w:val="single" w:sz="8" w:space="0" w:color="auto"/>
              <w:left w:val="single" w:sz="8" w:space="0" w:color="auto"/>
              <w:bottom w:val="single" w:sz="8" w:space="0" w:color="auto"/>
              <w:right w:val="single" w:sz="8" w:space="0" w:color="auto"/>
            </w:tcBorders>
            <w:shd w:val="clear" w:color="auto" w:fill="FFE599" w:themeFill="accent4" w:themeFillTint="66"/>
            <w:tcMar>
              <w:top w:w="15" w:type="dxa"/>
              <w:left w:w="15" w:type="dxa"/>
              <w:bottom w:w="15" w:type="dxa"/>
              <w:right w:w="15" w:type="dxa"/>
            </w:tcMar>
          </w:tcPr>
          <w:p w14:paraId="4337F902" w14:textId="77777777" w:rsidR="00EA6DED" w:rsidRDefault="007504AE">
            <w:pPr>
              <w:spacing w:before="76"/>
              <w:rPr>
                <w:rFonts w:eastAsia="Verdana"/>
                <w:color w:val="000000" w:themeColor="text1"/>
                <w:sz w:val="18"/>
                <w:szCs w:val="20"/>
              </w:rPr>
            </w:pPr>
            <w:r>
              <w:rPr>
                <w:rFonts w:eastAsia="Verdana"/>
                <w:color w:val="000000" w:themeColor="text1"/>
                <w:sz w:val="18"/>
                <w:szCs w:val="20"/>
              </w:rPr>
              <w:t>FAO,</w:t>
            </w:r>
            <w:r>
              <w:rPr>
                <w:color w:val="000000" w:themeColor="text1"/>
                <w:sz w:val="18"/>
                <w:szCs w:val="20"/>
              </w:rPr>
              <w:t xml:space="preserve"> </w:t>
            </w:r>
            <w:r>
              <w:rPr>
                <w:rFonts w:eastAsia="Verdana"/>
                <w:color w:val="000000" w:themeColor="text1"/>
                <w:sz w:val="18"/>
                <w:szCs w:val="20"/>
              </w:rPr>
              <w:t>UNESCO</w:t>
            </w:r>
            <w:r>
              <w:rPr>
                <w:color w:val="000000" w:themeColor="text1"/>
                <w:sz w:val="18"/>
                <w:szCs w:val="20"/>
              </w:rPr>
              <w:t xml:space="preserve"> </w:t>
            </w:r>
            <w:r>
              <w:rPr>
                <w:rFonts w:eastAsia="Verdana"/>
                <w:color w:val="000000" w:themeColor="text1"/>
                <w:sz w:val="18"/>
                <w:szCs w:val="20"/>
              </w:rPr>
              <w:t>OIM, PNUD</w:t>
            </w:r>
            <w:r>
              <w:rPr>
                <w:color w:val="000000" w:themeColor="text1"/>
                <w:sz w:val="18"/>
                <w:szCs w:val="20"/>
              </w:rPr>
              <w:t xml:space="preserve"> </w:t>
            </w:r>
            <w:r>
              <w:rPr>
                <w:rFonts w:eastAsia="Verdana"/>
                <w:color w:val="000000" w:themeColor="text1"/>
                <w:sz w:val="18"/>
                <w:szCs w:val="20"/>
              </w:rPr>
              <w:t xml:space="preserve">PNUE, </w:t>
            </w:r>
            <w:r>
              <w:rPr>
                <w:color w:val="000000" w:themeColor="text1"/>
                <w:sz w:val="18"/>
                <w:szCs w:val="20"/>
              </w:rPr>
              <w:t>UNICEF, FIDA,</w:t>
            </w:r>
            <w:r>
              <w:rPr>
                <w:rFonts w:eastAsia="Verdana"/>
                <w:color w:val="000000" w:themeColor="text1"/>
                <w:sz w:val="18"/>
                <w:szCs w:val="20"/>
              </w:rPr>
              <w:t xml:space="preserve"> UNOPS,</w:t>
            </w:r>
            <w:r>
              <w:rPr>
                <w:color w:val="000000" w:themeColor="text1"/>
                <w:sz w:val="18"/>
                <w:szCs w:val="20"/>
              </w:rPr>
              <w:t xml:space="preserve"> HCR, O</w:t>
            </w:r>
            <w:r>
              <w:rPr>
                <w:rFonts w:eastAsia="Verdana"/>
                <w:color w:val="000000" w:themeColor="text1"/>
                <w:sz w:val="18"/>
                <w:szCs w:val="20"/>
              </w:rPr>
              <w:t>NU-Habitat,</w:t>
            </w:r>
            <w:r>
              <w:rPr>
                <w:color w:val="000000" w:themeColor="text1"/>
                <w:sz w:val="18"/>
                <w:szCs w:val="20"/>
              </w:rPr>
              <w:t xml:space="preserve"> </w:t>
            </w:r>
            <w:r>
              <w:rPr>
                <w:rFonts w:eastAsia="Verdana"/>
                <w:color w:val="000000" w:themeColor="text1"/>
                <w:sz w:val="18"/>
                <w:szCs w:val="20"/>
              </w:rPr>
              <w:t>ONUDI,</w:t>
            </w:r>
            <w:r>
              <w:rPr>
                <w:color w:val="000000" w:themeColor="text1"/>
                <w:sz w:val="18"/>
                <w:szCs w:val="20"/>
              </w:rPr>
              <w:t xml:space="preserve"> </w:t>
            </w:r>
            <w:r>
              <w:rPr>
                <w:rFonts w:eastAsia="Verdana"/>
                <w:color w:val="000000" w:themeColor="text1"/>
                <w:sz w:val="18"/>
                <w:szCs w:val="20"/>
              </w:rPr>
              <w:t>ONUDC, FAO,</w:t>
            </w:r>
            <w:r>
              <w:rPr>
                <w:color w:val="000000" w:themeColor="text1"/>
                <w:sz w:val="18"/>
                <w:szCs w:val="20"/>
              </w:rPr>
              <w:t xml:space="preserve"> </w:t>
            </w:r>
            <w:r>
              <w:rPr>
                <w:rFonts w:eastAsia="Verdana"/>
                <w:color w:val="000000" w:themeColor="text1"/>
                <w:sz w:val="18"/>
                <w:szCs w:val="20"/>
              </w:rPr>
              <w:t>ONU-Habitat, ONU-DAES,</w:t>
            </w:r>
            <w:r>
              <w:rPr>
                <w:color w:val="000000" w:themeColor="text1"/>
                <w:sz w:val="18"/>
                <w:szCs w:val="20"/>
              </w:rPr>
              <w:t xml:space="preserve"> </w:t>
            </w:r>
          </w:p>
          <w:p w14:paraId="4337F903" w14:textId="77777777" w:rsidR="00EA6DED" w:rsidRDefault="007504AE">
            <w:pPr>
              <w:spacing w:before="76"/>
              <w:rPr>
                <w:color w:val="000000" w:themeColor="text1"/>
                <w:sz w:val="18"/>
                <w:szCs w:val="20"/>
              </w:rPr>
            </w:pPr>
            <w:r>
              <w:rPr>
                <w:rFonts w:eastAsia="Verdana"/>
                <w:color w:val="000000" w:themeColor="text1"/>
                <w:sz w:val="18"/>
                <w:szCs w:val="20"/>
              </w:rPr>
              <w:t>PAM</w:t>
            </w:r>
          </w:p>
        </w:tc>
      </w:tr>
      <w:tr w:rsidR="00EA6DED" w14:paraId="4337F90A" w14:textId="77777777">
        <w:trPr>
          <w:trHeight w:val="300"/>
        </w:trPr>
        <w:tc>
          <w:tcPr>
            <w:tcW w:w="3686" w:type="dxa"/>
            <w:tcBorders>
              <w:top w:val="single" w:sz="8" w:space="0" w:color="auto"/>
              <w:left w:val="single" w:sz="8" w:space="0" w:color="auto"/>
              <w:bottom w:val="single" w:sz="8" w:space="0" w:color="auto"/>
              <w:right w:val="single" w:sz="8" w:space="0" w:color="auto"/>
            </w:tcBorders>
            <w:shd w:val="clear" w:color="auto" w:fill="00B0F0"/>
            <w:tcMar>
              <w:top w:w="15" w:type="dxa"/>
              <w:left w:w="15" w:type="dxa"/>
              <w:bottom w:w="15" w:type="dxa"/>
              <w:right w:w="15" w:type="dxa"/>
            </w:tcMar>
          </w:tcPr>
          <w:p w14:paraId="4337F905" w14:textId="77777777" w:rsidR="00EA6DED" w:rsidRDefault="007504AE">
            <w:pPr>
              <w:spacing w:before="87"/>
              <w:ind w:right="60"/>
              <w:rPr>
                <w:rFonts w:eastAsia="Calibri"/>
                <w:b/>
                <w:sz w:val="20"/>
                <w:szCs w:val="20"/>
              </w:rPr>
            </w:pPr>
            <w:r>
              <w:rPr>
                <w:rFonts w:eastAsia="Arial Black"/>
                <w:b/>
                <w:sz w:val="20"/>
                <w:szCs w:val="20"/>
              </w:rPr>
              <w:t>Total</w:t>
            </w:r>
            <w:r>
              <w:rPr>
                <w:rFonts w:eastAsia="Calibri"/>
                <w:b/>
                <w:sz w:val="20"/>
                <w:szCs w:val="20"/>
              </w:rPr>
              <w:t xml:space="preserve"> </w:t>
            </w:r>
          </w:p>
        </w:tc>
        <w:tc>
          <w:tcPr>
            <w:tcW w:w="1252" w:type="dxa"/>
            <w:tcBorders>
              <w:top w:val="single" w:sz="8" w:space="0" w:color="auto"/>
              <w:left w:val="single" w:sz="8" w:space="0" w:color="auto"/>
              <w:bottom w:val="single" w:sz="8" w:space="0" w:color="auto"/>
              <w:right w:val="single" w:sz="8" w:space="0" w:color="auto"/>
            </w:tcBorders>
            <w:shd w:val="clear" w:color="auto" w:fill="00B0F0"/>
            <w:tcMar>
              <w:top w:w="15" w:type="dxa"/>
              <w:left w:w="15" w:type="dxa"/>
              <w:bottom w:w="15" w:type="dxa"/>
              <w:right w:w="15" w:type="dxa"/>
            </w:tcMar>
          </w:tcPr>
          <w:p w14:paraId="4337F906" w14:textId="77777777" w:rsidR="00EA6DED" w:rsidRDefault="007504AE">
            <w:pPr>
              <w:spacing w:before="87"/>
              <w:ind w:right="60"/>
              <w:jc w:val="center"/>
              <w:rPr>
                <w:rFonts w:eastAsia="Calibri"/>
                <w:b/>
                <w:sz w:val="20"/>
                <w:szCs w:val="20"/>
              </w:rPr>
            </w:pPr>
            <w:r>
              <w:rPr>
                <w:rFonts w:eastAsia="Arial Black"/>
                <w:b/>
                <w:sz w:val="20"/>
                <w:szCs w:val="20"/>
              </w:rPr>
              <w:t>766,253,789</w:t>
            </w:r>
            <w:r>
              <w:rPr>
                <w:rFonts w:eastAsia="Calibri"/>
                <w:b/>
                <w:sz w:val="20"/>
                <w:szCs w:val="20"/>
              </w:rPr>
              <w:t xml:space="preserve"> </w:t>
            </w:r>
          </w:p>
        </w:tc>
        <w:tc>
          <w:tcPr>
            <w:tcW w:w="1350" w:type="dxa"/>
            <w:tcBorders>
              <w:top w:val="single" w:sz="8" w:space="0" w:color="auto"/>
              <w:left w:val="single" w:sz="8" w:space="0" w:color="auto"/>
              <w:bottom w:val="single" w:sz="8" w:space="0" w:color="auto"/>
              <w:right w:val="single" w:sz="8" w:space="0" w:color="auto"/>
            </w:tcBorders>
            <w:shd w:val="clear" w:color="auto" w:fill="00B0F0"/>
            <w:tcMar>
              <w:top w:w="15" w:type="dxa"/>
              <w:left w:w="15" w:type="dxa"/>
              <w:bottom w:w="15" w:type="dxa"/>
              <w:right w:w="15" w:type="dxa"/>
            </w:tcMar>
          </w:tcPr>
          <w:p w14:paraId="4337F907" w14:textId="77777777" w:rsidR="00EA6DED" w:rsidRDefault="007504AE">
            <w:pPr>
              <w:spacing w:before="87"/>
              <w:ind w:right="60"/>
              <w:jc w:val="center"/>
              <w:rPr>
                <w:rFonts w:eastAsia="Calibri"/>
                <w:b/>
                <w:sz w:val="20"/>
                <w:szCs w:val="20"/>
              </w:rPr>
            </w:pPr>
            <w:r>
              <w:rPr>
                <w:rFonts w:eastAsia="Arial Black"/>
                <w:b/>
                <w:sz w:val="20"/>
                <w:szCs w:val="20"/>
              </w:rPr>
              <w:t>386,109,664</w:t>
            </w:r>
            <w:r>
              <w:rPr>
                <w:rFonts w:eastAsia="Calibri"/>
                <w:b/>
                <w:sz w:val="20"/>
                <w:szCs w:val="20"/>
              </w:rPr>
              <w:t xml:space="preserve"> </w:t>
            </w:r>
          </w:p>
        </w:tc>
        <w:tc>
          <w:tcPr>
            <w:tcW w:w="1440" w:type="dxa"/>
            <w:tcBorders>
              <w:top w:val="single" w:sz="8" w:space="0" w:color="auto"/>
              <w:left w:val="single" w:sz="8" w:space="0" w:color="auto"/>
              <w:bottom w:val="single" w:sz="8" w:space="0" w:color="auto"/>
              <w:right w:val="single" w:sz="8" w:space="0" w:color="auto"/>
            </w:tcBorders>
            <w:shd w:val="clear" w:color="auto" w:fill="00B0F0"/>
            <w:tcMar>
              <w:top w:w="15" w:type="dxa"/>
              <w:left w:w="15" w:type="dxa"/>
              <w:bottom w:w="15" w:type="dxa"/>
              <w:right w:w="15" w:type="dxa"/>
            </w:tcMar>
          </w:tcPr>
          <w:p w14:paraId="4337F908" w14:textId="77777777" w:rsidR="00EA6DED" w:rsidRDefault="007504AE">
            <w:pPr>
              <w:spacing w:before="87"/>
              <w:ind w:right="60"/>
              <w:jc w:val="center"/>
              <w:rPr>
                <w:rFonts w:eastAsia="Arial Black"/>
                <w:b/>
                <w:sz w:val="20"/>
                <w:szCs w:val="20"/>
              </w:rPr>
            </w:pPr>
            <w:r>
              <w:rPr>
                <w:rFonts w:eastAsia="Calibri"/>
                <w:b/>
                <w:sz w:val="20"/>
                <w:szCs w:val="20"/>
              </w:rPr>
              <w:t xml:space="preserve"> </w:t>
            </w:r>
            <w:r>
              <w:rPr>
                <w:rFonts w:eastAsia="Arial Black"/>
                <w:b/>
                <w:sz w:val="20"/>
                <w:szCs w:val="20"/>
              </w:rPr>
              <w:t>1,152,563,453</w:t>
            </w:r>
          </w:p>
        </w:tc>
        <w:tc>
          <w:tcPr>
            <w:tcW w:w="2620" w:type="dxa"/>
            <w:tcBorders>
              <w:top w:val="single" w:sz="8" w:space="0" w:color="auto"/>
              <w:left w:val="single" w:sz="8" w:space="0" w:color="auto"/>
              <w:bottom w:val="single" w:sz="8" w:space="0" w:color="auto"/>
              <w:right w:val="single" w:sz="8" w:space="0" w:color="auto"/>
            </w:tcBorders>
            <w:shd w:val="clear" w:color="auto" w:fill="00B0F0"/>
            <w:tcMar>
              <w:top w:w="15" w:type="dxa"/>
              <w:left w:w="15" w:type="dxa"/>
              <w:bottom w:w="15" w:type="dxa"/>
              <w:right w:w="15" w:type="dxa"/>
            </w:tcMar>
          </w:tcPr>
          <w:p w14:paraId="4337F909" w14:textId="77777777" w:rsidR="00EA6DED" w:rsidRDefault="00EA6DED">
            <w:pPr>
              <w:spacing w:before="87"/>
              <w:ind w:right="60"/>
              <w:jc w:val="center"/>
              <w:rPr>
                <w:rFonts w:eastAsia="Calibri"/>
                <w:b/>
                <w:sz w:val="20"/>
                <w:szCs w:val="20"/>
              </w:rPr>
            </w:pPr>
          </w:p>
        </w:tc>
      </w:tr>
    </w:tbl>
    <w:p w14:paraId="4337F90B" w14:textId="77777777" w:rsidR="00EA6DED" w:rsidRDefault="00EA6DED">
      <w:pPr>
        <w:jc w:val="both"/>
        <w:rPr>
          <w:bCs/>
          <w:color w:val="000000"/>
        </w:rPr>
      </w:pPr>
    </w:p>
    <w:p w14:paraId="4337F90C" w14:textId="77777777" w:rsidR="00EA6DED" w:rsidRDefault="00EA6DED">
      <w:pPr>
        <w:jc w:val="both"/>
        <w:rPr>
          <w:bCs/>
          <w:color w:val="000000"/>
        </w:rPr>
      </w:pPr>
    </w:p>
    <w:p w14:paraId="4337F90D" w14:textId="77777777" w:rsidR="00EA6DED" w:rsidRDefault="007504AE">
      <w:pPr>
        <w:numPr>
          <w:ilvl w:val="0"/>
          <w:numId w:val="3"/>
        </w:numPr>
        <w:ind w:right="550"/>
        <w:rPr>
          <w:rStyle w:val="Titre1Car"/>
          <w:rFonts w:ascii="Times New Roman" w:hAnsi="Times New Roman"/>
          <w:sz w:val="28"/>
          <w:shd w:val="clear" w:color="auto" w:fill="FFFFFF"/>
        </w:rPr>
      </w:pPr>
      <w:bookmarkStart w:id="84" w:name="_Toc27850"/>
      <w:r>
        <w:rPr>
          <w:rStyle w:val="Titre1Car"/>
          <w:rFonts w:ascii="Times New Roman" w:hAnsi="Times New Roman"/>
          <w:sz w:val="28"/>
          <w:shd w:val="clear" w:color="auto" w:fill="FFFFFF"/>
        </w:rPr>
        <w:t xml:space="preserve">Méthodologie de l’évaluation </w:t>
      </w:r>
    </w:p>
    <w:bookmarkEnd w:id="84"/>
    <w:p w14:paraId="4337F90E" w14:textId="77777777" w:rsidR="00EA6DED" w:rsidRDefault="00EA6DED">
      <w:pPr>
        <w:pStyle w:val="Titre2"/>
      </w:pPr>
    </w:p>
    <w:p w14:paraId="4337F90F" w14:textId="77777777" w:rsidR="00EA6DED" w:rsidRDefault="007504AE">
      <w:pPr>
        <w:pStyle w:val="Titre2"/>
        <w:jc w:val="both"/>
        <w:rPr>
          <w:rFonts w:ascii="Times New Roman" w:hAnsi="Times New Roman"/>
          <w:color w:val="0000FF"/>
          <w:sz w:val="24"/>
          <w:szCs w:val="24"/>
        </w:rPr>
      </w:pPr>
      <w:bookmarkStart w:id="85" w:name="_Toc3559"/>
      <w:r>
        <w:rPr>
          <w:rFonts w:ascii="Times New Roman" w:hAnsi="Times New Roman"/>
          <w:color w:val="0000FF"/>
          <w:sz w:val="24"/>
          <w:szCs w:val="24"/>
        </w:rPr>
        <w:t>4.1. Sélection de l'échantillon des parties prenantes</w:t>
      </w:r>
      <w:bookmarkEnd w:id="85"/>
      <w:r>
        <w:rPr>
          <w:rFonts w:ascii="Times New Roman" w:hAnsi="Times New Roman"/>
          <w:color w:val="0000FF"/>
          <w:sz w:val="24"/>
          <w:szCs w:val="24"/>
        </w:rPr>
        <w:t xml:space="preserve"> </w:t>
      </w:r>
    </w:p>
    <w:p w14:paraId="4337F910" w14:textId="77777777" w:rsidR="00EA6DED" w:rsidRDefault="007504AE">
      <w:pPr>
        <w:pStyle w:val="Commentaire"/>
        <w:jc w:val="both"/>
        <w:rPr>
          <w:rFonts w:ascii="Times New Roman" w:hAnsi="Times New Roman"/>
        </w:rPr>
      </w:pPr>
      <w:r>
        <w:rPr>
          <w:rFonts w:ascii="Times New Roman" w:hAnsi="Times New Roman"/>
          <w:sz w:val="24"/>
          <w:szCs w:val="24"/>
        </w:rPr>
        <w:t xml:space="preserve">Une approche participative et inclusive a été utilisée pour garantir l’engagement des parties prenantes à travers la mise en place d’un GRE, d’un groupe restreint de suivi/Evaluation des Agences, l’élaboration d’une </w:t>
      </w:r>
      <w:r>
        <w:rPr>
          <w:rFonts w:ascii="Times New Roman" w:hAnsi="Times New Roman"/>
          <w:b/>
          <w:bCs/>
          <w:sz w:val="24"/>
          <w:szCs w:val="24"/>
        </w:rPr>
        <w:t>cartographie des parties prenantes</w:t>
      </w:r>
      <w:r>
        <w:rPr>
          <w:rFonts w:ascii="Times New Roman" w:hAnsi="Times New Roman"/>
          <w:sz w:val="24"/>
          <w:szCs w:val="24"/>
        </w:rPr>
        <w:t xml:space="preserve"> afin d'identifier les acteurs clés du CC. Un échantillonnage raisonné a été utilisé pour assurer une représentation des différentes catégories des parties prenantes (Hommes, femmes, jeunes, personnes avec handicap, bénéficiaires, PTFs, agences et structures de mise en œuvre, etc).  La sélection des interventions, projets, programmes, régions, groupes cibles à visiter s’est faite de manière participative sur la base des plans de travail conjoints et avec les parties prenantes agences SNU, Gouvernement, etc. suivant certains critères arrêtés de manière consensuelle : le caractère conjoint de l’intervention, zone de concentration de plusieurs agences, le poids financiers.</w:t>
      </w:r>
    </w:p>
    <w:p w14:paraId="4337F911" w14:textId="77777777" w:rsidR="00EA6DED" w:rsidRDefault="00EA6DED">
      <w:pPr>
        <w:jc w:val="both"/>
      </w:pPr>
    </w:p>
    <w:p w14:paraId="4337F912" w14:textId="77777777" w:rsidR="00EA6DED" w:rsidRDefault="007504AE">
      <w:pPr>
        <w:jc w:val="both"/>
      </w:pPr>
      <w:r>
        <w:t>Au total, 10 catégories distinctes</w:t>
      </w:r>
      <w:r>
        <w:rPr>
          <w:rStyle w:val="Appelnotedebasdep"/>
          <w:rFonts w:eastAsia="DengXian Light"/>
        </w:rPr>
        <w:footnoteReference w:id="27"/>
      </w:r>
      <w:r>
        <w:t xml:space="preserve"> ont été constituées dont (i) les Agences, Fonds et Programmes des Nations Unies avec 16 entités (PNUD, UNICEF, UNFPA, BIT, FAO, OMS, ONU FEMMES, UNHCR, OIM, UNESCO, PAM, HCDH, UNEP, FIDA, ONUDI et ONUSIDA, UNECA  ; (ii) le Bureau du Coordinateur Résident (BCR) et les membres du Comité Conjoint de Pilotage avec 7 participants ; (iii) les cinq groupes de résultats (le GR1 sur la Croissance inclusive… et emplois décents, le GR2.1 sur le Développement humain et social de qualité, inclusif et équitable, le GR 2.2 sur la Réduction des inégalités entre les genres et autonomisation des femmes, des jeunes et des filles, le GR3 sur l’Appui institutionnel et participation citoyenne  et le GR4 sur la Durabilité environnementale) ; (iv) 4 groupes inter-agences (PMT, OMT, GT/SE et UNCG) ; (v) 6 groupes sectoriels/thématiques (Rural, Santé, Education, Egalité des sexes/Genre, Sécurité alimentaire et Changement climatique) ; (vi) 15 ministères et autres entités publiques (MINEPIA, MINFOF, MINEPDEP, MINEDUB, MINEJEB, MINDEVEL, MEMESA, MINEPAT, MINADER, MINPROFF, Ministère de </w:t>
      </w:r>
      <w:r>
        <w:lastRenderedPageBreak/>
        <w:t xml:space="preserve">l’emploi, MINJUSTICE, INS, BUNEC et MINSANTE ; (vii) 13 ONG et organisations de la société civile partenaires de mise en œuvre (IMC, HKI, COMIFAC, IUCN, CIFOR/ICRAF, ALVF, CHOI, CADEPI, NDH, Un monde à venir, WA Cameroun, REACHOUT et FEDEC) ; (viii) 5 entités du secteur privé (UCTC, GECAM, Fondation MTN, CAPEF, Chambre de commerce) ; (ix) 12 organisations bi/multilatérales ( BAD, BM, BID, UE, GAVI, GFE, Adaptation Funds, Royaume de Belgique, CAFI, PBF, JICA, Fonds fiduciaire multipartites pour les personnes handicapées) et 8 groupes de bénéficiaires finaux identifiés lors de la collecte des données sur le terrain.  </w:t>
      </w:r>
    </w:p>
    <w:p w14:paraId="4337F913" w14:textId="77777777" w:rsidR="00EA6DED" w:rsidRDefault="00EA6DED">
      <w:pPr>
        <w:pStyle w:val="Titre2"/>
        <w:rPr>
          <w:color w:val="00B050"/>
          <w:sz w:val="24"/>
          <w:szCs w:val="24"/>
        </w:rPr>
      </w:pPr>
    </w:p>
    <w:p w14:paraId="4337F914" w14:textId="77777777" w:rsidR="00EA6DED" w:rsidRDefault="007504AE">
      <w:pPr>
        <w:pStyle w:val="Titre2"/>
        <w:rPr>
          <w:color w:val="0000FF"/>
          <w:sz w:val="24"/>
          <w:szCs w:val="24"/>
        </w:rPr>
      </w:pPr>
      <w:bookmarkStart w:id="86" w:name="_Toc3470"/>
      <w:r>
        <w:rPr>
          <w:color w:val="0000FF"/>
          <w:sz w:val="24"/>
          <w:szCs w:val="24"/>
        </w:rPr>
        <w:t>4.2.  Méthodes de collecte</w:t>
      </w:r>
      <w:bookmarkEnd w:id="86"/>
      <w:r>
        <w:rPr>
          <w:color w:val="0000FF"/>
          <w:sz w:val="24"/>
          <w:szCs w:val="24"/>
        </w:rPr>
        <w:t xml:space="preserve"> </w:t>
      </w:r>
    </w:p>
    <w:p w14:paraId="4337F915" w14:textId="77777777" w:rsidR="00EA6DED" w:rsidRDefault="00EA6DED">
      <w:pPr>
        <w:pStyle w:val="Titre2"/>
        <w:rPr>
          <w:rFonts w:ascii="Times New Roman" w:eastAsia="Arial" w:hAnsi="Times New Roman"/>
          <w:color w:val="0070C0"/>
          <w:sz w:val="24"/>
        </w:rPr>
      </w:pPr>
      <w:bookmarkStart w:id="87" w:name="_Toc182911048"/>
      <w:bookmarkStart w:id="88" w:name="_Toc175824815"/>
    </w:p>
    <w:p w14:paraId="4337F916" w14:textId="77777777" w:rsidR="00EA6DED" w:rsidRDefault="007504AE">
      <w:pPr>
        <w:pStyle w:val="Titre3"/>
        <w:rPr>
          <w:rFonts w:ascii="Times New Roman" w:hAnsi="Times New Roman"/>
          <w:i/>
          <w:iCs/>
          <w:color w:val="000000"/>
          <w:sz w:val="22"/>
          <w:szCs w:val="22"/>
        </w:rPr>
      </w:pPr>
      <w:bookmarkStart w:id="89" w:name="_Toc15252"/>
      <w:r>
        <w:rPr>
          <w:rFonts w:ascii="Times New Roman" w:hAnsi="Times New Roman"/>
          <w:i/>
          <w:iCs/>
          <w:color w:val="000000"/>
          <w:sz w:val="22"/>
          <w:szCs w:val="22"/>
        </w:rPr>
        <w:t>4.2.1.  Méthodes et processus de collecte</w:t>
      </w:r>
      <w:bookmarkEnd w:id="87"/>
      <w:bookmarkEnd w:id="88"/>
      <w:bookmarkEnd w:id="89"/>
      <w:r>
        <w:rPr>
          <w:rFonts w:ascii="Times New Roman" w:hAnsi="Times New Roman"/>
          <w:i/>
          <w:iCs/>
          <w:color w:val="000000"/>
          <w:sz w:val="22"/>
          <w:szCs w:val="22"/>
        </w:rPr>
        <w:t xml:space="preserve"> </w:t>
      </w:r>
    </w:p>
    <w:p w14:paraId="4337F917" w14:textId="77777777" w:rsidR="00EA6DED" w:rsidRDefault="007504AE">
      <w:pPr>
        <w:contextualSpacing/>
        <w:jc w:val="both"/>
      </w:pPr>
      <w:r>
        <w:t xml:space="preserve">Pour mieux appréhender les contributions de CCCC 2022-2026 aux objectifs de développement national établis dans les priorités du Cameroun, des méthodes qualitatives mixtes ont été utilisées pour collecter et analyser les données. Il s’agit de la revue documentaire, des entretiens structurés et semi-structurés, des entretiens de groupes et de l’observation directe sur le terrain. </w:t>
      </w:r>
    </w:p>
    <w:p w14:paraId="4337F918" w14:textId="77777777" w:rsidR="00EA6DED" w:rsidRDefault="00EA6DED">
      <w:pPr>
        <w:contextualSpacing/>
        <w:jc w:val="both"/>
      </w:pPr>
    </w:p>
    <w:p w14:paraId="4337F919" w14:textId="77777777" w:rsidR="00EA6DED" w:rsidRDefault="007504AE">
      <w:pPr>
        <w:pStyle w:val="NormalWeb"/>
        <w:tabs>
          <w:tab w:val="left" w:pos="3402"/>
        </w:tabs>
        <w:spacing w:before="0" w:beforeAutospacing="0" w:after="0" w:afterAutospacing="0"/>
        <w:contextualSpacing/>
        <w:jc w:val="both"/>
      </w:pPr>
      <w:r>
        <w:t xml:space="preserve">La revue documentaire a porté essentiellement sur l’exploitation des rapports et des documents de référence, des documents contextuels du Cameroun en matière de planification/programmation stratégique, des documents de planification et de programmation du SNU (2022–2024), les Programmes pays des Agences, les Plans de Travail Conjoints, les rapports des groupes de résultats et des groupes thématiques. Les données disponibles sur la plateforme UNInfo pour la période de l’évaluation ont été aussi exploitées. </w:t>
      </w:r>
    </w:p>
    <w:p w14:paraId="4337F91A" w14:textId="77777777" w:rsidR="00EA6DED" w:rsidRDefault="00EA6DED">
      <w:pPr>
        <w:tabs>
          <w:tab w:val="left" w:pos="3402"/>
        </w:tabs>
        <w:contextualSpacing/>
        <w:jc w:val="both"/>
      </w:pPr>
    </w:p>
    <w:p w14:paraId="4337F91B" w14:textId="77777777" w:rsidR="00EA6DED" w:rsidRDefault="007504AE">
      <w:pPr>
        <w:tabs>
          <w:tab w:val="left" w:pos="3402"/>
        </w:tabs>
        <w:contextualSpacing/>
        <w:jc w:val="both"/>
      </w:pPr>
      <w:r>
        <w:t xml:space="preserve">Les entretiens individuels semi-structurés ont été conduits auprès des responsables de la mise en œuvre des programmes pays des Agences, les chefs d’Agences, les leaders des groupes thématiques, les partenaires de mise en œuvre des programmes des Agences, les responsables des institutions gouvernementales et d’autres parties prenantes à l’aide des outils élaborés à cet effet. </w:t>
      </w:r>
    </w:p>
    <w:p w14:paraId="4337F91C" w14:textId="77777777" w:rsidR="00EA6DED" w:rsidRDefault="00EA6DED">
      <w:pPr>
        <w:tabs>
          <w:tab w:val="left" w:pos="3402"/>
        </w:tabs>
        <w:contextualSpacing/>
        <w:jc w:val="both"/>
      </w:pPr>
    </w:p>
    <w:p w14:paraId="4337F91D" w14:textId="77777777" w:rsidR="00EA6DED" w:rsidRDefault="007504AE">
      <w:pPr>
        <w:tabs>
          <w:tab w:val="left" w:pos="3402"/>
        </w:tabs>
        <w:contextualSpacing/>
        <w:jc w:val="both"/>
      </w:pPr>
      <w:r>
        <w:t xml:space="preserve">Les entretiens de groupe ont été conduits auprès des utilisateurs des services issus des interventions des programmes pour recueillir leurs opinions et perceptions. Des outils de collecte ont été élaborés à cet effet. </w:t>
      </w:r>
    </w:p>
    <w:p w14:paraId="4337F91E" w14:textId="77777777" w:rsidR="00EA6DED" w:rsidRDefault="00EA6DED">
      <w:pPr>
        <w:tabs>
          <w:tab w:val="left" w:pos="3402"/>
        </w:tabs>
        <w:contextualSpacing/>
        <w:jc w:val="both"/>
      </w:pPr>
    </w:p>
    <w:p w14:paraId="4337F91F" w14:textId="77777777" w:rsidR="00EA6DED" w:rsidRDefault="007504AE">
      <w:pPr>
        <w:tabs>
          <w:tab w:val="left" w:pos="3402"/>
        </w:tabs>
        <w:contextualSpacing/>
        <w:jc w:val="both"/>
        <w:rPr>
          <w:rFonts w:eastAsia="Arial"/>
        </w:rPr>
      </w:pPr>
      <w:r>
        <w:t>L’observation directe a visé l’appréciation de l’opérationnalité de la fourniture des services. Il a jeté un regard</w:t>
      </w:r>
      <w:r>
        <w:rPr>
          <w:rFonts w:eastAsia="Arial"/>
        </w:rPr>
        <w:t xml:space="preserve"> sur l’environnement des lieux de prestation des services/site d’intervention pour en apprécier les procédés de mise en œuvre par rapport aux principes préétablis. </w:t>
      </w:r>
    </w:p>
    <w:p w14:paraId="4337F920" w14:textId="77777777" w:rsidR="00EA6DED" w:rsidRDefault="00EA6DED">
      <w:pPr>
        <w:spacing w:line="276" w:lineRule="auto"/>
        <w:jc w:val="both"/>
        <w:rPr>
          <w:rFonts w:eastAsia="Arial"/>
        </w:rPr>
      </w:pPr>
    </w:p>
    <w:p w14:paraId="4337F921" w14:textId="77777777" w:rsidR="00EA6DED" w:rsidRDefault="007504AE">
      <w:pPr>
        <w:pStyle w:val="Titre3"/>
        <w:rPr>
          <w:rFonts w:ascii="Times New Roman" w:hAnsi="Times New Roman"/>
          <w:i/>
          <w:iCs/>
          <w:color w:val="000000"/>
          <w:sz w:val="22"/>
          <w:szCs w:val="22"/>
        </w:rPr>
      </w:pPr>
      <w:bookmarkStart w:id="90" w:name="_Toc175824816"/>
      <w:bookmarkStart w:id="91" w:name="_Toc182911049"/>
      <w:bookmarkStart w:id="92" w:name="_Toc26820"/>
      <w:r>
        <w:rPr>
          <w:rFonts w:ascii="Times New Roman" w:hAnsi="Times New Roman"/>
          <w:i/>
          <w:iCs/>
          <w:color w:val="000000"/>
          <w:sz w:val="22"/>
          <w:szCs w:val="22"/>
        </w:rPr>
        <w:t>4.2.2.  Analyse des données</w:t>
      </w:r>
      <w:bookmarkEnd w:id="90"/>
      <w:bookmarkEnd w:id="91"/>
      <w:bookmarkEnd w:id="92"/>
    </w:p>
    <w:p w14:paraId="4337F922" w14:textId="77777777" w:rsidR="00EA6DED" w:rsidRDefault="007504AE">
      <w:pPr>
        <w:contextualSpacing/>
        <w:jc w:val="both"/>
        <w:rPr>
          <w:color w:val="000000"/>
        </w:rPr>
      </w:pPr>
      <w:r>
        <w:rPr>
          <w:rFonts w:eastAsia="Arial"/>
        </w:rPr>
        <w:t>L’analyse des données a été basée sur « l’analyse du contenu » des informations collectées par critère d’évaluation et en se référant à la matrice d’évaluation. Les données ont été désagrégées dans la mesure du possible par sexe, par région, handicap et autres marqueurs contextuels pertinents en matière d’équité</w:t>
      </w:r>
      <w:r>
        <w:rPr>
          <w:color w:val="000000"/>
        </w:rPr>
        <w:t xml:space="preserve">. Ont été examinés (i) l'état des résultats, (ii) les stratégies de mise en œuvre, (iii) les facteurs qui ont facilité et/ou entravé les progrès, (iv) la valeur ajoutée et (v) les défis rencontrés et les leçons apprises. </w:t>
      </w:r>
      <w:r>
        <w:rPr>
          <w:rFonts w:eastAsia="Arial"/>
        </w:rPr>
        <w:t xml:space="preserve">Les informations obtenues lors de l'examen des documents et des entretiens ont été triangulées avec les sources documentaires </w:t>
      </w:r>
      <w:r>
        <w:rPr>
          <w:color w:val="000000"/>
        </w:rPr>
        <w:t>disponibles avant d’être synthétisées pendant l’analyse. Pour la composante protection, les sources et les données du HCR telles que les 5Ws, les tableaux de bord P21 et les analyses mensuelles de monitoring protection (NW/SW), en complément de COMPASS, ont été utilisées pour documenter la triangulation. Le contrôle de qualité a été assuré par le gestionnaire de l’évaluation avec l’appui d’un consultant recruté à cet effet , le GT/SE et le DCO conformément aux exigences et aux attentes des directives de l’UNEG de 2022</w:t>
      </w:r>
      <w:r>
        <w:rPr>
          <w:rStyle w:val="Appelnotedebasdep"/>
          <w:rFonts w:eastAsia="SimSun"/>
          <w:color w:val="000000"/>
        </w:rPr>
        <w:footnoteReference w:id="28"/>
      </w:r>
      <w:r>
        <w:rPr>
          <w:color w:val="000000"/>
        </w:rPr>
        <w:t xml:space="preserve">. </w:t>
      </w:r>
    </w:p>
    <w:p w14:paraId="4337F923" w14:textId="77777777" w:rsidR="00EA6DED" w:rsidRDefault="00EA6DED">
      <w:pPr>
        <w:pStyle w:val="Titre3"/>
        <w:spacing w:line="276" w:lineRule="auto"/>
        <w:rPr>
          <w:rFonts w:ascii="Times New Roman" w:eastAsia="Arial" w:hAnsi="Times New Roman"/>
          <w:color w:val="000000"/>
          <w:sz w:val="22"/>
        </w:rPr>
      </w:pPr>
      <w:bookmarkStart w:id="93" w:name="_Toc182911050"/>
    </w:p>
    <w:p w14:paraId="4337F924" w14:textId="77777777" w:rsidR="00EA6DED" w:rsidRDefault="007504AE">
      <w:pPr>
        <w:rPr>
          <w:b/>
          <w:bCs/>
          <w:i/>
          <w:iCs/>
          <w:color w:val="000000"/>
          <w:sz w:val="22"/>
          <w:szCs w:val="22"/>
        </w:rPr>
      </w:pPr>
      <w:r>
        <w:rPr>
          <w:b/>
          <w:bCs/>
          <w:i/>
          <w:iCs/>
          <w:color w:val="000000"/>
          <w:sz w:val="22"/>
          <w:szCs w:val="22"/>
        </w:rPr>
        <w:t xml:space="preserve">4.2.3. Assurance qualité </w:t>
      </w:r>
    </w:p>
    <w:p w14:paraId="4337F925" w14:textId="77777777" w:rsidR="00EA6DED" w:rsidRDefault="007504AE">
      <w:pPr>
        <w:spacing w:after="160" w:line="259" w:lineRule="auto"/>
        <w:jc w:val="both"/>
      </w:pPr>
      <w:r>
        <w:t xml:space="preserve">La qualité de l’évaluation a été garantie par un processus d’assurance qualité rigoureux et inclusif conforme aux directives du GNUE. Ce processus a permis d’assurer la conformité de l’évaluation aux lignes directrices </w:t>
      </w:r>
      <w:r>
        <w:lastRenderedPageBreak/>
        <w:t>du GNUE sur la conduite de l'évaluation au sein du système des Nations Unies et assuré la conformité aux meilleures pratiques internationales en matière d'éthique. Ce processus d’assurance qualité s’est appuyé sur l’élaboration participative et la validation des termes de référence de l’évaluation, la revue de la théorie de changement qui n’a pas fait l’objet d’une reconstruction, le contrôle qualité de la méthodologie, de la matrice d’évaluation, des rapports (démarrage, provisoire et final) par le gestionnaire de l’évaluation, le consultant d’appui recruté pour le suivi qualité, le DCO, le GRE, l’UNCT, le PMT et d’autres parties prenantes. À chaque phase, l’équipe d’évaluation a veillé à fonder ses conclusions sur des données fiables, triangulées et des critères objectifs, assurant ainsi l’indépendance, l’impartialité et la crédibilité du processus.</w:t>
      </w:r>
    </w:p>
    <w:p w14:paraId="4337F926" w14:textId="77777777" w:rsidR="00EA6DED" w:rsidRDefault="00EA6DED">
      <w:pPr>
        <w:rPr>
          <w:rFonts w:eastAsia="SimSun"/>
        </w:rPr>
      </w:pPr>
    </w:p>
    <w:p w14:paraId="4337F927" w14:textId="77777777" w:rsidR="00EA6DED" w:rsidRDefault="007504AE">
      <w:pPr>
        <w:pStyle w:val="Titre3"/>
        <w:rPr>
          <w:rFonts w:ascii="Times New Roman" w:hAnsi="Times New Roman"/>
          <w:i/>
          <w:iCs/>
          <w:color w:val="000000"/>
          <w:sz w:val="22"/>
          <w:szCs w:val="22"/>
        </w:rPr>
      </w:pPr>
      <w:bookmarkStart w:id="94" w:name="_Toc16605"/>
      <w:r>
        <w:rPr>
          <w:rFonts w:ascii="Times New Roman" w:hAnsi="Times New Roman"/>
          <w:i/>
          <w:iCs/>
          <w:color w:val="000000"/>
          <w:sz w:val="22"/>
          <w:szCs w:val="22"/>
        </w:rPr>
        <w:t xml:space="preserve">4.2.4. Évaluabilité, contraintes et </w:t>
      </w:r>
      <w:bookmarkEnd w:id="93"/>
      <w:r>
        <w:rPr>
          <w:rFonts w:ascii="Times New Roman" w:hAnsi="Times New Roman"/>
          <w:i/>
          <w:iCs/>
          <w:color w:val="000000"/>
          <w:sz w:val="22"/>
          <w:szCs w:val="22"/>
        </w:rPr>
        <w:t>éthiques</w:t>
      </w:r>
      <w:bookmarkEnd w:id="94"/>
    </w:p>
    <w:p w14:paraId="4337F928" w14:textId="77777777" w:rsidR="00EA6DED" w:rsidRDefault="007504AE">
      <w:pPr>
        <w:spacing w:line="276" w:lineRule="auto"/>
        <w:ind w:right="-134"/>
        <w:jc w:val="both"/>
        <w:rPr>
          <w:rFonts w:eastAsia="Arial"/>
        </w:rPr>
      </w:pPr>
      <w:r>
        <w:rPr>
          <w:rFonts w:eastAsia="Arial"/>
        </w:rPr>
        <w:t>Dans l’ensemble, les conditions de mise en œuvre de l’évaluation ont été globalement réunies. En effet, la documentation essentielle a été mise à la disposition de l’équipes. Une structure de gouvernance de l’évaluation a été mise en place sous le leadership du gestionnaire de l’évaluation avec le soutien de GT/SE et du DCO. Les conditions matérielles, l’appui logistique et administratif ont été globalement réunis et la collecte des données s’est déroulée sans incident avec un taux de réalisation de 93%.  Dans le cadre du respect des règles d’éthique, les évaluateurs ont signé le code de conduite de UNEG de 2008</w:t>
      </w:r>
      <w:r>
        <w:rPr>
          <w:rFonts w:eastAsia="Arial"/>
          <w:color w:val="FF0000"/>
          <w:vertAlign w:val="superscript"/>
        </w:rPr>
        <w:footnoteReference w:id="29"/>
      </w:r>
      <w:r>
        <w:rPr>
          <w:rFonts w:eastAsia="Arial"/>
          <w:color w:val="FF0000"/>
        </w:rPr>
        <w:t xml:space="preserve"> </w:t>
      </w:r>
      <w:r>
        <w:rPr>
          <w:rFonts w:eastAsia="Arial"/>
        </w:rPr>
        <w:t xml:space="preserve">et l’ont traduit sur le terrain à travers leur transparence, leur indépendance, leur intégrité et leur impartialité. La confidentialité, l’anonymat et le respect des droits des personnes enrôlées dans l’évaluation était assuré, quels que soient le genre, l’origine culturelle ou les croyances à travers l’obtention d’un consentement verbal avant l’entretien.       </w:t>
      </w:r>
    </w:p>
    <w:p w14:paraId="4337F929" w14:textId="77777777" w:rsidR="00EA6DED" w:rsidRDefault="00EA6DED">
      <w:pPr>
        <w:pStyle w:val="Commentaire"/>
      </w:pPr>
    </w:p>
    <w:p w14:paraId="4337F92A" w14:textId="77777777" w:rsidR="00EA6DED" w:rsidRDefault="00EA6DED">
      <w:pPr>
        <w:pStyle w:val="Commentaire"/>
      </w:pPr>
    </w:p>
    <w:p w14:paraId="4337F92B" w14:textId="77777777" w:rsidR="00EA6DED" w:rsidRDefault="007504AE">
      <w:pPr>
        <w:numPr>
          <w:ilvl w:val="0"/>
          <w:numId w:val="3"/>
        </w:numPr>
        <w:ind w:right="550"/>
        <w:rPr>
          <w:rStyle w:val="Titre1Car"/>
          <w:rFonts w:ascii="Times New Roman" w:hAnsi="Times New Roman"/>
          <w:sz w:val="28"/>
          <w:shd w:val="clear" w:color="auto" w:fill="FFFFFF"/>
        </w:rPr>
      </w:pPr>
      <w:bookmarkStart w:id="95" w:name="_Toc18760"/>
      <w:r>
        <w:rPr>
          <w:rStyle w:val="Titre1Car"/>
          <w:rFonts w:ascii="Times New Roman" w:hAnsi="Times New Roman"/>
          <w:sz w:val="28"/>
          <w:shd w:val="clear" w:color="auto" w:fill="FFFFFF"/>
        </w:rPr>
        <w:t xml:space="preserve">Principaux résultats de l’évaluation </w:t>
      </w:r>
    </w:p>
    <w:bookmarkEnd w:id="95"/>
    <w:p w14:paraId="4337F92C" w14:textId="77777777" w:rsidR="00EA6DED" w:rsidRDefault="00EA6DED">
      <w:pPr>
        <w:rPr>
          <w:b/>
        </w:rPr>
      </w:pPr>
    </w:p>
    <w:p w14:paraId="4337F92D" w14:textId="77777777" w:rsidR="00EA6DED" w:rsidRDefault="007504AE">
      <w:pPr>
        <w:pStyle w:val="Titre2"/>
        <w:rPr>
          <w:color w:val="0000FF"/>
          <w:sz w:val="24"/>
          <w:szCs w:val="24"/>
        </w:rPr>
      </w:pPr>
      <w:bookmarkStart w:id="96" w:name="_Toc11984"/>
      <w:r>
        <w:rPr>
          <w:color w:val="0000FF"/>
          <w:sz w:val="24"/>
          <w:szCs w:val="24"/>
        </w:rPr>
        <w:t>5.1 Pertinence/Adaptabilité</w:t>
      </w:r>
      <w:bookmarkEnd w:id="96"/>
      <w:r>
        <w:rPr>
          <w:color w:val="0000FF"/>
          <w:sz w:val="24"/>
          <w:szCs w:val="24"/>
        </w:rPr>
        <w:t xml:space="preserve"> </w:t>
      </w:r>
    </w:p>
    <w:p w14:paraId="4337F92E" w14:textId="77777777" w:rsidR="00EA6DED" w:rsidRDefault="00EA6DED">
      <w:pPr>
        <w:ind w:firstLine="720"/>
        <w:rPr>
          <w:b/>
          <w:color w:val="ED7D31"/>
          <w:sz w:val="22"/>
          <w:szCs w:val="22"/>
        </w:rPr>
      </w:pPr>
    </w:p>
    <w:tbl>
      <w:tblPr>
        <w:tblW w:w="10490"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CellMar>
          <w:left w:w="115" w:type="dxa"/>
          <w:right w:w="115" w:type="dxa"/>
        </w:tblCellMar>
        <w:tblLook w:val="04A0" w:firstRow="1" w:lastRow="0" w:firstColumn="1" w:lastColumn="0" w:noHBand="0" w:noVBand="1"/>
      </w:tblPr>
      <w:tblGrid>
        <w:gridCol w:w="10490"/>
      </w:tblGrid>
      <w:tr w:rsidR="00EA6DED" w14:paraId="4337F933" w14:textId="77777777">
        <w:tc>
          <w:tcPr>
            <w:tcW w:w="10490" w:type="dxa"/>
            <w:shd w:val="clear" w:color="auto" w:fill="D9E2F3"/>
          </w:tcPr>
          <w:p w14:paraId="4337F92F" w14:textId="77777777" w:rsidR="00EA6DED" w:rsidRDefault="007504AE">
            <w:pPr>
              <w:widowControl w:val="0"/>
              <w:tabs>
                <w:tab w:val="left" w:pos="313"/>
              </w:tabs>
              <w:autoSpaceDE w:val="0"/>
              <w:autoSpaceDN w:val="0"/>
              <w:spacing w:line="276" w:lineRule="auto"/>
              <w:jc w:val="both"/>
              <w:rPr>
                <w:rFonts w:ascii="Calibri" w:eastAsia="Arial" w:hAnsi="Calibri"/>
                <w:bCs/>
                <w:color w:val="000000"/>
                <w:sz w:val="22"/>
                <w:szCs w:val="22"/>
                <w:lang w:eastAsia="en-US"/>
              </w:rPr>
            </w:pPr>
            <w:r>
              <w:rPr>
                <w:rFonts w:eastAsia="Arial"/>
                <w:b/>
                <w:color w:val="000000"/>
                <w:sz w:val="22"/>
                <w:szCs w:val="22"/>
                <w:lang w:eastAsia="en-US"/>
              </w:rPr>
              <w:t xml:space="preserve">1. </w:t>
            </w:r>
            <w:r>
              <w:rPr>
                <w:rFonts w:eastAsia="Arial"/>
                <w:bCs/>
                <w:color w:val="000000"/>
                <w:sz w:val="22"/>
                <w:szCs w:val="22"/>
                <w:lang w:eastAsia="en-US"/>
              </w:rPr>
              <w:t>Dans quelle mesure les priorités stratégiques du Cadre de Coopération (CC) tout en tenant compte du genre, droits humains, égalité des sexes sont alignées aux besoins et priorités nationales, régionales et internationales ?</w:t>
            </w:r>
          </w:p>
          <w:p w14:paraId="4337F930" w14:textId="77777777" w:rsidR="00EA6DED" w:rsidRDefault="00EA6DED">
            <w:pPr>
              <w:widowControl w:val="0"/>
              <w:tabs>
                <w:tab w:val="left" w:pos="313"/>
              </w:tabs>
              <w:autoSpaceDE w:val="0"/>
              <w:autoSpaceDN w:val="0"/>
              <w:spacing w:line="276" w:lineRule="auto"/>
              <w:jc w:val="both"/>
              <w:rPr>
                <w:rFonts w:ascii="Calibri" w:eastAsia="Arial" w:hAnsi="Calibri"/>
                <w:color w:val="000000"/>
                <w:sz w:val="22"/>
                <w:szCs w:val="22"/>
                <w:lang w:eastAsia="en-US"/>
              </w:rPr>
            </w:pPr>
          </w:p>
          <w:p w14:paraId="4337F931" w14:textId="77777777" w:rsidR="00EA6DED" w:rsidRDefault="007504AE">
            <w:pPr>
              <w:widowControl w:val="0"/>
              <w:numPr>
                <w:ilvl w:val="0"/>
                <w:numId w:val="4"/>
              </w:numPr>
              <w:tabs>
                <w:tab w:val="left" w:pos="313"/>
              </w:tabs>
              <w:autoSpaceDE w:val="0"/>
              <w:autoSpaceDN w:val="0"/>
              <w:spacing w:line="276" w:lineRule="auto"/>
              <w:jc w:val="both"/>
              <w:rPr>
                <w:rFonts w:eastAsia="Arial"/>
                <w:bCs/>
                <w:color w:val="000000"/>
                <w:sz w:val="22"/>
                <w:szCs w:val="22"/>
                <w:lang w:eastAsia="en-US"/>
              </w:rPr>
            </w:pPr>
            <w:r>
              <w:rPr>
                <w:rFonts w:eastAsia="Arial"/>
                <w:bCs/>
                <w:color w:val="000000"/>
                <w:sz w:val="22"/>
                <w:szCs w:val="22"/>
                <w:lang w:eastAsia="en-US"/>
              </w:rPr>
              <w:t>Dans quelle mesure la mise en œuvre du Cadre de Coopération s’est-elle adaptée aux problèmes émergents rencontrés par le pays y compris ceux identifiés par l'Analyse Commune du Pays (CCA) des Nations Unies</w:t>
            </w:r>
            <w:r>
              <w:rPr>
                <w:rFonts w:eastAsia="Arial"/>
                <w:b/>
                <w:bCs/>
                <w:color w:val="000000"/>
                <w:sz w:val="22"/>
                <w:szCs w:val="22"/>
                <w:lang w:eastAsia="en-US"/>
              </w:rPr>
              <w:t xml:space="preserve"> </w:t>
            </w:r>
            <w:r>
              <w:rPr>
                <w:rFonts w:eastAsia="Arial"/>
                <w:bCs/>
                <w:color w:val="000000"/>
                <w:sz w:val="22"/>
                <w:szCs w:val="22"/>
                <w:lang w:eastAsia="en-US"/>
              </w:rPr>
              <w:t>?</w:t>
            </w:r>
          </w:p>
          <w:p w14:paraId="4337F932" w14:textId="77777777" w:rsidR="00EA6DED" w:rsidRDefault="00EA6DED">
            <w:pPr>
              <w:widowControl w:val="0"/>
              <w:tabs>
                <w:tab w:val="left" w:pos="313"/>
              </w:tabs>
              <w:autoSpaceDE w:val="0"/>
              <w:autoSpaceDN w:val="0"/>
              <w:spacing w:line="276" w:lineRule="auto"/>
              <w:jc w:val="both"/>
              <w:rPr>
                <w:rFonts w:ascii="Calibri" w:eastAsia="Arial" w:hAnsi="Calibri"/>
                <w:b/>
                <w:color w:val="000000"/>
                <w:sz w:val="22"/>
                <w:szCs w:val="22"/>
                <w:lang w:eastAsia="en-US"/>
              </w:rPr>
            </w:pPr>
          </w:p>
        </w:tc>
      </w:tr>
      <w:tr w:rsidR="00EA6DED" w14:paraId="4337F938" w14:textId="77777777">
        <w:tc>
          <w:tcPr>
            <w:tcW w:w="10490" w:type="dxa"/>
          </w:tcPr>
          <w:p w14:paraId="4337F934" w14:textId="77777777" w:rsidR="00EA6DED" w:rsidRDefault="007504AE">
            <w:pPr>
              <w:pStyle w:val="NormalWeb"/>
              <w:widowControl w:val="0"/>
              <w:tabs>
                <w:tab w:val="left" w:pos="313"/>
              </w:tabs>
              <w:autoSpaceDE w:val="0"/>
              <w:autoSpaceDN w:val="0"/>
              <w:jc w:val="both"/>
              <w:rPr>
                <w:rFonts w:ascii="Calibri" w:eastAsia="Calibri" w:hAnsi="Calibri"/>
                <w:color w:val="000000"/>
                <w:szCs w:val="22"/>
                <w:lang w:eastAsia="en-US"/>
              </w:rPr>
            </w:pPr>
            <w:bookmarkStart w:id="97" w:name="_Hlk208784306"/>
            <w:r>
              <w:rPr>
                <w:rFonts w:eastAsia="Arial"/>
                <w:b/>
                <w:color w:val="0070C0"/>
                <w:sz w:val="22"/>
                <w:szCs w:val="22"/>
                <w:lang w:eastAsia="en-US"/>
              </w:rPr>
              <w:t>Résumé des constats :</w:t>
            </w:r>
            <w:r>
              <w:rPr>
                <w:rFonts w:eastAsia="Arial"/>
                <w:color w:val="0070C0"/>
                <w:sz w:val="22"/>
                <w:szCs w:val="22"/>
                <w:lang w:eastAsia="en-US"/>
              </w:rPr>
              <w:t xml:space="preserve"> </w:t>
            </w:r>
            <w:r>
              <w:rPr>
                <w:rFonts w:eastAsia="Calibri"/>
                <w:color w:val="000000"/>
                <w:szCs w:val="22"/>
                <w:lang w:eastAsia="en-US"/>
              </w:rPr>
              <w:t xml:space="preserve">L'analyse documentaire et les entretiens avec les parties prenantes révèlent un alignement manifeste entre les priorités stratégiques du CC 2022-2026 et les priorités nationales, en particulier celles de la SND30. </w:t>
            </w:r>
            <w:r>
              <w:t xml:space="preserve">La TdC du CC 2022-2026 et les interventions définies dans les PTCs montrent clairement cet alignement et une prise en compte effective des besoins nationaux, </w:t>
            </w:r>
            <w:r>
              <w:rPr>
                <w:rFonts w:eastAsia="Calibri"/>
                <w:color w:val="000000"/>
                <w:szCs w:val="22"/>
                <w:lang w:eastAsia="en-US"/>
              </w:rPr>
              <w:t>une bonne couverture des 17 Objectifs de Développement Durable,</w:t>
            </w:r>
            <w:r>
              <w:t xml:space="preserve"> une contribution aux agendas régionaux et internationaux, sans oublier le respect des principes de programmation des Nations Unies</w:t>
            </w:r>
            <w:r>
              <w:rPr>
                <w:rFonts w:eastAsia="Calibri"/>
                <w:color w:val="000000"/>
                <w:szCs w:val="22"/>
                <w:lang w:eastAsia="en-US"/>
              </w:rPr>
              <w:t xml:space="preserve">. </w:t>
            </w:r>
          </w:p>
          <w:p w14:paraId="4337F935" w14:textId="77777777" w:rsidR="00EA6DED" w:rsidRDefault="007504AE">
            <w:pPr>
              <w:widowControl w:val="0"/>
              <w:tabs>
                <w:tab w:val="left" w:pos="313"/>
              </w:tabs>
              <w:autoSpaceDE w:val="0"/>
              <w:autoSpaceDN w:val="0"/>
              <w:spacing w:line="276" w:lineRule="auto"/>
              <w:jc w:val="both"/>
              <w:rPr>
                <w:rFonts w:ascii="Calibri" w:eastAsia="Calibri" w:hAnsi="Calibri"/>
                <w:color w:val="000000"/>
                <w:szCs w:val="22"/>
                <w:lang w:eastAsia="en-US"/>
              </w:rPr>
            </w:pPr>
            <w:bookmarkStart w:id="98" w:name="_Hlk208784273"/>
            <w:bookmarkEnd w:id="97"/>
            <w:r>
              <w:rPr>
                <w:rFonts w:eastAsia="Calibri"/>
                <w:color w:val="000000"/>
                <w:szCs w:val="22"/>
                <w:lang w:eastAsia="en-US"/>
              </w:rPr>
              <w:t xml:space="preserve">En termes d’adaptabilité, le CC 2022-2026 a été assez flexible pour structurer des programmes pour la prise en charge de la COVID_19, des inondations, soutenir les réfugiés et les personnes déplacées internes, et s’investir pour le Programme Présidentiel pour la Reconstruction et le Développement (PPRD) dans les Régions du Nord-Ouest et du Sud-Ouest.  Certaines thématiques émergentes ont été intégrées dans le vocabulaire des agences et dans les programmes. Il s’agit à titre illustratif d’Économie bleue, résilience, économie verte, Inclusion des réfugiés, autonomisation de la femme et des jeunes, durabilité environnementale </w:t>
            </w:r>
          </w:p>
          <w:p w14:paraId="4337F936" w14:textId="77777777" w:rsidR="00EA6DED" w:rsidRDefault="00EA6DED">
            <w:pPr>
              <w:widowControl w:val="0"/>
              <w:tabs>
                <w:tab w:val="left" w:pos="313"/>
              </w:tabs>
              <w:autoSpaceDE w:val="0"/>
              <w:autoSpaceDN w:val="0"/>
              <w:spacing w:line="276" w:lineRule="auto"/>
              <w:jc w:val="both"/>
              <w:rPr>
                <w:rFonts w:ascii="Calibri" w:eastAsia="Calibri" w:hAnsi="Calibri"/>
                <w:color w:val="000000"/>
                <w:szCs w:val="22"/>
                <w:lang w:eastAsia="en-US"/>
              </w:rPr>
            </w:pPr>
          </w:p>
          <w:p w14:paraId="4337F937" w14:textId="77777777" w:rsidR="00EA6DED" w:rsidRDefault="007504AE">
            <w:pPr>
              <w:widowControl w:val="0"/>
              <w:tabs>
                <w:tab w:val="left" w:pos="313"/>
              </w:tabs>
              <w:autoSpaceDE w:val="0"/>
              <w:autoSpaceDN w:val="0"/>
              <w:spacing w:line="276" w:lineRule="auto"/>
              <w:jc w:val="both"/>
              <w:rPr>
                <w:rFonts w:ascii="Calibri" w:eastAsia="Calibri" w:hAnsi="Calibri"/>
                <w:color w:val="000000"/>
                <w:szCs w:val="22"/>
                <w:lang w:eastAsia="en-US"/>
              </w:rPr>
            </w:pPr>
            <w:r>
              <w:rPr>
                <w:rFonts w:eastAsia="Calibri"/>
                <w:color w:val="000000"/>
                <w:szCs w:val="22"/>
                <w:lang w:eastAsia="en-US"/>
              </w:rPr>
              <w:lastRenderedPageBreak/>
              <w:t xml:space="preserve">Cependant, l'accent mis sur les solutions innovantes, l'engagement actif du secteur privé dans les questions économiques, l'analyse des programmes à travers le prisme de l'agenda 2030, la consolidation des partenariats stratégiques, l'intégration des activités et services dans les zones de convergence, ainsi que la localisation des Transitions-clés et du Pacte mondial pour l'avenir, n'ont pas été suffisamment encadrés. Par ailleurs, la redevabilité programmatique a été entravée par l’utilisation insuffisante de la Gestion Axée sur les Résultats (GAR) pendant la planification avec l’introduction des sous-produits dans les PTC.   </w:t>
            </w:r>
            <w:bookmarkEnd w:id="98"/>
          </w:p>
        </w:tc>
      </w:tr>
    </w:tbl>
    <w:p w14:paraId="4337F939" w14:textId="77777777" w:rsidR="00EA6DED" w:rsidRDefault="00EA6DED">
      <w:pPr>
        <w:ind w:firstLine="720"/>
        <w:rPr>
          <w:b/>
          <w:sz w:val="22"/>
          <w:szCs w:val="22"/>
        </w:rPr>
      </w:pPr>
    </w:p>
    <w:p w14:paraId="4337F93A" w14:textId="77777777" w:rsidR="00EA6DED" w:rsidRDefault="007504AE">
      <w:pPr>
        <w:shd w:val="clear" w:color="auto" w:fill="FFE599"/>
        <w:spacing w:line="276" w:lineRule="auto"/>
        <w:ind w:right="170"/>
        <w:jc w:val="both"/>
        <w:rPr>
          <w:rFonts w:eastAsia="Arial"/>
          <w:b/>
          <w:bCs/>
          <w:color w:val="000000"/>
          <w:szCs w:val="22"/>
        </w:rPr>
      </w:pPr>
      <w:r>
        <w:rPr>
          <w:rFonts w:eastAsia="Arial"/>
          <w:b/>
          <w:color w:val="4472C4"/>
          <w:szCs w:val="22"/>
        </w:rPr>
        <w:t>Question d’évaluation No 1 </w:t>
      </w:r>
      <w:r>
        <w:rPr>
          <w:rFonts w:eastAsia="Arial"/>
          <w:b/>
          <w:color w:val="000000"/>
          <w:szCs w:val="22"/>
        </w:rPr>
        <w:t xml:space="preserve">: </w:t>
      </w:r>
      <w:r>
        <w:rPr>
          <w:rFonts w:eastAsia="Arial"/>
          <w:b/>
          <w:bCs/>
          <w:color w:val="000000"/>
          <w:szCs w:val="22"/>
        </w:rPr>
        <w:t>Dans quelle mesure les priorités stratégiques du Cadre de Coopération (CC) tout en tenant compte du genre, droits humains, égalité des sexes sont alignées aux besoins et priorités nationales, régionales et internationales ?</w:t>
      </w:r>
    </w:p>
    <w:p w14:paraId="4337F93B" w14:textId="77777777" w:rsidR="00EA6DED" w:rsidRDefault="00EA6DED">
      <w:pPr>
        <w:rPr>
          <w:sz w:val="22"/>
          <w:szCs w:val="22"/>
        </w:rPr>
      </w:pPr>
    </w:p>
    <w:p w14:paraId="4337F93C" w14:textId="77777777" w:rsidR="00EA6DED" w:rsidRDefault="007504AE">
      <w:pPr>
        <w:pStyle w:val="Titre3"/>
        <w:rPr>
          <w:rFonts w:ascii="Times New Roman" w:eastAsia="Arial" w:hAnsi="Times New Roman"/>
          <w:i/>
          <w:iCs/>
          <w:color w:val="000000"/>
          <w:sz w:val="22"/>
          <w:szCs w:val="22"/>
        </w:rPr>
      </w:pPr>
      <w:bookmarkStart w:id="99" w:name="_Toc12044"/>
      <w:r>
        <w:rPr>
          <w:rFonts w:ascii="Times New Roman" w:eastAsia="Arial" w:hAnsi="Times New Roman"/>
          <w:i/>
          <w:iCs/>
          <w:color w:val="000000"/>
          <w:sz w:val="22"/>
          <w:szCs w:val="22"/>
        </w:rPr>
        <w:t>5.1.1. Pertinence et adéquation avec les priorités nationales définies par la SND 30 et les engagements régionaux et internationaux</w:t>
      </w:r>
      <w:bookmarkEnd w:id="99"/>
      <w:r>
        <w:rPr>
          <w:rFonts w:ascii="Times New Roman" w:eastAsia="Arial" w:hAnsi="Times New Roman"/>
          <w:i/>
          <w:iCs/>
          <w:color w:val="000000"/>
          <w:sz w:val="22"/>
          <w:szCs w:val="22"/>
        </w:rPr>
        <w:t xml:space="preserve"> </w:t>
      </w:r>
    </w:p>
    <w:p w14:paraId="4337F93D" w14:textId="77777777" w:rsidR="00EA6DED" w:rsidRDefault="007504AE">
      <w:pPr>
        <w:pStyle w:val="NormalWeb"/>
        <w:jc w:val="both"/>
        <w:rPr>
          <w:b/>
          <w:bCs/>
          <w:sz w:val="22"/>
          <w:szCs w:val="22"/>
        </w:rPr>
      </w:pPr>
      <w:r>
        <w:rPr>
          <w:noProof/>
        </w:rPr>
        <w:drawing>
          <wp:anchor distT="0" distB="0" distL="114300" distR="114300" simplePos="0" relativeHeight="251665408" behindDoc="0" locked="0" layoutInCell="1" allowOverlap="1" wp14:anchorId="4337FDE9" wp14:editId="4337FDEA">
            <wp:simplePos x="0" y="0"/>
            <wp:positionH relativeFrom="column">
              <wp:posOffset>2196465</wp:posOffset>
            </wp:positionH>
            <wp:positionV relativeFrom="paragraph">
              <wp:posOffset>1950085</wp:posOffset>
            </wp:positionV>
            <wp:extent cx="4506595" cy="2693035"/>
            <wp:effectExtent l="0" t="0" r="4445" b="4445"/>
            <wp:wrapSquare wrapText="bothSides"/>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pic:cNvPicPr>
                      <a:picLocks noChangeAspect="1"/>
                    </pic:cNvPicPr>
                  </pic:nvPicPr>
                  <pic:blipFill>
                    <a:blip r:embed="rId21"/>
                    <a:stretch>
                      <a:fillRect/>
                    </a:stretch>
                  </pic:blipFill>
                  <pic:spPr>
                    <a:xfrm>
                      <a:off x="0" y="0"/>
                      <a:ext cx="4506595" cy="2693035"/>
                    </a:xfrm>
                    <a:prstGeom prst="rect">
                      <a:avLst/>
                    </a:prstGeom>
                    <a:noFill/>
                    <a:ln>
                      <a:noFill/>
                    </a:ln>
                  </pic:spPr>
                </pic:pic>
              </a:graphicData>
            </a:graphic>
          </wp:anchor>
        </w:drawing>
      </w:r>
      <w:r>
        <w:t>L’analyse documentaire et les entretiens avec les chefs d'agences révèlent un ancrage thématique lisible entre le contenu programmatique du CC 2022-2026 et les priorités nationales avec un alignement évident des priorités stratégiques du cadre de coopération avec les piliers de la SND30. En effet, la priorité stratégique 1 du CC sur la ‘’Croissance inclusive et durable’’, s’aligne aux piliers 1 de la SND 30 sur la ‘’transformation structurelle de l’économie’’ et 3 sur la ‘’Promotion de l’emploi et insertion’’; la priorité stratégique 2 sur le ‘’Développement humain et social de qualité, inclusif et équitable’’ s’aligne au pilier 2 sur le développement du capital humain et du bien-être et au pilier 3 sur la promotion de l’emploi et insertion’’; la priorité stratégique 3 sur ’’appui institutionnel et participation citoyenne’’ s’aligne au pilier 4 sur la Gouvernance, décentralisation et gestion stratégique de l’État. En ce qui concerne la priorité stratégique 4 axée sur la durabilité environnementale et la gestion efficace des risques climatiques, bien qu'elle soit davantage en phase avec les objectifs de développement durable (ODD 13, ODD 14 et ODD 15) et les politiques et programmes sectoriels, elle dispose également des interventions récurrentes liées à la transformation structurelle de l’économie, à la gouvernance et à la gestion stratégique de l'État (voir encadré n° 1 ci-après).</w:t>
      </w:r>
    </w:p>
    <w:p w14:paraId="4337F93E" w14:textId="77777777" w:rsidR="00EA6DED" w:rsidRDefault="007504AE">
      <w:pPr>
        <w:pStyle w:val="NormalWeb"/>
        <w:jc w:val="both"/>
      </w:pPr>
      <w:r>
        <w:t>Les rapports émanant des cadres de concertation nationaux</w:t>
      </w:r>
      <w:r>
        <w:rPr>
          <w:rStyle w:val="Appelnotedebasdep"/>
          <w:rFonts w:eastAsia="SimSun"/>
        </w:rPr>
        <w:footnoteReference w:id="30"/>
      </w:r>
      <w:r>
        <w:t>, des groupes de coordination sectoriels et de certains groupes de résultats témoignent d'un processus documenté et inclusif entre le SNU, le gouvernement et les autres parties prenantes pour aligner les interventions du CC sur les priorités nationales et sectorielles</w:t>
      </w:r>
      <w:r>
        <w:rPr>
          <w:rStyle w:val="Appelnotedebasdep"/>
          <w:rFonts w:eastAsia="SimSun"/>
        </w:rPr>
        <w:footnoteReference w:id="31"/>
      </w:r>
      <w:r>
        <w:t>.</w:t>
      </w:r>
    </w:p>
    <w:p w14:paraId="4337F93F" w14:textId="77777777" w:rsidR="00EA6DED" w:rsidRDefault="007504AE">
      <w:pPr>
        <w:jc w:val="both"/>
      </w:pPr>
      <w:r>
        <w:t>Le CC 2022-2026 est en cohérence thématique avec les objectifs 1, 2, 3, 6, 7, 11, 12, 13, 16 et 18 de l’Agenda 2063</w:t>
      </w:r>
      <w:r>
        <w:rPr>
          <w:rStyle w:val="Appelnotedebasdep"/>
          <w:rFonts w:eastAsia="SimSun"/>
        </w:rPr>
        <w:footnoteReference w:id="32"/>
      </w:r>
      <w:r>
        <w:t xml:space="preserve"> à travers son arrimage aux aspirations 1 sur la croissance inclusive et le développement durable ; 3 sur la bonne gouvernance, la démocratie, le respect des droits de l'homme, de justice et d’état de droit ; 4 sur la paix et la sécurité ; et 6 sur le potentiel des populations, notamment celles des femmes et des jeunes. Les plans de travail conjoints et les rapports des résultats du CC mettent également en relief la plupart des programmes clé </w:t>
      </w:r>
      <w:r>
        <w:lastRenderedPageBreak/>
        <w:t xml:space="preserve">de l’UA dont (i) la résolution des conflits paix et sécurité, (ii) le développement des infrastructures et de l’énergie,  (iii) le développent agricole, (iv) la démocratie et la gouvernance, (v) la promotion de la santé et nutrition, (vi) la migration, le  travail et emploi, (vii) la promotion de la jeunesse, (viii) le développement du secteur privé, (ix) l’égalité des genre et développement (…).  </w:t>
      </w:r>
    </w:p>
    <w:p w14:paraId="4337F940" w14:textId="77777777" w:rsidR="00EA6DED" w:rsidRDefault="00EA6DED">
      <w:pPr>
        <w:jc w:val="both"/>
        <w:rPr>
          <w:sz w:val="10"/>
          <w:szCs w:val="10"/>
        </w:rPr>
      </w:pPr>
    </w:p>
    <w:p w14:paraId="4337F941" w14:textId="77777777" w:rsidR="00EA6DED" w:rsidRDefault="007504AE">
      <w:pPr>
        <w:pStyle w:val="NormalWeb"/>
        <w:spacing w:before="0" w:beforeAutospacing="0" w:after="0" w:afterAutospacing="0"/>
        <w:jc w:val="both"/>
      </w:pPr>
      <w:r>
        <w:t>Par rapport aux objectifs de la Communauté Économique et Monétaire de l’Afrique Centrale (CEMAC)</w:t>
      </w:r>
      <w:r>
        <w:rPr>
          <w:rStyle w:val="Appelnotedebasdep"/>
          <w:rFonts w:eastAsia="SimSun"/>
        </w:rPr>
        <w:footnoteReference w:id="33"/>
      </w:r>
      <w:r>
        <w:t>, le CC couvre remarquablement ses 4 axes stratégiques</w:t>
      </w:r>
      <w:r>
        <w:rPr>
          <w:rStyle w:val="Appelnotedebasdep"/>
          <w:rFonts w:eastAsia="SimSun"/>
        </w:rPr>
        <w:footnoteReference w:id="34"/>
      </w:r>
      <w:r>
        <w:t xml:space="preserve"> et la plupart de ses projets intégrateurs dans les domaines (i) des infrastructures de transport, d’électricité et de télécommunications, </w:t>
      </w:r>
      <w:r>
        <w:rPr>
          <w:b/>
          <w:bCs/>
        </w:rPr>
        <w:t>(ii)</w:t>
      </w:r>
      <w:r>
        <w:t> de la résilience des économies, </w:t>
      </w:r>
      <w:r>
        <w:rPr>
          <w:b/>
          <w:bCs/>
        </w:rPr>
        <w:t>(iii)</w:t>
      </w:r>
      <w:r>
        <w:t> de la sécurité alimentaire à travers la ZLECAF,  </w:t>
      </w:r>
      <w:r>
        <w:rPr>
          <w:b/>
          <w:bCs/>
        </w:rPr>
        <w:t>(iv)</w:t>
      </w:r>
      <w:r>
        <w:t> de la lutte contre le réchauffement climatique, l’amélioration de l’emploi et des revenus notamment des jeunes, et </w:t>
      </w:r>
      <w:r>
        <w:rPr>
          <w:b/>
          <w:bCs/>
        </w:rPr>
        <w:t>(v)</w:t>
      </w:r>
      <w:r>
        <w:t> la transformation locale des ressources naturelles</w:t>
      </w:r>
      <w:r>
        <w:rPr>
          <w:rStyle w:val="Appelnotedebasdep"/>
          <w:rFonts w:eastAsia="SimSun"/>
        </w:rPr>
        <w:footnoteReference w:id="35"/>
      </w:r>
      <w:r>
        <w:t xml:space="preserve">. </w:t>
      </w:r>
    </w:p>
    <w:p w14:paraId="4337F942" w14:textId="77777777" w:rsidR="00EA6DED" w:rsidRDefault="00EA6DED">
      <w:pPr>
        <w:pStyle w:val="NormalWeb"/>
        <w:spacing w:before="0" w:beforeAutospacing="0" w:after="0" w:afterAutospacing="0"/>
        <w:jc w:val="both"/>
        <w:rPr>
          <w:sz w:val="10"/>
          <w:szCs w:val="10"/>
        </w:rPr>
      </w:pPr>
    </w:p>
    <w:p w14:paraId="4337F943" w14:textId="77777777" w:rsidR="00EA6DED" w:rsidRDefault="007504AE">
      <w:pPr>
        <w:tabs>
          <w:tab w:val="left" w:pos="2127"/>
        </w:tabs>
        <w:jc w:val="both"/>
      </w:pPr>
      <w:r>
        <w:t xml:space="preserve">L’alignement du cadre de coopération sur les problématiques environnementales peut s’observer à l’échelle régionale et internationale par la reprise du CC des engagements initiés par le pays sur les questions forestières, climatiques et de gestion de catastrophes. Dans certaines régions du pays (comme l’Est), des projets comme </w:t>
      </w:r>
      <w:r>
        <w:rPr>
          <w:rStyle w:val="lev"/>
          <w:b w:val="0"/>
        </w:rPr>
        <w:t>PULCCA</w:t>
      </w:r>
      <w:r>
        <w:rPr>
          <w:b/>
        </w:rPr>
        <w:t xml:space="preserve"> </w:t>
      </w:r>
      <w:r>
        <w:t>et l’</w:t>
      </w:r>
      <w:r>
        <w:rPr>
          <w:rStyle w:val="lev"/>
          <w:b w:val="0"/>
          <w:bCs w:val="0"/>
        </w:rPr>
        <w:t>autonomisation des femmes réfugiées</w:t>
      </w:r>
      <w:r>
        <w:rPr>
          <w:rStyle w:val="lev"/>
        </w:rPr>
        <w:t>,</w:t>
      </w:r>
      <w:r>
        <w:t xml:space="preserve"> ont</w:t>
      </w:r>
      <w:r>
        <w:rPr>
          <w:b/>
        </w:rPr>
        <w:t xml:space="preserve"> </w:t>
      </w:r>
      <w:r>
        <w:t xml:space="preserve">démontré une forte pertinence et adaptabilité locale, bien que certains ajustements soient nécessaires pour mieux répondre aux capacités physiques ou sociales des bénéficiaires. </w:t>
      </w:r>
    </w:p>
    <w:p w14:paraId="4337F944" w14:textId="77777777" w:rsidR="00EA6DED" w:rsidRDefault="00EA6DED">
      <w:pPr>
        <w:jc w:val="both"/>
        <w:rPr>
          <w:sz w:val="13"/>
          <w:szCs w:val="13"/>
        </w:rPr>
      </w:pPr>
    </w:p>
    <w:p w14:paraId="4337F945" w14:textId="77777777" w:rsidR="00EA6DED" w:rsidRDefault="007504AE">
      <w:pPr>
        <w:jc w:val="both"/>
      </w:pPr>
      <w:r>
        <w:t>Cependant, plusieurs défis en lien avec la pertinence ont été relevés dont :</w:t>
      </w:r>
    </w:p>
    <w:p w14:paraId="4337F946" w14:textId="77777777" w:rsidR="00EA6DED" w:rsidRDefault="007504AE">
      <w:pPr>
        <w:pStyle w:val="Paragraphedeliste"/>
        <w:numPr>
          <w:ilvl w:val="0"/>
          <w:numId w:val="10"/>
        </w:numPr>
        <w:jc w:val="both"/>
      </w:pPr>
      <w:r>
        <w:t xml:space="preserve"> La faible intégration de l’approche nexus humanitaire-développement-paix dans les documents stratégiques et les programmes, surtout en zones de crise malgré l’existence d’une stratégie structurée et de quelques expériences réussies ;</w:t>
      </w:r>
    </w:p>
    <w:p w14:paraId="4337F947" w14:textId="77777777" w:rsidR="00EA6DED" w:rsidRDefault="007504AE">
      <w:pPr>
        <w:pStyle w:val="Paragraphedeliste"/>
        <w:numPr>
          <w:ilvl w:val="0"/>
          <w:numId w:val="10"/>
        </w:numPr>
        <w:jc w:val="both"/>
      </w:pPr>
      <w:r>
        <w:t>L’insuffisante transversalité intersectorielle qui limite l'activation des liens nécessaires entre des domaines comme la santé, nutrition</w:t>
      </w:r>
      <w:r>
        <w:rPr>
          <w:rStyle w:val="Appelnotedebasdep"/>
          <w:rFonts w:eastAsia="SimSun"/>
        </w:rPr>
        <w:footnoteReference w:id="36"/>
      </w:r>
      <w:r>
        <w:t xml:space="preserve"> l'éducation, le VIH</w:t>
      </w:r>
      <w:r>
        <w:rPr>
          <w:rStyle w:val="Appelnotedebasdep"/>
          <w:rFonts w:eastAsia="SimSun"/>
        </w:rPr>
        <w:footnoteReference w:id="37"/>
      </w:r>
      <w:r>
        <w:t xml:space="preserve"> ou le genre ;</w:t>
      </w:r>
    </w:p>
    <w:p w14:paraId="4337F948" w14:textId="77777777" w:rsidR="00EA6DED" w:rsidRDefault="007504AE">
      <w:pPr>
        <w:numPr>
          <w:ilvl w:val="0"/>
          <w:numId w:val="11"/>
        </w:numPr>
        <w:tabs>
          <w:tab w:val="left" w:pos="360"/>
        </w:tabs>
        <w:contextualSpacing/>
        <w:jc w:val="both"/>
      </w:pPr>
      <w:r>
        <w:t>L’utilisation insuffisante</w:t>
      </w:r>
      <w:r>
        <w:rPr>
          <w:bCs/>
        </w:rPr>
        <w:t xml:space="preserve"> des solutions innovantes</w:t>
      </w:r>
      <w:r>
        <w:t xml:space="preserve"> qui ne facilite pas de tirer parti des innovations technologiques et numériques dans la conception et la mise en œuvre des programmes pour générer des effets transformateurs ;  </w:t>
      </w:r>
    </w:p>
    <w:p w14:paraId="4337F949" w14:textId="77777777" w:rsidR="00EA6DED" w:rsidRDefault="007504AE">
      <w:pPr>
        <w:numPr>
          <w:ilvl w:val="0"/>
          <w:numId w:val="11"/>
        </w:numPr>
        <w:tabs>
          <w:tab w:val="left" w:pos="360"/>
        </w:tabs>
        <w:contextualSpacing/>
        <w:jc w:val="both"/>
      </w:pPr>
      <w:r>
        <w:rPr>
          <w:bCs/>
        </w:rPr>
        <w:t>L’implication résiduelle des acteurs et des bénéficiaires</w:t>
      </w:r>
      <w:r>
        <w:t xml:space="preserve"> aux différentes étapes du cycle de programmation. Le secteur privé par exemple est ‘’un acteur oublié, sinon négligé’’ alors qu’il est porteur de la croissance économique et pourvoyeur d’emplois. L’amélioration de l’attractivité et de la compétitivité du secteur privé dans un contexte où la sécurité juridique, les charges fiscales, l’accès aux financements demeurent les contraintes majeures pour les PME/PMI, reste critique. Ce contexte est renchéri par un solde de perception des infrastructures par les opérateurs économiques très faible (-67%)</w:t>
      </w:r>
      <w:r>
        <w:rPr>
          <w:rStyle w:val="Appelnotedebasdep"/>
          <w:rFonts w:eastAsia="SimSun"/>
        </w:rPr>
        <w:footnoteReference w:id="38"/>
      </w:r>
      <w:r>
        <w:t xml:space="preserve"> et un indice de compétitivité de talents bas (25,9 en 2023, soit 118ème rang sur 180)</w:t>
      </w:r>
      <w:r>
        <w:rPr>
          <w:rStyle w:val="Appelnotedebasdep"/>
          <w:rFonts w:eastAsia="SimSun"/>
        </w:rPr>
        <w:footnoteReference w:id="39"/>
      </w:r>
      <w:r>
        <w:t xml:space="preserve"> ;             </w:t>
      </w:r>
    </w:p>
    <w:p w14:paraId="4337F94A" w14:textId="77777777" w:rsidR="00EA6DED" w:rsidRDefault="007504AE">
      <w:pPr>
        <w:numPr>
          <w:ilvl w:val="0"/>
          <w:numId w:val="11"/>
        </w:numPr>
        <w:tabs>
          <w:tab w:val="left" w:pos="360"/>
        </w:tabs>
        <w:spacing w:before="100" w:beforeAutospacing="1" w:after="100" w:afterAutospacing="1"/>
        <w:jc w:val="both"/>
      </w:pPr>
      <w:r>
        <w:rPr>
          <w:bCs/>
        </w:rPr>
        <w:t xml:space="preserve">Le faible intérêt des agences pour les partenariats stratégiques et les activités/services intégrés </w:t>
      </w:r>
      <w:r>
        <w:t>dans les zones de convergence limite les gains liés aux avantages comparatifs des agences et les opportunités pour mener des interventions localisées au profit des ODD qui peinent à bouger ((1,7,9, 10, 11 etc..)  ;</w:t>
      </w:r>
    </w:p>
    <w:p w14:paraId="4337F94B" w14:textId="77777777" w:rsidR="00EA6DED" w:rsidRDefault="007504AE">
      <w:pPr>
        <w:numPr>
          <w:ilvl w:val="0"/>
          <w:numId w:val="11"/>
        </w:numPr>
        <w:tabs>
          <w:tab w:val="left" w:pos="360"/>
        </w:tabs>
        <w:spacing w:before="100" w:beforeAutospacing="1" w:after="100" w:afterAutospacing="1"/>
        <w:jc w:val="both"/>
      </w:pPr>
      <w:r>
        <w:rPr>
          <w:bCs/>
        </w:rPr>
        <w:t xml:space="preserve">L’exploration et la localisation insuffisantes des Transitions clés et du Pacte mondial pour l’avenir limitent l’ancrage thématique avec certains besoins. En effet, les NU au Cameroun travaillent déjà activement sur les Transitions et le Pacte mondial pour l’avenir mais la plupart des agences consultées estiment qu’on pourrait les ré-analyser avec la partie nationale et les autres parties prenantes pour identifier les secteurs verticaux et les secteurs transversaux pour le pays ; </w:t>
      </w:r>
    </w:p>
    <w:p w14:paraId="4337F94C" w14:textId="77777777" w:rsidR="00EA6DED" w:rsidRDefault="007504AE">
      <w:pPr>
        <w:numPr>
          <w:ilvl w:val="0"/>
          <w:numId w:val="11"/>
        </w:numPr>
        <w:tabs>
          <w:tab w:val="left" w:pos="360"/>
        </w:tabs>
        <w:spacing w:before="100" w:beforeAutospacing="1" w:after="100" w:afterAutospacing="1"/>
        <w:jc w:val="both"/>
      </w:pPr>
      <w:r>
        <w:t>La prise en compte partielle de l’analyse systématique  de l’impact des questions de déplacements forcés sur l’incidence et l’ampleur de la pauvreté dans les zones  affectées sur le territoire national ne facilite pas l’intégration des besoins des déplacés dans les programmes</w:t>
      </w:r>
    </w:p>
    <w:p w14:paraId="4337F94D" w14:textId="77777777" w:rsidR="00EA6DED" w:rsidRDefault="007504AE">
      <w:pPr>
        <w:pStyle w:val="Titre3"/>
        <w:rPr>
          <w:rFonts w:ascii="Times New Roman" w:eastAsia="Arial" w:hAnsi="Times New Roman"/>
          <w:i/>
          <w:iCs/>
          <w:color w:val="000000"/>
          <w:sz w:val="22"/>
          <w:szCs w:val="22"/>
        </w:rPr>
      </w:pPr>
      <w:bookmarkStart w:id="100" w:name="_Toc21584"/>
      <w:r>
        <w:rPr>
          <w:rFonts w:ascii="Times New Roman" w:eastAsia="Arial" w:hAnsi="Times New Roman"/>
          <w:i/>
          <w:iCs/>
          <w:color w:val="000000"/>
          <w:sz w:val="22"/>
          <w:szCs w:val="22"/>
        </w:rPr>
        <w:lastRenderedPageBreak/>
        <w:t>5.1.2. Pertinence en cohérence avec la validité de la théorie de changement, les chaînes de résultats et la qualité des indicateurs</w:t>
      </w:r>
      <w:bookmarkEnd w:id="100"/>
      <w:r>
        <w:rPr>
          <w:rFonts w:ascii="Times New Roman" w:eastAsia="Arial" w:hAnsi="Times New Roman"/>
          <w:i/>
          <w:iCs/>
          <w:color w:val="000000"/>
          <w:sz w:val="22"/>
          <w:szCs w:val="22"/>
        </w:rPr>
        <w:t xml:space="preserve"> </w:t>
      </w:r>
    </w:p>
    <w:p w14:paraId="4337F94E" w14:textId="77777777" w:rsidR="00EA6DED" w:rsidRDefault="00EA6DED">
      <w:pPr>
        <w:rPr>
          <w:sz w:val="6"/>
          <w:szCs w:val="6"/>
        </w:rPr>
      </w:pPr>
    </w:p>
    <w:p w14:paraId="4337F94F" w14:textId="77777777" w:rsidR="00EA6DED" w:rsidRDefault="007504AE">
      <w:pPr>
        <w:pStyle w:val="NormalWeb"/>
        <w:spacing w:before="0" w:beforeAutospacing="0" w:after="0" w:afterAutospacing="0"/>
        <w:jc w:val="both"/>
      </w:pPr>
      <w:r>
        <w:t>Les 64 indicateurs de Produit du cadre de résultats se présentent pour la plupart comme des indicateurs d'impact, tandis que ceux considérés comme des indicateurs d’effet/impact  mesurent essentiellement  des changements au niveau macro sans possibilité d’apprécier la contribution spécifique des Nations Unies à l’évolution de ces indicateurs et par prolongement  aux résultats de la SND30 (par exemple, indicateurs 1.2.1 ; 2.1.5.2 ; 2.1.6.2 ; 2.1.6.3 ; 2.1.6.4 ; 2.1.6.6 ; 2.1.7.1 ; 2.2.1.2 ; 3.1.2 ; 3.1.3). Cette situation complique l'évaluation de l'effectivité et de la redevabilité programmatique et rend difficile la validation de la pertinence et de la mesurabilité des indicateurs de Produit. Tous les Groupes de Résultats ont exprimé des préoccupations concernant la mise en œuvre du cadre de résultats. Sur le plan conceptuel, les terminologies de suivi-évaluation ont été modifiées, remplaçant « Effet » par « Réalisation » et introduisant des « Sous-produits ».</w:t>
      </w:r>
    </w:p>
    <w:p w14:paraId="4337F950" w14:textId="77777777" w:rsidR="00EA6DED" w:rsidRDefault="00EA6DED">
      <w:pPr>
        <w:tabs>
          <w:tab w:val="left" w:pos="360"/>
        </w:tabs>
        <w:contextualSpacing/>
        <w:jc w:val="both"/>
        <w:rPr>
          <w:bCs/>
          <w:color w:val="000000"/>
        </w:rPr>
      </w:pPr>
    </w:p>
    <w:p w14:paraId="4337F951" w14:textId="77777777" w:rsidR="00EA6DED" w:rsidRDefault="007504AE">
      <w:pPr>
        <w:tabs>
          <w:tab w:val="left" w:pos="360"/>
        </w:tabs>
        <w:contextualSpacing/>
        <w:jc w:val="both"/>
        <w:rPr>
          <w:b/>
        </w:rPr>
      </w:pPr>
      <w:r>
        <w:rPr>
          <w:bCs/>
          <w:color w:val="000000"/>
        </w:rPr>
        <w:t xml:space="preserve">Globalement, le cadre des résultats du CC 2022-2026, ne permet pas à l’équipe-pays de rendre compte de manière confortable, de ses résultats conjoints, le reportage étant plus ancré sur les activités que les résultats. </w:t>
      </w:r>
      <w:r>
        <w:t>En outre, les Plans de Travail Conjoints (PTC) sont trop fragmentés et ressemblent plus à une juxtaposition des activités spécifiques des agences qu’à un véritable plan de travail conjoint. La faible prise en compte de la Gestion Axée sur les Résultats (GAR) a entravé la redevabilité programmatique à cause des difficultés de mesurabilité de la plupart des indicateurs de Produits formulés comme des indicateurs d’Effet</w:t>
      </w:r>
      <w:r>
        <w:rPr>
          <w:color w:val="000000"/>
        </w:rPr>
        <w:t xml:space="preserve"> Enfin, comme outil d’aide à la décision stratégique,</w:t>
      </w:r>
      <w:r>
        <w:rPr>
          <w:b/>
          <w:bCs/>
        </w:rPr>
        <w:t xml:space="preserve"> la gestion de la théorie du changement</w:t>
      </w:r>
      <w:r>
        <w:rPr>
          <w:color w:val="000000"/>
        </w:rPr>
        <w:t xml:space="preserve"> n’a pas été assez dynamique pour faciliter l’ajustement continu des interventions du CC aux priorités nationales face à l’évolution des contextes nationaux, régionaux et sectoriels.</w:t>
      </w:r>
    </w:p>
    <w:p w14:paraId="4337F952" w14:textId="77777777" w:rsidR="00EA6DED" w:rsidRDefault="00EA6DED">
      <w:pPr>
        <w:contextualSpacing/>
        <w:jc w:val="both"/>
        <w:rPr>
          <w:b/>
          <w:sz w:val="10"/>
          <w:szCs w:val="10"/>
        </w:rPr>
      </w:pPr>
    </w:p>
    <w:p w14:paraId="4337F953" w14:textId="77777777" w:rsidR="00EA6DED" w:rsidRDefault="00EA6DED">
      <w:pPr>
        <w:pStyle w:val="Titre3"/>
        <w:rPr>
          <w:rFonts w:ascii="Times New Roman" w:eastAsia="Arial" w:hAnsi="Times New Roman"/>
          <w:i/>
          <w:iCs/>
          <w:color w:val="000000"/>
          <w:sz w:val="22"/>
          <w:szCs w:val="22"/>
        </w:rPr>
      </w:pPr>
    </w:p>
    <w:p w14:paraId="4337F954" w14:textId="77777777" w:rsidR="00EA6DED" w:rsidRDefault="007504AE">
      <w:pPr>
        <w:pStyle w:val="Titre3"/>
        <w:rPr>
          <w:rFonts w:ascii="Times New Roman" w:eastAsia="Arial" w:hAnsi="Times New Roman"/>
          <w:i/>
          <w:iCs/>
          <w:color w:val="000000"/>
          <w:sz w:val="22"/>
          <w:szCs w:val="22"/>
        </w:rPr>
      </w:pPr>
      <w:bookmarkStart w:id="101" w:name="_Toc2386"/>
      <w:r>
        <w:rPr>
          <w:rFonts w:ascii="Times New Roman" w:eastAsia="Arial" w:hAnsi="Times New Roman"/>
          <w:i/>
          <w:iCs/>
          <w:color w:val="000000"/>
          <w:sz w:val="22"/>
          <w:szCs w:val="22"/>
        </w:rPr>
        <w:t>5.1.3. Alignement sur les ODD et les priorités stratégiques sectorielles</w:t>
      </w:r>
      <w:bookmarkEnd w:id="101"/>
    </w:p>
    <w:p w14:paraId="4337F955" w14:textId="77777777" w:rsidR="00EA6DED" w:rsidRDefault="007504AE">
      <w:pPr>
        <w:pStyle w:val="NormalWeb"/>
        <w:spacing w:before="0" w:beforeAutospacing="0" w:after="0" w:afterAutospacing="0"/>
        <w:jc w:val="both"/>
        <w:rPr>
          <w:bCs/>
          <w:szCs w:val="22"/>
        </w:rPr>
      </w:pPr>
      <w:r>
        <w:rPr>
          <w:bCs/>
        </w:rPr>
        <w:t>L’analyse du document du cadre de coopération, des plans de travail conjoints et des rapports annuels montre une meilleure couverture des ODD, quelle que soit la priorité stratégique. ou la Réalisation suivant la configuration ci-dessous (figure</w:t>
      </w:r>
      <w:r>
        <w:rPr>
          <w:bCs/>
          <w:szCs w:val="22"/>
        </w:rPr>
        <w:t xml:space="preserve"> 4). </w:t>
      </w:r>
    </w:p>
    <w:p w14:paraId="4337F956" w14:textId="77777777" w:rsidR="00EA6DED" w:rsidRDefault="00EA6DED">
      <w:pPr>
        <w:pStyle w:val="NormalWeb"/>
        <w:spacing w:before="0" w:beforeAutospacing="0" w:after="0" w:afterAutospacing="0"/>
        <w:jc w:val="both"/>
        <w:rPr>
          <w:bCs/>
          <w:szCs w:val="22"/>
        </w:rPr>
      </w:pPr>
    </w:p>
    <w:p w14:paraId="4337F957" w14:textId="77777777" w:rsidR="00EA6DED" w:rsidRDefault="00EA6DED">
      <w:pPr>
        <w:pStyle w:val="NormalWeb"/>
        <w:spacing w:before="0" w:beforeAutospacing="0" w:after="0" w:afterAutospacing="0"/>
        <w:jc w:val="both"/>
        <w:rPr>
          <w:bCs/>
          <w:sz w:val="8"/>
          <w:szCs w:val="6"/>
        </w:rPr>
      </w:pPr>
    </w:p>
    <w:p w14:paraId="4337F958" w14:textId="77777777" w:rsidR="00EA6DED" w:rsidRDefault="007504AE">
      <w:pPr>
        <w:pStyle w:val="Lgende"/>
        <w:jc w:val="both"/>
        <w:rPr>
          <w:bCs/>
          <w:sz w:val="20"/>
          <w:szCs w:val="20"/>
        </w:rPr>
      </w:pPr>
      <w:bookmarkStart w:id="102" w:name="_Toc3391"/>
      <w:bookmarkStart w:id="103" w:name="_Toc7284"/>
      <w:r>
        <w:rPr>
          <w:sz w:val="20"/>
          <w:szCs w:val="20"/>
        </w:rPr>
        <w:t xml:space="preserve">Figure </w:t>
      </w:r>
      <w:r>
        <w:rPr>
          <w:sz w:val="20"/>
          <w:szCs w:val="20"/>
        </w:rPr>
        <w:fldChar w:fldCharType="begin"/>
      </w:r>
      <w:r>
        <w:rPr>
          <w:sz w:val="20"/>
          <w:szCs w:val="20"/>
        </w:rPr>
        <w:instrText xml:space="preserve"> SEQ Figure \* ARABIC </w:instrText>
      </w:r>
      <w:r>
        <w:rPr>
          <w:sz w:val="20"/>
          <w:szCs w:val="20"/>
        </w:rPr>
        <w:fldChar w:fldCharType="separate"/>
      </w:r>
      <w:r>
        <w:rPr>
          <w:sz w:val="20"/>
          <w:szCs w:val="20"/>
        </w:rPr>
        <w:t>4</w:t>
      </w:r>
      <w:r>
        <w:rPr>
          <w:sz w:val="20"/>
          <w:szCs w:val="20"/>
        </w:rPr>
        <w:fldChar w:fldCharType="end"/>
      </w:r>
      <w:bookmarkStart w:id="104" w:name="_Toc26568"/>
      <w:r>
        <w:rPr>
          <w:sz w:val="20"/>
          <w:szCs w:val="20"/>
        </w:rPr>
        <w:t>: Alignement avec les ODD</w:t>
      </w:r>
      <w:bookmarkEnd w:id="102"/>
      <w:bookmarkEnd w:id="103"/>
      <w:bookmarkEnd w:id="104"/>
    </w:p>
    <w:tbl>
      <w:tblPr>
        <w:tblW w:w="101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2689"/>
        <w:gridCol w:w="7487"/>
      </w:tblGrid>
      <w:tr w:rsidR="00EA6DED" w14:paraId="4337F95B" w14:textId="77777777">
        <w:tc>
          <w:tcPr>
            <w:tcW w:w="2689" w:type="dxa"/>
            <w:shd w:val="clear" w:color="auto" w:fill="B4C6E7"/>
          </w:tcPr>
          <w:p w14:paraId="4337F959" w14:textId="77777777" w:rsidR="00EA6DED" w:rsidRDefault="007504AE">
            <w:pPr>
              <w:pStyle w:val="NormalWeb"/>
              <w:rPr>
                <w:b/>
                <w:bCs/>
                <w:sz w:val="20"/>
                <w:szCs w:val="22"/>
              </w:rPr>
            </w:pPr>
            <w:r>
              <w:rPr>
                <w:b/>
                <w:bCs/>
                <w:sz w:val="20"/>
                <w:szCs w:val="22"/>
              </w:rPr>
              <w:t>Réalisations</w:t>
            </w:r>
          </w:p>
        </w:tc>
        <w:tc>
          <w:tcPr>
            <w:tcW w:w="7487" w:type="dxa"/>
            <w:shd w:val="clear" w:color="auto" w:fill="B4C6E7"/>
          </w:tcPr>
          <w:p w14:paraId="4337F95A" w14:textId="77777777" w:rsidR="00EA6DED" w:rsidRDefault="007504AE">
            <w:pPr>
              <w:pStyle w:val="NormalWeb"/>
              <w:rPr>
                <w:b/>
                <w:bCs/>
                <w:sz w:val="20"/>
                <w:szCs w:val="22"/>
              </w:rPr>
            </w:pPr>
            <w:r>
              <w:rPr>
                <w:b/>
                <w:bCs/>
                <w:sz w:val="20"/>
                <w:szCs w:val="22"/>
              </w:rPr>
              <w:t>ODD</w:t>
            </w:r>
          </w:p>
        </w:tc>
      </w:tr>
      <w:tr w:rsidR="00EA6DED" w14:paraId="4337F95E" w14:textId="77777777">
        <w:trPr>
          <w:trHeight w:val="550"/>
        </w:trPr>
        <w:tc>
          <w:tcPr>
            <w:tcW w:w="2689" w:type="dxa"/>
          </w:tcPr>
          <w:p w14:paraId="4337F95C" w14:textId="77777777" w:rsidR="00EA6DED" w:rsidRDefault="007504AE">
            <w:pPr>
              <w:pStyle w:val="NormalWeb"/>
              <w:jc w:val="both"/>
              <w:rPr>
                <w:bCs/>
                <w:sz w:val="20"/>
                <w:szCs w:val="22"/>
              </w:rPr>
            </w:pPr>
            <w:r>
              <w:rPr>
                <w:bCs/>
                <w:sz w:val="20"/>
                <w:szCs w:val="22"/>
              </w:rPr>
              <w:t xml:space="preserve">Réalisation 1 : Transformation économique et création d’emplois décents </w:t>
            </w:r>
          </w:p>
        </w:tc>
        <w:tc>
          <w:tcPr>
            <w:tcW w:w="7487" w:type="dxa"/>
          </w:tcPr>
          <w:p w14:paraId="4337F95D" w14:textId="77777777" w:rsidR="00EA6DED" w:rsidRDefault="007504AE">
            <w:pPr>
              <w:pStyle w:val="NormalWeb"/>
              <w:rPr>
                <w:sz w:val="20"/>
                <w:szCs w:val="22"/>
              </w:rPr>
            </w:pPr>
            <w:r>
              <w:rPr>
                <w:noProof/>
                <w:sz w:val="20"/>
                <w:szCs w:val="22"/>
              </w:rPr>
              <w:drawing>
                <wp:inline distT="0" distB="0" distL="0" distR="0" wp14:anchorId="4337FDEB" wp14:editId="4337FDEC">
                  <wp:extent cx="461645" cy="335280"/>
                  <wp:effectExtent l="0" t="0" r="0" b="0"/>
                  <wp:docPr id="663440525" name="Image 23" descr="https://pactemondial.org/wp-content/uploads/2023/02/od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440525" name="Image 23" descr="https://pactemondial.org/wp-content/uploads/2023/02/odd-1.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461645" cy="335280"/>
                          </a:xfrm>
                          <a:prstGeom prst="rect">
                            <a:avLst/>
                          </a:prstGeom>
                          <a:noFill/>
                          <a:ln>
                            <a:noFill/>
                          </a:ln>
                        </pic:spPr>
                      </pic:pic>
                    </a:graphicData>
                  </a:graphic>
                </wp:inline>
              </w:drawing>
            </w:r>
            <w:r>
              <w:rPr>
                <w:noProof/>
                <w:sz w:val="20"/>
                <w:szCs w:val="22"/>
              </w:rPr>
              <w:drawing>
                <wp:inline distT="0" distB="0" distL="0" distR="0" wp14:anchorId="4337FDED" wp14:editId="00CB912A">
                  <wp:extent cx="434340" cy="335280"/>
                  <wp:effectExtent l="0" t="0" r="0" b="0"/>
                  <wp:docPr id="1271519579" name="Image 28" descr="https://pactemondial.org/wp-content/uploads/2023/02/od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519579" name="Image 28" descr="https://pactemondial.org/wp-content/uploads/2023/02/odd-5.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434340" cy="335280"/>
                          </a:xfrm>
                          <a:prstGeom prst="rect">
                            <a:avLst/>
                          </a:prstGeom>
                          <a:noFill/>
                          <a:ln>
                            <a:noFill/>
                          </a:ln>
                        </pic:spPr>
                      </pic:pic>
                    </a:graphicData>
                  </a:graphic>
                </wp:inline>
              </w:drawing>
            </w:r>
            <w:r>
              <w:rPr>
                <w:noProof/>
                <w:sz w:val="20"/>
                <w:szCs w:val="22"/>
              </w:rPr>
              <w:drawing>
                <wp:inline distT="0" distB="0" distL="0" distR="0" wp14:anchorId="4337FDEF" wp14:editId="45985A43">
                  <wp:extent cx="470535" cy="335280"/>
                  <wp:effectExtent l="0" t="0" r="0" b="0"/>
                  <wp:docPr id="729565816" name="Image 34" descr="https://pactemondial.org/wp-content/uploads/2023/02/od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565816" name="Image 34" descr="https://pactemondial.org/wp-content/uploads/2023/02/odd-8.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470535" cy="335280"/>
                          </a:xfrm>
                          <a:prstGeom prst="rect">
                            <a:avLst/>
                          </a:prstGeom>
                          <a:noFill/>
                          <a:ln>
                            <a:noFill/>
                          </a:ln>
                        </pic:spPr>
                      </pic:pic>
                    </a:graphicData>
                  </a:graphic>
                </wp:inline>
              </w:drawing>
            </w:r>
            <w:r>
              <w:rPr>
                <w:noProof/>
                <w:sz w:val="20"/>
                <w:szCs w:val="22"/>
              </w:rPr>
              <w:drawing>
                <wp:inline distT="0" distB="0" distL="0" distR="0" wp14:anchorId="4337FDF1" wp14:editId="4337FDF2">
                  <wp:extent cx="443865" cy="325755"/>
                  <wp:effectExtent l="0" t="0" r="0" b="0"/>
                  <wp:docPr id="927441216" name="Image 38" descr="https://pactemondial.org/wp-content/uploads/2023/02/odd-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441216" name="Image 38" descr="https://pactemondial.org/wp-content/uploads/2023/02/odd-9.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443865" cy="325755"/>
                          </a:xfrm>
                          <a:prstGeom prst="rect">
                            <a:avLst/>
                          </a:prstGeom>
                          <a:noFill/>
                          <a:ln>
                            <a:noFill/>
                          </a:ln>
                        </pic:spPr>
                      </pic:pic>
                    </a:graphicData>
                  </a:graphic>
                </wp:inline>
              </w:drawing>
            </w:r>
            <w:r>
              <w:rPr>
                <w:noProof/>
                <w:sz w:val="20"/>
                <w:szCs w:val="22"/>
              </w:rPr>
              <w:drawing>
                <wp:inline distT="0" distB="0" distL="0" distR="0" wp14:anchorId="4337FDF3" wp14:editId="4337FDF4">
                  <wp:extent cx="434340" cy="335280"/>
                  <wp:effectExtent l="0" t="0" r="0" b="0"/>
                  <wp:docPr id="189774665" name="Image 42" descr="https://pactemondial.org/wp-content/uploads/2023/02/odd-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74665" name="Image 42" descr="https://pactemondial.org/wp-content/uploads/2023/02/odd-10.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434340" cy="335280"/>
                          </a:xfrm>
                          <a:prstGeom prst="rect">
                            <a:avLst/>
                          </a:prstGeom>
                          <a:noFill/>
                          <a:ln>
                            <a:noFill/>
                          </a:ln>
                        </pic:spPr>
                      </pic:pic>
                    </a:graphicData>
                  </a:graphic>
                </wp:inline>
              </w:drawing>
            </w:r>
            <w:r>
              <w:rPr>
                <w:noProof/>
                <w:sz w:val="20"/>
                <w:szCs w:val="22"/>
              </w:rPr>
              <w:drawing>
                <wp:inline distT="0" distB="0" distL="0" distR="0" wp14:anchorId="4337FDF5" wp14:editId="4D2CAA91">
                  <wp:extent cx="461645" cy="335280"/>
                  <wp:effectExtent l="0" t="0" r="0" b="0"/>
                  <wp:docPr id="64443638" name="Image 47" descr="https://pactemondial.org/wp-content/uploads/2023/02/odd-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43638" name="Image 47" descr="https://pactemondial.org/wp-content/uploads/2023/02/odd-12.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461645" cy="335280"/>
                          </a:xfrm>
                          <a:prstGeom prst="rect">
                            <a:avLst/>
                          </a:prstGeom>
                          <a:noFill/>
                          <a:ln>
                            <a:noFill/>
                          </a:ln>
                        </pic:spPr>
                      </pic:pic>
                    </a:graphicData>
                  </a:graphic>
                </wp:inline>
              </w:drawing>
            </w:r>
            <w:r>
              <w:rPr>
                <w:noProof/>
                <w:sz w:val="20"/>
                <w:szCs w:val="22"/>
              </w:rPr>
              <w:drawing>
                <wp:inline distT="0" distB="0" distL="0" distR="0" wp14:anchorId="4337FDF7" wp14:editId="0829F871">
                  <wp:extent cx="434340" cy="335280"/>
                  <wp:effectExtent l="0" t="0" r="0" b="0"/>
                  <wp:docPr id="1457424601" name="Image 51" descr="https://pactemondial.org/wp-content/uploads/2023/02/odd-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424601" name="Image 51" descr="https://pactemondial.org/wp-content/uploads/2023/02/odd-17.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434340" cy="335280"/>
                          </a:xfrm>
                          <a:prstGeom prst="rect">
                            <a:avLst/>
                          </a:prstGeom>
                          <a:noFill/>
                          <a:ln>
                            <a:noFill/>
                          </a:ln>
                        </pic:spPr>
                      </pic:pic>
                    </a:graphicData>
                  </a:graphic>
                </wp:inline>
              </w:drawing>
            </w:r>
            <w:r>
              <w:rPr>
                <w:noProof/>
                <w:sz w:val="20"/>
                <w:szCs w:val="22"/>
              </w:rPr>
              <w:drawing>
                <wp:inline distT="0" distB="0" distL="0" distR="0" wp14:anchorId="4337FDF9" wp14:editId="4337FDFA">
                  <wp:extent cx="461645" cy="335280"/>
                  <wp:effectExtent l="0" t="0" r="0" b="0"/>
                  <wp:docPr id="8" name="Image 23" descr="https://pactemondial.org/wp-content/uploads/2023/02/od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23" descr="https://pactemondial.org/wp-content/uploads/2023/02/odd-1.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461645" cy="335280"/>
                          </a:xfrm>
                          <a:prstGeom prst="rect">
                            <a:avLst/>
                          </a:prstGeom>
                          <a:noFill/>
                          <a:ln>
                            <a:noFill/>
                          </a:ln>
                        </pic:spPr>
                      </pic:pic>
                    </a:graphicData>
                  </a:graphic>
                </wp:inline>
              </w:drawing>
            </w:r>
            <w:r>
              <w:rPr>
                <w:noProof/>
                <w:sz w:val="20"/>
                <w:szCs w:val="22"/>
              </w:rPr>
              <w:drawing>
                <wp:inline distT="0" distB="0" distL="0" distR="0" wp14:anchorId="4337FDFB" wp14:editId="46B77C57">
                  <wp:extent cx="434340" cy="335280"/>
                  <wp:effectExtent l="0" t="0" r="0" b="0"/>
                  <wp:docPr id="9" name="Image 28" descr="https://pactemondial.org/wp-content/uploads/2023/02/od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28" descr="https://pactemondial.org/wp-content/uploads/2023/02/odd-5.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434340" cy="335280"/>
                          </a:xfrm>
                          <a:prstGeom prst="rect">
                            <a:avLst/>
                          </a:prstGeom>
                          <a:noFill/>
                          <a:ln>
                            <a:noFill/>
                          </a:ln>
                        </pic:spPr>
                      </pic:pic>
                    </a:graphicData>
                  </a:graphic>
                </wp:inline>
              </w:drawing>
            </w:r>
            <w:r>
              <w:rPr>
                <w:noProof/>
                <w:sz w:val="20"/>
                <w:szCs w:val="22"/>
              </w:rPr>
              <w:drawing>
                <wp:inline distT="0" distB="0" distL="0" distR="0" wp14:anchorId="4337FDFD" wp14:editId="5F9A8A46">
                  <wp:extent cx="470535" cy="335280"/>
                  <wp:effectExtent l="0" t="0" r="0" b="0"/>
                  <wp:docPr id="10" name="Image 34" descr="https://pactemondial.org/wp-content/uploads/2023/02/od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34" descr="https://pactemondial.org/wp-content/uploads/2023/02/odd-8.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470535" cy="335280"/>
                          </a:xfrm>
                          <a:prstGeom prst="rect">
                            <a:avLst/>
                          </a:prstGeom>
                          <a:noFill/>
                          <a:ln>
                            <a:noFill/>
                          </a:ln>
                        </pic:spPr>
                      </pic:pic>
                    </a:graphicData>
                  </a:graphic>
                </wp:inline>
              </w:drawing>
            </w:r>
            <w:r>
              <w:rPr>
                <w:noProof/>
                <w:sz w:val="20"/>
                <w:szCs w:val="22"/>
              </w:rPr>
              <w:drawing>
                <wp:inline distT="0" distB="0" distL="0" distR="0" wp14:anchorId="4337FDFF" wp14:editId="4337FE00">
                  <wp:extent cx="443865" cy="325755"/>
                  <wp:effectExtent l="0" t="0" r="0" b="0"/>
                  <wp:docPr id="11" name="Image 38" descr="https://pactemondial.org/wp-content/uploads/2023/02/odd-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38" descr="https://pactemondial.org/wp-content/uploads/2023/02/odd-9.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443865" cy="325755"/>
                          </a:xfrm>
                          <a:prstGeom prst="rect">
                            <a:avLst/>
                          </a:prstGeom>
                          <a:noFill/>
                          <a:ln>
                            <a:noFill/>
                          </a:ln>
                        </pic:spPr>
                      </pic:pic>
                    </a:graphicData>
                  </a:graphic>
                </wp:inline>
              </w:drawing>
            </w:r>
            <w:r>
              <w:rPr>
                <w:noProof/>
                <w:sz w:val="20"/>
                <w:szCs w:val="22"/>
              </w:rPr>
              <w:drawing>
                <wp:inline distT="0" distB="0" distL="0" distR="0" wp14:anchorId="4337FE01" wp14:editId="4337FE02">
                  <wp:extent cx="434340" cy="335280"/>
                  <wp:effectExtent l="0" t="0" r="0" b="0"/>
                  <wp:docPr id="12" name="Image 42" descr="https://pactemondial.org/wp-content/uploads/2023/02/odd-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42" descr="https://pactemondial.org/wp-content/uploads/2023/02/odd-10.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434340" cy="335280"/>
                          </a:xfrm>
                          <a:prstGeom prst="rect">
                            <a:avLst/>
                          </a:prstGeom>
                          <a:noFill/>
                          <a:ln>
                            <a:noFill/>
                          </a:ln>
                        </pic:spPr>
                      </pic:pic>
                    </a:graphicData>
                  </a:graphic>
                </wp:inline>
              </w:drawing>
            </w:r>
            <w:r>
              <w:rPr>
                <w:noProof/>
                <w:sz w:val="20"/>
                <w:szCs w:val="22"/>
              </w:rPr>
              <w:drawing>
                <wp:inline distT="0" distB="0" distL="0" distR="0" wp14:anchorId="4337FE03" wp14:editId="160BD943">
                  <wp:extent cx="461645" cy="335280"/>
                  <wp:effectExtent l="0" t="0" r="0" b="0"/>
                  <wp:docPr id="13" name="Image 47" descr="https://pactemondial.org/wp-content/uploads/2023/02/odd-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47" descr="https://pactemondial.org/wp-content/uploads/2023/02/odd-12.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461645" cy="335280"/>
                          </a:xfrm>
                          <a:prstGeom prst="rect">
                            <a:avLst/>
                          </a:prstGeom>
                          <a:noFill/>
                          <a:ln>
                            <a:noFill/>
                          </a:ln>
                        </pic:spPr>
                      </pic:pic>
                    </a:graphicData>
                  </a:graphic>
                </wp:inline>
              </w:drawing>
            </w:r>
            <w:r>
              <w:rPr>
                <w:noProof/>
                <w:sz w:val="20"/>
                <w:szCs w:val="22"/>
              </w:rPr>
              <w:drawing>
                <wp:inline distT="0" distB="0" distL="0" distR="0" wp14:anchorId="4337FE05" wp14:editId="56C31BBC">
                  <wp:extent cx="434340" cy="335280"/>
                  <wp:effectExtent l="0" t="0" r="0" b="0"/>
                  <wp:docPr id="14" name="Image 51" descr="https://pactemondial.org/wp-content/uploads/2023/02/odd-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51" descr="https://pactemondial.org/wp-content/uploads/2023/02/odd-17.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434340" cy="335280"/>
                          </a:xfrm>
                          <a:prstGeom prst="rect">
                            <a:avLst/>
                          </a:prstGeom>
                          <a:noFill/>
                          <a:ln>
                            <a:noFill/>
                          </a:ln>
                        </pic:spPr>
                      </pic:pic>
                    </a:graphicData>
                  </a:graphic>
                </wp:inline>
              </w:drawing>
            </w:r>
          </w:p>
        </w:tc>
      </w:tr>
      <w:tr w:rsidR="00EA6DED" w14:paraId="4337F963" w14:textId="77777777">
        <w:tc>
          <w:tcPr>
            <w:tcW w:w="2689" w:type="dxa"/>
          </w:tcPr>
          <w:p w14:paraId="4337F95F" w14:textId="77777777" w:rsidR="00EA6DED" w:rsidRDefault="007504AE">
            <w:pPr>
              <w:pStyle w:val="NormalWeb"/>
              <w:jc w:val="both"/>
              <w:rPr>
                <w:sz w:val="20"/>
                <w:szCs w:val="22"/>
              </w:rPr>
            </w:pPr>
            <w:r>
              <w:rPr>
                <w:b/>
                <w:bCs/>
                <w:sz w:val="20"/>
                <w:szCs w:val="22"/>
              </w:rPr>
              <w:t xml:space="preserve">Réalisation 2.1 </w:t>
            </w:r>
            <w:r>
              <w:rPr>
                <w:sz w:val="20"/>
                <w:szCs w:val="22"/>
              </w:rPr>
              <w:t xml:space="preserve">Utilisation des services sociaux de base de qualité de façon équitable et durable </w:t>
            </w:r>
          </w:p>
        </w:tc>
        <w:tc>
          <w:tcPr>
            <w:tcW w:w="7487" w:type="dxa"/>
          </w:tcPr>
          <w:p w14:paraId="4337F960" w14:textId="77777777" w:rsidR="00EA6DED" w:rsidRDefault="007504AE">
            <w:pPr>
              <w:pStyle w:val="NormalWeb"/>
              <w:rPr>
                <w:sz w:val="20"/>
                <w:szCs w:val="22"/>
              </w:rPr>
            </w:pPr>
            <w:r>
              <w:rPr>
                <w:noProof/>
                <w:sz w:val="20"/>
                <w:szCs w:val="22"/>
              </w:rPr>
              <w:drawing>
                <wp:inline distT="0" distB="0" distL="0" distR="0" wp14:anchorId="4337FE07" wp14:editId="4337FE08">
                  <wp:extent cx="525145" cy="344170"/>
                  <wp:effectExtent l="0" t="0" r="0" b="0"/>
                  <wp:docPr id="473460929" name="Image 26" descr="https://pactemondial.org/wp-content/uploads/2023/02/od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460929" name="Image 26" descr="https://pactemondial.org/wp-content/uploads/2023/02/odd-1.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525145" cy="344170"/>
                          </a:xfrm>
                          <a:prstGeom prst="rect">
                            <a:avLst/>
                          </a:prstGeom>
                          <a:noFill/>
                          <a:ln>
                            <a:noFill/>
                          </a:ln>
                        </pic:spPr>
                      </pic:pic>
                    </a:graphicData>
                  </a:graphic>
                </wp:inline>
              </w:drawing>
            </w:r>
            <w:r>
              <w:rPr>
                <w:noProof/>
                <w:sz w:val="20"/>
                <w:szCs w:val="22"/>
              </w:rPr>
              <w:drawing>
                <wp:inline distT="0" distB="0" distL="0" distR="0" wp14:anchorId="4337FE09" wp14:editId="4337FE0A">
                  <wp:extent cx="452755" cy="344170"/>
                  <wp:effectExtent l="0" t="0" r="0" b="0"/>
                  <wp:docPr id="1226901285" name="Image 29" descr="https://pactemondial.org/wp-content/uploads/2023/02/od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901285" name="Image 29" descr="https://pactemondial.org/wp-content/uploads/2023/02/odd-5.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452755" cy="344170"/>
                          </a:xfrm>
                          <a:prstGeom prst="rect">
                            <a:avLst/>
                          </a:prstGeom>
                          <a:noFill/>
                          <a:ln>
                            <a:noFill/>
                          </a:ln>
                        </pic:spPr>
                      </pic:pic>
                    </a:graphicData>
                  </a:graphic>
                </wp:inline>
              </w:drawing>
            </w:r>
            <w:r>
              <w:rPr>
                <w:noProof/>
                <w:sz w:val="20"/>
                <w:szCs w:val="22"/>
              </w:rPr>
              <w:drawing>
                <wp:inline distT="0" distB="0" distL="0" distR="0" wp14:anchorId="4337FE0B" wp14:editId="3E0812B9">
                  <wp:extent cx="389255" cy="344170"/>
                  <wp:effectExtent l="0" t="0" r="0" b="0"/>
                  <wp:docPr id="124414254" name="Image 35" descr="https://pactemondial.org/wp-content/uploads/2023/02/od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14254" name="Image 35" descr="https://pactemondial.org/wp-content/uploads/2023/02/odd-8.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389255" cy="344170"/>
                          </a:xfrm>
                          <a:prstGeom prst="rect">
                            <a:avLst/>
                          </a:prstGeom>
                          <a:noFill/>
                          <a:ln>
                            <a:noFill/>
                          </a:ln>
                        </pic:spPr>
                      </pic:pic>
                    </a:graphicData>
                  </a:graphic>
                </wp:inline>
              </w:drawing>
            </w:r>
            <w:r>
              <w:rPr>
                <w:noProof/>
                <w:sz w:val="20"/>
                <w:szCs w:val="22"/>
              </w:rPr>
              <w:drawing>
                <wp:inline distT="0" distB="0" distL="0" distR="0" wp14:anchorId="4337FE0D" wp14:editId="1B02306A">
                  <wp:extent cx="470535" cy="344170"/>
                  <wp:effectExtent l="0" t="0" r="0" b="0"/>
                  <wp:docPr id="1724328839" name="Image 39" descr="https://pactemondial.org/wp-content/uploads/2023/02/odd-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328839" name="Image 39" descr="https://pactemondial.org/wp-content/uploads/2023/02/odd-9.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470535" cy="344170"/>
                          </a:xfrm>
                          <a:prstGeom prst="rect">
                            <a:avLst/>
                          </a:prstGeom>
                          <a:noFill/>
                          <a:ln>
                            <a:noFill/>
                          </a:ln>
                        </pic:spPr>
                      </pic:pic>
                    </a:graphicData>
                  </a:graphic>
                </wp:inline>
              </w:drawing>
            </w:r>
            <w:r>
              <w:rPr>
                <w:noProof/>
                <w:sz w:val="20"/>
                <w:szCs w:val="22"/>
              </w:rPr>
              <w:drawing>
                <wp:inline distT="0" distB="0" distL="0" distR="0" wp14:anchorId="4337FE0F" wp14:editId="4337FE10">
                  <wp:extent cx="516255" cy="353060"/>
                  <wp:effectExtent l="0" t="0" r="0" b="0"/>
                  <wp:docPr id="1481797498" name="Image 43" descr="https://pactemondial.org/wp-content/uploads/2023/02/odd-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797498" name="Image 43" descr="https://pactemondial.org/wp-content/uploads/2023/02/odd-10.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516255" cy="353060"/>
                          </a:xfrm>
                          <a:prstGeom prst="rect">
                            <a:avLst/>
                          </a:prstGeom>
                          <a:noFill/>
                          <a:ln>
                            <a:noFill/>
                          </a:ln>
                        </pic:spPr>
                      </pic:pic>
                    </a:graphicData>
                  </a:graphic>
                </wp:inline>
              </w:drawing>
            </w:r>
            <w:r>
              <w:rPr>
                <w:noProof/>
                <w:sz w:val="20"/>
                <w:szCs w:val="22"/>
              </w:rPr>
              <w:drawing>
                <wp:inline distT="0" distB="0" distL="0" distR="0" wp14:anchorId="4337FE11" wp14:editId="4337FE12">
                  <wp:extent cx="470535" cy="344170"/>
                  <wp:effectExtent l="0" t="0" r="0" b="0"/>
                  <wp:docPr id="1590583606" name="Image 55" descr="https://pactemondial.org/wp-content/uploads/2023/02/od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583606" name="Image 55" descr="https://pactemondial.org/wp-content/uploads/2023/02/odd-2.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470535" cy="344170"/>
                          </a:xfrm>
                          <a:prstGeom prst="rect">
                            <a:avLst/>
                          </a:prstGeom>
                          <a:noFill/>
                          <a:ln>
                            <a:noFill/>
                          </a:ln>
                        </pic:spPr>
                      </pic:pic>
                    </a:graphicData>
                  </a:graphic>
                </wp:inline>
              </w:drawing>
            </w:r>
            <w:r>
              <w:rPr>
                <w:noProof/>
                <w:sz w:val="20"/>
                <w:szCs w:val="22"/>
              </w:rPr>
              <w:drawing>
                <wp:inline distT="0" distB="0" distL="0" distR="0" wp14:anchorId="4337FE13" wp14:editId="008F782E">
                  <wp:extent cx="434340" cy="344170"/>
                  <wp:effectExtent l="0" t="0" r="0" b="0"/>
                  <wp:docPr id="1622747029" name="Image 58" descr="https://pactemondial.org/wp-content/uploads/2023/02/od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747029" name="Image 58" descr="https://pactemondial.org/wp-content/uploads/2023/02/odd-3.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434340" cy="344170"/>
                          </a:xfrm>
                          <a:prstGeom prst="rect">
                            <a:avLst/>
                          </a:prstGeom>
                          <a:noFill/>
                          <a:ln>
                            <a:noFill/>
                          </a:ln>
                        </pic:spPr>
                      </pic:pic>
                    </a:graphicData>
                  </a:graphic>
                </wp:inline>
              </w:drawing>
            </w:r>
            <w:r>
              <w:rPr>
                <w:noProof/>
                <w:sz w:val="20"/>
                <w:szCs w:val="22"/>
              </w:rPr>
              <w:drawing>
                <wp:inline distT="0" distB="0" distL="0" distR="0" wp14:anchorId="4337FE15" wp14:editId="56A12EDB">
                  <wp:extent cx="461645" cy="344170"/>
                  <wp:effectExtent l="0" t="0" r="0" b="0"/>
                  <wp:docPr id="1642333315" name="Image 48" descr="https://pactemondial.org/wp-content/uploads/2023/02/odd-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333315" name="Image 48" descr="https://pactemondial.org/wp-content/uploads/2023/02/odd-12.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461645" cy="344170"/>
                          </a:xfrm>
                          <a:prstGeom prst="rect">
                            <a:avLst/>
                          </a:prstGeom>
                          <a:noFill/>
                          <a:ln>
                            <a:noFill/>
                          </a:ln>
                        </pic:spPr>
                      </pic:pic>
                    </a:graphicData>
                  </a:graphic>
                </wp:inline>
              </w:drawing>
            </w:r>
            <w:r>
              <w:rPr>
                <w:noProof/>
                <w:sz w:val="20"/>
                <w:szCs w:val="22"/>
              </w:rPr>
              <w:drawing>
                <wp:inline distT="0" distB="0" distL="0" distR="0" wp14:anchorId="4337FE17" wp14:editId="4337FE18">
                  <wp:extent cx="470535" cy="344170"/>
                  <wp:effectExtent l="0" t="0" r="0" b="0"/>
                  <wp:docPr id="549508393" name="Image 62" descr="https://pactemondial.org/wp-content/uploads/2023/02/odd-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508393" name="Image 62" descr="https://pactemondial.org/wp-content/uploads/2023/02/odd-4.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470535" cy="344170"/>
                          </a:xfrm>
                          <a:prstGeom prst="rect">
                            <a:avLst/>
                          </a:prstGeom>
                          <a:noFill/>
                          <a:ln>
                            <a:noFill/>
                          </a:ln>
                        </pic:spPr>
                      </pic:pic>
                    </a:graphicData>
                  </a:graphic>
                </wp:inline>
              </w:drawing>
            </w:r>
          </w:p>
          <w:p w14:paraId="4337F961" w14:textId="77777777" w:rsidR="00EA6DED" w:rsidRDefault="007504AE">
            <w:pPr>
              <w:pStyle w:val="NormalWeb"/>
              <w:rPr>
                <w:sz w:val="20"/>
                <w:szCs w:val="22"/>
              </w:rPr>
            </w:pPr>
            <w:r>
              <w:rPr>
                <w:noProof/>
                <w:sz w:val="20"/>
                <w:szCs w:val="22"/>
              </w:rPr>
              <w:drawing>
                <wp:inline distT="0" distB="0" distL="0" distR="0" wp14:anchorId="4337FE19" wp14:editId="4337FE1A">
                  <wp:extent cx="525145" cy="344170"/>
                  <wp:effectExtent l="0" t="0" r="0" b="0"/>
                  <wp:docPr id="15" name="Image 26" descr="https://pactemondial.org/wp-content/uploads/2023/02/od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26" descr="https://pactemondial.org/wp-content/uploads/2023/02/odd-1.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525145" cy="344170"/>
                          </a:xfrm>
                          <a:prstGeom prst="rect">
                            <a:avLst/>
                          </a:prstGeom>
                          <a:noFill/>
                          <a:ln>
                            <a:noFill/>
                          </a:ln>
                        </pic:spPr>
                      </pic:pic>
                    </a:graphicData>
                  </a:graphic>
                </wp:inline>
              </w:drawing>
            </w:r>
            <w:r>
              <w:rPr>
                <w:noProof/>
                <w:sz w:val="20"/>
                <w:szCs w:val="22"/>
              </w:rPr>
              <w:drawing>
                <wp:inline distT="0" distB="0" distL="0" distR="0" wp14:anchorId="4337FE1B" wp14:editId="4337FE1C">
                  <wp:extent cx="452755" cy="344170"/>
                  <wp:effectExtent l="0" t="0" r="0" b="0"/>
                  <wp:docPr id="16" name="Image 29" descr="https://pactemondial.org/wp-content/uploads/2023/02/od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29" descr="https://pactemondial.org/wp-content/uploads/2023/02/odd-5.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452755" cy="344170"/>
                          </a:xfrm>
                          <a:prstGeom prst="rect">
                            <a:avLst/>
                          </a:prstGeom>
                          <a:noFill/>
                          <a:ln>
                            <a:noFill/>
                          </a:ln>
                        </pic:spPr>
                      </pic:pic>
                    </a:graphicData>
                  </a:graphic>
                </wp:inline>
              </w:drawing>
            </w:r>
            <w:r>
              <w:rPr>
                <w:noProof/>
                <w:sz w:val="20"/>
                <w:szCs w:val="22"/>
              </w:rPr>
              <w:drawing>
                <wp:inline distT="0" distB="0" distL="0" distR="0" wp14:anchorId="4337FE1D" wp14:editId="5187825E">
                  <wp:extent cx="389255" cy="344170"/>
                  <wp:effectExtent l="0" t="0" r="0" b="0"/>
                  <wp:docPr id="17" name="Image 35" descr="https://pactemondial.org/wp-content/uploads/2023/02/od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35" descr="https://pactemondial.org/wp-content/uploads/2023/02/odd-8.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389255" cy="344170"/>
                          </a:xfrm>
                          <a:prstGeom prst="rect">
                            <a:avLst/>
                          </a:prstGeom>
                          <a:noFill/>
                          <a:ln>
                            <a:noFill/>
                          </a:ln>
                        </pic:spPr>
                      </pic:pic>
                    </a:graphicData>
                  </a:graphic>
                </wp:inline>
              </w:drawing>
            </w:r>
            <w:r>
              <w:rPr>
                <w:noProof/>
                <w:sz w:val="20"/>
                <w:szCs w:val="22"/>
              </w:rPr>
              <w:drawing>
                <wp:inline distT="0" distB="0" distL="0" distR="0" wp14:anchorId="4337FE1F" wp14:editId="510896A1">
                  <wp:extent cx="470535" cy="344170"/>
                  <wp:effectExtent l="0" t="0" r="0" b="0"/>
                  <wp:docPr id="18" name="Image 39" descr="https://pactemondial.org/wp-content/uploads/2023/02/odd-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39" descr="https://pactemondial.org/wp-content/uploads/2023/02/odd-9.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470535" cy="344170"/>
                          </a:xfrm>
                          <a:prstGeom prst="rect">
                            <a:avLst/>
                          </a:prstGeom>
                          <a:noFill/>
                          <a:ln>
                            <a:noFill/>
                          </a:ln>
                        </pic:spPr>
                      </pic:pic>
                    </a:graphicData>
                  </a:graphic>
                </wp:inline>
              </w:drawing>
            </w:r>
            <w:r>
              <w:rPr>
                <w:noProof/>
                <w:sz w:val="20"/>
                <w:szCs w:val="22"/>
              </w:rPr>
              <w:drawing>
                <wp:inline distT="0" distB="0" distL="0" distR="0" wp14:anchorId="4337FE21" wp14:editId="4337FE22">
                  <wp:extent cx="516255" cy="353060"/>
                  <wp:effectExtent l="0" t="0" r="0" b="0"/>
                  <wp:docPr id="19" name="Image 43" descr="https://pactemondial.org/wp-content/uploads/2023/02/odd-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43" descr="https://pactemondial.org/wp-content/uploads/2023/02/odd-10.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516255" cy="353060"/>
                          </a:xfrm>
                          <a:prstGeom prst="rect">
                            <a:avLst/>
                          </a:prstGeom>
                          <a:noFill/>
                          <a:ln>
                            <a:noFill/>
                          </a:ln>
                        </pic:spPr>
                      </pic:pic>
                    </a:graphicData>
                  </a:graphic>
                </wp:inline>
              </w:drawing>
            </w:r>
            <w:r>
              <w:rPr>
                <w:noProof/>
                <w:sz w:val="20"/>
                <w:szCs w:val="22"/>
              </w:rPr>
              <w:drawing>
                <wp:inline distT="0" distB="0" distL="0" distR="0" wp14:anchorId="4337FE23" wp14:editId="4337FE24">
                  <wp:extent cx="470535" cy="344170"/>
                  <wp:effectExtent l="0" t="0" r="0" b="0"/>
                  <wp:docPr id="20" name="Image 55" descr="https://pactemondial.org/wp-content/uploads/2023/02/od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55" descr="https://pactemondial.org/wp-content/uploads/2023/02/odd-2.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470535" cy="344170"/>
                          </a:xfrm>
                          <a:prstGeom prst="rect">
                            <a:avLst/>
                          </a:prstGeom>
                          <a:noFill/>
                          <a:ln>
                            <a:noFill/>
                          </a:ln>
                        </pic:spPr>
                      </pic:pic>
                    </a:graphicData>
                  </a:graphic>
                </wp:inline>
              </w:drawing>
            </w:r>
            <w:r>
              <w:rPr>
                <w:noProof/>
                <w:sz w:val="20"/>
                <w:szCs w:val="22"/>
              </w:rPr>
              <w:drawing>
                <wp:inline distT="0" distB="0" distL="0" distR="0" wp14:anchorId="4337FE25" wp14:editId="1CF3D394">
                  <wp:extent cx="434340" cy="344170"/>
                  <wp:effectExtent l="0" t="0" r="0" b="0"/>
                  <wp:docPr id="21" name="Image 58" descr="https://pactemondial.org/wp-content/uploads/2023/02/od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58" descr="https://pactemondial.org/wp-content/uploads/2023/02/odd-3.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434340" cy="344170"/>
                          </a:xfrm>
                          <a:prstGeom prst="rect">
                            <a:avLst/>
                          </a:prstGeom>
                          <a:noFill/>
                          <a:ln>
                            <a:noFill/>
                          </a:ln>
                        </pic:spPr>
                      </pic:pic>
                    </a:graphicData>
                  </a:graphic>
                </wp:inline>
              </w:drawing>
            </w:r>
            <w:r>
              <w:rPr>
                <w:noProof/>
                <w:sz w:val="20"/>
                <w:szCs w:val="22"/>
              </w:rPr>
              <w:drawing>
                <wp:inline distT="0" distB="0" distL="0" distR="0" wp14:anchorId="4337FE27" wp14:editId="023095EA">
                  <wp:extent cx="461645" cy="344170"/>
                  <wp:effectExtent l="0" t="0" r="0" b="0"/>
                  <wp:docPr id="22" name="Image 48" descr="https://pactemondial.org/wp-content/uploads/2023/02/odd-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48" descr="https://pactemondial.org/wp-content/uploads/2023/02/odd-12.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461645" cy="344170"/>
                          </a:xfrm>
                          <a:prstGeom prst="rect">
                            <a:avLst/>
                          </a:prstGeom>
                          <a:noFill/>
                          <a:ln>
                            <a:noFill/>
                          </a:ln>
                        </pic:spPr>
                      </pic:pic>
                    </a:graphicData>
                  </a:graphic>
                </wp:inline>
              </w:drawing>
            </w:r>
            <w:r>
              <w:rPr>
                <w:noProof/>
                <w:sz w:val="20"/>
                <w:szCs w:val="22"/>
              </w:rPr>
              <w:drawing>
                <wp:inline distT="0" distB="0" distL="0" distR="0" wp14:anchorId="4337FE29" wp14:editId="4337FE2A">
                  <wp:extent cx="470535" cy="344170"/>
                  <wp:effectExtent l="0" t="0" r="0" b="0"/>
                  <wp:docPr id="23" name="Image 62" descr="https://pactemondial.org/wp-content/uploads/2023/02/odd-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 62" descr="https://pactemondial.org/wp-content/uploads/2023/02/odd-4.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470535" cy="344170"/>
                          </a:xfrm>
                          <a:prstGeom prst="rect">
                            <a:avLst/>
                          </a:prstGeom>
                          <a:noFill/>
                          <a:ln>
                            <a:noFill/>
                          </a:ln>
                        </pic:spPr>
                      </pic:pic>
                    </a:graphicData>
                  </a:graphic>
                </wp:inline>
              </w:drawing>
            </w:r>
          </w:p>
          <w:p w14:paraId="4337F962" w14:textId="77777777" w:rsidR="00EA6DED" w:rsidRDefault="007504AE">
            <w:pPr>
              <w:pStyle w:val="NormalWeb"/>
              <w:rPr>
                <w:sz w:val="20"/>
                <w:szCs w:val="22"/>
              </w:rPr>
            </w:pPr>
            <w:r>
              <w:rPr>
                <w:noProof/>
                <w:sz w:val="20"/>
                <w:szCs w:val="22"/>
              </w:rPr>
              <w:drawing>
                <wp:inline distT="0" distB="0" distL="0" distR="0" wp14:anchorId="4337FE2B" wp14:editId="4337FE2C">
                  <wp:extent cx="443865" cy="371475"/>
                  <wp:effectExtent l="0" t="0" r="0" b="0"/>
                  <wp:docPr id="24" name="Image 2073676034" descr="https://pactemondial.org/wp-content/uploads/2023/02/od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 2073676034" descr="https://pactemondial.org/wp-content/uploads/2023/02/odd-6.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443865" cy="371475"/>
                          </a:xfrm>
                          <a:prstGeom prst="rect">
                            <a:avLst/>
                          </a:prstGeom>
                          <a:noFill/>
                          <a:ln>
                            <a:noFill/>
                          </a:ln>
                        </pic:spPr>
                      </pic:pic>
                    </a:graphicData>
                  </a:graphic>
                </wp:inline>
              </w:drawing>
            </w:r>
            <w:r>
              <w:rPr>
                <w:noProof/>
                <w:sz w:val="20"/>
                <w:szCs w:val="22"/>
              </w:rPr>
              <w:drawing>
                <wp:inline distT="0" distB="0" distL="0" distR="0" wp14:anchorId="4337FE2D" wp14:editId="55142DDF">
                  <wp:extent cx="434340" cy="353060"/>
                  <wp:effectExtent l="0" t="0" r="0" b="0"/>
                  <wp:docPr id="25" name="Image 2073676058" descr="https://pactemondial.org/wp-content/uploads/2023/02/odd-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2073676058" descr="https://pactemondial.org/wp-content/uploads/2023/02/odd-11.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434340" cy="353060"/>
                          </a:xfrm>
                          <a:prstGeom prst="rect">
                            <a:avLst/>
                          </a:prstGeom>
                          <a:noFill/>
                          <a:ln>
                            <a:noFill/>
                          </a:ln>
                        </pic:spPr>
                      </pic:pic>
                    </a:graphicData>
                  </a:graphic>
                </wp:inline>
              </w:drawing>
            </w:r>
            <w:r>
              <w:rPr>
                <w:noProof/>
                <w:sz w:val="20"/>
                <w:szCs w:val="22"/>
              </w:rPr>
              <w:drawing>
                <wp:inline distT="0" distB="0" distL="0" distR="0" wp14:anchorId="4337FE2F" wp14:editId="39142675">
                  <wp:extent cx="398145" cy="371475"/>
                  <wp:effectExtent l="0" t="0" r="0" b="0"/>
                  <wp:docPr id="26" name="Image 2073676053" descr="https://pactemondial.org/wp-content/uploads/2023/02/odd-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 2073676053" descr="https://pactemondial.org/wp-content/uploads/2023/02/odd-16.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398145" cy="371475"/>
                          </a:xfrm>
                          <a:prstGeom prst="rect">
                            <a:avLst/>
                          </a:prstGeom>
                          <a:noFill/>
                          <a:ln>
                            <a:noFill/>
                          </a:ln>
                        </pic:spPr>
                      </pic:pic>
                    </a:graphicData>
                  </a:graphic>
                </wp:inline>
              </w:drawing>
            </w:r>
            <w:r>
              <w:rPr>
                <w:noProof/>
                <w:sz w:val="20"/>
                <w:szCs w:val="22"/>
              </w:rPr>
              <w:drawing>
                <wp:inline distT="0" distB="0" distL="0" distR="0" wp14:anchorId="4337FE31" wp14:editId="4337FE32">
                  <wp:extent cx="516255" cy="371475"/>
                  <wp:effectExtent l="0" t="0" r="0" b="0"/>
                  <wp:docPr id="27" name="Image 52" descr="https://pactemondial.org/wp-content/uploads/2023/02/odd-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 52" descr="https://pactemondial.org/wp-content/uploads/2023/02/odd-17.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516255" cy="371475"/>
                          </a:xfrm>
                          <a:prstGeom prst="rect">
                            <a:avLst/>
                          </a:prstGeom>
                          <a:noFill/>
                          <a:ln>
                            <a:noFill/>
                          </a:ln>
                        </pic:spPr>
                      </pic:pic>
                    </a:graphicData>
                  </a:graphic>
                </wp:inline>
              </w:drawing>
            </w:r>
          </w:p>
        </w:tc>
      </w:tr>
      <w:tr w:rsidR="00EA6DED" w14:paraId="4337F968" w14:textId="77777777">
        <w:trPr>
          <w:trHeight w:val="1124"/>
        </w:trPr>
        <w:tc>
          <w:tcPr>
            <w:tcW w:w="2689" w:type="dxa"/>
          </w:tcPr>
          <w:p w14:paraId="4337F964" w14:textId="77777777" w:rsidR="00EA6DED" w:rsidRDefault="007504AE">
            <w:pPr>
              <w:pStyle w:val="NormalWeb"/>
              <w:jc w:val="both"/>
              <w:rPr>
                <w:b/>
                <w:bCs/>
                <w:sz w:val="20"/>
                <w:szCs w:val="22"/>
              </w:rPr>
            </w:pPr>
            <w:r>
              <w:rPr>
                <w:b/>
                <w:bCs/>
                <w:sz w:val="20"/>
                <w:szCs w:val="22"/>
              </w:rPr>
              <w:t xml:space="preserve">Réalisation 2.2 </w:t>
            </w:r>
            <w:r>
              <w:rPr>
                <w:sz w:val="20"/>
                <w:szCs w:val="22"/>
              </w:rPr>
              <w:t>Egalité des sexes et autonomisation des jeunes, des femmes et des filles et d’autres groupes vulnérables</w:t>
            </w:r>
          </w:p>
        </w:tc>
        <w:tc>
          <w:tcPr>
            <w:tcW w:w="7487" w:type="dxa"/>
          </w:tcPr>
          <w:p w14:paraId="4337F965" w14:textId="77777777" w:rsidR="00EA6DED" w:rsidRDefault="007504AE">
            <w:pPr>
              <w:pStyle w:val="NormalWeb"/>
              <w:rPr>
                <w:sz w:val="20"/>
                <w:szCs w:val="22"/>
              </w:rPr>
            </w:pPr>
            <w:r>
              <w:rPr>
                <w:noProof/>
                <w:sz w:val="20"/>
                <w:szCs w:val="22"/>
              </w:rPr>
              <w:drawing>
                <wp:inline distT="0" distB="0" distL="0" distR="0" wp14:anchorId="4337FE33" wp14:editId="0B724029">
                  <wp:extent cx="443865" cy="344170"/>
                  <wp:effectExtent l="0" t="0" r="0" b="0"/>
                  <wp:docPr id="747396215" name="Image 25" descr="https://pactemondial.org/wp-content/uploads/2023/02/od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396215" name="Image 25" descr="https://pactemondial.org/wp-content/uploads/2023/02/odd-1.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443865" cy="344170"/>
                          </a:xfrm>
                          <a:prstGeom prst="rect">
                            <a:avLst/>
                          </a:prstGeom>
                          <a:noFill/>
                          <a:ln>
                            <a:noFill/>
                          </a:ln>
                        </pic:spPr>
                      </pic:pic>
                    </a:graphicData>
                  </a:graphic>
                </wp:inline>
              </w:drawing>
            </w:r>
            <w:r>
              <w:rPr>
                <w:sz w:val="20"/>
                <w:szCs w:val="22"/>
              </w:rPr>
              <w:t xml:space="preserve"> </w:t>
            </w:r>
            <w:r>
              <w:rPr>
                <w:noProof/>
                <w:sz w:val="20"/>
                <w:szCs w:val="22"/>
              </w:rPr>
              <w:drawing>
                <wp:inline distT="0" distB="0" distL="0" distR="0" wp14:anchorId="4337FE35" wp14:editId="4337FE36">
                  <wp:extent cx="425450" cy="316865"/>
                  <wp:effectExtent l="0" t="0" r="0" b="0"/>
                  <wp:docPr id="1101508234" name="Image 30" descr="https://pactemondial.org/wp-content/uploads/2023/02/od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508234" name="Image 30" descr="https://pactemondial.org/wp-content/uploads/2023/02/odd-5.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425450" cy="316865"/>
                          </a:xfrm>
                          <a:prstGeom prst="rect">
                            <a:avLst/>
                          </a:prstGeom>
                          <a:noFill/>
                          <a:ln>
                            <a:noFill/>
                          </a:ln>
                        </pic:spPr>
                      </pic:pic>
                    </a:graphicData>
                  </a:graphic>
                </wp:inline>
              </w:drawing>
            </w:r>
            <w:r>
              <w:rPr>
                <w:noProof/>
                <w:sz w:val="20"/>
                <w:szCs w:val="22"/>
              </w:rPr>
              <w:drawing>
                <wp:inline distT="0" distB="0" distL="0" distR="0" wp14:anchorId="4337FE37" wp14:editId="16385DC6">
                  <wp:extent cx="470535" cy="335280"/>
                  <wp:effectExtent l="0" t="0" r="0" b="0"/>
                  <wp:docPr id="1792999920" name="Image 36" descr="https://pactemondial.org/wp-content/uploads/2023/02/od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999920" name="Image 36" descr="https://pactemondial.org/wp-content/uploads/2023/02/odd-8.pn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470535" cy="335280"/>
                          </a:xfrm>
                          <a:prstGeom prst="rect">
                            <a:avLst/>
                          </a:prstGeom>
                          <a:noFill/>
                          <a:ln>
                            <a:noFill/>
                          </a:ln>
                        </pic:spPr>
                      </pic:pic>
                    </a:graphicData>
                  </a:graphic>
                </wp:inline>
              </w:drawing>
            </w:r>
            <w:r>
              <w:rPr>
                <w:noProof/>
                <w:sz w:val="20"/>
                <w:szCs w:val="22"/>
              </w:rPr>
              <w:drawing>
                <wp:inline distT="0" distB="0" distL="0" distR="0" wp14:anchorId="4337FE39" wp14:editId="4337FE3A">
                  <wp:extent cx="470535" cy="307975"/>
                  <wp:effectExtent l="0" t="0" r="0" b="0"/>
                  <wp:docPr id="1204251909" name="Image 40" descr="https://pactemondial.org/wp-content/uploads/2023/02/odd-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251909" name="Image 40" descr="https://pactemondial.org/wp-content/uploads/2023/02/odd-9.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a:xfrm>
                            <a:off x="0" y="0"/>
                            <a:ext cx="470535" cy="307975"/>
                          </a:xfrm>
                          <a:prstGeom prst="rect">
                            <a:avLst/>
                          </a:prstGeom>
                          <a:noFill/>
                          <a:ln>
                            <a:noFill/>
                          </a:ln>
                        </pic:spPr>
                      </pic:pic>
                    </a:graphicData>
                  </a:graphic>
                </wp:inline>
              </w:drawing>
            </w:r>
            <w:r>
              <w:rPr>
                <w:noProof/>
                <w:sz w:val="20"/>
                <w:szCs w:val="22"/>
              </w:rPr>
              <w:drawing>
                <wp:inline distT="0" distB="0" distL="0" distR="0" wp14:anchorId="4337FE3B" wp14:editId="1382A674">
                  <wp:extent cx="470535" cy="353060"/>
                  <wp:effectExtent l="0" t="0" r="0" b="0"/>
                  <wp:docPr id="348692792" name="Image 44" descr="https://pactemondial.org/wp-content/uploads/2023/02/odd-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692792" name="Image 44" descr="https://pactemondial.org/wp-content/uploads/2023/02/odd-10.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470535" cy="353060"/>
                          </a:xfrm>
                          <a:prstGeom prst="rect">
                            <a:avLst/>
                          </a:prstGeom>
                          <a:noFill/>
                          <a:ln>
                            <a:noFill/>
                          </a:ln>
                        </pic:spPr>
                      </pic:pic>
                    </a:graphicData>
                  </a:graphic>
                </wp:inline>
              </w:drawing>
            </w:r>
            <w:r>
              <w:rPr>
                <w:noProof/>
                <w:sz w:val="20"/>
                <w:szCs w:val="22"/>
              </w:rPr>
              <w:drawing>
                <wp:inline distT="0" distB="0" distL="0" distR="0" wp14:anchorId="4337FE3D" wp14:editId="258FAA3D">
                  <wp:extent cx="461645" cy="344170"/>
                  <wp:effectExtent l="0" t="0" r="0" b="0"/>
                  <wp:docPr id="1456496347" name="Image 49" descr="https://pactemondial.org/wp-content/uploads/2023/02/odd-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496347" name="Image 49" descr="https://pactemondial.org/wp-content/uploads/2023/02/odd-12.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461645" cy="344170"/>
                          </a:xfrm>
                          <a:prstGeom prst="rect">
                            <a:avLst/>
                          </a:prstGeom>
                          <a:noFill/>
                          <a:ln>
                            <a:noFill/>
                          </a:ln>
                        </pic:spPr>
                      </pic:pic>
                    </a:graphicData>
                  </a:graphic>
                </wp:inline>
              </w:drawing>
            </w:r>
            <w:r>
              <w:rPr>
                <w:noProof/>
                <w:sz w:val="20"/>
                <w:szCs w:val="22"/>
              </w:rPr>
              <w:drawing>
                <wp:inline distT="0" distB="0" distL="0" distR="0" wp14:anchorId="4337FE3F" wp14:editId="5ABD270B">
                  <wp:extent cx="452755" cy="344170"/>
                  <wp:effectExtent l="0" t="0" r="0" b="0"/>
                  <wp:docPr id="1126290465" name="Image 59" descr="https://pactemondial.org/wp-content/uploads/2023/02/od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290465" name="Image 59" descr="https://pactemondial.org/wp-content/uploads/2023/02/odd-3.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a:xfrm>
                            <a:off x="0" y="0"/>
                            <a:ext cx="452755" cy="344170"/>
                          </a:xfrm>
                          <a:prstGeom prst="rect">
                            <a:avLst/>
                          </a:prstGeom>
                          <a:noFill/>
                          <a:ln>
                            <a:noFill/>
                          </a:ln>
                        </pic:spPr>
                      </pic:pic>
                    </a:graphicData>
                  </a:graphic>
                </wp:inline>
              </w:drawing>
            </w:r>
            <w:r>
              <w:rPr>
                <w:noProof/>
                <w:sz w:val="20"/>
                <w:szCs w:val="22"/>
              </w:rPr>
              <w:drawing>
                <wp:inline distT="0" distB="0" distL="0" distR="0" wp14:anchorId="4337FE41" wp14:editId="4337FE42">
                  <wp:extent cx="470535" cy="344170"/>
                  <wp:effectExtent l="0" t="0" r="0" b="0"/>
                  <wp:docPr id="1017131099" name="Image 2073676048" descr="https://pactemondial.org/wp-content/uploads/2023/02/odd-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131099" name="Image 2073676048" descr="https://pactemondial.org/wp-content/uploads/2023/02/odd-15.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470535" cy="344170"/>
                          </a:xfrm>
                          <a:prstGeom prst="rect">
                            <a:avLst/>
                          </a:prstGeom>
                          <a:noFill/>
                          <a:ln>
                            <a:noFill/>
                          </a:ln>
                        </pic:spPr>
                      </pic:pic>
                    </a:graphicData>
                  </a:graphic>
                </wp:inline>
              </w:drawing>
            </w:r>
            <w:r>
              <w:rPr>
                <w:noProof/>
                <w:sz w:val="20"/>
                <w:szCs w:val="22"/>
              </w:rPr>
              <w:drawing>
                <wp:inline distT="0" distB="0" distL="0" distR="0" wp14:anchorId="4337FE43" wp14:editId="3C9FD50D">
                  <wp:extent cx="434340" cy="325755"/>
                  <wp:effectExtent l="0" t="0" r="0" b="0"/>
                  <wp:docPr id="195262709" name="Image 53" descr="https://pactemondial.org/wp-content/uploads/2023/02/odd-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62709" name="Image 53" descr="https://pactemondial.org/wp-content/uploads/2023/02/odd-17.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a:xfrm>
                            <a:off x="0" y="0"/>
                            <a:ext cx="434340" cy="325755"/>
                          </a:xfrm>
                          <a:prstGeom prst="rect">
                            <a:avLst/>
                          </a:prstGeom>
                          <a:noFill/>
                          <a:ln>
                            <a:noFill/>
                          </a:ln>
                        </pic:spPr>
                      </pic:pic>
                    </a:graphicData>
                  </a:graphic>
                </wp:inline>
              </w:drawing>
            </w:r>
          </w:p>
          <w:p w14:paraId="4337F966" w14:textId="77777777" w:rsidR="00EA6DED" w:rsidRDefault="007504AE">
            <w:pPr>
              <w:pStyle w:val="NormalWeb"/>
              <w:rPr>
                <w:sz w:val="20"/>
                <w:szCs w:val="22"/>
              </w:rPr>
            </w:pPr>
            <w:r>
              <w:rPr>
                <w:noProof/>
                <w:sz w:val="20"/>
                <w:szCs w:val="22"/>
              </w:rPr>
              <w:drawing>
                <wp:inline distT="0" distB="0" distL="0" distR="0" wp14:anchorId="4337FE45" wp14:editId="5698BD37">
                  <wp:extent cx="443865" cy="344170"/>
                  <wp:effectExtent l="0" t="0" r="0" b="0"/>
                  <wp:docPr id="28" name="Image 25" descr="https://pactemondial.org/wp-content/uploads/2023/02/od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 25" descr="https://pactemondial.org/wp-content/uploads/2023/02/odd-1.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443865" cy="344170"/>
                          </a:xfrm>
                          <a:prstGeom prst="rect">
                            <a:avLst/>
                          </a:prstGeom>
                          <a:noFill/>
                          <a:ln>
                            <a:noFill/>
                          </a:ln>
                        </pic:spPr>
                      </pic:pic>
                    </a:graphicData>
                  </a:graphic>
                </wp:inline>
              </w:drawing>
            </w:r>
            <w:r>
              <w:rPr>
                <w:sz w:val="20"/>
                <w:szCs w:val="22"/>
              </w:rPr>
              <w:t xml:space="preserve"> </w:t>
            </w:r>
            <w:r>
              <w:rPr>
                <w:noProof/>
                <w:sz w:val="20"/>
                <w:szCs w:val="22"/>
              </w:rPr>
              <w:drawing>
                <wp:inline distT="0" distB="0" distL="0" distR="0" wp14:anchorId="4337FE47" wp14:editId="4337FE48">
                  <wp:extent cx="425450" cy="316865"/>
                  <wp:effectExtent l="0" t="0" r="0" b="0"/>
                  <wp:docPr id="29" name="Image 30" descr="https://pactemondial.org/wp-content/uploads/2023/02/od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 30" descr="https://pactemondial.org/wp-content/uploads/2023/02/odd-5.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425450" cy="316865"/>
                          </a:xfrm>
                          <a:prstGeom prst="rect">
                            <a:avLst/>
                          </a:prstGeom>
                          <a:noFill/>
                          <a:ln>
                            <a:noFill/>
                          </a:ln>
                        </pic:spPr>
                      </pic:pic>
                    </a:graphicData>
                  </a:graphic>
                </wp:inline>
              </w:drawing>
            </w:r>
            <w:r>
              <w:rPr>
                <w:noProof/>
                <w:sz w:val="20"/>
                <w:szCs w:val="22"/>
              </w:rPr>
              <w:drawing>
                <wp:inline distT="0" distB="0" distL="0" distR="0" wp14:anchorId="4337FE49" wp14:editId="46A22CAD">
                  <wp:extent cx="470535" cy="335280"/>
                  <wp:effectExtent l="0" t="0" r="0" b="0"/>
                  <wp:docPr id="30" name="Image 36" descr="https://pactemondial.org/wp-content/uploads/2023/02/od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 36" descr="https://pactemondial.org/wp-content/uploads/2023/02/odd-8.pn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470535" cy="335280"/>
                          </a:xfrm>
                          <a:prstGeom prst="rect">
                            <a:avLst/>
                          </a:prstGeom>
                          <a:noFill/>
                          <a:ln>
                            <a:noFill/>
                          </a:ln>
                        </pic:spPr>
                      </pic:pic>
                    </a:graphicData>
                  </a:graphic>
                </wp:inline>
              </w:drawing>
            </w:r>
            <w:r>
              <w:rPr>
                <w:noProof/>
                <w:sz w:val="20"/>
                <w:szCs w:val="22"/>
              </w:rPr>
              <w:drawing>
                <wp:inline distT="0" distB="0" distL="0" distR="0" wp14:anchorId="4337FE4B" wp14:editId="4337FE4C">
                  <wp:extent cx="470535" cy="307975"/>
                  <wp:effectExtent l="0" t="0" r="0" b="0"/>
                  <wp:docPr id="31" name="Image 40" descr="https://pactemondial.org/wp-content/uploads/2023/02/odd-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 40" descr="https://pactemondial.org/wp-content/uploads/2023/02/odd-9.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a:xfrm>
                            <a:off x="0" y="0"/>
                            <a:ext cx="470535" cy="307975"/>
                          </a:xfrm>
                          <a:prstGeom prst="rect">
                            <a:avLst/>
                          </a:prstGeom>
                          <a:noFill/>
                          <a:ln>
                            <a:noFill/>
                          </a:ln>
                        </pic:spPr>
                      </pic:pic>
                    </a:graphicData>
                  </a:graphic>
                </wp:inline>
              </w:drawing>
            </w:r>
            <w:r>
              <w:rPr>
                <w:noProof/>
                <w:sz w:val="20"/>
                <w:szCs w:val="22"/>
              </w:rPr>
              <w:drawing>
                <wp:inline distT="0" distB="0" distL="0" distR="0" wp14:anchorId="4337FE4D" wp14:editId="4066E669">
                  <wp:extent cx="470535" cy="353060"/>
                  <wp:effectExtent l="0" t="0" r="0" b="0"/>
                  <wp:docPr id="32" name="Image 44" descr="https://pactemondial.org/wp-content/uploads/2023/02/odd-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 44" descr="https://pactemondial.org/wp-content/uploads/2023/02/odd-10.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470535" cy="353060"/>
                          </a:xfrm>
                          <a:prstGeom prst="rect">
                            <a:avLst/>
                          </a:prstGeom>
                          <a:noFill/>
                          <a:ln>
                            <a:noFill/>
                          </a:ln>
                        </pic:spPr>
                      </pic:pic>
                    </a:graphicData>
                  </a:graphic>
                </wp:inline>
              </w:drawing>
            </w:r>
            <w:r>
              <w:rPr>
                <w:noProof/>
                <w:sz w:val="20"/>
                <w:szCs w:val="22"/>
              </w:rPr>
              <w:drawing>
                <wp:inline distT="0" distB="0" distL="0" distR="0" wp14:anchorId="4337FE4F" wp14:editId="4636D3C4">
                  <wp:extent cx="461645" cy="344170"/>
                  <wp:effectExtent l="0" t="0" r="0" b="0"/>
                  <wp:docPr id="33" name="Image 49" descr="https://pactemondial.org/wp-content/uploads/2023/02/odd-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 49" descr="https://pactemondial.org/wp-content/uploads/2023/02/odd-12.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461645" cy="344170"/>
                          </a:xfrm>
                          <a:prstGeom prst="rect">
                            <a:avLst/>
                          </a:prstGeom>
                          <a:noFill/>
                          <a:ln>
                            <a:noFill/>
                          </a:ln>
                        </pic:spPr>
                      </pic:pic>
                    </a:graphicData>
                  </a:graphic>
                </wp:inline>
              </w:drawing>
            </w:r>
            <w:r>
              <w:rPr>
                <w:noProof/>
                <w:sz w:val="20"/>
                <w:szCs w:val="22"/>
              </w:rPr>
              <w:drawing>
                <wp:inline distT="0" distB="0" distL="0" distR="0" wp14:anchorId="4337FE51" wp14:editId="32035DEB">
                  <wp:extent cx="452755" cy="344170"/>
                  <wp:effectExtent l="0" t="0" r="0" b="0"/>
                  <wp:docPr id="34" name="Image 59" descr="https://pactemondial.org/wp-content/uploads/2023/02/od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 59" descr="https://pactemondial.org/wp-content/uploads/2023/02/odd-3.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a:xfrm>
                            <a:off x="0" y="0"/>
                            <a:ext cx="452755" cy="344170"/>
                          </a:xfrm>
                          <a:prstGeom prst="rect">
                            <a:avLst/>
                          </a:prstGeom>
                          <a:noFill/>
                          <a:ln>
                            <a:noFill/>
                          </a:ln>
                        </pic:spPr>
                      </pic:pic>
                    </a:graphicData>
                  </a:graphic>
                </wp:inline>
              </w:drawing>
            </w:r>
            <w:r>
              <w:rPr>
                <w:noProof/>
                <w:sz w:val="20"/>
                <w:szCs w:val="22"/>
              </w:rPr>
              <w:drawing>
                <wp:inline distT="0" distB="0" distL="0" distR="0" wp14:anchorId="4337FE53" wp14:editId="4337FE54">
                  <wp:extent cx="470535" cy="344170"/>
                  <wp:effectExtent l="0" t="0" r="0" b="0"/>
                  <wp:docPr id="35" name="Image 2073676048" descr="https://pactemondial.org/wp-content/uploads/2023/02/odd-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 2073676048" descr="https://pactemondial.org/wp-content/uploads/2023/02/odd-15.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470535" cy="344170"/>
                          </a:xfrm>
                          <a:prstGeom prst="rect">
                            <a:avLst/>
                          </a:prstGeom>
                          <a:noFill/>
                          <a:ln>
                            <a:noFill/>
                          </a:ln>
                        </pic:spPr>
                      </pic:pic>
                    </a:graphicData>
                  </a:graphic>
                </wp:inline>
              </w:drawing>
            </w:r>
            <w:r>
              <w:rPr>
                <w:noProof/>
                <w:sz w:val="20"/>
                <w:szCs w:val="22"/>
              </w:rPr>
              <w:drawing>
                <wp:inline distT="0" distB="0" distL="0" distR="0" wp14:anchorId="4337FE55" wp14:editId="044A509E">
                  <wp:extent cx="434340" cy="325755"/>
                  <wp:effectExtent l="0" t="0" r="0" b="0"/>
                  <wp:docPr id="36" name="Image 53" descr="https://pactemondial.org/wp-content/uploads/2023/02/odd-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 53" descr="https://pactemondial.org/wp-content/uploads/2023/02/odd-17.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a:xfrm>
                            <a:off x="0" y="0"/>
                            <a:ext cx="434340" cy="325755"/>
                          </a:xfrm>
                          <a:prstGeom prst="rect">
                            <a:avLst/>
                          </a:prstGeom>
                          <a:noFill/>
                          <a:ln>
                            <a:noFill/>
                          </a:ln>
                        </pic:spPr>
                      </pic:pic>
                    </a:graphicData>
                  </a:graphic>
                </wp:inline>
              </w:drawing>
            </w:r>
          </w:p>
          <w:p w14:paraId="4337F967" w14:textId="77777777" w:rsidR="00EA6DED" w:rsidRDefault="007504AE">
            <w:pPr>
              <w:pStyle w:val="NormalWeb"/>
              <w:rPr>
                <w:sz w:val="20"/>
                <w:szCs w:val="22"/>
              </w:rPr>
            </w:pPr>
            <w:r>
              <w:rPr>
                <w:noProof/>
                <w:sz w:val="20"/>
                <w:szCs w:val="22"/>
              </w:rPr>
              <w:drawing>
                <wp:inline distT="0" distB="0" distL="0" distR="0" wp14:anchorId="4337FE57" wp14:editId="4337FE58">
                  <wp:extent cx="434340" cy="371475"/>
                  <wp:effectExtent l="0" t="0" r="0" b="0"/>
                  <wp:docPr id="37" name="Image 56" descr="https://pactemondial.org/wp-content/uploads/2023/02/od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 56" descr="https://pactemondial.org/wp-content/uploads/2023/02/odd-2.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434340" cy="371475"/>
                          </a:xfrm>
                          <a:prstGeom prst="rect">
                            <a:avLst/>
                          </a:prstGeom>
                          <a:noFill/>
                          <a:ln>
                            <a:noFill/>
                          </a:ln>
                        </pic:spPr>
                      </pic:pic>
                    </a:graphicData>
                  </a:graphic>
                </wp:inline>
              </w:drawing>
            </w:r>
            <w:r>
              <w:rPr>
                <w:noProof/>
                <w:sz w:val="20"/>
                <w:szCs w:val="22"/>
              </w:rPr>
              <w:drawing>
                <wp:inline distT="0" distB="0" distL="0" distR="0" wp14:anchorId="4337FE59" wp14:editId="4337FE5A">
                  <wp:extent cx="470535" cy="361950"/>
                  <wp:effectExtent l="0" t="0" r="0" b="0"/>
                  <wp:docPr id="38" name="Image 63" descr="https://pactemondial.org/wp-content/uploads/2023/02/odd-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 63" descr="https://pactemondial.org/wp-content/uploads/2023/02/odd-4.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470535" cy="361950"/>
                          </a:xfrm>
                          <a:prstGeom prst="rect">
                            <a:avLst/>
                          </a:prstGeom>
                          <a:noFill/>
                          <a:ln>
                            <a:noFill/>
                          </a:ln>
                        </pic:spPr>
                      </pic:pic>
                    </a:graphicData>
                  </a:graphic>
                </wp:inline>
              </w:drawing>
            </w:r>
            <w:r>
              <w:rPr>
                <w:noProof/>
                <w:sz w:val="20"/>
                <w:szCs w:val="22"/>
              </w:rPr>
              <w:drawing>
                <wp:inline distT="0" distB="0" distL="0" distR="0" wp14:anchorId="4337FE5B" wp14:editId="15CA1312">
                  <wp:extent cx="525145" cy="361950"/>
                  <wp:effectExtent l="0" t="0" r="0" b="0"/>
                  <wp:docPr id="39" name="Image 2073676043" descr="https://pactemondial.org/wp-content/uploads/2023/02/odd-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 2073676043" descr="https://pactemondial.org/wp-content/uploads/2023/02/odd-14.pn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a:xfrm>
                            <a:off x="0" y="0"/>
                            <a:ext cx="525145" cy="361950"/>
                          </a:xfrm>
                          <a:prstGeom prst="rect">
                            <a:avLst/>
                          </a:prstGeom>
                          <a:noFill/>
                          <a:ln>
                            <a:noFill/>
                          </a:ln>
                        </pic:spPr>
                      </pic:pic>
                    </a:graphicData>
                  </a:graphic>
                </wp:inline>
              </w:drawing>
            </w:r>
            <w:r>
              <w:rPr>
                <w:noProof/>
                <w:sz w:val="20"/>
                <w:szCs w:val="22"/>
              </w:rPr>
              <w:drawing>
                <wp:inline distT="0" distB="0" distL="0" distR="0" wp14:anchorId="4337FE5D" wp14:editId="7C319911">
                  <wp:extent cx="497840" cy="371475"/>
                  <wp:effectExtent l="0" t="0" r="0" b="0"/>
                  <wp:docPr id="40" name="Image 2073676052" descr="https://pactemondial.org/wp-content/uploads/2023/02/odd-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 2073676052" descr="https://pactemondial.org/wp-content/uploads/2023/02/odd-16.pn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497840" cy="371475"/>
                          </a:xfrm>
                          <a:prstGeom prst="rect">
                            <a:avLst/>
                          </a:prstGeom>
                          <a:noFill/>
                          <a:ln>
                            <a:noFill/>
                          </a:ln>
                        </pic:spPr>
                      </pic:pic>
                    </a:graphicData>
                  </a:graphic>
                </wp:inline>
              </w:drawing>
            </w:r>
            <w:r>
              <w:rPr>
                <w:noProof/>
                <w:sz w:val="20"/>
                <w:szCs w:val="22"/>
              </w:rPr>
              <w:drawing>
                <wp:inline distT="0" distB="0" distL="0" distR="0" wp14:anchorId="4337FE5F" wp14:editId="4337FE60">
                  <wp:extent cx="470535" cy="371475"/>
                  <wp:effectExtent l="0" t="0" r="0" b="0"/>
                  <wp:docPr id="41" name="Image 2073676059" descr="https://pactemondial.org/wp-content/uploads/2023/02/odd-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 2073676059" descr="https://pactemondial.org/wp-content/uploads/2023/02/odd-11.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0" y="0"/>
                            <a:ext cx="470535" cy="371475"/>
                          </a:xfrm>
                          <a:prstGeom prst="rect">
                            <a:avLst/>
                          </a:prstGeom>
                          <a:noFill/>
                          <a:ln>
                            <a:noFill/>
                          </a:ln>
                        </pic:spPr>
                      </pic:pic>
                    </a:graphicData>
                  </a:graphic>
                </wp:inline>
              </w:drawing>
            </w:r>
            <w:r>
              <w:rPr>
                <w:noProof/>
                <w:sz w:val="20"/>
                <w:szCs w:val="22"/>
              </w:rPr>
              <w:drawing>
                <wp:inline distT="0" distB="0" distL="0" distR="0" wp14:anchorId="4337FE61" wp14:editId="4337FE62">
                  <wp:extent cx="470535" cy="371475"/>
                  <wp:effectExtent l="0" t="0" r="0" b="0"/>
                  <wp:docPr id="42" name="Image 2073676038" descr="https://pactemondial.org/wp-content/uploads/2023/02/odd-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 2073676038" descr="https://pactemondial.org/wp-content/uploads/2023/02/odd-13.pn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a:xfrm>
                            <a:off x="0" y="0"/>
                            <a:ext cx="470535" cy="371475"/>
                          </a:xfrm>
                          <a:prstGeom prst="rect">
                            <a:avLst/>
                          </a:prstGeom>
                          <a:noFill/>
                          <a:ln>
                            <a:noFill/>
                          </a:ln>
                        </pic:spPr>
                      </pic:pic>
                    </a:graphicData>
                  </a:graphic>
                </wp:inline>
              </w:drawing>
            </w:r>
            <w:r>
              <w:rPr>
                <w:noProof/>
                <w:sz w:val="20"/>
                <w:szCs w:val="22"/>
              </w:rPr>
              <w:drawing>
                <wp:inline distT="0" distB="0" distL="0" distR="0" wp14:anchorId="4337FE63" wp14:editId="21ACC5EB">
                  <wp:extent cx="389255" cy="371475"/>
                  <wp:effectExtent l="0" t="0" r="0" b="0"/>
                  <wp:docPr id="43" name="Image 2073676033" descr="https://pactemondial.org/wp-content/uploads/2023/02/od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 2073676033" descr="https://pactemondial.org/wp-content/uploads/2023/02/odd-6.pn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0" y="0"/>
                            <a:ext cx="389255" cy="371475"/>
                          </a:xfrm>
                          <a:prstGeom prst="rect">
                            <a:avLst/>
                          </a:prstGeom>
                          <a:noFill/>
                          <a:ln>
                            <a:noFill/>
                          </a:ln>
                        </pic:spPr>
                      </pic:pic>
                    </a:graphicData>
                  </a:graphic>
                </wp:inline>
              </w:drawing>
            </w:r>
            <w:r>
              <w:rPr>
                <w:noProof/>
                <w:sz w:val="20"/>
                <w:szCs w:val="22"/>
              </w:rPr>
              <w:drawing>
                <wp:inline distT="0" distB="0" distL="0" distR="0" wp14:anchorId="4337FE65" wp14:editId="164CF702">
                  <wp:extent cx="470535" cy="361950"/>
                  <wp:effectExtent l="0" t="0" r="0" b="0"/>
                  <wp:docPr id="44" name="Image 2073676036" descr="https://pactemondial.org/wp-content/uploads/2023/02/e9c2a4c1-95ce-4d0f-ad3a-6c731876e0b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 2073676036" descr="https://pactemondial.org/wp-content/uploads/2023/02/e9c2a4c1-95ce-4d0f-ad3a-6c731876e0be.pn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470535" cy="361950"/>
                          </a:xfrm>
                          <a:prstGeom prst="rect">
                            <a:avLst/>
                          </a:prstGeom>
                          <a:noFill/>
                          <a:ln>
                            <a:noFill/>
                          </a:ln>
                        </pic:spPr>
                      </pic:pic>
                    </a:graphicData>
                  </a:graphic>
                </wp:inline>
              </w:drawing>
            </w:r>
          </w:p>
        </w:tc>
      </w:tr>
      <w:tr w:rsidR="00EA6DED" w14:paraId="4337F96B" w14:textId="77777777">
        <w:tc>
          <w:tcPr>
            <w:tcW w:w="2689" w:type="dxa"/>
          </w:tcPr>
          <w:p w14:paraId="4337F969" w14:textId="77777777" w:rsidR="00EA6DED" w:rsidRDefault="007504AE">
            <w:pPr>
              <w:pStyle w:val="NormalWeb"/>
              <w:jc w:val="both"/>
              <w:rPr>
                <w:sz w:val="20"/>
                <w:szCs w:val="22"/>
              </w:rPr>
            </w:pPr>
            <w:r>
              <w:rPr>
                <w:b/>
                <w:bCs/>
                <w:sz w:val="20"/>
                <w:szCs w:val="22"/>
              </w:rPr>
              <w:lastRenderedPageBreak/>
              <w:t>Réalisation 3 :</w:t>
            </w:r>
            <w:r>
              <w:rPr>
                <w:sz w:val="20"/>
                <w:szCs w:val="22"/>
              </w:rPr>
              <w:t xml:space="preserve"> Efficacité́ des politiques et performance des institutions publiques </w:t>
            </w:r>
          </w:p>
        </w:tc>
        <w:tc>
          <w:tcPr>
            <w:tcW w:w="7487" w:type="dxa"/>
          </w:tcPr>
          <w:p w14:paraId="4337F96A" w14:textId="77777777" w:rsidR="00EA6DED" w:rsidRDefault="007504AE">
            <w:pPr>
              <w:pStyle w:val="NormalWeb"/>
              <w:rPr>
                <w:sz w:val="20"/>
                <w:szCs w:val="22"/>
              </w:rPr>
            </w:pPr>
            <w:r>
              <w:rPr>
                <w:noProof/>
                <w:sz w:val="20"/>
                <w:szCs w:val="22"/>
              </w:rPr>
              <w:drawing>
                <wp:inline distT="0" distB="0" distL="0" distR="0" wp14:anchorId="4337FE67" wp14:editId="4337FE68">
                  <wp:extent cx="470535" cy="506730"/>
                  <wp:effectExtent l="0" t="0" r="0" b="0"/>
                  <wp:docPr id="707702680" name="Image 2073676047" descr="https://pactemondial.org/wp-content/uploads/2023/02/odd-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702680" name="Image 2073676047" descr="https://pactemondial.org/wp-content/uploads/2023/02/odd-15.pn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470535" cy="506730"/>
                          </a:xfrm>
                          <a:prstGeom prst="rect">
                            <a:avLst/>
                          </a:prstGeom>
                          <a:noFill/>
                          <a:ln>
                            <a:noFill/>
                          </a:ln>
                        </pic:spPr>
                      </pic:pic>
                    </a:graphicData>
                  </a:graphic>
                </wp:inline>
              </w:drawing>
            </w:r>
            <w:r>
              <w:rPr>
                <w:noProof/>
                <w:sz w:val="20"/>
                <w:szCs w:val="22"/>
              </w:rPr>
              <w:drawing>
                <wp:inline distT="0" distB="0" distL="0" distR="0" wp14:anchorId="4337FE69" wp14:editId="4337FE6A">
                  <wp:extent cx="497840" cy="497840"/>
                  <wp:effectExtent l="0" t="0" r="0" b="0"/>
                  <wp:docPr id="2035343591" name="Image 2073676051" descr="https://pactemondial.org/wp-content/uploads/2023/02/odd-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343591" name="Image 2073676051" descr="https://pactemondial.org/wp-content/uploads/2023/02/odd-16.pn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497840" cy="497840"/>
                          </a:xfrm>
                          <a:prstGeom prst="rect">
                            <a:avLst/>
                          </a:prstGeom>
                          <a:noFill/>
                          <a:ln>
                            <a:noFill/>
                          </a:ln>
                        </pic:spPr>
                      </pic:pic>
                    </a:graphicData>
                  </a:graphic>
                </wp:inline>
              </w:drawing>
            </w:r>
            <w:r>
              <w:rPr>
                <w:noProof/>
                <w:sz w:val="20"/>
                <w:szCs w:val="22"/>
              </w:rPr>
              <w:drawing>
                <wp:inline distT="0" distB="0" distL="0" distR="0" wp14:anchorId="4337FE6B" wp14:editId="4337FE6C">
                  <wp:extent cx="525145" cy="497840"/>
                  <wp:effectExtent l="0" t="0" r="0" b="0"/>
                  <wp:docPr id="920574765" name="Image 2073676054" descr="https://pactemondial.org/wp-content/uploads/2023/02/odd-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574765" name="Image 2073676054" descr="https://pactemondial.org/wp-content/uploads/2023/02/odd-17.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a:xfrm>
                            <a:off x="0" y="0"/>
                            <a:ext cx="525145" cy="497840"/>
                          </a:xfrm>
                          <a:prstGeom prst="rect">
                            <a:avLst/>
                          </a:prstGeom>
                          <a:noFill/>
                          <a:ln>
                            <a:noFill/>
                          </a:ln>
                        </pic:spPr>
                      </pic:pic>
                    </a:graphicData>
                  </a:graphic>
                </wp:inline>
              </w:drawing>
            </w:r>
            <w:r>
              <w:rPr>
                <w:noProof/>
                <w:sz w:val="20"/>
                <w:szCs w:val="22"/>
              </w:rPr>
              <w:drawing>
                <wp:inline distT="0" distB="0" distL="0" distR="0" wp14:anchorId="4337FE6D" wp14:editId="2ABC5671">
                  <wp:extent cx="470535" cy="506730"/>
                  <wp:effectExtent l="0" t="0" r="0" b="0"/>
                  <wp:docPr id="743616504" name="Image 2073676061" descr="https://pactemondial.org/wp-content/uploads/2023/02/odd-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616504" name="Image 2073676061" descr="https://pactemondial.org/wp-content/uploads/2023/02/odd-11.pn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470535" cy="506730"/>
                          </a:xfrm>
                          <a:prstGeom prst="rect">
                            <a:avLst/>
                          </a:prstGeom>
                          <a:noFill/>
                          <a:ln>
                            <a:noFill/>
                          </a:ln>
                        </pic:spPr>
                      </pic:pic>
                    </a:graphicData>
                  </a:graphic>
                </wp:inline>
              </w:drawing>
            </w:r>
            <w:r>
              <w:rPr>
                <w:noProof/>
                <w:sz w:val="20"/>
                <w:szCs w:val="22"/>
              </w:rPr>
              <w:drawing>
                <wp:inline distT="0" distB="0" distL="0" distR="0" wp14:anchorId="4337FE6F" wp14:editId="4337FE70">
                  <wp:extent cx="434340" cy="497840"/>
                  <wp:effectExtent l="0" t="0" r="0" b="0"/>
                  <wp:docPr id="767345584" name="Image 31" descr="https://pactemondial.org/wp-content/uploads/2023/02/od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345584" name="Image 31" descr="https://pactemondial.org/wp-content/uploads/2023/02/odd-5.pn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434340" cy="497840"/>
                          </a:xfrm>
                          <a:prstGeom prst="rect">
                            <a:avLst/>
                          </a:prstGeom>
                          <a:noFill/>
                          <a:ln>
                            <a:noFill/>
                          </a:ln>
                        </pic:spPr>
                      </pic:pic>
                    </a:graphicData>
                  </a:graphic>
                </wp:inline>
              </w:drawing>
            </w:r>
            <w:r>
              <w:rPr>
                <w:noProof/>
                <w:sz w:val="20"/>
                <w:szCs w:val="22"/>
              </w:rPr>
              <w:drawing>
                <wp:inline distT="0" distB="0" distL="0" distR="0" wp14:anchorId="4337FE71" wp14:editId="4337FE72">
                  <wp:extent cx="525145" cy="497840"/>
                  <wp:effectExtent l="0" t="0" r="0" b="0"/>
                  <wp:docPr id="1061290767" name="Image 2073676042" descr="https://pactemondial.org/wp-content/uploads/2023/02/odd-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290767" name="Image 2073676042" descr="https://pactemondial.org/wp-content/uploads/2023/02/odd-14.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a:xfrm>
                            <a:off x="0" y="0"/>
                            <a:ext cx="525145" cy="497840"/>
                          </a:xfrm>
                          <a:prstGeom prst="rect">
                            <a:avLst/>
                          </a:prstGeom>
                          <a:noFill/>
                          <a:ln>
                            <a:noFill/>
                          </a:ln>
                        </pic:spPr>
                      </pic:pic>
                    </a:graphicData>
                  </a:graphic>
                </wp:inline>
              </w:drawing>
            </w:r>
            <w:r>
              <w:rPr>
                <w:noProof/>
                <w:sz w:val="20"/>
                <w:szCs w:val="22"/>
              </w:rPr>
              <w:drawing>
                <wp:inline distT="0" distB="0" distL="0" distR="0" wp14:anchorId="4337FE73" wp14:editId="4337FE74">
                  <wp:extent cx="497840" cy="497840"/>
                  <wp:effectExtent l="0" t="0" r="0" b="0"/>
                  <wp:docPr id="429253210" name="Image 45" descr="https://pactemondial.org/wp-content/uploads/2023/02/odd-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253210" name="Image 45" descr="https://pactemondial.org/wp-content/uploads/2023/02/odd-10.pn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497840" cy="497840"/>
                          </a:xfrm>
                          <a:prstGeom prst="rect">
                            <a:avLst/>
                          </a:prstGeom>
                          <a:noFill/>
                          <a:ln>
                            <a:noFill/>
                          </a:ln>
                        </pic:spPr>
                      </pic:pic>
                    </a:graphicData>
                  </a:graphic>
                </wp:inline>
              </w:drawing>
            </w:r>
            <w:r>
              <w:rPr>
                <w:noProof/>
                <w:sz w:val="20"/>
                <w:szCs w:val="22"/>
              </w:rPr>
              <w:drawing>
                <wp:inline distT="0" distB="0" distL="0" distR="0" wp14:anchorId="4337FE75" wp14:editId="4337FE76">
                  <wp:extent cx="470535" cy="506730"/>
                  <wp:effectExtent l="0" t="0" r="0" b="0"/>
                  <wp:docPr id="45" name="Image 2073676047" descr="https://pactemondial.org/wp-content/uploads/2023/02/odd-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 2073676047" descr="https://pactemondial.org/wp-content/uploads/2023/02/odd-15.pn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470535" cy="506730"/>
                          </a:xfrm>
                          <a:prstGeom prst="rect">
                            <a:avLst/>
                          </a:prstGeom>
                          <a:noFill/>
                          <a:ln>
                            <a:noFill/>
                          </a:ln>
                        </pic:spPr>
                      </pic:pic>
                    </a:graphicData>
                  </a:graphic>
                </wp:inline>
              </w:drawing>
            </w:r>
            <w:r>
              <w:rPr>
                <w:noProof/>
                <w:sz w:val="20"/>
                <w:szCs w:val="22"/>
              </w:rPr>
              <w:drawing>
                <wp:inline distT="0" distB="0" distL="0" distR="0" wp14:anchorId="4337FE77" wp14:editId="4337FE78">
                  <wp:extent cx="497840" cy="497840"/>
                  <wp:effectExtent l="0" t="0" r="0" b="0"/>
                  <wp:docPr id="46" name="Image 2073676051" descr="https://pactemondial.org/wp-content/uploads/2023/02/odd-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 2073676051" descr="https://pactemondial.org/wp-content/uploads/2023/02/odd-16.pn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497840" cy="497840"/>
                          </a:xfrm>
                          <a:prstGeom prst="rect">
                            <a:avLst/>
                          </a:prstGeom>
                          <a:noFill/>
                          <a:ln>
                            <a:noFill/>
                          </a:ln>
                        </pic:spPr>
                      </pic:pic>
                    </a:graphicData>
                  </a:graphic>
                </wp:inline>
              </w:drawing>
            </w:r>
            <w:r>
              <w:rPr>
                <w:noProof/>
                <w:sz w:val="20"/>
                <w:szCs w:val="22"/>
              </w:rPr>
              <w:drawing>
                <wp:inline distT="0" distB="0" distL="0" distR="0" wp14:anchorId="4337FE79" wp14:editId="4337FE7A">
                  <wp:extent cx="525145" cy="497840"/>
                  <wp:effectExtent l="0" t="0" r="0" b="0"/>
                  <wp:docPr id="47" name="Image 2073676054" descr="https://pactemondial.org/wp-content/uploads/2023/02/odd-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 2073676054" descr="https://pactemondial.org/wp-content/uploads/2023/02/odd-17.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a:xfrm>
                            <a:off x="0" y="0"/>
                            <a:ext cx="525145" cy="497840"/>
                          </a:xfrm>
                          <a:prstGeom prst="rect">
                            <a:avLst/>
                          </a:prstGeom>
                          <a:noFill/>
                          <a:ln>
                            <a:noFill/>
                          </a:ln>
                        </pic:spPr>
                      </pic:pic>
                    </a:graphicData>
                  </a:graphic>
                </wp:inline>
              </w:drawing>
            </w:r>
            <w:r>
              <w:rPr>
                <w:noProof/>
                <w:sz w:val="20"/>
                <w:szCs w:val="22"/>
              </w:rPr>
              <w:drawing>
                <wp:inline distT="0" distB="0" distL="0" distR="0" wp14:anchorId="4337FE7B" wp14:editId="4CFD413B">
                  <wp:extent cx="470535" cy="506730"/>
                  <wp:effectExtent l="0" t="0" r="0" b="0"/>
                  <wp:docPr id="48" name="Image 2073676061" descr="https://pactemondial.org/wp-content/uploads/2023/02/odd-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 2073676061" descr="https://pactemondial.org/wp-content/uploads/2023/02/odd-11.pn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470535" cy="506730"/>
                          </a:xfrm>
                          <a:prstGeom prst="rect">
                            <a:avLst/>
                          </a:prstGeom>
                          <a:noFill/>
                          <a:ln>
                            <a:noFill/>
                          </a:ln>
                        </pic:spPr>
                      </pic:pic>
                    </a:graphicData>
                  </a:graphic>
                </wp:inline>
              </w:drawing>
            </w:r>
            <w:r>
              <w:rPr>
                <w:noProof/>
                <w:sz w:val="20"/>
                <w:szCs w:val="22"/>
              </w:rPr>
              <w:drawing>
                <wp:inline distT="0" distB="0" distL="0" distR="0" wp14:anchorId="4337FE7D" wp14:editId="4337FE7E">
                  <wp:extent cx="434340" cy="497840"/>
                  <wp:effectExtent l="0" t="0" r="0" b="0"/>
                  <wp:docPr id="49" name="Image 31" descr="https://pactemondial.org/wp-content/uploads/2023/02/od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 31" descr="https://pactemondial.org/wp-content/uploads/2023/02/odd-5.pn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434340" cy="497840"/>
                          </a:xfrm>
                          <a:prstGeom prst="rect">
                            <a:avLst/>
                          </a:prstGeom>
                          <a:noFill/>
                          <a:ln>
                            <a:noFill/>
                          </a:ln>
                        </pic:spPr>
                      </pic:pic>
                    </a:graphicData>
                  </a:graphic>
                </wp:inline>
              </w:drawing>
            </w:r>
            <w:r>
              <w:rPr>
                <w:noProof/>
                <w:sz w:val="20"/>
                <w:szCs w:val="22"/>
              </w:rPr>
              <w:drawing>
                <wp:inline distT="0" distB="0" distL="0" distR="0" wp14:anchorId="4337FE7F" wp14:editId="4337FE80">
                  <wp:extent cx="525145" cy="497840"/>
                  <wp:effectExtent l="0" t="0" r="0" b="0"/>
                  <wp:docPr id="50" name="Image 2073676042" descr="https://pactemondial.org/wp-content/uploads/2023/02/odd-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 2073676042" descr="https://pactemondial.org/wp-content/uploads/2023/02/odd-14.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a:xfrm>
                            <a:off x="0" y="0"/>
                            <a:ext cx="525145" cy="497840"/>
                          </a:xfrm>
                          <a:prstGeom prst="rect">
                            <a:avLst/>
                          </a:prstGeom>
                          <a:noFill/>
                          <a:ln>
                            <a:noFill/>
                          </a:ln>
                        </pic:spPr>
                      </pic:pic>
                    </a:graphicData>
                  </a:graphic>
                </wp:inline>
              </w:drawing>
            </w:r>
            <w:r>
              <w:rPr>
                <w:noProof/>
                <w:sz w:val="20"/>
                <w:szCs w:val="22"/>
              </w:rPr>
              <w:drawing>
                <wp:inline distT="0" distB="0" distL="0" distR="0" wp14:anchorId="4337FE81" wp14:editId="4337FE82">
                  <wp:extent cx="497840" cy="497840"/>
                  <wp:effectExtent l="0" t="0" r="0" b="0"/>
                  <wp:docPr id="51" name="Image 45" descr="https://pactemondial.org/wp-content/uploads/2023/02/odd-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 45" descr="https://pactemondial.org/wp-content/uploads/2023/02/odd-10.pn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a:xfrm>
                            <a:off x="0" y="0"/>
                            <a:ext cx="497840" cy="497840"/>
                          </a:xfrm>
                          <a:prstGeom prst="rect">
                            <a:avLst/>
                          </a:prstGeom>
                          <a:noFill/>
                          <a:ln>
                            <a:noFill/>
                          </a:ln>
                        </pic:spPr>
                      </pic:pic>
                    </a:graphicData>
                  </a:graphic>
                </wp:inline>
              </w:drawing>
            </w:r>
          </w:p>
        </w:tc>
      </w:tr>
      <w:tr w:rsidR="00EA6DED" w14:paraId="4337F96E" w14:textId="77777777">
        <w:tc>
          <w:tcPr>
            <w:tcW w:w="2689" w:type="dxa"/>
          </w:tcPr>
          <w:p w14:paraId="4337F96C" w14:textId="77777777" w:rsidR="00EA6DED" w:rsidRDefault="007504AE">
            <w:pPr>
              <w:pStyle w:val="NormalWeb"/>
              <w:jc w:val="both"/>
              <w:rPr>
                <w:sz w:val="20"/>
                <w:szCs w:val="22"/>
              </w:rPr>
            </w:pPr>
            <w:r>
              <w:rPr>
                <w:b/>
                <w:bCs/>
                <w:sz w:val="20"/>
                <w:szCs w:val="22"/>
              </w:rPr>
              <w:t xml:space="preserve">Réalisation 4 : </w:t>
            </w:r>
            <w:r>
              <w:rPr>
                <w:sz w:val="20"/>
                <w:szCs w:val="22"/>
              </w:rPr>
              <w:t xml:space="preserve">Durabilité environnementale </w:t>
            </w:r>
          </w:p>
        </w:tc>
        <w:tc>
          <w:tcPr>
            <w:tcW w:w="7487" w:type="dxa"/>
          </w:tcPr>
          <w:p w14:paraId="4337F96D" w14:textId="77777777" w:rsidR="00EA6DED" w:rsidRDefault="007504AE">
            <w:pPr>
              <w:pStyle w:val="NormalWeb"/>
              <w:rPr>
                <w:sz w:val="20"/>
                <w:szCs w:val="22"/>
              </w:rPr>
            </w:pPr>
            <w:r>
              <w:rPr>
                <w:noProof/>
                <w:sz w:val="20"/>
                <w:szCs w:val="22"/>
              </w:rPr>
              <w:drawing>
                <wp:inline distT="0" distB="0" distL="0" distR="0" wp14:anchorId="4337FE83" wp14:editId="4337FE84">
                  <wp:extent cx="434340" cy="470535"/>
                  <wp:effectExtent l="0" t="0" r="0" b="0"/>
                  <wp:docPr id="590946601" name="Image 32" descr="https://pactemondial.org/wp-content/uploads/2023/02/od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946601" name="Image 32" descr="https://pactemondial.org/wp-content/uploads/2023/02/odd-5.pn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a:xfrm>
                            <a:off x="0" y="0"/>
                            <a:ext cx="434340" cy="470535"/>
                          </a:xfrm>
                          <a:prstGeom prst="rect">
                            <a:avLst/>
                          </a:prstGeom>
                          <a:noFill/>
                          <a:ln>
                            <a:noFill/>
                          </a:ln>
                        </pic:spPr>
                      </pic:pic>
                    </a:graphicData>
                  </a:graphic>
                </wp:inline>
              </w:drawing>
            </w:r>
            <w:r>
              <w:rPr>
                <w:noProof/>
                <w:sz w:val="20"/>
                <w:szCs w:val="22"/>
              </w:rPr>
              <w:drawing>
                <wp:inline distT="0" distB="0" distL="0" distR="0" wp14:anchorId="4337FE85" wp14:editId="10EF7236">
                  <wp:extent cx="470535" cy="470535"/>
                  <wp:effectExtent l="0" t="0" r="0" b="0"/>
                  <wp:docPr id="227423057" name="Image 2073676060" descr="https://pactemondial.org/wp-content/uploads/2023/02/odd-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423057" name="Image 2073676060" descr="https://pactemondial.org/wp-content/uploads/2023/02/odd-11.pn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a:xfrm>
                            <a:off x="0" y="0"/>
                            <a:ext cx="470535" cy="470535"/>
                          </a:xfrm>
                          <a:prstGeom prst="rect">
                            <a:avLst/>
                          </a:prstGeom>
                          <a:noFill/>
                          <a:ln>
                            <a:noFill/>
                          </a:ln>
                        </pic:spPr>
                      </pic:pic>
                    </a:graphicData>
                  </a:graphic>
                </wp:inline>
              </w:drawing>
            </w:r>
            <w:r>
              <w:rPr>
                <w:noProof/>
                <w:sz w:val="20"/>
                <w:szCs w:val="22"/>
              </w:rPr>
              <w:drawing>
                <wp:inline distT="0" distB="0" distL="0" distR="0" wp14:anchorId="4337FE87" wp14:editId="4337FE88">
                  <wp:extent cx="470535" cy="470535"/>
                  <wp:effectExtent l="0" t="0" r="0" b="0"/>
                  <wp:docPr id="2089655181" name="Image 2073676039" descr="https://pactemondial.org/wp-content/uploads/2023/02/odd-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655181" name="Image 2073676039" descr="https://pactemondial.org/wp-content/uploads/2023/02/odd-13.pn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a:xfrm>
                            <a:off x="0" y="0"/>
                            <a:ext cx="470535" cy="470535"/>
                          </a:xfrm>
                          <a:prstGeom prst="rect">
                            <a:avLst/>
                          </a:prstGeom>
                          <a:noFill/>
                          <a:ln>
                            <a:noFill/>
                          </a:ln>
                        </pic:spPr>
                      </pic:pic>
                    </a:graphicData>
                  </a:graphic>
                </wp:inline>
              </w:drawing>
            </w:r>
            <w:r>
              <w:rPr>
                <w:noProof/>
                <w:sz w:val="20"/>
                <w:szCs w:val="22"/>
              </w:rPr>
              <w:drawing>
                <wp:inline distT="0" distB="0" distL="0" distR="0" wp14:anchorId="4337FE89" wp14:editId="4337FE8A">
                  <wp:extent cx="461645" cy="470535"/>
                  <wp:effectExtent l="0" t="0" r="0" b="0"/>
                  <wp:docPr id="1643841901" name="Image 2073676041" descr="https://pactemondial.org/wp-content/uploads/2023/02/odd-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841901" name="Image 2073676041" descr="https://pactemondial.org/wp-content/uploads/2023/02/odd-14.pn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a:xfrm>
                            <a:off x="0" y="0"/>
                            <a:ext cx="461645" cy="470535"/>
                          </a:xfrm>
                          <a:prstGeom prst="rect">
                            <a:avLst/>
                          </a:prstGeom>
                          <a:noFill/>
                          <a:ln>
                            <a:noFill/>
                          </a:ln>
                        </pic:spPr>
                      </pic:pic>
                    </a:graphicData>
                  </a:graphic>
                </wp:inline>
              </w:drawing>
            </w:r>
            <w:r>
              <w:rPr>
                <w:noProof/>
                <w:sz w:val="20"/>
                <w:szCs w:val="22"/>
              </w:rPr>
              <w:drawing>
                <wp:inline distT="0" distB="0" distL="0" distR="0" wp14:anchorId="4337FE8B" wp14:editId="4337FE8C">
                  <wp:extent cx="470535" cy="470535"/>
                  <wp:effectExtent l="0" t="0" r="0" b="0"/>
                  <wp:docPr id="1375724769" name="Image 2073676046" descr="https://pactemondial.org/wp-content/uploads/2023/02/odd-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724769" name="Image 2073676046" descr="https://pactemondial.org/wp-content/uploads/2023/02/odd-15.pn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a:xfrm>
                            <a:off x="0" y="0"/>
                            <a:ext cx="470535" cy="470535"/>
                          </a:xfrm>
                          <a:prstGeom prst="rect">
                            <a:avLst/>
                          </a:prstGeom>
                          <a:noFill/>
                          <a:ln>
                            <a:noFill/>
                          </a:ln>
                        </pic:spPr>
                      </pic:pic>
                    </a:graphicData>
                  </a:graphic>
                </wp:inline>
              </w:drawing>
            </w:r>
            <w:r>
              <w:rPr>
                <w:noProof/>
                <w:sz w:val="20"/>
                <w:szCs w:val="22"/>
              </w:rPr>
              <w:drawing>
                <wp:inline distT="0" distB="0" distL="0" distR="0" wp14:anchorId="4337FE8D" wp14:editId="4337FE8E">
                  <wp:extent cx="497840" cy="470535"/>
                  <wp:effectExtent l="0" t="0" r="0" b="0"/>
                  <wp:docPr id="1848413268" name="Image 2073676050" descr="https://pactemondial.org/wp-content/uploads/2023/02/odd-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413268" name="Image 2073676050" descr="https://pactemondial.org/wp-content/uploads/2023/02/odd-16.pn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a:xfrm>
                            <a:off x="0" y="0"/>
                            <a:ext cx="497840" cy="470535"/>
                          </a:xfrm>
                          <a:prstGeom prst="rect">
                            <a:avLst/>
                          </a:prstGeom>
                          <a:noFill/>
                          <a:ln>
                            <a:noFill/>
                          </a:ln>
                        </pic:spPr>
                      </pic:pic>
                    </a:graphicData>
                  </a:graphic>
                </wp:inline>
              </w:drawing>
            </w:r>
            <w:r>
              <w:rPr>
                <w:noProof/>
                <w:sz w:val="20"/>
                <w:szCs w:val="22"/>
              </w:rPr>
              <w:drawing>
                <wp:inline distT="0" distB="0" distL="0" distR="0" wp14:anchorId="4337FE8F" wp14:editId="0D6904F2">
                  <wp:extent cx="434340" cy="425450"/>
                  <wp:effectExtent l="0" t="0" r="0" b="0"/>
                  <wp:docPr id="145346099" name="Image 54" descr="https://pactemondial.org/wp-content/uploads/2023/02/odd-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46099" name="Image 54" descr="https://pactemondial.org/wp-content/uploads/2023/02/odd-17.pn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a:xfrm>
                            <a:off x="0" y="0"/>
                            <a:ext cx="434340" cy="425450"/>
                          </a:xfrm>
                          <a:prstGeom prst="rect">
                            <a:avLst/>
                          </a:prstGeom>
                          <a:noFill/>
                          <a:ln>
                            <a:noFill/>
                          </a:ln>
                        </pic:spPr>
                      </pic:pic>
                    </a:graphicData>
                  </a:graphic>
                </wp:inline>
              </w:drawing>
            </w:r>
            <w:r>
              <w:rPr>
                <w:noProof/>
                <w:sz w:val="20"/>
                <w:szCs w:val="22"/>
              </w:rPr>
              <w:drawing>
                <wp:inline distT="0" distB="0" distL="0" distR="0" wp14:anchorId="4337FE91" wp14:editId="4337FE92">
                  <wp:extent cx="434340" cy="470535"/>
                  <wp:effectExtent l="0" t="0" r="0" b="0"/>
                  <wp:docPr id="52" name="Image 32" descr="https://pactemondial.org/wp-content/uploads/2023/02/od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 32" descr="https://pactemondial.org/wp-content/uploads/2023/02/odd-5.pn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a:xfrm>
                            <a:off x="0" y="0"/>
                            <a:ext cx="434340" cy="470535"/>
                          </a:xfrm>
                          <a:prstGeom prst="rect">
                            <a:avLst/>
                          </a:prstGeom>
                          <a:noFill/>
                          <a:ln>
                            <a:noFill/>
                          </a:ln>
                        </pic:spPr>
                      </pic:pic>
                    </a:graphicData>
                  </a:graphic>
                </wp:inline>
              </w:drawing>
            </w:r>
            <w:r>
              <w:rPr>
                <w:noProof/>
                <w:sz w:val="20"/>
                <w:szCs w:val="22"/>
              </w:rPr>
              <w:drawing>
                <wp:inline distT="0" distB="0" distL="0" distR="0" wp14:anchorId="4337FE93" wp14:editId="4C08EC96">
                  <wp:extent cx="470535" cy="470535"/>
                  <wp:effectExtent l="0" t="0" r="0" b="0"/>
                  <wp:docPr id="53" name="Image 2073676060" descr="https://pactemondial.org/wp-content/uploads/2023/02/odd-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 2073676060" descr="https://pactemondial.org/wp-content/uploads/2023/02/odd-11.pn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a:xfrm>
                            <a:off x="0" y="0"/>
                            <a:ext cx="470535" cy="470535"/>
                          </a:xfrm>
                          <a:prstGeom prst="rect">
                            <a:avLst/>
                          </a:prstGeom>
                          <a:noFill/>
                          <a:ln>
                            <a:noFill/>
                          </a:ln>
                        </pic:spPr>
                      </pic:pic>
                    </a:graphicData>
                  </a:graphic>
                </wp:inline>
              </w:drawing>
            </w:r>
            <w:r>
              <w:rPr>
                <w:noProof/>
                <w:sz w:val="20"/>
                <w:szCs w:val="22"/>
              </w:rPr>
              <w:drawing>
                <wp:inline distT="0" distB="0" distL="0" distR="0" wp14:anchorId="4337FE95" wp14:editId="4337FE96">
                  <wp:extent cx="470535" cy="470535"/>
                  <wp:effectExtent l="0" t="0" r="0" b="0"/>
                  <wp:docPr id="54" name="Image 2073676039" descr="https://pactemondial.org/wp-content/uploads/2023/02/odd-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 2073676039" descr="https://pactemondial.org/wp-content/uploads/2023/02/odd-13.pn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a:xfrm>
                            <a:off x="0" y="0"/>
                            <a:ext cx="470535" cy="470535"/>
                          </a:xfrm>
                          <a:prstGeom prst="rect">
                            <a:avLst/>
                          </a:prstGeom>
                          <a:noFill/>
                          <a:ln>
                            <a:noFill/>
                          </a:ln>
                        </pic:spPr>
                      </pic:pic>
                    </a:graphicData>
                  </a:graphic>
                </wp:inline>
              </w:drawing>
            </w:r>
            <w:r>
              <w:rPr>
                <w:noProof/>
                <w:sz w:val="20"/>
                <w:szCs w:val="22"/>
              </w:rPr>
              <w:drawing>
                <wp:inline distT="0" distB="0" distL="0" distR="0" wp14:anchorId="4337FE97" wp14:editId="4337FE98">
                  <wp:extent cx="461645" cy="470535"/>
                  <wp:effectExtent l="0" t="0" r="0" b="0"/>
                  <wp:docPr id="55" name="Image 2073676041" descr="https://pactemondial.org/wp-content/uploads/2023/02/odd-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 2073676041" descr="https://pactemondial.org/wp-content/uploads/2023/02/odd-14.pn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a:xfrm>
                            <a:off x="0" y="0"/>
                            <a:ext cx="461645" cy="470535"/>
                          </a:xfrm>
                          <a:prstGeom prst="rect">
                            <a:avLst/>
                          </a:prstGeom>
                          <a:noFill/>
                          <a:ln>
                            <a:noFill/>
                          </a:ln>
                        </pic:spPr>
                      </pic:pic>
                    </a:graphicData>
                  </a:graphic>
                </wp:inline>
              </w:drawing>
            </w:r>
            <w:r>
              <w:rPr>
                <w:noProof/>
                <w:sz w:val="20"/>
                <w:szCs w:val="22"/>
              </w:rPr>
              <w:drawing>
                <wp:inline distT="0" distB="0" distL="0" distR="0" wp14:anchorId="4337FE99" wp14:editId="4337FE9A">
                  <wp:extent cx="470535" cy="470535"/>
                  <wp:effectExtent l="0" t="0" r="0" b="0"/>
                  <wp:docPr id="56" name="Image 2073676046" descr="https://pactemondial.org/wp-content/uploads/2023/02/odd-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 2073676046" descr="https://pactemondial.org/wp-content/uploads/2023/02/odd-15.pn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a:xfrm>
                            <a:off x="0" y="0"/>
                            <a:ext cx="470535" cy="470535"/>
                          </a:xfrm>
                          <a:prstGeom prst="rect">
                            <a:avLst/>
                          </a:prstGeom>
                          <a:noFill/>
                          <a:ln>
                            <a:noFill/>
                          </a:ln>
                        </pic:spPr>
                      </pic:pic>
                    </a:graphicData>
                  </a:graphic>
                </wp:inline>
              </w:drawing>
            </w:r>
            <w:r>
              <w:rPr>
                <w:noProof/>
                <w:sz w:val="20"/>
                <w:szCs w:val="22"/>
              </w:rPr>
              <w:drawing>
                <wp:inline distT="0" distB="0" distL="0" distR="0" wp14:anchorId="4337FE9B" wp14:editId="4337FE9C">
                  <wp:extent cx="497840" cy="470535"/>
                  <wp:effectExtent l="0" t="0" r="0" b="0"/>
                  <wp:docPr id="57" name="Image 2073676050" descr="https://pactemondial.org/wp-content/uploads/2023/02/odd-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 2073676050" descr="https://pactemondial.org/wp-content/uploads/2023/02/odd-16.pn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a:xfrm>
                            <a:off x="0" y="0"/>
                            <a:ext cx="497840" cy="470535"/>
                          </a:xfrm>
                          <a:prstGeom prst="rect">
                            <a:avLst/>
                          </a:prstGeom>
                          <a:noFill/>
                          <a:ln>
                            <a:noFill/>
                          </a:ln>
                        </pic:spPr>
                      </pic:pic>
                    </a:graphicData>
                  </a:graphic>
                </wp:inline>
              </w:drawing>
            </w:r>
            <w:r>
              <w:rPr>
                <w:noProof/>
                <w:sz w:val="20"/>
                <w:szCs w:val="22"/>
              </w:rPr>
              <w:drawing>
                <wp:inline distT="0" distB="0" distL="0" distR="0" wp14:anchorId="4337FE9D" wp14:editId="7C405BA6">
                  <wp:extent cx="434340" cy="425450"/>
                  <wp:effectExtent l="0" t="0" r="0" b="0"/>
                  <wp:docPr id="58" name="Image 54" descr="https://pactemondial.org/wp-content/uploads/2023/02/odd-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 54" descr="https://pactemondial.org/wp-content/uploads/2023/02/odd-17.pn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a:xfrm>
                            <a:off x="0" y="0"/>
                            <a:ext cx="434340" cy="425450"/>
                          </a:xfrm>
                          <a:prstGeom prst="rect">
                            <a:avLst/>
                          </a:prstGeom>
                          <a:noFill/>
                          <a:ln>
                            <a:noFill/>
                          </a:ln>
                        </pic:spPr>
                      </pic:pic>
                    </a:graphicData>
                  </a:graphic>
                </wp:inline>
              </w:drawing>
            </w:r>
          </w:p>
        </w:tc>
      </w:tr>
    </w:tbl>
    <w:p w14:paraId="4337F96F" w14:textId="77777777" w:rsidR="00EA6DED" w:rsidRDefault="00EA6DED">
      <w:pPr>
        <w:rPr>
          <w:bCs/>
          <w:sz w:val="22"/>
          <w:szCs w:val="22"/>
        </w:rPr>
      </w:pPr>
    </w:p>
    <w:p w14:paraId="4337F970" w14:textId="77777777" w:rsidR="00EA6DED" w:rsidRDefault="007504AE">
      <w:pPr>
        <w:jc w:val="both"/>
        <w:rPr>
          <w:bCs/>
          <w:sz w:val="22"/>
          <w:szCs w:val="22"/>
        </w:rPr>
      </w:pPr>
      <w:r>
        <w:rPr>
          <w:bCs/>
          <w:szCs w:val="22"/>
        </w:rPr>
        <w:t>En plus de la couverture des ODD, les NU donnent une bonne réponse sectorielle à travers l’appui des agences aux programmes et aux ministères, la participation aux réunions des groupes thématiques et autres cadres de concertation ou de coordination, le renforcement des capacités (formations, appui en ressources humaines, renforcement des plateaux techniques</w:t>
      </w:r>
      <w:r>
        <w:rPr>
          <w:rStyle w:val="Appelnotedebasdep"/>
          <w:rFonts w:eastAsia="SimSun"/>
          <w:bCs/>
          <w:sz w:val="28"/>
        </w:rPr>
        <w:footnoteReference w:id="40"/>
      </w:r>
      <w:r>
        <w:rPr>
          <w:bCs/>
          <w:szCs w:val="22"/>
        </w:rPr>
        <w:t xml:space="preserve"> pour les hôpitaux ou l’administration locale</w:t>
      </w:r>
      <w:r>
        <w:rPr>
          <w:rStyle w:val="Appelnotedebasdep"/>
          <w:rFonts w:eastAsia="SimSun"/>
          <w:bCs/>
          <w:sz w:val="28"/>
        </w:rPr>
        <w:footnoteReference w:id="41"/>
      </w:r>
      <w:r>
        <w:rPr>
          <w:bCs/>
          <w:szCs w:val="22"/>
        </w:rPr>
        <w:t>), développement des politiques et autres documents normatifs</w:t>
      </w:r>
      <w:r>
        <w:rPr>
          <w:rStyle w:val="Appelnotedebasdep"/>
          <w:rFonts w:eastAsia="SimSun"/>
          <w:bCs/>
          <w:sz w:val="28"/>
        </w:rPr>
        <w:footnoteReference w:id="42"/>
      </w:r>
      <w:r>
        <w:rPr>
          <w:bCs/>
          <w:szCs w:val="22"/>
        </w:rPr>
        <w:t>, appuis logistiques divers en matériels roulants ou pour la participation aux ateliers/colloques au niveau national ou international</w:t>
      </w:r>
      <w:r>
        <w:rPr>
          <w:bCs/>
          <w:sz w:val="22"/>
          <w:szCs w:val="22"/>
        </w:rPr>
        <w:t xml:space="preserve">.  </w:t>
      </w:r>
    </w:p>
    <w:p w14:paraId="4337F971" w14:textId="77777777" w:rsidR="00EA6DED" w:rsidRDefault="00EA6DED">
      <w:pPr>
        <w:jc w:val="both"/>
        <w:rPr>
          <w:bCs/>
          <w:sz w:val="22"/>
          <w:szCs w:val="22"/>
        </w:rPr>
      </w:pPr>
    </w:p>
    <w:p w14:paraId="4337F972" w14:textId="77777777" w:rsidR="00EA6DED" w:rsidRDefault="007504AE">
      <w:pPr>
        <w:rPr>
          <w:bCs/>
          <w:sz w:val="2"/>
          <w:szCs w:val="2"/>
        </w:rPr>
      </w:pPr>
      <w:r>
        <w:rPr>
          <w:bCs/>
          <w:sz w:val="22"/>
          <w:szCs w:val="22"/>
        </w:rPr>
        <w:t xml:space="preserve">   </w:t>
      </w:r>
      <w:r>
        <w:rPr>
          <w:bCs/>
          <w:sz w:val="2"/>
          <w:szCs w:val="2"/>
        </w:rPr>
        <w:t xml:space="preserve">  </w:t>
      </w:r>
    </w:p>
    <w:p w14:paraId="4337F973" w14:textId="77777777" w:rsidR="00EA6DED" w:rsidRDefault="00EA6DED">
      <w:pPr>
        <w:rPr>
          <w:sz w:val="6"/>
          <w:szCs w:val="6"/>
        </w:rPr>
      </w:pPr>
    </w:p>
    <w:p w14:paraId="4337F974" w14:textId="77777777" w:rsidR="00EA6DED" w:rsidRDefault="007504AE">
      <w:pPr>
        <w:pStyle w:val="Titre3"/>
        <w:rPr>
          <w:rFonts w:ascii="Times New Roman" w:eastAsia="Arial" w:hAnsi="Times New Roman"/>
          <w:i/>
          <w:iCs/>
          <w:color w:val="000000"/>
          <w:sz w:val="22"/>
          <w:szCs w:val="22"/>
        </w:rPr>
      </w:pPr>
      <w:bookmarkStart w:id="105" w:name="_Toc30673"/>
      <w:r>
        <w:rPr>
          <w:rFonts w:ascii="Times New Roman" w:eastAsia="Arial" w:hAnsi="Times New Roman"/>
          <w:i/>
          <w:iCs/>
          <w:color w:val="000000"/>
          <w:sz w:val="22"/>
          <w:szCs w:val="22"/>
        </w:rPr>
        <w:t>5.1.4.  Pertinence par rapport aux principes de programmation des Nations</w:t>
      </w:r>
      <w:bookmarkEnd w:id="105"/>
      <w:r>
        <w:rPr>
          <w:rFonts w:ascii="Times New Roman" w:eastAsia="Arial" w:hAnsi="Times New Roman"/>
          <w:i/>
          <w:iCs/>
          <w:color w:val="000000"/>
          <w:sz w:val="22"/>
          <w:szCs w:val="22"/>
        </w:rPr>
        <w:t xml:space="preserve"> </w:t>
      </w:r>
    </w:p>
    <w:p w14:paraId="4337F975" w14:textId="77777777" w:rsidR="00EA6DED" w:rsidRDefault="007504AE">
      <w:pPr>
        <w:jc w:val="both"/>
      </w:pPr>
      <w:r>
        <w:t>La revue documentaire montre que le CC 2022-2026 est en cohérence avec les principes de programmation des Nations Unies dans sa conception et sa mise en œuvre. Dans sa configuration, elle répond au principe « One UN » à travers la planification conjointe des interventions, un cadre unique de résultats, un cadre unique de coordination autour des organes de l’équipe pays, des initiatives conjointes sur le terrain et une mutualisation effective de certaines ressources (bureaux conjoints, ‘’vehicule pooling’’, des visites conjointes des équipes etc.). L’engagement de ‘’Ne laisser personne de côté’’ est perceptible dans l’identification des cibles conformément aux orientations du Bilan Commun Pays qui a défini les priorités stratégiques. L’articulation thématique des projets et programmes est soutenue par les autres principes de programmation à travers les marqueurs genre (adossés sur UNCT-SWAP Gender Equality Scorecard), les marqueurs de droits de l’homme ou les fonctions de l’examen quadriennal complet (QCPR) des NU. Les questions en lien avec le genre et l’inclusion sociale (Produits P1.3, P2.1.1, P2.1.3, P2.1.6, P2.2.1, P2.2.2, P2.2.3, P3.1…), le respect des droits humains (un nombre remarquable de projets avec une contribution significative à la réalisation des droits humains dont 24 pour la PS1, 79 pour la PS2, 43 pour la PS3 et 74 pour la PS4) sont nombreuses (graphique 1).</w:t>
      </w:r>
      <w:r>
        <w:rPr>
          <w:highlight w:val="yellow"/>
        </w:rPr>
        <w:t xml:space="preserve">    </w:t>
      </w:r>
    </w:p>
    <w:p w14:paraId="4337F976" w14:textId="77777777" w:rsidR="00EA6DED" w:rsidRDefault="00EA6DED">
      <w:pPr>
        <w:jc w:val="both"/>
        <w:rPr>
          <w:highlight w:val="yellow"/>
        </w:rPr>
      </w:pPr>
    </w:p>
    <w:p w14:paraId="4337F977" w14:textId="77777777" w:rsidR="00EA6DED" w:rsidRDefault="007504AE">
      <w:pPr>
        <w:jc w:val="both"/>
      </w:pPr>
      <w:r>
        <w:t>En matière de genre en particulier, le Cameroun dispose, grâce à l’appui des NU, d’une politique sur la promotion de l’égalité des genres et l’autonomisation des femmes (y compris le PSEA, la lutte et la prise en charge des VBG)</w:t>
      </w:r>
      <w:r>
        <w:rPr>
          <w:rStyle w:val="Appelnotedebasdep"/>
          <w:rFonts w:eastAsia="SimSun"/>
        </w:rPr>
        <w:footnoteReference w:id="43"/>
      </w:r>
      <w:r>
        <w:t xml:space="preserve"> avec un plan d’action pour la mise en œuvre des résolutions 1325 sur ‘’Femme, Paix et Sécurité’’, d’un projet de loi sur les VBG, d’une multitude de journées en faveur des femmes</w:t>
      </w:r>
      <w:r>
        <w:rPr>
          <w:rStyle w:val="Appelnotedebasdep"/>
          <w:rFonts w:eastAsia="SimSun"/>
        </w:rPr>
        <w:footnoteReference w:id="44"/>
      </w:r>
      <w:r>
        <w:t xml:space="preserve"> etc... L’ODD 5 sur ‘’Réaliser l’égalité des sexes et autonomiser toutes les femmes et les filles’’ est un élément focal du CC 2022-2026 et de ses PTC à travers les Réalisations 1, 2.1, 2.2 et 4.  </w:t>
      </w:r>
    </w:p>
    <w:p w14:paraId="4337F978" w14:textId="77777777" w:rsidR="00EA6DED" w:rsidRDefault="00EA6DED">
      <w:pPr>
        <w:jc w:val="both"/>
      </w:pPr>
    </w:p>
    <w:p w14:paraId="4337F979" w14:textId="77777777" w:rsidR="00EA6DED" w:rsidRDefault="007504AE">
      <w:pPr>
        <w:pStyle w:val="Lgende"/>
        <w:rPr>
          <w:sz w:val="20"/>
          <w:szCs w:val="20"/>
        </w:rPr>
      </w:pPr>
      <w:r>
        <w:rPr>
          <w:sz w:val="20"/>
          <w:szCs w:val="20"/>
        </w:rPr>
        <w:t xml:space="preserve">Graphique </w:t>
      </w:r>
      <w:r>
        <w:rPr>
          <w:sz w:val="20"/>
          <w:szCs w:val="20"/>
        </w:rPr>
        <w:fldChar w:fldCharType="begin"/>
      </w:r>
      <w:r>
        <w:rPr>
          <w:sz w:val="20"/>
          <w:szCs w:val="20"/>
        </w:rPr>
        <w:instrText xml:space="preserve"> SEQ Graphique \* ARABIC </w:instrText>
      </w:r>
      <w:r>
        <w:rPr>
          <w:sz w:val="20"/>
          <w:szCs w:val="20"/>
        </w:rPr>
        <w:fldChar w:fldCharType="separate"/>
      </w:r>
      <w:r>
        <w:rPr>
          <w:sz w:val="20"/>
          <w:szCs w:val="20"/>
        </w:rPr>
        <w:t>1</w:t>
      </w:r>
      <w:r>
        <w:rPr>
          <w:sz w:val="20"/>
          <w:szCs w:val="20"/>
        </w:rPr>
        <w:fldChar w:fldCharType="end"/>
      </w:r>
      <w:bookmarkStart w:id="106" w:name="_Toc10241"/>
      <w:r>
        <w:rPr>
          <w:sz w:val="20"/>
          <w:szCs w:val="20"/>
        </w:rPr>
        <w:t xml:space="preserve">: Répartition des projets par marqueurs genre et droits humains suivant les priorités stratégiques </w:t>
      </w:r>
      <w:r>
        <w:rPr>
          <w:sz w:val="21"/>
          <w:szCs w:val="21"/>
        </w:rPr>
        <w:t xml:space="preserve">  </w:t>
      </w:r>
      <w:bookmarkEnd w:id="106"/>
    </w:p>
    <w:p w14:paraId="4337F97A" w14:textId="77777777" w:rsidR="00EA6DED" w:rsidRDefault="007504AE">
      <w:pPr>
        <w:jc w:val="both"/>
      </w:pPr>
      <w:r>
        <w:rPr>
          <w:noProof/>
        </w:rPr>
        <w:lastRenderedPageBreak/>
        <w:drawing>
          <wp:inline distT="0" distB="0" distL="0" distR="0" wp14:anchorId="4337FE9F" wp14:editId="4337FEA0">
            <wp:extent cx="6485890" cy="3361055"/>
            <wp:effectExtent l="0" t="0" r="0" b="0"/>
            <wp:docPr id="5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 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0" y="0"/>
                      <a:ext cx="6485890" cy="3361055"/>
                    </a:xfrm>
                    <a:prstGeom prst="rect">
                      <a:avLst/>
                    </a:prstGeom>
                    <a:noFill/>
                    <a:ln>
                      <a:noFill/>
                    </a:ln>
                  </pic:spPr>
                </pic:pic>
              </a:graphicData>
            </a:graphic>
          </wp:inline>
        </w:drawing>
      </w:r>
    </w:p>
    <w:p w14:paraId="4337F97B" w14:textId="77777777" w:rsidR="00EA6DED" w:rsidRDefault="00EA6DED">
      <w:pPr>
        <w:rPr>
          <w:sz w:val="22"/>
          <w:szCs w:val="22"/>
        </w:rPr>
      </w:pPr>
    </w:p>
    <w:p w14:paraId="4337F97C" w14:textId="77777777" w:rsidR="00EA6DED" w:rsidRDefault="00EA6DED">
      <w:pPr>
        <w:rPr>
          <w:sz w:val="22"/>
          <w:szCs w:val="22"/>
        </w:rPr>
      </w:pPr>
    </w:p>
    <w:p w14:paraId="4337F97D" w14:textId="77777777" w:rsidR="00EA6DED" w:rsidRDefault="007504AE">
      <w:pPr>
        <w:shd w:val="clear" w:color="auto" w:fill="FFE599"/>
        <w:spacing w:line="276" w:lineRule="auto"/>
        <w:ind w:right="-9"/>
        <w:jc w:val="both"/>
        <w:rPr>
          <w:rFonts w:eastAsia="Arial"/>
          <w:b/>
          <w:color w:val="000000"/>
          <w:sz w:val="22"/>
          <w:szCs w:val="22"/>
        </w:rPr>
      </w:pPr>
      <w:r>
        <w:rPr>
          <w:rFonts w:eastAsia="Arial"/>
          <w:b/>
          <w:color w:val="4472C4"/>
          <w:sz w:val="22"/>
          <w:szCs w:val="22"/>
        </w:rPr>
        <w:t>Question d’évaluation No 2.</w:t>
      </w:r>
      <w:r>
        <w:rPr>
          <w:rFonts w:eastAsia="DengXian"/>
          <w:b/>
          <w:bCs/>
          <w:color w:val="4472C4"/>
          <w:kern w:val="24"/>
          <w:sz w:val="48"/>
          <w:szCs w:val="48"/>
        </w:rPr>
        <w:t xml:space="preserve"> </w:t>
      </w:r>
      <w:r>
        <w:rPr>
          <w:rFonts w:eastAsia="Arial"/>
          <w:b/>
          <w:bCs/>
          <w:color w:val="000000"/>
          <w:sz w:val="22"/>
          <w:szCs w:val="22"/>
        </w:rPr>
        <w:t xml:space="preserve">Dans quelle mesure la mise en œuvre du Cadre de Coopération s’est-elle adaptée aux problèmes émergents rencontrés par le pays y compris ceux identifiés par l'Analyse Commune du Pays (CCA) des Nations Unies ? </w:t>
      </w:r>
    </w:p>
    <w:p w14:paraId="4337F97E" w14:textId="77777777" w:rsidR="00EA6DED" w:rsidRDefault="00EA6DED">
      <w:pPr>
        <w:rPr>
          <w:b/>
          <w:sz w:val="22"/>
          <w:szCs w:val="22"/>
        </w:rPr>
      </w:pPr>
    </w:p>
    <w:p w14:paraId="4337F97F" w14:textId="77777777" w:rsidR="00EA6DED" w:rsidRDefault="007504AE">
      <w:pPr>
        <w:pStyle w:val="Titre3"/>
        <w:rPr>
          <w:rFonts w:ascii="Times New Roman" w:eastAsia="Arial" w:hAnsi="Times New Roman"/>
          <w:i/>
          <w:iCs/>
          <w:color w:val="000000"/>
          <w:sz w:val="22"/>
          <w:szCs w:val="22"/>
        </w:rPr>
      </w:pPr>
      <w:bookmarkStart w:id="107" w:name="_Toc20468"/>
      <w:r>
        <w:rPr>
          <w:rFonts w:ascii="Times New Roman" w:eastAsia="Arial" w:hAnsi="Times New Roman"/>
          <w:i/>
          <w:iCs/>
          <w:color w:val="000000"/>
          <w:sz w:val="22"/>
          <w:szCs w:val="22"/>
        </w:rPr>
        <w:t>5.1.5.  Adaptation avec les besoins des bénéficiaires et les thématiques émergentes</w:t>
      </w:r>
      <w:bookmarkEnd w:id="107"/>
    </w:p>
    <w:p w14:paraId="4337F980" w14:textId="77777777" w:rsidR="00EA6DED" w:rsidRDefault="007504AE">
      <w:pPr>
        <w:jc w:val="both"/>
      </w:pPr>
      <w:r>
        <w:t>La revue documentaire et les entretiens avec les agences montrent que le cadre de coopération a été assez flexible pour prendre en compte certaines thématiques émergentes lors de sa mise en œuvre avec des activités sur la COVID 19 jusqu’en 2023, l’appui à la gestion des inondations de 2024 dans les départements du Diamaré, du Mayo-Tsanaga, du Mayo-Kani, du Logone et chari et Mayo-Danay dans la région de l’Extrême-Nord, la participation active pour la mise œuvre du Plan Présidentiel pour la Reconstruction et  le Développement (PPRD)</w:t>
      </w:r>
      <w:r>
        <w:rPr>
          <w:rStyle w:val="Appelnotedebasdep"/>
          <w:rFonts w:eastAsia="SimSun"/>
        </w:rPr>
        <w:footnoteReference w:id="45"/>
      </w:r>
      <w:r>
        <w:t xml:space="preserve"> dans les Régions du Nord-Ouest et du Sud-Ouest.  </w:t>
      </w:r>
      <w:r>
        <w:rPr>
          <w:color w:val="000000" w:themeColor="text1"/>
        </w:rPr>
        <w:t>D</w:t>
      </w:r>
      <w:r>
        <w:rPr>
          <w:color w:val="000000" w:themeColor="text1"/>
          <w:highlight w:val="white"/>
        </w:rPr>
        <w:t>es innovations en matière de transformation digitale existent, notamment l’usage de plateformes numériques, des systèmes d’information géospatiale pour le suivi à distance, ou encore des outils de gestion électronique des données. Ces innovations ont besoin d’être améliorées et mises à l’échelle pour générer des effets transformateurs.</w:t>
      </w:r>
    </w:p>
    <w:p w14:paraId="4337F981" w14:textId="77777777" w:rsidR="00EA6DED" w:rsidRDefault="007504AE">
      <w:r>
        <w:t xml:space="preserve"> </w:t>
      </w:r>
    </w:p>
    <w:p w14:paraId="4337F982" w14:textId="77777777" w:rsidR="00EA6DED" w:rsidRDefault="007504AE">
      <w:pPr>
        <w:jc w:val="both"/>
      </w:pPr>
      <w:r>
        <w:t xml:space="preserve">Au niveau thématique, le vocabulaire utilisé s’est enrichi avec des concepts très récurrents comme l’économie bleue, l’économie verte, l’inclusion sociale, la durabilité environnementale et ses domaines connexes (éco-tourisme, l’éco sécurité, la séquestration du carbone, le changement climatique, le finance climatique…), la résilience, l’autonomisation des femmes et les enjeux pour la jeunesse.  </w:t>
      </w:r>
      <w:r>
        <w:rPr>
          <w:color w:val="000000"/>
        </w:rPr>
        <w:t>La transversalité du genre est bien intégrée au sein des groupes de résultats.</w:t>
      </w:r>
    </w:p>
    <w:p w14:paraId="4337F983" w14:textId="77777777" w:rsidR="00EA6DED" w:rsidRDefault="00EA6DED">
      <w:pPr>
        <w:jc w:val="both"/>
        <w:rPr>
          <w:color w:val="000000"/>
        </w:rPr>
      </w:pPr>
    </w:p>
    <w:p w14:paraId="4337F984" w14:textId="77777777" w:rsidR="00EA6DED" w:rsidRDefault="007504AE">
      <w:pPr>
        <w:contextualSpacing/>
        <w:jc w:val="both"/>
      </w:pPr>
      <w:r>
        <w:rPr>
          <w:color w:val="000000"/>
        </w:rPr>
        <w:t>Lors de la mise en œuvre du CC, les mesures d'adaptation sont principalement internes à chaque agence</w:t>
      </w:r>
      <w:r>
        <w:rPr>
          <w:rStyle w:val="Appelnotedebasdep"/>
          <w:rFonts w:eastAsia="SimSun"/>
          <w:color w:val="000000"/>
        </w:rPr>
        <w:footnoteReference w:id="46"/>
      </w:r>
      <w:r>
        <w:rPr>
          <w:color w:val="000000"/>
        </w:rPr>
        <w:t>. A titre d’exemples, le PAM, l'UNHCR, la FAO, l'IOM, OMS et l'UNICEF ont montré une agilité pour accompagner le gouvernement lors des inondations de l’Extrême-Nord à travers la mise en œuvre du Mécanisme de Réponse Rapide (MRR), le renforcement du système d’alerte précoce pour la détection des épidémies</w:t>
      </w:r>
      <w:r>
        <w:rPr>
          <w:rStyle w:val="Appelnotedebasdep"/>
          <w:rFonts w:eastAsia="SimSun"/>
          <w:color w:val="000000"/>
        </w:rPr>
        <w:footnoteReference w:id="47"/>
      </w:r>
      <w:r>
        <w:rPr>
          <w:color w:val="000000"/>
        </w:rPr>
        <w:t xml:space="preserve">. Des initiatives telles que l'assistance saisonnière, la création de greniers et la construction de magasins de stockage dans les villages ont été des effets leviers pour la résilience (PAM). Dans les zones </w:t>
      </w:r>
      <w:r>
        <w:rPr>
          <w:color w:val="000000"/>
        </w:rPr>
        <w:lastRenderedPageBreak/>
        <w:t>enclavées et difficiles d'accès, les cliniques mobiles, initialement opérées par des véhicules, sont désormais accessibles par motos (UNFPA). Par ailleurs, le renforcement des capacités de réponse aux urgences de santé publique a été faite avec la formation et la certification de la première équipe AVoHC-SURGE (African Volunteer Health Corps–Strengthening &amp; Utilizing Response Groups for Emergencies)</w:t>
      </w:r>
      <w:r>
        <w:rPr>
          <w:rStyle w:val="Appelnotedebasdep"/>
          <w:rFonts w:eastAsia="SimSun"/>
          <w:color w:val="000000"/>
        </w:rPr>
        <w:footnoteReference w:id="48"/>
      </w:r>
      <w:r>
        <w:rPr>
          <w:color w:val="000000"/>
        </w:rPr>
        <w:t xml:space="preserve">. </w:t>
      </w:r>
      <w:r>
        <w:t xml:space="preserve"> </w:t>
      </w:r>
      <w:r>
        <w:rPr>
          <w:color w:val="000000"/>
        </w:rPr>
        <w:t xml:space="preserve">L'inclusion des personnes vivant avec un handicap est intégrée de manière transversale dans la mise en œuvre des activités, tout comme la sensibilisation concernant les zones de libre-échange continentale. L'adaptation à la stratégie du bassin du lac Tchad se manifeste par une participation active aux fora de la région. Toutefois, </w:t>
      </w:r>
      <w:r>
        <w:t>certaines thématiques essentielles, comme la diaspora, les personnes déplacées internes, la traite des êtres humains et la cohésion sociale, sont souvent sous-traitées.</w:t>
      </w:r>
    </w:p>
    <w:p w14:paraId="4337F985" w14:textId="77777777" w:rsidR="00EA6DED" w:rsidRDefault="00EA6DED">
      <w:pPr>
        <w:contextualSpacing/>
        <w:jc w:val="both"/>
      </w:pPr>
    </w:p>
    <w:p w14:paraId="4337F986" w14:textId="77777777" w:rsidR="00EA6DED" w:rsidRDefault="007504AE">
      <w:pPr>
        <w:contextualSpacing/>
        <w:jc w:val="both"/>
      </w:pPr>
      <w:r>
        <w:t xml:space="preserve">Par rapport à l’adaptabilité, les entretiens avec les agences et les parties prenantes ont relevé quelques défis. En effet : </w:t>
      </w:r>
    </w:p>
    <w:p w14:paraId="4337F987" w14:textId="77777777" w:rsidR="00EA6DED" w:rsidRDefault="007504AE">
      <w:pPr>
        <w:pStyle w:val="NormalWeb"/>
        <w:numPr>
          <w:ilvl w:val="0"/>
          <w:numId w:val="12"/>
        </w:numPr>
        <w:spacing w:before="0" w:beforeAutospacing="0" w:after="0" w:afterAutospacing="0"/>
        <w:ind w:left="357" w:hanging="357"/>
        <w:contextualSpacing/>
        <w:jc w:val="both"/>
        <w:rPr>
          <w:color w:val="000000"/>
        </w:rPr>
      </w:pPr>
      <w:r>
        <w:rPr>
          <w:bCs/>
        </w:rPr>
        <w:t>La lenteur dans l’application des procéd</w:t>
      </w:r>
      <w:r>
        <w:rPr>
          <w:bCs/>
          <w:color w:val="000000"/>
        </w:rPr>
        <w:t>ures inter-agences</w:t>
      </w:r>
      <w:r>
        <w:rPr>
          <w:color w:val="000000"/>
        </w:rPr>
        <w:t>, notamment en contexte de crise ou d’urgence, limite l’adoption de mécanismes d’adaptation rapide ou de délégation renforcée, en cohérence avec les priorités nationales ;</w:t>
      </w:r>
    </w:p>
    <w:p w14:paraId="4337F988" w14:textId="77777777" w:rsidR="00EA6DED" w:rsidRDefault="007504AE">
      <w:pPr>
        <w:pStyle w:val="NormalWeb"/>
        <w:numPr>
          <w:ilvl w:val="0"/>
          <w:numId w:val="12"/>
        </w:numPr>
        <w:spacing w:before="0" w:beforeAutospacing="0" w:after="0" w:afterAutospacing="0"/>
        <w:ind w:left="357" w:hanging="357"/>
        <w:contextualSpacing/>
        <w:jc w:val="both"/>
        <w:rPr>
          <w:color w:val="000000"/>
        </w:rPr>
      </w:pPr>
      <w:r>
        <w:rPr>
          <w:bCs/>
          <w:color w:val="000000"/>
        </w:rPr>
        <w:t xml:space="preserve">La faible articulation des approches multisectorielles intégrées limite </w:t>
      </w:r>
      <w:r>
        <w:rPr>
          <w:color w:val="000000"/>
        </w:rPr>
        <w:t>la mise en place des projets conjoints dans les zones de convergence ou dans les thématiques convergentes, en l’absence d’un cadre de pilotage inter-agence clairement défini. Par exemple, dans le contexte du Cameroun, la prise en charge de la sécurité nutritionnelle (UNICEF et PAM) devrait être corrélée aux stratégies de prévention et de prise en charge de l’insécurité alimentaire qui touche environ 54% de ménages au niveau national</w:t>
      </w:r>
      <w:r>
        <w:rPr>
          <w:color w:val="000000"/>
          <w:vertAlign w:val="superscript"/>
        </w:rPr>
        <w:footnoteReference w:id="49"/>
      </w:r>
      <w:r>
        <w:rPr>
          <w:color w:val="000000"/>
        </w:rPr>
        <w:t> ;</w:t>
      </w:r>
    </w:p>
    <w:p w14:paraId="4337F989" w14:textId="77777777" w:rsidR="00EA6DED" w:rsidRDefault="007504AE">
      <w:pPr>
        <w:numPr>
          <w:ilvl w:val="0"/>
          <w:numId w:val="12"/>
        </w:numPr>
        <w:ind w:left="357" w:hanging="357"/>
        <w:contextualSpacing/>
        <w:jc w:val="both"/>
        <w:rPr>
          <w:sz w:val="22"/>
          <w:szCs w:val="22"/>
        </w:rPr>
      </w:pPr>
      <w:r>
        <w:rPr>
          <w:color w:val="000000"/>
        </w:rPr>
        <w:t>L’enrôlement et l’encadrement timides de la diaspora est une opportunité manquée au Cameroun pour tirer parti des leviers additionnels pour la transformation économique, la mobilisation des ressources ou</w:t>
      </w:r>
      <w:r>
        <w:rPr>
          <w:bCs/>
        </w:rPr>
        <w:t xml:space="preserve"> l’innovation technologique etc… En effet, les pays qui ont connu un essor économique et technologique ces dernières années ont bénéficié du lobbying, du réseautage et du rapatriement des richesses et des transferts de technologies par leurs diasporas basées dans les pays développés (Patterson, 2006)</w:t>
      </w:r>
      <w:r>
        <w:rPr>
          <w:bCs/>
          <w:vertAlign w:val="superscript"/>
        </w:rPr>
        <w:footnoteReference w:id="50"/>
      </w:r>
      <w:r>
        <w:rPr>
          <w:bCs/>
        </w:rPr>
        <w:t>. La contribution de la diaspora camerounaise au BIP en 2022 était seulement de 1% selon la Banque Mondiale, nettement en dessous de celle des pays comme l’Égypte (8%), la Gambie 28,9 (%), le Maroc (7 %), le Sénégal (9 %) ou le Nigéria 5 %) pour la même année</w:t>
      </w:r>
      <w:r>
        <w:rPr>
          <w:rStyle w:val="Appelnotedebasdep"/>
          <w:rFonts w:eastAsia="SimSun"/>
          <w:bCs/>
        </w:rPr>
        <w:footnoteReference w:id="51"/>
      </w:r>
      <w:r>
        <w:rPr>
          <w:bCs/>
        </w:rPr>
        <w:t xml:space="preserve">. </w:t>
      </w:r>
    </w:p>
    <w:p w14:paraId="4337F98A" w14:textId="77777777" w:rsidR="00EA6DED" w:rsidRDefault="00EA6DED">
      <w:pPr>
        <w:contextualSpacing/>
        <w:jc w:val="both"/>
        <w:rPr>
          <w:sz w:val="22"/>
          <w:szCs w:val="22"/>
        </w:rPr>
      </w:pPr>
    </w:p>
    <w:p w14:paraId="4337F98B" w14:textId="77777777" w:rsidR="00EA6DED" w:rsidRDefault="00EA6DED">
      <w:pPr>
        <w:contextualSpacing/>
        <w:jc w:val="both"/>
        <w:rPr>
          <w:sz w:val="22"/>
          <w:szCs w:val="22"/>
        </w:rPr>
      </w:pPr>
    </w:p>
    <w:p w14:paraId="4337F98C" w14:textId="77777777" w:rsidR="00EA6DED" w:rsidRDefault="007504AE">
      <w:pPr>
        <w:pStyle w:val="Titre2"/>
        <w:rPr>
          <w:color w:val="0000FF"/>
          <w:sz w:val="24"/>
          <w:szCs w:val="24"/>
        </w:rPr>
      </w:pPr>
      <w:bookmarkStart w:id="108" w:name="_Toc14361"/>
      <w:r>
        <w:rPr>
          <w:color w:val="0000FF"/>
          <w:sz w:val="24"/>
          <w:szCs w:val="24"/>
        </w:rPr>
        <w:t>5.2.  Cohérence et Coordination</w:t>
      </w:r>
      <w:bookmarkEnd w:id="108"/>
      <w:r>
        <w:rPr>
          <w:color w:val="0000FF"/>
          <w:sz w:val="24"/>
          <w:szCs w:val="24"/>
        </w:rPr>
        <w:t xml:space="preserve"> </w:t>
      </w:r>
    </w:p>
    <w:p w14:paraId="4337F98D" w14:textId="77777777" w:rsidR="00EA6DED" w:rsidRDefault="00EA6DED">
      <w:pPr>
        <w:ind w:left="720"/>
        <w:rPr>
          <w:b/>
          <w:color w:val="000000"/>
          <w:sz w:val="22"/>
          <w:szCs w:val="22"/>
        </w:rPr>
      </w:pPr>
    </w:p>
    <w:tbl>
      <w:tblPr>
        <w:tblW w:w="10348"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CellMar>
          <w:left w:w="115" w:type="dxa"/>
          <w:right w:w="115" w:type="dxa"/>
        </w:tblCellMar>
        <w:tblLook w:val="04A0" w:firstRow="1" w:lastRow="0" w:firstColumn="1" w:lastColumn="0" w:noHBand="0" w:noVBand="1"/>
      </w:tblPr>
      <w:tblGrid>
        <w:gridCol w:w="10348"/>
      </w:tblGrid>
      <w:tr w:rsidR="00EA6DED" w14:paraId="4337F993" w14:textId="77777777">
        <w:tc>
          <w:tcPr>
            <w:tcW w:w="10348" w:type="dxa"/>
            <w:shd w:val="clear" w:color="auto" w:fill="D9E2F3"/>
          </w:tcPr>
          <w:p w14:paraId="4337F98E" w14:textId="77777777" w:rsidR="00EA6DED" w:rsidRDefault="007504AE">
            <w:pPr>
              <w:widowControl w:val="0"/>
              <w:autoSpaceDE w:val="0"/>
              <w:autoSpaceDN w:val="0"/>
              <w:spacing w:line="276" w:lineRule="auto"/>
              <w:jc w:val="both"/>
              <w:rPr>
                <w:rFonts w:ascii="Calibri" w:eastAsia="Arial" w:hAnsi="Calibri"/>
                <w:color w:val="000000"/>
                <w:sz w:val="22"/>
                <w:szCs w:val="22"/>
                <w:lang w:eastAsia="en-US"/>
              </w:rPr>
            </w:pPr>
            <w:r>
              <w:rPr>
                <w:rFonts w:eastAsia="Arial"/>
                <w:b/>
                <w:color w:val="000000"/>
                <w:sz w:val="22"/>
                <w:szCs w:val="22"/>
                <w:lang w:eastAsia="en-US"/>
              </w:rPr>
              <w:t>3.</w:t>
            </w:r>
            <w:r>
              <w:rPr>
                <w:rFonts w:eastAsia="Arial"/>
                <w:color w:val="000000"/>
                <w:sz w:val="22"/>
                <w:szCs w:val="22"/>
                <w:lang w:eastAsia="en-US"/>
              </w:rPr>
              <w:t xml:space="preserve">  Dans quelle mesure le CC a-t-il promu la complémentarité, l’harmonisation et la coordination avec d’autres partenaires clés du développement pour maximiser l’obtention des résultats ?</w:t>
            </w:r>
          </w:p>
          <w:p w14:paraId="4337F98F" w14:textId="77777777" w:rsidR="00EA6DED" w:rsidRDefault="00EA6DED">
            <w:pPr>
              <w:widowControl w:val="0"/>
              <w:autoSpaceDE w:val="0"/>
              <w:autoSpaceDN w:val="0"/>
              <w:spacing w:line="276" w:lineRule="auto"/>
              <w:jc w:val="both"/>
              <w:rPr>
                <w:rFonts w:ascii="Calibri" w:eastAsia="Arial" w:hAnsi="Calibri"/>
                <w:color w:val="000000"/>
                <w:sz w:val="22"/>
                <w:szCs w:val="22"/>
                <w:lang w:eastAsia="en-US"/>
              </w:rPr>
            </w:pPr>
          </w:p>
          <w:p w14:paraId="4337F990" w14:textId="77777777" w:rsidR="00EA6DED" w:rsidRDefault="007504AE">
            <w:pPr>
              <w:widowControl w:val="0"/>
              <w:autoSpaceDE w:val="0"/>
              <w:autoSpaceDN w:val="0"/>
              <w:spacing w:line="276" w:lineRule="auto"/>
              <w:jc w:val="both"/>
              <w:rPr>
                <w:rFonts w:ascii="Calibri" w:eastAsia="Arial" w:hAnsi="Calibri"/>
                <w:color w:val="000000"/>
                <w:sz w:val="22"/>
                <w:szCs w:val="22"/>
                <w:lang w:eastAsia="en-US"/>
              </w:rPr>
            </w:pPr>
            <w:r>
              <w:rPr>
                <w:rFonts w:eastAsia="Arial"/>
                <w:b/>
                <w:color w:val="000000"/>
                <w:sz w:val="22"/>
                <w:szCs w:val="22"/>
                <w:lang w:eastAsia="en-US"/>
              </w:rPr>
              <w:t>4</w:t>
            </w:r>
            <w:r>
              <w:rPr>
                <w:rFonts w:eastAsia="Arial"/>
                <w:color w:val="000000"/>
                <w:sz w:val="22"/>
                <w:szCs w:val="22"/>
                <w:lang w:eastAsia="en-US"/>
              </w:rPr>
              <w:t>.  Après la réforme de l'ONU, dans quelle mesure les programmes et plans de travail des agences des Nations Unies ont-ils été efficacement et significativement dérivés du CC tant dans la conception que dans la mise en œuvre ?</w:t>
            </w:r>
          </w:p>
          <w:p w14:paraId="4337F991" w14:textId="77777777" w:rsidR="00EA6DED" w:rsidRDefault="00EA6DED">
            <w:pPr>
              <w:widowControl w:val="0"/>
              <w:autoSpaceDE w:val="0"/>
              <w:autoSpaceDN w:val="0"/>
              <w:contextualSpacing/>
              <w:jc w:val="both"/>
              <w:rPr>
                <w:rFonts w:ascii="Calibri" w:eastAsia="Arial" w:hAnsi="Calibri"/>
                <w:b/>
                <w:color w:val="000000"/>
                <w:sz w:val="22"/>
                <w:szCs w:val="22"/>
                <w:lang w:eastAsia="en-US"/>
              </w:rPr>
            </w:pPr>
          </w:p>
          <w:p w14:paraId="4337F992" w14:textId="77777777" w:rsidR="00EA6DED" w:rsidRDefault="007504AE">
            <w:pPr>
              <w:widowControl w:val="0"/>
              <w:autoSpaceDE w:val="0"/>
              <w:autoSpaceDN w:val="0"/>
              <w:contextualSpacing/>
              <w:jc w:val="both"/>
              <w:rPr>
                <w:rFonts w:ascii="Calibri" w:eastAsia="AppleMyungjo" w:hAnsi="Calibri"/>
                <w:color w:val="000000"/>
                <w:sz w:val="21"/>
                <w:szCs w:val="21"/>
                <w:lang w:eastAsia="en-US"/>
              </w:rPr>
            </w:pPr>
            <w:r>
              <w:rPr>
                <w:rFonts w:eastAsia="Arial"/>
                <w:b/>
                <w:color w:val="000000"/>
                <w:sz w:val="22"/>
                <w:szCs w:val="22"/>
                <w:lang w:eastAsia="en-US"/>
              </w:rPr>
              <w:t>5.</w:t>
            </w:r>
            <w:r>
              <w:rPr>
                <w:rFonts w:eastAsia="Arial"/>
                <w:color w:val="000000"/>
                <w:sz w:val="22"/>
                <w:szCs w:val="22"/>
                <w:lang w:eastAsia="en-US"/>
              </w:rPr>
              <w:t xml:space="preserve">  Dans quelle mesure la partie nationale et le système des Nations Unies en particulier le Bureau du Coordonnateur Résident, ont-ils coordonné avec succès la mise en œuvre du CC, en s’appuyant sur les structures de gestion (Copil, Groupes de résultat, PMT, Équipe pays, Groupe suivi- évaluation, etc.) pour maximiser l’efficacité, la couverture, atteindre les plus vulnérables (handicapés, femmes, jeunes, etc.) tout en réduisant les chevauchements ?</w:t>
            </w:r>
          </w:p>
        </w:tc>
      </w:tr>
      <w:tr w:rsidR="00EA6DED" w14:paraId="4337F99A" w14:textId="77777777">
        <w:tc>
          <w:tcPr>
            <w:tcW w:w="10348" w:type="dxa"/>
          </w:tcPr>
          <w:p w14:paraId="4337F994" w14:textId="77777777" w:rsidR="00EA6DED" w:rsidRDefault="007504AE">
            <w:pPr>
              <w:pStyle w:val="NormalWeb"/>
              <w:widowControl w:val="0"/>
              <w:autoSpaceDE w:val="0"/>
              <w:autoSpaceDN w:val="0"/>
              <w:spacing w:before="0" w:beforeAutospacing="0"/>
              <w:contextualSpacing/>
              <w:jc w:val="both"/>
              <w:rPr>
                <w:rFonts w:ascii="Calibri" w:eastAsia="Calibri" w:hAnsi="Calibri"/>
                <w:color w:val="000000"/>
                <w:szCs w:val="22"/>
                <w:lang w:eastAsia="en-US"/>
              </w:rPr>
            </w:pPr>
            <w:bookmarkStart w:id="109" w:name="_Hlk208788845"/>
            <w:r>
              <w:rPr>
                <w:rFonts w:eastAsia="Arial"/>
                <w:b/>
                <w:color w:val="0070C0"/>
                <w:szCs w:val="22"/>
                <w:lang w:eastAsia="en-US"/>
              </w:rPr>
              <w:t>Résumé des constats </w:t>
            </w:r>
            <w:r>
              <w:rPr>
                <w:rFonts w:eastAsia="Arial"/>
                <w:b/>
                <w:color w:val="000000"/>
                <w:szCs w:val="22"/>
                <w:lang w:eastAsia="en-US"/>
              </w:rPr>
              <w:t>:</w:t>
            </w:r>
            <w:r>
              <w:rPr>
                <w:rFonts w:eastAsia="Arial"/>
                <w:color w:val="000000"/>
                <w:szCs w:val="22"/>
                <w:lang w:eastAsia="en-US"/>
              </w:rPr>
              <w:t xml:space="preserve">  </w:t>
            </w:r>
            <w:r>
              <w:rPr>
                <w:rFonts w:eastAsia="Calibri"/>
                <w:color w:val="000000"/>
                <w:szCs w:val="22"/>
                <w:lang w:eastAsia="en-US"/>
              </w:rPr>
              <w:t xml:space="preserve">L'analyse documentaire et les entretiens avec les parties prenantes montrent que le SNU a établi des cadres de coopération/collaboration et de dialogue avec les autorités nationales et les parties prenantes pour garantir la synergie et la cohérence des interventions et favoriser l’efficacité et la couverture des priorités stratégiques et programmatiques au niveau national et sectoriel.     </w:t>
            </w:r>
          </w:p>
          <w:p w14:paraId="4337F995" w14:textId="77777777" w:rsidR="00EA6DED" w:rsidRDefault="00EA6DED">
            <w:pPr>
              <w:pStyle w:val="NormalWeb"/>
              <w:widowControl w:val="0"/>
              <w:autoSpaceDE w:val="0"/>
              <w:autoSpaceDN w:val="0"/>
              <w:spacing w:before="0" w:beforeAutospacing="0"/>
              <w:contextualSpacing/>
              <w:jc w:val="both"/>
              <w:rPr>
                <w:rFonts w:eastAsia="Calibri"/>
                <w:color w:val="000000"/>
                <w:szCs w:val="22"/>
                <w:lang w:eastAsia="en-US"/>
              </w:rPr>
            </w:pPr>
          </w:p>
          <w:p w14:paraId="4337F996" w14:textId="77777777" w:rsidR="00EA6DED" w:rsidRDefault="007504AE">
            <w:pPr>
              <w:pStyle w:val="NormalWeb"/>
              <w:widowControl w:val="0"/>
              <w:autoSpaceDE w:val="0"/>
              <w:autoSpaceDN w:val="0"/>
              <w:spacing w:before="0" w:beforeAutospacing="0"/>
              <w:contextualSpacing/>
              <w:jc w:val="both"/>
              <w:rPr>
                <w:rFonts w:eastAsia="Calibri"/>
                <w:color w:val="000000"/>
                <w:szCs w:val="22"/>
                <w:lang w:eastAsia="en-US"/>
              </w:rPr>
            </w:pPr>
            <w:r>
              <w:rPr>
                <w:rFonts w:eastAsia="Calibri"/>
                <w:color w:val="000000"/>
                <w:szCs w:val="22"/>
                <w:lang w:eastAsia="en-US"/>
              </w:rPr>
              <w:lastRenderedPageBreak/>
              <w:t>Sur le plan interne, il existe des plans de travail conjoints qui mettent en relief les zones d'intervention, les cibles spécifiques liées aux attentes du principe ‘’Ne Laisser Personne de Côté’’ (LNOB), la mise en commun des compétences et des avantages comparatifs des agences, ainsi que la synergie entre les partenaires de mise en œuvre dans plusieurs secteurs pour atteindre des résultats collectifs. L'allocation budgétaire, l'application d'approches basées sur le nexus dans les contextes de crise ou de résilience et les actions des groupes thématiques et inter-agences renforcent la complémentarité, l'harmonisation et la coordination des interventions.</w:t>
            </w:r>
          </w:p>
          <w:p w14:paraId="4337F997" w14:textId="77777777" w:rsidR="00EA6DED" w:rsidRDefault="00EA6DED">
            <w:pPr>
              <w:pStyle w:val="NormalWeb"/>
              <w:widowControl w:val="0"/>
              <w:autoSpaceDE w:val="0"/>
              <w:autoSpaceDN w:val="0"/>
              <w:spacing w:before="0" w:beforeAutospacing="0"/>
              <w:contextualSpacing/>
              <w:jc w:val="both"/>
              <w:rPr>
                <w:rFonts w:eastAsia="Calibri"/>
                <w:color w:val="000000"/>
                <w:szCs w:val="22"/>
                <w:lang w:eastAsia="en-US"/>
              </w:rPr>
            </w:pPr>
          </w:p>
          <w:p w14:paraId="4337F998" w14:textId="77777777" w:rsidR="00EA6DED" w:rsidRDefault="007504AE">
            <w:pPr>
              <w:pStyle w:val="NormalWeb"/>
              <w:widowControl w:val="0"/>
              <w:autoSpaceDE w:val="0"/>
              <w:autoSpaceDN w:val="0"/>
              <w:spacing w:before="0" w:beforeAutospacing="0"/>
              <w:contextualSpacing/>
              <w:jc w:val="both"/>
              <w:rPr>
                <w:rFonts w:eastAsia="Calibri"/>
                <w:color w:val="000000"/>
                <w:szCs w:val="22"/>
                <w:lang w:eastAsia="en-US"/>
              </w:rPr>
            </w:pPr>
            <w:r>
              <w:rPr>
                <w:rFonts w:eastAsia="Calibri"/>
                <w:color w:val="000000"/>
                <w:szCs w:val="22"/>
                <w:lang w:eastAsia="en-US"/>
              </w:rPr>
              <w:t>Conformément à la réforme, les agences fournissent des efforts pour aligner leurs programmes et plans de travail au cadre de coopération. L’analyse des CPD</w:t>
            </w:r>
            <w:r>
              <w:rPr>
                <w:rFonts w:eastAsia="Calibri"/>
                <w:color w:val="000000"/>
                <w:szCs w:val="22"/>
                <w:vertAlign w:val="superscript"/>
                <w:lang w:val="en-US" w:eastAsia="en-US"/>
              </w:rPr>
              <w:footnoteReference w:id="52"/>
            </w:r>
            <w:r>
              <w:rPr>
                <w:rFonts w:eastAsia="Calibri"/>
                <w:color w:val="000000"/>
                <w:szCs w:val="22"/>
                <w:lang w:eastAsia="en-US"/>
              </w:rPr>
              <w:t xml:space="preserve"> du PNUD, de l’UNICEF et de UNFPA, du plan stratégique pluriannuel et multipartenaires de UNHCR, du Cadre Programme du FAO, de la note stratégique de ONUfemmes ou du Plan Stratégique Pays du PAM (….), montre un ancrage thématique significatif avec les différentes Réalisations du CC 2022-2026 selon leurs mandats. </w:t>
            </w:r>
          </w:p>
          <w:p w14:paraId="4337F999" w14:textId="77777777" w:rsidR="00EA6DED" w:rsidRDefault="007504AE">
            <w:pPr>
              <w:widowControl w:val="0"/>
              <w:autoSpaceDE w:val="0"/>
              <w:autoSpaceDN w:val="0"/>
              <w:spacing w:after="100" w:afterAutospacing="1"/>
              <w:contextualSpacing/>
              <w:jc w:val="both"/>
              <w:rPr>
                <w:rFonts w:ascii="Calibri" w:eastAsia="Calibri" w:hAnsi="Calibri"/>
                <w:color w:val="2F5496"/>
                <w:sz w:val="22"/>
                <w:szCs w:val="22"/>
                <w:lang w:eastAsia="en-US"/>
              </w:rPr>
            </w:pPr>
            <w:r>
              <w:rPr>
                <w:rFonts w:eastAsia="Calibri"/>
                <w:color w:val="000000"/>
                <w:szCs w:val="22"/>
                <w:lang w:eastAsia="en-US"/>
              </w:rPr>
              <w:t xml:space="preserve">Cependant, la coordination et la cohérence font face à des défis liés essentiellement au faible leadership structurel avec le faible fonctionnement du COPIL qui est une conséquence corolaire de l’absence du décret de confirmation de sa création, la faible capacité de certains groupes de gestion de gouvernance du CC, un faible alignement aux mécanismes nationaux de coordination, une institutionnalisation embryonnaire de la coordination locale, un turn-over élevé du personnel dans les agences, des capacités à renforcer au niveau du Bureau du Coordinateur Résident pour donner un soutien stratégique holistique au cadre de coopération et à la famille UN   une faiblesse dans le suivi des données financières dans les GR, des lacunes dans le reportage des données dans Uninfo et l’absence des métadonnées pour une compréhension conjointe de la structure des indicateurs. </w:t>
            </w:r>
            <w:bookmarkEnd w:id="109"/>
          </w:p>
        </w:tc>
      </w:tr>
    </w:tbl>
    <w:p w14:paraId="4337F99B" w14:textId="77777777" w:rsidR="00EA6DED" w:rsidRDefault="00EA6DED">
      <w:pPr>
        <w:ind w:left="720"/>
        <w:rPr>
          <w:b/>
          <w:color w:val="000000"/>
          <w:sz w:val="22"/>
          <w:szCs w:val="22"/>
        </w:rPr>
      </w:pPr>
    </w:p>
    <w:p w14:paraId="4337F99C" w14:textId="77777777" w:rsidR="00EA6DED" w:rsidRDefault="00EA6DED">
      <w:pPr>
        <w:ind w:left="720"/>
        <w:rPr>
          <w:b/>
          <w:color w:val="000000"/>
          <w:sz w:val="2"/>
          <w:szCs w:val="2"/>
        </w:rPr>
      </w:pPr>
    </w:p>
    <w:p w14:paraId="4337F99D" w14:textId="77777777" w:rsidR="00EA6DED" w:rsidRDefault="007504AE">
      <w:pPr>
        <w:shd w:val="clear" w:color="auto" w:fill="FFE599"/>
        <w:spacing w:line="276" w:lineRule="auto"/>
        <w:ind w:right="-9"/>
        <w:jc w:val="both"/>
        <w:rPr>
          <w:rFonts w:eastAsia="Arial"/>
          <w:b/>
          <w:color w:val="000000"/>
        </w:rPr>
      </w:pPr>
      <w:r>
        <w:rPr>
          <w:rFonts w:eastAsia="Arial"/>
          <w:b/>
          <w:color w:val="00B0F0"/>
        </w:rPr>
        <w:t>Question d’évaluation No 3 </w:t>
      </w:r>
      <w:r>
        <w:rPr>
          <w:rFonts w:eastAsia="Arial"/>
          <w:b/>
          <w:color w:val="000000"/>
        </w:rPr>
        <w:t>: Dans quelle mesure le CC a-t-il promu la complémentarité, l’harmonisation et la coordination interne et avec d’autres partenaires clés du développement pour maximiser l’obtention des résultats ?</w:t>
      </w:r>
    </w:p>
    <w:p w14:paraId="4337F99E" w14:textId="77777777" w:rsidR="00EA6DED" w:rsidRDefault="00EA6DED">
      <w:pPr>
        <w:jc w:val="both"/>
        <w:rPr>
          <w:rFonts w:eastAsia="Calibri"/>
          <w:b/>
        </w:rPr>
      </w:pPr>
    </w:p>
    <w:p w14:paraId="4337F99F" w14:textId="77777777" w:rsidR="00EA6DED" w:rsidRDefault="007504AE">
      <w:pPr>
        <w:pStyle w:val="Titre3"/>
        <w:rPr>
          <w:rFonts w:ascii="Times New Roman" w:eastAsia="Arial" w:hAnsi="Times New Roman"/>
          <w:i/>
          <w:iCs/>
          <w:color w:val="000000"/>
          <w:sz w:val="22"/>
          <w:szCs w:val="22"/>
        </w:rPr>
      </w:pPr>
      <w:bookmarkStart w:id="110" w:name="_Toc23468"/>
      <w:r>
        <w:rPr>
          <w:rFonts w:ascii="Times New Roman" w:eastAsia="Arial" w:hAnsi="Times New Roman"/>
          <w:i/>
          <w:iCs/>
          <w:color w:val="000000"/>
          <w:sz w:val="22"/>
          <w:szCs w:val="22"/>
        </w:rPr>
        <w:t>5.2.1. Approche de partenariat avec le gouvernement et les autres parties prenantes pour une meilleure couverture des résultats</w:t>
      </w:r>
      <w:bookmarkEnd w:id="110"/>
      <w:r>
        <w:rPr>
          <w:rFonts w:ascii="Times New Roman" w:eastAsia="Arial" w:hAnsi="Times New Roman"/>
          <w:i/>
          <w:iCs/>
          <w:color w:val="000000"/>
          <w:sz w:val="22"/>
          <w:szCs w:val="22"/>
        </w:rPr>
        <w:t xml:space="preserve"> </w:t>
      </w:r>
    </w:p>
    <w:p w14:paraId="4337F9A0" w14:textId="77777777" w:rsidR="00EA6DED" w:rsidRDefault="00EA6DED">
      <w:pPr>
        <w:rPr>
          <w:sz w:val="6"/>
          <w:szCs w:val="6"/>
          <w:highlight w:val="yellow"/>
        </w:rPr>
      </w:pPr>
    </w:p>
    <w:p w14:paraId="4337F9A1" w14:textId="77777777" w:rsidR="00EA6DED" w:rsidRDefault="007504AE">
      <w:pPr>
        <w:jc w:val="both"/>
      </w:pPr>
      <w:r>
        <w:t>Le SNU dispose d’un dispositif de coordination fonctionnel à travers les organes mandataires aux niveaux stratégique et opérationnel (Copil, PMT, Équipe pays, UNCT, OMT, ME, groupes de résultats) et les groupes thématiques, avec un BCR très volontaire et résilient malgré son effectif réduit.</w:t>
      </w:r>
    </w:p>
    <w:p w14:paraId="4337F9A2" w14:textId="77777777" w:rsidR="00EA6DED" w:rsidRDefault="00EA6DED">
      <w:pPr>
        <w:jc w:val="both"/>
        <w:rPr>
          <w:sz w:val="8"/>
          <w:szCs w:val="8"/>
        </w:rPr>
      </w:pPr>
    </w:p>
    <w:p w14:paraId="4337F9A3" w14:textId="77777777" w:rsidR="00EA6DED" w:rsidRDefault="00EA6DED">
      <w:pPr>
        <w:jc w:val="both"/>
      </w:pPr>
    </w:p>
    <w:p w14:paraId="4337F9A4" w14:textId="77777777" w:rsidR="00EA6DED" w:rsidRDefault="007504AE">
      <w:pPr>
        <w:jc w:val="both"/>
        <w:rPr>
          <w:bCs/>
        </w:rPr>
      </w:pPr>
      <w:r>
        <w:t xml:space="preserve">Des exemples ponctuels de bonne complémentarité (ex. actions coordonnées FAO/PAM/FIDA sur les systèmes alimentaires, synergies OIT-HCR ou fora DEL) illustrent un potentiel réel. La cohérence est meilleure à l’échelle locale, notamment grâce à la proximité et à l’implication des délégations régionales. </w:t>
      </w:r>
      <w:r>
        <w:rPr>
          <w:bCs/>
        </w:rPr>
        <w:t xml:space="preserve">Bien que le travail conjoint ne soit pas réussi à 100%, il reste un gage pour concrétiser le principe de « delivery as one ». Il vise l’égalité dans l’action et met en exergue les avantages comparatifs de chaque agence à travers la complémentarité dans la synergie d’action tout en respectant les mandants respectifs. Des stratégies sont mises en place pour favoriser l’intégration des agences non-résidentes. En outre, au niveau externe, des séances de travail au BCR sont organisées avec la partie nationale et les agences afin de faciliter leur positionnent autour des thématiques telles que le climat, l’écosystème et l’énergie. </w:t>
      </w:r>
    </w:p>
    <w:p w14:paraId="4337F9A5" w14:textId="77777777" w:rsidR="00EA6DED" w:rsidRDefault="00EA6DED">
      <w:pPr>
        <w:rPr>
          <w:sz w:val="8"/>
          <w:szCs w:val="8"/>
          <w:highlight w:val="yellow"/>
        </w:rPr>
      </w:pPr>
    </w:p>
    <w:p w14:paraId="4337F9A6" w14:textId="77777777" w:rsidR="00EA6DED" w:rsidRDefault="00EA6DED">
      <w:pPr>
        <w:jc w:val="both"/>
        <w:rPr>
          <w:color w:val="000000"/>
        </w:rPr>
      </w:pPr>
    </w:p>
    <w:p w14:paraId="4337F9A7" w14:textId="77777777" w:rsidR="00EA6DED" w:rsidRDefault="007504AE">
      <w:pPr>
        <w:jc w:val="both"/>
        <w:rPr>
          <w:color w:val="000000"/>
        </w:rPr>
      </w:pPr>
      <w:r>
        <w:rPr>
          <w:color w:val="000000"/>
        </w:rPr>
        <w:t xml:space="preserve">La coordination, l’harmonisation et la complémentarité au sein du CC sont largement reconnues comme des intentions formelles avec une opérationnalisation très limitée du DaO.  Les interventions et les systèmes d’information fragmentés (ex. absence de fichier unique des bénéficiaires, </w:t>
      </w:r>
      <w:r>
        <w:t>insuffisances dans la configuration et l’utilisation</w:t>
      </w:r>
      <w:r>
        <w:rPr>
          <w:color w:val="000000"/>
        </w:rPr>
        <w:t xml:space="preserve"> de UNInfo, chevauchements des programmes, absence de cartographie unifiée des actions, compétitions pour les ressources) augmentent le risque de doublons et réduisent les opportunités de synergie au </w:t>
      </w:r>
      <w:r>
        <w:rPr>
          <w:color w:val="000000"/>
        </w:rPr>
        <w:lastRenderedPageBreak/>
        <w:t xml:space="preserve">niveau programmatique. L’articulation intersectorielle demeure insuffisante. Par exemple, les interconnexions entre Education, Santé, Protection sociale, Genre et inclusion sociale sont souvent moins explicites et limitent à cet et effet, l’efficacité des approches multisectorielles pourtant nécessaires à la résolution des problèmes complexes, souvent induits par des déterminants communs et/ou intégrés. </w:t>
      </w:r>
    </w:p>
    <w:p w14:paraId="4337F9A8" w14:textId="77777777" w:rsidR="00EA6DED" w:rsidRDefault="00EA6DED">
      <w:pPr>
        <w:jc w:val="both"/>
        <w:rPr>
          <w:color w:val="000000"/>
          <w:sz w:val="6"/>
          <w:szCs w:val="6"/>
        </w:rPr>
      </w:pPr>
    </w:p>
    <w:p w14:paraId="4337F9A9" w14:textId="77777777" w:rsidR="00EA6DED" w:rsidRDefault="00EA6DED">
      <w:pPr>
        <w:jc w:val="both"/>
        <w:rPr>
          <w:color w:val="000000"/>
        </w:rPr>
      </w:pPr>
    </w:p>
    <w:p w14:paraId="4337F9AA" w14:textId="77777777" w:rsidR="00EA6DED" w:rsidRDefault="007504AE">
      <w:pPr>
        <w:jc w:val="both"/>
      </w:pPr>
      <w:r>
        <w:rPr>
          <w:color w:val="000000"/>
        </w:rPr>
        <w:t>Par ailleurs, la</w:t>
      </w:r>
      <w:r>
        <w:t xml:space="preserve"> dissonance dans des pratiques institutionnelles, des systèmes de rapportage, de la gestion financière et des opérations constitue un obstacle à l’intégration des interventions. Dans ce cadre, le plan de travail conjoint apparaît davantage comme une formalité.  </w:t>
      </w:r>
      <w:r>
        <w:rPr>
          <w:bCs/>
          <w:color w:val="000000"/>
        </w:rPr>
        <w:t xml:space="preserve">L’application du MAF revêt des défis parce que les sièges ont des orientations stratégiques qui ne collent pas toujours avec les perspectives pays dans la planification, les mécanismes de mobilisation de ressources pour le ‘’Delivery as One’’, ce qui fait croire que la réforme de 2018 a été inachevée. </w:t>
      </w:r>
    </w:p>
    <w:p w14:paraId="4337F9AB" w14:textId="77777777" w:rsidR="00EA6DED" w:rsidRDefault="00EA6DED">
      <w:pPr>
        <w:jc w:val="both"/>
        <w:rPr>
          <w:bCs/>
          <w:color w:val="000000"/>
          <w:sz w:val="8"/>
          <w:szCs w:val="8"/>
        </w:rPr>
      </w:pPr>
    </w:p>
    <w:p w14:paraId="4337F9AC" w14:textId="77777777" w:rsidR="00EA6DED" w:rsidRDefault="007504AE">
      <w:pPr>
        <w:jc w:val="both"/>
        <w:rPr>
          <w:bCs/>
          <w:color w:val="000000"/>
        </w:rPr>
      </w:pPr>
      <w:r>
        <w:rPr>
          <w:bCs/>
          <w:color w:val="000000"/>
        </w:rPr>
        <w:t>Le travail collaboratif n’a pas été toujours évident à cause du manque de réactivité de tous les acteurs à la fois, la rigidité des procédures internes aux agences et la problématique de visibilité des agences vis-à-vis de leurs bailleurs de fonds. Entre les agences il y a des ‘’batailles de survie’’, a remarqué un Chef d’Agence.</w:t>
      </w:r>
    </w:p>
    <w:p w14:paraId="4337F9AD" w14:textId="77777777" w:rsidR="00EA6DED" w:rsidRDefault="00EA6DED">
      <w:pPr>
        <w:jc w:val="both"/>
        <w:rPr>
          <w:bCs/>
          <w:color w:val="000000"/>
        </w:rPr>
      </w:pPr>
    </w:p>
    <w:p w14:paraId="4337F9AE" w14:textId="77777777" w:rsidR="00EA6DED" w:rsidRDefault="007504AE">
      <w:pPr>
        <w:jc w:val="both"/>
        <w:rPr>
          <w:bCs/>
          <w:color w:val="000000"/>
        </w:rPr>
      </w:pPr>
      <w:r>
        <w:rPr>
          <w:bCs/>
          <w:color w:val="000000"/>
        </w:rPr>
        <w:t>La coordination humanitaire (HCT/ICCG et Groupes de Clusters) doit être articulée de manière systématique avec la coordination de développement (UNCT/Groupes de résultats) afin d’assurer un continuum humanitaire-développement : passerelles HCT vers UNCT pour la planification conjointe, cartographie 3/5Ws partagée, et rétro-alimentation des analyses inter-sectorielles (JIAF, analyses de sévérité) vers les produits/indicateurs du CC. Cet arrimage renforce la cohérence (qui fait quoi, où, avec quelles ressources) et la redevabilité des résultats.</w:t>
      </w:r>
    </w:p>
    <w:p w14:paraId="4337F9AF" w14:textId="77777777" w:rsidR="00EA6DED" w:rsidRDefault="00EA6DED">
      <w:pPr>
        <w:jc w:val="both"/>
        <w:rPr>
          <w:bCs/>
          <w:color w:val="000000"/>
        </w:rPr>
      </w:pPr>
    </w:p>
    <w:p w14:paraId="4337F9B0" w14:textId="77777777" w:rsidR="00EA6DED" w:rsidRDefault="007504AE">
      <w:pPr>
        <w:jc w:val="both"/>
        <w:rPr>
          <w:bCs/>
          <w:color w:val="000000"/>
        </w:rPr>
      </w:pPr>
      <w:r>
        <w:rPr>
          <w:bCs/>
          <w:color w:val="000000"/>
        </w:rPr>
        <w:t>L’interopérabilité incomplète entre les mécanismes humanitaires (HCT/ICCG) et la gouvernance du CC (UNCT/Groupes de résultats) entretient la fragmentation (par ex. absence de référentiel unique des bénéficiaires, intégration inégale des données humanitaires dans UNINFO), accroît le risque de doublons et réduit les opportunités de synergie programmatique.</w:t>
      </w:r>
    </w:p>
    <w:p w14:paraId="4337F9B1" w14:textId="77777777" w:rsidR="00EA6DED" w:rsidRDefault="00EA6DED">
      <w:pPr>
        <w:jc w:val="both"/>
        <w:rPr>
          <w:bCs/>
          <w:color w:val="000000"/>
        </w:rPr>
      </w:pPr>
    </w:p>
    <w:p w14:paraId="4337F9B2" w14:textId="77777777" w:rsidR="00EA6DED" w:rsidRDefault="007504AE">
      <w:pPr>
        <w:jc w:val="both"/>
        <w:rPr>
          <w:color w:val="000000"/>
        </w:rPr>
      </w:pPr>
      <w:r>
        <w:rPr>
          <w:bCs/>
          <w:color w:val="000000"/>
        </w:rPr>
        <w:t>Dans le secteur privé, le manque d'activation du Global Compact complique le dialogue actif et structuré autour des ODD. En conséquence, la collaboration avec le gouvernement, les institutions régionales, les partenaires</w:t>
      </w:r>
      <w:r>
        <w:t xml:space="preserve"> des Nations Unies, les associations professionnelles et les fournisseurs de capitaux pour renforcer les « partenariats (ODD 17) » et intensifier les actions en faveur du développement durable et des entreprises reste limitée, bien que l'appui au secteur privé soit présent dans les Programmes Pays et les plans d'action de la majorité des agences</w:t>
      </w:r>
      <w:r>
        <w:rPr>
          <w:rStyle w:val="Appelnotedebasdep"/>
          <w:rFonts w:eastAsia="DengXian Light"/>
          <w:color w:val="000000"/>
        </w:rPr>
        <w:footnoteReference w:id="53"/>
      </w:r>
      <w:r>
        <w:t>.</w:t>
      </w:r>
      <w:r>
        <w:rPr>
          <w:color w:val="000000"/>
        </w:rPr>
        <w:t xml:space="preserve"> </w:t>
      </w:r>
    </w:p>
    <w:p w14:paraId="4337F9B3" w14:textId="77777777" w:rsidR="00EA6DED" w:rsidRDefault="007504AE">
      <w:pPr>
        <w:pStyle w:val="NormalWeb"/>
        <w:spacing w:before="0" w:beforeAutospacing="0" w:after="0" w:afterAutospacing="0"/>
        <w:jc w:val="both"/>
        <w:rPr>
          <w:color w:val="000000"/>
          <w:sz w:val="6"/>
          <w:szCs w:val="6"/>
        </w:rPr>
      </w:pPr>
      <w:r>
        <w:rPr>
          <w:color w:val="000000"/>
        </w:rPr>
        <w:t xml:space="preserve">  </w:t>
      </w:r>
    </w:p>
    <w:p w14:paraId="4337F9B4" w14:textId="77777777" w:rsidR="00EA6DED" w:rsidRDefault="00EA6DED">
      <w:pPr>
        <w:pStyle w:val="NormalWeb"/>
        <w:spacing w:before="0" w:beforeAutospacing="0" w:after="0" w:afterAutospacing="0"/>
        <w:jc w:val="both"/>
        <w:rPr>
          <w:rStyle w:val="lev"/>
          <w:b w:val="0"/>
          <w:color w:val="000000"/>
        </w:rPr>
      </w:pPr>
    </w:p>
    <w:p w14:paraId="4337F9B5" w14:textId="77777777" w:rsidR="00EA6DED" w:rsidRDefault="007504AE">
      <w:pPr>
        <w:pStyle w:val="NormalWeb"/>
        <w:spacing w:before="0" w:beforeAutospacing="0" w:after="0" w:afterAutospacing="0"/>
        <w:jc w:val="both"/>
        <w:rPr>
          <w:color w:val="666666"/>
        </w:rPr>
      </w:pPr>
      <w:r>
        <w:rPr>
          <w:rStyle w:val="lev"/>
          <w:b w:val="0"/>
          <w:color w:val="000000"/>
        </w:rPr>
        <w:t xml:space="preserve">Enfin, on note </w:t>
      </w:r>
      <w:r>
        <w:rPr>
          <w:rStyle w:val="lev"/>
          <w:b w:val="0"/>
        </w:rPr>
        <w:t xml:space="preserve">un faible </w:t>
      </w:r>
      <w:r>
        <w:rPr>
          <w:rStyle w:val="lev"/>
          <w:b w:val="0"/>
          <w:color w:val="000000"/>
        </w:rPr>
        <w:t>alignement aux mécanismes nationaux</w:t>
      </w:r>
      <w:r>
        <w:rPr>
          <w:rStyle w:val="lev"/>
          <w:b w:val="0"/>
        </w:rPr>
        <w:t xml:space="preserve"> de coordination et un faible engagement </w:t>
      </w:r>
      <w:r>
        <w:rPr>
          <w:rStyle w:val="lev"/>
          <w:b w:val="0"/>
          <w:color w:val="000000"/>
        </w:rPr>
        <w:t>aux 7 secteurs de coordination</w:t>
      </w:r>
      <w:r>
        <w:rPr>
          <w:rStyle w:val="lev"/>
          <w:b w:val="0"/>
        </w:rPr>
        <w:t xml:space="preserve">, une </w:t>
      </w:r>
      <w:r>
        <w:rPr>
          <w:rStyle w:val="lev"/>
          <w:b w:val="0"/>
          <w:color w:val="000000"/>
        </w:rPr>
        <w:t>institutionnalisation embryonnaire de la coordination locale</w:t>
      </w:r>
      <w:r>
        <w:rPr>
          <w:rStyle w:val="lev"/>
          <w:b w:val="0"/>
        </w:rPr>
        <w:t xml:space="preserve"> (régions, communes …) et un </w:t>
      </w:r>
      <w:r>
        <w:rPr>
          <w:rStyle w:val="lev"/>
          <w:b w:val="0"/>
          <w:color w:val="000000"/>
        </w:rPr>
        <w:t>turn-over élevé du personnel</w:t>
      </w:r>
      <w:r>
        <w:rPr>
          <w:rStyle w:val="lev"/>
          <w:b w:val="0"/>
        </w:rPr>
        <w:t xml:space="preserve"> qui créée une rupture de continuité dans les engagements et les pratiques de coordination</w:t>
      </w:r>
      <w:r>
        <w:t>.</w:t>
      </w:r>
    </w:p>
    <w:p w14:paraId="4337F9B6" w14:textId="77777777" w:rsidR="00EA6DED" w:rsidRDefault="00EA6DED">
      <w:pPr>
        <w:pStyle w:val="Titre3"/>
        <w:rPr>
          <w:rFonts w:ascii="Times New Roman" w:eastAsia="Arial" w:hAnsi="Times New Roman"/>
          <w:i/>
          <w:iCs/>
          <w:color w:val="000000"/>
          <w:sz w:val="22"/>
          <w:szCs w:val="22"/>
        </w:rPr>
      </w:pPr>
    </w:p>
    <w:p w14:paraId="4337F9B7" w14:textId="77777777" w:rsidR="00EA6DED" w:rsidRDefault="007504AE">
      <w:pPr>
        <w:pStyle w:val="Titre3"/>
        <w:rPr>
          <w:rFonts w:ascii="Times New Roman" w:eastAsia="Arial" w:hAnsi="Times New Roman"/>
          <w:i/>
          <w:iCs/>
          <w:color w:val="000000"/>
          <w:sz w:val="22"/>
          <w:szCs w:val="22"/>
        </w:rPr>
      </w:pPr>
      <w:bookmarkStart w:id="111" w:name="_Toc5088"/>
      <w:r>
        <w:rPr>
          <w:rFonts w:ascii="Times New Roman" w:eastAsia="Arial" w:hAnsi="Times New Roman"/>
          <w:i/>
          <w:iCs/>
          <w:color w:val="000000"/>
          <w:sz w:val="22"/>
          <w:szCs w:val="22"/>
        </w:rPr>
        <w:t>5.2.2.  Cohérence des interventions avec les 7 fonctions principales de l’examen quadriennal complet des activités opérationnelles des Nations Unies (QCPR)</w:t>
      </w:r>
      <w:bookmarkEnd w:id="111"/>
      <w:r>
        <w:rPr>
          <w:rFonts w:ascii="Times New Roman" w:eastAsia="Arial" w:hAnsi="Times New Roman"/>
          <w:i/>
          <w:iCs/>
          <w:color w:val="000000"/>
          <w:sz w:val="22"/>
          <w:szCs w:val="22"/>
        </w:rPr>
        <w:t xml:space="preserve">  </w:t>
      </w:r>
    </w:p>
    <w:p w14:paraId="4337F9B8" w14:textId="77777777" w:rsidR="00EA6DED" w:rsidRDefault="00EA6DED">
      <w:pPr>
        <w:jc w:val="both"/>
        <w:rPr>
          <w:rFonts w:eastAsia="Calibri"/>
          <w:sz w:val="13"/>
          <w:szCs w:val="13"/>
        </w:rPr>
      </w:pPr>
    </w:p>
    <w:p w14:paraId="4337F9B9" w14:textId="77777777" w:rsidR="00EA6DED" w:rsidRDefault="007504AE">
      <w:pPr>
        <w:jc w:val="both"/>
      </w:pPr>
      <w:r>
        <w:rPr>
          <w:rFonts w:eastAsia="Calibri"/>
        </w:rPr>
        <w:t xml:space="preserve">La revue des modalités du QCPR (Quadrennial Comprehensive Policy Review) dans la base de UNInfo met en avant plusieurs approches clés pour améliorer l'efficacité des projets. Il s’agit essentiellement de l’approche axée sur les résultats, de la collaboration avec divers acteurs (gouvernements, société civile et secteur privé), des mécanismes de suivi-évaluation pour mesurer les progrès et du renforcement des capacités locales.  </w:t>
      </w:r>
      <w:r>
        <w:t>De manière systématique, plus de 92% des interventions répertoriées dans UNInfo reflètent les modalités opérationnelles de l’appui du SNU aux États dans leurs e</w:t>
      </w:r>
      <w:r>
        <w:rPr>
          <w:rFonts w:eastAsia="Cambria Math"/>
        </w:rPr>
        <w:t>f</w:t>
      </w:r>
      <w:r>
        <w:t>forts de développement, traduites par les 7 fonctions principales de l’Examen quadriennal complet</w:t>
      </w:r>
      <w:r>
        <w:rPr>
          <w:rStyle w:val="Appelnotedebasdep"/>
          <w:rFonts w:eastAsia="SimSun"/>
        </w:rPr>
        <w:footnoteReference w:id="54"/>
      </w:r>
      <w:r>
        <w:t xml:space="preserve">. Chaque intervention marquée est couverte par au moins un (1), </w:t>
      </w:r>
      <w:r>
        <w:lastRenderedPageBreak/>
        <w:t xml:space="preserve">sinon plusieurs QCPRs, selon les thématiques. Le graphique 2 ci-dessous donne une illustration de l’importance du nombre d’initiatives par Groupe de Résultat. </w:t>
      </w:r>
    </w:p>
    <w:p w14:paraId="4337F9BA" w14:textId="77777777" w:rsidR="00EA6DED" w:rsidRDefault="00EA6DED">
      <w:pPr>
        <w:jc w:val="both"/>
        <w:rPr>
          <w:rFonts w:eastAsia="Calibri"/>
        </w:rPr>
      </w:pPr>
    </w:p>
    <w:p w14:paraId="4337F9BB" w14:textId="77777777" w:rsidR="00EA6DED" w:rsidRDefault="007504AE">
      <w:pPr>
        <w:jc w:val="both"/>
        <w:rPr>
          <w:b/>
          <w:bCs/>
          <w:i/>
          <w:iCs/>
          <w:color w:val="0000FF"/>
          <w:sz w:val="16"/>
          <w:szCs w:val="16"/>
          <w:highlight w:val="yellow"/>
        </w:rPr>
      </w:pPr>
      <w:r>
        <w:rPr>
          <w:b/>
          <w:bCs/>
          <w:i/>
          <w:iCs/>
          <w:color w:val="0000FF"/>
          <w:sz w:val="22"/>
          <w:szCs w:val="16"/>
        </w:rPr>
        <w:t xml:space="preserve">Graphique </w:t>
      </w:r>
      <w:r>
        <w:rPr>
          <w:b/>
          <w:bCs/>
          <w:i/>
          <w:iCs/>
          <w:color w:val="0000FF"/>
          <w:sz w:val="22"/>
          <w:szCs w:val="16"/>
        </w:rPr>
        <w:fldChar w:fldCharType="begin"/>
      </w:r>
      <w:r>
        <w:rPr>
          <w:b/>
          <w:bCs/>
          <w:i/>
          <w:iCs/>
          <w:color w:val="0000FF"/>
          <w:sz w:val="22"/>
          <w:szCs w:val="16"/>
        </w:rPr>
        <w:instrText xml:space="preserve"> SEQ Graphique \* ARABIC </w:instrText>
      </w:r>
      <w:r>
        <w:rPr>
          <w:b/>
          <w:bCs/>
          <w:i/>
          <w:iCs/>
          <w:color w:val="0000FF"/>
          <w:sz w:val="22"/>
          <w:szCs w:val="16"/>
        </w:rPr>
        <w:fldChar w:fldCharType="separate"/>
      </w:r>
      <w:r>
        <w:rPr>
          <w:b/>
          <w:bCs/>
          <w:i/>
          <w:iCs/>
          <w:color w:val="0000FF"/>
          <w:sz w:val="22"/>
          <w:szCs w:val="16"/>
        </w:rPr>
        <w:t>2</w:t>
      </w:r>
      <w:r>
        <w:rPr>
          <w:b/>
          <w:bCs/>
          <w:i/>
          <w:iCs/>
          <w:color w:val="0000FF"/>
          <w:sz w:val="22"/>
          <w:szCs w:val="16"/>
        </w:rPr>
        <w:fldChar w:fldCharType="end"/>
      </w:r>
      <w:bookmarkStart w:id="112" w:name="_Toc31014"/>
      <w:r>
        <w:rPr>
          <w:b/>
          <w:bCs/>
          <w:i/>
          <w:iCs/>
          <w:color w:val="0000FF"/>
          <w:sz w:val="22"/>
          <w:szCs w:val="16"/>
        </w:rPr>
        <w:t>:  Répartition du nombre de QCPR par projet et par priorité stratégique</w:t>
      </w:r>
      <w:bookmarkEnd w:id="112"/>
    </w:p>
    <w:p w14:paraId="4337F9BC" w14:textId="77777777" w:rsidR="00EA6DED" w:rsidRDefault="007504AE">
      <w:pPr>
        <w:jc w:val="both"/>
        <w:rPr>
          <w:rFonts w:eastAsia="Calibri"/>
          <w:sz w:val="22"/>
          <w:szCs w:val="22"/>
        </w:rPr>
      </w:pPr>
      <w:r>
        <w:rPr>
          <w:b/>
          <w:noProof/>
        </w:rPr>
        <w:drawing>
          <wp:inline distT="0" distB="0" distL="0" distR="0" wp14:anchorId="4337FEA1" wp14:editId="4337FEA2">
            <wp:extent cx="4754245" cy="2630170"/>
            <wp:effectExtent l="19050" t="19050" r="8255" b="0"/>
            <wp:docPr id="27668186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681861" name="Picture 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a:xfrm>
                      <a:off x="0" y="0"/>
                      <a:ext cx="4754245" cy="2630170"/>
                    </a:xfrm>
                    <a:prstGeom prst="rect">
                      <a:avLst/>
                    </a:prstGeom>
                    <a:noFill/>
                    <a:ln w="9525" cmpd="sng">
                      <a:solidFill>
                        <a:srgbClr val="8FAADC"/>
                      </a:solidFill>
                      <a:miter lim="800000"/>
                      <a:headEnd/>
                      <a:tailEnd/>
                    </a:ln>
                    <a:effectLst/>
                  </pic:spPr>
                </pic:pic>
              </a:graphicData>
            </a:graphic>
          </wp:inline>
        </w:drawing>
      </w:r>
    </w:p>
    <w:p w14:paraId="4337F9BD" w14:textId="77777777" w:rsidR="00EA6DED" w:rsidRDefault="00EA6DED">
      <w:pPr>
        <w:jc w:val="both"/>
        <w:rPr>
          <w:rFonts w:eastAsia="Calibri"/>
          <w:sz w:val="10"/>
          <w:szCs w:val="10"/>
        </w:rPr>
      </w:pPr>
    </w:p>
    <w:p w14:paraId="4337F9BE" w14:textId="77777777" w:rsidR="00EA6DED" w:rsidRDefault="00EA6DED">
      <w:pPr>
        <w:rPr>
          <w:rFonts w:eastAsia="Calibri"/>
        </w:rPr>
      </w:pPr>
    </w:p>
    <w:p w14:paraId="4337F9BF" w14:textId="77777777" w:rsidR="00EA6DED" w:rsidRDefault="007504AE">
      <w:pPr>
        <w:shd w:val="clear" w:color="auto" w:fill="FFE599"/>
        <w:spacing w:line="276" w:lineRule="auto"/>
        <w:ind w:right="-9"/>
        <w:jc w:val="both"/>
        <w:rPr>
          <w:rFonts w:eastAsia="Calibri"/>
          <w:b/>
          <w:szCs w:val="22"/>
        </w:rPr>
      </w:pPr>
      <w:r>
        <w:rPr>
          <w:rFonts w:eastAsia="Arial"/>
          <w:b/>
          <w:color w:val="00B0F0"/>
          <w:szCs w:val="22"/>
        </w:rPr>
        <w:t>Question d’évaluation No 4 </w:t>
      </w:r>
      <w:r>
        <w:rPr>
          <w:rFonts w:eastAsia="Arial"/>
          <w:b/>
          <w:color w:val="000000"/>
          <w:szCs w:val="22"/>
        </w:rPr>
        <w:t>: Après la réforme de l'ONU, dans quelle mesure les programmes et plans de travail des agences des Nations Unies ont-ils été efficacement et significativement dérivés du CC tant dans la conception que dans la mise en œuvre ?</w:t>
      </w:r>
    </w:p>
    <w:p w14:paraId="4337F9C0" w14:textId="77777777" w:rsidR="00EA6DED" w:rsidRDefault="00EA6DED">
      <w:pPr>
        <w:jc w:val="both"/>
        <w:rPr>
          <w:rFonts w:eastAsia="Calibri"/>
          <w:sz w:val="6"/>
          <w:szCs w:val="6"/>
        </w:rPr>
      </w:pPr>
    </w:p>
    <w:p w14:paraId="4337F9C1" w14:textId="77777777" w:rsidR="00EA6DED" w:rsidRDefault="00EA6DED">
      <w:pPr>
        <w:jc w:val="both"/>
        <w:rPr>
          <w:rFonts w:eastAsia="Calibri"/>
          <w:sz w:val="6"/>
          <w:szCs w:val="6"/>
        </w:rPr>
      </w:pPr>
    </w:p>
    <w:p w14:paraId="4337F9C2" w14:textId="77777777" w:rsidR="00EA6DED" w:rsidRDefault="00EA6DED">
      <w:pPr>
        <w:rPr>
          <w:rFonts w:eastAsia="Arial"/>
          <w:b/>
          <w:bCs/>
          <w:i/>
          <w:iCs/>
          <w:color w:val="000000"/>
          <w:sz w:val="22"/>
          <w:szCs w:val="22"/>
        </w:rPr>
      </w:pPr>
    </w:p>
    <w:p w14:paraId="4337F9C3" w14:textId="77777777" w:rsidR="00EA6DED" w:rsidRDefault="007504AE">
      <w:pPr>
        <w:pStyle w:val="Titre3"/>
        <w:rPr>
          <w:rFonts w:ascii="Times New Roman" w:eastAsia="Arial" w:hAnsi="Times New Roman"/>
          <w:i/>
          <w:iCs/>
          <w:color w:val="000000"/>
          <w:sz w:val="22"/>
          <w:szCs w:val="22"/>
        </w:rPr>
      </w:pPr>
      <w:bookmarkStart w:id="113" w:name="_Toc7596"/>
      <w:r>
        <w:rPr>
          <w:rFonts w:ascii="Times New Roman" w:eastAsia="Arial" w:hAnsi="Times New Roman"/>
          <w:i/>
          <w:iCs/>
          <w:color w:val="000000"/>
          <w:sz w:val="22"/>
          <w:szCs w:val="22"/>
        </w:rPr>
        <w:t>5.2.3. Modes de dérivation des programmes des agences du CC</w:t>
      </w:r>
      <w:bookmarkEnd w:id="113"/>
    </w:p>
    <w:p w14:paraId="4337F9C4" w14:textId="77777777" w:rsidR="00EA6DED" w:rsidRDefault="00EA6DED">
      <w:pPr>
        <w:shd w:val="clear" w:color="auto" w:fill="FFFFFF"/>
        <w:jc w:val="both"/>
        <w:rPr>
          <w:bCs/>
          <w:color w:val="000000"/>
          <w:sz w:val="4"/>
          <w:szCs w:val="4"/>
        </w:rPr>
      </w:pPr>
    </w:p>
    <w:p w14:paraId="4337F9C5" w14:textId="77777777" w:rsidR="00EA6DED" w:rsidRDefault="007504AE">
      <w:pPr>
        <w:shd w:val="clear" w:color="auto" w:fill="FFFFFF"/>
        <w:jc w:val="both"/>
        <w:rPr>
          <w:rFonts w:eastAsia="Calibri"/>
        </w:rPr>
      </w:pPr>
      <w:r>
        <w:rPr>
          <w:rFonts w:eastAsia="Calibri"/>
        </w:rPr>
        <w:t>La revue documentaire montre un bon arrimage des CPD (Country Program Document) et des programmes/plans de travail des agences au cadre de coopération en termes de dérivation. A titre d’illustration, les CPD de UNFPA, du PNUD et de UNICEF ont un ancrage structuré avec le verbatim des Réalisations. L'analyse de ces CPD montre un ancrage entre leurs programmes et les priorités stratégiques du CC 2022-2026, avec une reproduction textuelle adaptée à leurs domaines de compétence. Les agences non contraintes aux CPD ont élaboré leurs plans de travail en fonction des attentes programmatiques du Cadre de Coopération, en s’appuyant sur leurs avantages comparatifs. A titre d’exemples, le plan stratégique pluriannuel et multipartenaires de UNHCR, le Cadre Programme du FAO ou le Plan Stratégique Pays du PAM, les plans de travail biennaux de l’OIT et la note stratégique de ONUFemmes ont un ancrage thématique avec les différentes Réalisations selon leurs mandats.  En effet, il convient de relever que les CPD et les programmes pays des agences sont élaborés de manière participative avec les autorités nationales, qui apportent leurs endossements, en plus de celui du Coordinateur Résident, basé sur une dérivation justifiée et factuelle du cadre de coopération et des priorités sectorielles.</w:t>
      </w:r>
    </w:p>
    <w:p w14:paraId="4337F9C6" w14:textId="77777777" w:rsidR="00EA6DED" w:rsidRDefault="00EA6DED">
      <w:pPr>
        <w:shd w:val="clear" w:color="auto" w:fill="FFFFFF"/>
        <w:jc w:val="both"/>
        <w:rPr>
          <w:rFonts w:eastAsia="Calibri"/>
        </w:rPr>
      </w:pPr>
    </w:p>
    <w:p w14:paraId="4337F9C7" w14:textId="77777777" w:rsidR="00EA6DED" w:rsidRDefault="00EA6DED">
      <w:pPr>
        <w:jc w:val="both"/>
        <w:rPr>
          <w:rFonts w:eastAsia="Calibri"/>
          <w:sz w:val="2"/>
          <w:szCs w:val="2"/>
        </w:rPr>
      </w:pPr>
    </w:p>
    <w:p w14:paraId="4337F9C8" w14:textId="77777777" w:rsidR="00EA6DED" w:rsidRDefault="00EA6DED">
      <w:pPr>
        <w:jc w:val="both"/>
        <w:rPr>
          <w:rFonts w:eastAsia="Calibri"/>
          <w:sz w:val="13"/>
          <w:szCs w:val="13"/>
        </w:rPr>
      </w:pPr>
    </w:p>
    <w:p w14:paraId="4337F9C9" w14:textId="77777777" w:rsidR="00EA6DED" w:rsidRDefault="007504AE">
      <w:pPr>
        <w:shd w:val="clear" w:color="auto" w:fill="FFE599"/>
        <w:spacing w:line="276" w:lineRule="auto"/>
        <w:ind w:right="-9"/>
        <w:jc w:val="both"/>
        <w:rPr>
          <w:rFonts w:eastAsia="Calibri"/>
          <w:b/>
          <w:sz w:val="22"/>
          <w:szCs w:val="22"/>
        </w:rPr>
      </w:pPr>
      <w:r>
        <w:rPr>
          <w:rFonts w:eastAsia="Arial"/>
          <w:b/>
          <w:color w:val="00B0F0"/>
          <w:sz w:val="22"/>
          <w:szCs w:val="22"/>
        </w:rPr>
        <w:t>Question d’évaluation No 5 </w:t>
      </w:r>
      <w:r>
        <w:rPr>
          <w:rFonts w:eastAsia="Arial"/>
          <w:b/>
          <w:color w:val="000000"/>
          <w:sz w:val="22"/>
          <w:szCs w:val="22"/>
        </w:rPr>
        <w:t>: Dans quelle mesure la partie nationale et le système des Nations Unies en particulier le Bureau du Coordonnateur Résident, ont-ils coordonné avec succès la mise en œuvre du CC, en s’appuyant sur les structures de gestion (Copil, Groupes de résultat, PMT, Équipe pays, Groupe suivi- évaluation, etc.) pour maximiser l’efficacité, la couverture, atteindre les plus vulnérables (handicapés, femmes, jeunes, etc.) tout en réduisant les chevauchements ?</w:t>
      </w:r>
      <w:r>
        <w:rPr>
          <w:rFonts w:eastAsia="Calibri"/>
          <w:b/>
          <w:sz w:val="22"/>
          <w:szCs w:val="22"/>
        </w:rPr>
        <w:t xml:space="preserve"> </w:t>
      </w:r>
    </w:p>
    <w:p w14:paraId="4337F9CA" w14:textId="77777777" w:rsidR="00EA6DED" w:rsidRDefault="00EA6DED">
      <w:pPr>
        <w:jc w:val="both"/>
        <w:rPr>
          <w:rFonts w:eastAsia="Calibri"/>
          <w:sz w:val="22"/>
          <w:szCs w:val="22"/>
        </w:rPr>
      </w:pPr>
    </w:p>
    <w:p w14:paraId="4337F9CB" w14:textId="77777777" w:rsidR="00EA6DED" w:rsidRDefault="00EA6DED">
      <w:pPr>
        <w:pStyle w:val="Lgende"/>
        <w:jc w:val="both"/>
        <w:rPr>
          <w:sz w:val="20"/>
          <w:szCs w:val="20"/>
        </w:rPr>
      </w:pPr>
    </w:p>
    <w:p w14:paraId="4337F9CC" w14:textId="77777777" w:rsidR="00EA6DED" w:rsidRDefault="007504AE">
      <w:pPr>
        <w:pStyle w:val="Lgende"/>
        <w:jc w:val="both"/>
        <w:rPr>
          <w:sz w:val="20"/>
          <w:szCs w:val="20"/>
        </w:rPr>
      </w:pPr>
      <w:r>
        <w:rPr>
          <w:sz w:val="20"/>
          <w:szCs w:val="20"/>
        </w:rPr>
        <w:t xml:space="preserve">Figure </w:t>
      </w:r>
      <w:r>
        <w:rPr>
          <w:sz w:val="20"/>
          <w:szCs w:val="20"/>
        </w:rPr>
        <w:fldChar w:fldCharType="begin"/>
      </w:r>
      <w:r>
        <w:rPr>
          <w:sz w:val="20"/>
          <w:szCs w:val="20"/>
        </w:rPr>
        <w:instrText xml:space="preserve"> SEQ Figure \* ARABIC </w:instrText>
      </w:r>
      <w:r>
        <w:rPr>
          <w:sz w:val="20"/>
          <w:szCs w:val="20"/>
        </w:rPr>
        <w:fldChar w:fldCharType="separate"/>
      </w:r>
      <w:r>
        <w:rPr>
          <w:sz w:val="20"/>
          <w:szCs w:val="20"/>
        </w:rPr>
        <w:t>5</w:t>
      </w:r>
      <w:r>
        <w:rPr>
          <w:sz w:val="20"/>
          <w:szCs w:val="20"/>
        </w:rPr>
        <w:fldChar w:fldCharType="end"/>
      </w:r>
      <w:bookmarkStart w:id="114" w:name="_Toc12881"/>
      <w:r>
        <w:rPr>
          <w:sz w:val="20"/>
          <w:szCs w:val="20"/>
        </w:rPr>
        <w:t xml:space="preserve">: Mécanisme de gouvernance du cadre de coopération.  </w:t>
      </w:r>
      <w:bookmarkEnd w:id="114"/>
    </w:p>
    <w:p w14:paraId="4337F9CD" w14:textId="77777777" w:rsidR="00EA6DED" w:rsidRDefault="007504AE">
      <w:pPr>
        <w:jc w:val="both"/>
        <w:rPr>
          <w:rFonts w:eastAsia="Calibri"/>
          <w:sz w:val="22"/>
          <w:szCs w:val="22"/>
        </w:rPr>
      </w:pPr>
      <w:r>
        <w:rPr>
          <w:noProof/>
        </w:rPr>
        <w:lastRenderedPageBreak/>
        <w:drawing>
          <wp:anchor distT="0" distB="0" distL="0" distR="0" simplePos="0" relativeHeight="251664384" behindDoc="0" locked="0" layoutInCell="1" allowOverlap="1" wp14:anchorId="4337FEA3" wp14:editId="4337FEA4">
            <wp:simplePos x="0" y="0"/>
            <wp:positionH relativeFrom="column">
              <wp:posOffset>0</wp:posOffset>
            </wp:positionH>
            <wp:positionV relativeFrom="paragraph">
              <wp:posOffset>172085</wp:posOffset>
            </wp:positionV>
            <wp:extent cx="6202045" cy="3226435"/>
            <wp:effectExtent l="12700" t="12700" r="8255" b="12065"/>
            <wp:wrapTopAndBottom/>
            <wp:docPr id="1168927126" name="Image 2"/>
            <wp:cNvGraphicFramePr/>
            <a:graphic xmlns:a="http://schemas.openxmlformats.org/drawingml/2006/main">
              <a:graphicData uri="http://schemas.openxmlformats.org/drawingml/2006/picture">
                <pic:pic xmlns:pic="http://schemas.openxmlformats.org/drawingml/2006/picture">
                  <pic:nvPicPr>
                    <pic:cNvPr id="1168927126" name="Image 2"/>
                    <pic:cNvPicPr/>
                  </pic:nvPicPr>
                  <pic:blipFill>
                    <a:blip r:embed="rId75">
                      <a:extLst>
                        <a:ext uri="{28A0092B-C50C-407E-A947-70E740481C1C}">
                          <a14:useLocalDpi xmlns:a14="http://schemas.microsoft.com/office/drawing/2010/main" val="0"/>
                        </a:ext>
                      </a:extLst>
                    </a:blip>
                    <a:srcRect/>
                    <a:stretch>
                      <a:fillRect/>
                    </a:stretch>
                  </pic:blipFill>
                  <pic:spPr>
                    <a:xfrm>
                      <a:off x="0" y="0"/>
                      <a:ext cx="6202045" cy="3226435"/>
                    </a:xfrm>
                    <a:prstGeom prst="rect">
                      <a:avLst/>
                    </a:prstGeom>
                    <a:solidFill>
                      <a:srgbClr val="FFFFFF"/>
                    </a:solidFill>
                    <a:ln w="635">
                      <a:solidFill>
                        <a:srgbClr val="000000"/>
                      </a:solidFill>
                      <a:miter lim="800000"/>
                      <a:headEnd/>
                      <a:tailEnd/>
                    </a:ln>
                  </pic:spPr>
                </pic:pic>
              </a:graphicData>
            </a:graphic>
          </wp:anchor>
        </w:drawing>
      </w:r>
    </w:p>
    <w:p w14:paraId="4337F9CE" w14:textId="77777777" w:rsidR="00EA6DED" w:rsidRDefault="00EA6DED">
      <w:pPr>
        <w:jc w:val="both"/>
        <w:rPr>
          <w:rFonts w:eastAsia="Calibri"/>
          <w:sz w:val="22"/>
          <w:szCs w:val="22"/>
        </w:rPr>
      </w:pPr>
    </w:p>
    <w:p w14:paraId="4337F9CF" w14:textId="77777777" w:rsidR="00EA6DED" w:rsidRDefault="007504AE">
      <w:pPr>
        <w:pStyle w:val="Titre3"/>
        <w:rPr>
          <w:rFonts w:ascii="Times New Roman" w:eastAsia="Arial" w:hAnsi="Times New Roman"/>
          <w:i/>
          <w:iCs/>
          <w:color w:val="000000"/>
          <w:sz w:val="22"/>
          <w:szCs w:val="22"/>
        </w:rPr>
      </w:pPr>
      <w:bookmarkStart w:id="115" w:name="_Toc22398"/>
      <w:r>
        <w:rPr>
          <w:rFonts w:ascii="Times New Roman" w:eastAsia="Arial" w:hAnsi="Times New Roman"/>
          <w:i/>
          <w:iCs/>
          <w:color w:val="000000"/>
          <w:sz w:val="22"/>
          <w:szCs w:val="22"/>
        </w:rPr>
        <w:t>5.2.4.  Fonctionnement des mécanismes et des organes de coordination et de planification conjointe</w:t>
      </w:r>
      <w:bookmarkEnd w:id="115"/>
      <w:r>
        <w:rPr>
          <w:rFonts w:ascii="Times New Roman" w:eastAsia="Arial" w:hAnsi="Times New Roman"/>
          <w:i/>
          <w:iCs/>
          <w:color w:val="000000"/>
          <w:sz w:val="22"/>
          <w:szCs w:val="22"/>
        </w:rPr>
        <w:t xml:space="preserve"> </w:t>
      </w:r>
    </w:p>
    <w:p w14:paraId="4337F9D0" w14:textId="77777777" w:rsidR="00EA6DED" w:rsidRDefault="007504AE">
      <w:pPr>
        <w:jc w:val="both"/>
      </w:pPr>
      <w:r>
        <w:t xml:space="preserve">Le dispositif de coordination du CC 2022-2026 est placé sous l’égide du Comité de Pilotage Conjoint coprésidé par le ministère de l’Économie, de la Planification et de l’Aménagement du Territoire et le Coordonnateur Résident des Nations Unies. Au niveau de la gouvernance interne, l’Equipe Pays est l’organe délibérant qui donne une orientation globale sur le partenariat et la gestion du cadre de coopération sous la houlette du Coordonnateur Résident. Comme le montre le diagramme ci-dessous, l’équipe travaille avec l’appui de cinq groupes de résultats, des groupes thématiques transversaux et plusieurs groupes inter agences dont l’équipe de gestion des programmes, le groupe Suivi/Évaluation, l’équipe de gestion des opérations.  </w:t>
      </w:r>
      <w:r>
        <w:rPr>
          <w:color w:val="000000"/>
        </w:rPr>
        <w:t>Le rôle et le cadre fonctionnel des différents organes se présentent comme suit :</w:t>
      </w:r>
    </w:p>
    <w:p w14:paraId="4337F9D1" w14:textId="77777777" w:rsidR="00EA6DED" w:rsidRDefault="00EA6DED">
      <w:pPr>
        <w:jc w:val="both"/>
        <w:rPr>
          <w:b/>
          <w:color w:val="00B0F0"/>
        </w:rPr>
      </w:pPr>
    </w:p>
    <w:p w14:paraId="4337F9D2" w14:textId="77777777" w:rsidR="00EA6DED" w:rsidRDefault="007504AE">
      <w:pPr>
        <w:jc w:val="both"/>
        <w:rPr>
          <w:color w:val="000000"/>
          <w:sz w:val="32"/>
          <w:szCs w:val="32"/>
        </w:rPr>
      </w:pPr>
      <w:r>
        <w:rPr>
          <w:b/>
          <w:color w:val="00B0F0"/>
        </w:rPr>
        <w:t>Le Comité de Pilotage Conjoint </w:t>
      </w:r>
      <w:r>
        <w:rPr>
          <w:b/>
        </w:rPr>
        <w:t xml:space="preserve">: </w:t>
      </w:r>
      <w:r>
        <w:t>L’analyse documentaire, les entretiens avec les ministères sectoriels et les chefs d’Agence des NU ont relevé que le CC a un ancrage administratif avec le ministère de l’Économie, de la Planification et de l’Aménagement du Territoire plan qui assure la coordination et le suivi des programmes des NU en appui au Comité de Pilotage Conjoint  dont le décret de formalisation n’a jamais été signé, quoi qu’il ait siégé une fois en 2023 pour éplucher et approuver les plans de travail conjoints et faire des recommandations pour sa formalisation et sur celle de ses mécanismes de gestion, ainsi que la désignation de ses membres.</w:t>
      </w:r>
      <w:r>
        <w:rPr>
          <w:color w:val="000000"/>
          <w:sz w:val="32"/>
          <w:szCs w:val="32"/>
        </w:rPr>
        <w:t xml:space="preserve"> </w:t>
      </w:r>
    </w:p>
    <w:p w14:paraId="4337F9D3" w14:textId="77777777" w:rsidR="00EA6DED" w:rsidRDefault="00EA6DED">
      <w:pPr>
        <w:jc w:val="both"/>
      </w:pPr>
    </w:p>
    <w:p w14:paraId="4337F9D4" w14:textId="77777777" w:rsidR="00EA6DED" w:rsidRDefault="007504AE">
      <w:pPr>
        <w:jc w:val="both"/>
      </w:pPr>
      <w:r>
        <w:t xml:space="preserve">L’absence du décret de formalisation et la ténue irrégulière des sessions règlementaires de Comité est un obstacle stratégique majeur pour un dialogue inclusif entre le Gouvernement et le SNU et une faiblesse pour le suivi de la cohérence des interventions du CC aux priorités nationales.  </w:t>
      </w:r>
    </w:p>
    <w:p w14:paraId="4337F9D5" w14:textId="77777777" w:rsidR="00EA6DED" w:rsidRDefault="00EA6DED">
      <w:pPr>
        <w:jc w:val="both"/>
      </w:pPr>
    </w:p>
    <w:p w14:paraId="4337F9D6" w14:textId="77777777" w:rsidR="00EA6DED" w:rsidRDefault="007504AE">
      <w:pPr>
        <w:jc w:val="both"/>
      </w:pPr>
      <w:r>
        <w:rPr>
          <w:b/>
          <w:color w:val="00B0F0"/>
        </w:rPr>
        <w:t>L’Equipe de Pays</w:t>
      </w:r>
      <w:r>
        <w:rPr>
          <w:color w:val="00B0F0"/>
        </w:rPr>
        <w:t xml:space="preserve"> </w:t>
      </w:r>
      <w:r>
        <w:t xml:space="preserve">des NU a la responsabilité collective des résultats du Cadre de Coopération vis-à-vis du Gouvernement à travers les interventions des agences. Les entretiens avec le bureau du Coordinateur Résident, les chefs d’Agences et la revue documentaire attestent que cet organe a bien fonctionné avec des réunions régulières en sessions mandataires ou ad hoc. Les réunions sont bien documentées ainsi que les mécanismes de suivi des résolutions ou des recommandations.  </w:t>
      </w:r>
    </w:p>
    <w:p w14:paraId="4337F9D7" w14:textId="77777777" w:rsidR="00EA6DED" w:rsidRDefault="00EA6DED">
      <w:pPr>
        <w:jc w:val="both"/>
      </w:pPr>
    </w:p>
    <w:p w14:paraId="4337F9D8" w14:textId="77777777" w:rsidR="00EA6DED" w:rsidRDefault="007504AE">
      <w:pPr>
        <w:jc w:val="both"/>
      </w:pPr>
      <w:r>
        <w:t xml:space="preserve">Cependant, la coordination reste insuffisante entre les agences sur le terrain. Plusieurs initiatives sont isolées et les activités conjointes n’ont pas encore atteint une échelle significative pour répondre pleinement aux attentes de l’approche « Unis dans l’Action »​. </w:t>
      </w:r>
    </w:p>
    <w:p w14:paraId="4337F9D9" w14:textId="77777777" w:rsidR="00EA6DED" w:rsidRDefault="007504AE">
      <w:pPr>
        <w:pStyle w:val="NormalWeb"/>
        <w:jc w:val="both"/>
        <w:rPr>
          <w:highlight w:val="yellow"/>
        </w:rPr>
      </w:pPr>
      <w:r>
        <w:rPr>
          <w:b/>
          <w:color w:val="00B0F0"/>
        </w:rPr>
        <w:lastRenderedPageBreak/>
        <w:t>Le Bureau du Coordonnateur Résident (BCR)</w:t>
      </w:r>
      <w:r>
        <w:rPr>
          <w:color w:val="00B0F0"/>
        </w:rPr>
        <w:t> :</w:t>
      </w:r>
      <w:r>
        <w:t xml:space="preserve"> Très actif, le BCR a assumé son rôle de Coordination conformément au principe de redevabilité conférés par le MAF (Management Accountability Framework). Il dispose de l'autorité et la capacité de réunir efficacement les différentes agences des NU et les partenaires pour assurer une meilleure coordination et collaboration entre les agences des NU. Les rapports des réunions inter-agences, les procès-verbaux des sessions de UNCT, ou des consultations avec les cadres sectoriels au niveau national, des réunions avec les bailleurs de fonds et d’autres parties prenantes, en donnent une illustration. Par ailleurs, sous sa diligence, les rapports annuels de résultats du CC ont été régulièrement produits et publiés/diffusés entre 2022 et 2024. </w:t>
      </w:r>
    </w:p>
    <w:p w14:paraId="4337F9DA" w14:textId="77777777" w:rsidR="00EA6DED" w:rsidRDefault="007504AE">
      <w:pPr>
        <w:jc w:val="both"/>
        <w:rPr>
          <w:color w:val="000000"/>
          <w:highlight w:val="yellow"/>
        </w:rPr>
      </w:pPr>
      <w:r>
        <w:rPr>
          <w:b/>
          <w:color w:val="00B0F0"/>
        </w:rPr>
        <w:t>L’Equipe de gestion des Programmes (PMT)</w:t>
      </w:r>
      <w:r>
        <w:t xml:space="preserve"> a été mise en place pour renforcer la cohérence, la transversalité et l'efficacité des actions menées par le SNU, à travers le soutien des Groupes de Résultats (GR) et la mise en œuvre cohérente du Cadre de Coopération. Il dispose des termes de références clairs et les minutes de sessions attestent de </w:t>
      </w:r>
      <w:r>
        <w:rPr>
          <w:color w:val="000000"/>
        </w:rPr>
        <w:t>la ténue régulière de ses réunions. Le PMT centralise les informations relatives aux appels à proposition coordonne la mise en place des consortiums inter-agences et la revue de la qualité propositions de projet. IL fait le suivi, prodigue des conseils et de veille à l’implication effective de la partie gouvernementale.  Cependant, la compétition pour les ressources demeure et les agences continuent de se marcher les unes sur les autres à cause de la flexibilité des mandats ou juste l’instinct de survie.</w:t>
      </w:r>
      <w:r>
        <w:rPr>
          <w:b/>
          <w:bCs/>
          <w:color w:val="000000"/>
          <w:spacing w:val="-2"/>
        </w:rPr>
        <w:t xml:space="preserve"> </w:t>
      </w:r>
    </w:p>
    <w:p w14:paraId="4337F9DB" w14:textId="77777777" w:rsidR="00EA6DED" w:rsidRDefault="00EA6DED">
      <w:pPr>
        <w:jc w:val="both"/>
      </w:pPr>
    </w:p>
    <w:p w14:paraId="4337F9DC" w14:textId="77777777" w:rsidR="00EA6DED" w:rsidRDefault="007504AE">
      <w:pPr>
        <w:jc w:val="both"/>
        <w:rPr>
          <w:bCs/>
        </w:rPr>
      </w:pPr>
      <w:r>
        <w:rPr>
          <w:b/>
          <w:color w:val="00B0F0"/>
        </w:rPr>
        <w:t>L’Equipe de gestion des opérations (OMT) :</w:t>
      </w:r>
      <w:r>
        <w:rPr>
          <w:bCs/>
        </w:rPr>
        <w:t xml:space="preserve"> Elle </w:t>
      </w:r>
      <w:r>
        <w:t xml:space="preserve">est responsable d’identifier, d’évaluer, d’hiérarchiser et de planifier les opérations communes. Elle opère selon des termes de référence avec ses objectifs, responsabilités et méthodes de travail, ainsi qu’un plan de travail annuel (PTA) qui précise les produits, activités, budget, calendrier et indicateurs. Elle collabore à travers des sous-groupes thématiques dans divers domaines comme la finance, les TIC, les ressources humaines, la gestion administrative, financière et logistique. Son objectif est de fournir aux chefs d’agence des informations pertinentes et des conseils pour assurer une gestion efficace des services communs. </w:t>
      </w:r>
    </w:p>
    <w:p w14:paraId="4337F9DD" w14:textId="77777777" w:rsidR="00EA6DED" w:rsidRDefault="00EA6DED">
      <w:pPr>
        <w:jc w:val="both"/>
      </w:pPr>
    </w:p>
    <w:p w14:paraId="4337F9DE" w14:textId="77777777" w:rsidR="00EA6DED" w:rsidRDefault="007504AE">
      <w:pPr>
        <w:jc w:val="both"/>
      </w:pPr>
      <w:r>
        <w:t>Parmi ses réalisations notables de 2024, figurent la revue annuelle du BOS 2.0 qui a permis un gain d’efficience de 1 474 086 $, la mise en place et la gestion de 18 accords-cadres (LTA) pour soutenir les programmes, l’intégration des données sur les locaux communs dans UNINFO, la réalisation d’enquêtes (DSA, hôtellerie), l’évaluation des formations sanitaires et les échanges avec la direction des impôts concernant la TVA. Ces actions démontrent le rôle essentiel de l’OMT dans l’optimisation et la coordination des prestations opérationnelles du SNU.</w:t>
      </w:r>
    </w:p>
    <w:p w14:paraId="4337F9DF" w14:textId="77777777" w:rsidR="00EA6DED" w:rsidRDefault="007504AE">
      <w:pPr>
        <w:pStyle w:val="NormalWeb"/>
        <w:jc w:val="both"/>
      </w:pPr>
      <w:r>
        <w:rPr>
          <w:b/>
          <w:color w:val="00B0F0"/>
        </w:rPr>
        <w:t>L’UNCG :</w:t>
      </w:r>
      <w:r>
        <w:rPr>
          <w:color w:val="00B0F0"/>
        </w:rPr>
        <w:t> </w:t>
      </w:r>
      <w:r>
        <w:t xml:space="preserve">Le groupe thématique communication, composé des points focaux en communication des agences, dispose d’un plan d’action annuel dérivé de sa stratégie de communication conjointe du SNU au Cameroun (2022-2026). Il se réunit une fois par mois. Son rôle est de rassembler les ressources humaines et logistiques pour promouvoir les Nations Unies, communiquer sur le CC et les ODD. </w:t>
      </w:r>
    </w:p>
    <w:p w14:paraId="4337F9E0" w14:textId="77777777" w:rsidR="00EA6DED" w:rsidRDefault="007504AE">
      <w:pPr>
        <w:pStyle w:val="NormalWeb"/>
        <w:jc w:val="both"/>
      </w:pPr>
      <w:r>
        <w:t>Entre 2022 et 2024, plusieurs campagnes de communication ont été menées sur des sujets tels que la prévention de la COVID_19, le changement climatique et la veille électorale. Des activités ont également été réalisées avec des journalistes sur des thématiques variées, le dialogue politique et les journées thématiques de l’ONU (Journée internationale de la femme, 16 jours d’activisme contre les violences faites aux femmes, Journée de la liberté de la presse, Journée internationale de la jeunesse, Journée internationale de la paix, Journée des Nations Unies). Des initiatives pour promouvoir la décennie d’actions, ainsi que la formation de volontaires pour la sensibilisation aux ODD (10 clubs ODD créés dans des universités et lycées) ont également été mises en place, tout comme l’intégration des solutions durables dans les plans de développement local des collectivités décentralisées.</w:t>
      </w:r>
    </w:p>
    <w:p w14:paraId="4337F9E1" w14:textId="77777777" w:rsidR="00EA6DED" w:rsidRDefault="007504AE">
      <w:pPr>
        <w:pStyle w:val="NormalWeb"/>
        <w:jc w:val="both"/>
      </w:pPr>
      <w:r>
        <w:t>Ses principaux défis sont (i) les contraintes budgétaires des agences contributrices qui impactent négativement les activités du groupe, (ii) la propension des agences à défendre leurs logos quand bien même ce n’est pas nécessaire et (iii) le faible engagement des points focaux de communication des agences pour les activités conjointes.</w:t>
      </w:r>
      <w:bookmarkStart w:id="116" w:name="_heading=h.96a2x99vo1kc" w:colFirst="0" w:colLast="0"/>
      <w:bookmarkStart w:id="117" w:name="_heading=h.6rmnjqyifvxy" w:colFirst="0" w:colLast="0"/>
      <w:bookmarkStart w:id="118" w:name="_heading=h.1dwlybdogjkb" w:colFirst="0" w:colLast="0"/>
      <w:bookmarkEnd w:id="116"/>
      <w:bookmarkEnd w:id="117"/>
      <w:bookmarkEnd w:id="118"/>
    </w:p>
    <w:p w14:paraId="4337F9E2" w14:textId="77777777" w:rsidR="00EA6DED" w:rsidRDefault="007504AE">
      <w:pPr>
        <w:jc w:val="both"/>
      </w:pPr>
      <w:r>
        <w:rPr>
          <w:b/>
          <w:color w:val="00B0F0"/>
        </w:rPr>
        <w:lastRenderedPageBreak/>
        <w:t>Le GT/SE</w:t>
      </w:r>
      <w:r>
        <w:rPr>
          <w:color w:val="00B0F0"/>
        </w:rPr>
        <w:t> </w:t>
      </w:r>
      <w:r>
        <w:rPr>
          <w:sz w:val="32"/>
        </w:rPr>
        <w:t xml:space="preserve">: </w:t>
      </w:r>
      <w:r>
        <w:t xml:space="preserve">La revue documentaire et les entretiens avec les agences montrent que le fonctionnement du groupe suivi/évaluation a été effectif avec la tenue des réunions mandataires du groupe autour des plans de travail annuels. Il dispose des TDRS clairs, des rapports de réunions avec un plan d’action. Il a participé à la préparation des enquêtes nationales telle que le MICS. Les membres du GTSE sont aux secrétariats techniques des GR pour faciliter l’harmonisation des indicateurs et aider au processus de Gestion Axée sur les Résultats (GAR) Ils participent aux revues et à l’élaboration des rapports annuels des résultats du CC. </w:t>
      </w:r>
    </w:p>
    <w:p w14:paraId="4337F9E3" w14:textId="77777777" w:rsidR="00EA6DED" w:rsidRDefault="007504AE">
      <w:pPr>
        <w:jc w:val="both"/>
      </w:pPr>
      <w:r>
        <w:t xml:space="preserve"> </w:t>
      </w:r>
    </w:p>
    <w:p w14:paraId="4337F9E4" w14:textId="77777777" w:rsidR="00EA6DED" w:rsidRDefault="007504AE">
      <w:pPr>
        <w:jc w:val="both"/>
      </w:pPr>
      <w:r>
        <w:t xml:space="preserve">Les défis du GT/SE sont importants. En effet, la question du suivi des données financières dans les GR est un casse-tête à cause de l’absence des clefs de répartition.  La composante rapportage des indicateurs dans UNinfo est faite par les programmes ce qui crée des confusions en l’absence des métadonnées pour la compréhension commune des Sous-produits et des indicateurs. La Fonction du GT/SE est sous-estimée et réduite au rapportage des données, sans lien avec les instances décisionnelles (ni au PMT, ni à UNCT). </w:t>
      </w:r>
    </w:p>
    <w:p w14:paraId="4337F9E5" w14:textId="77777777" w:rsidR="00EA6DED" w:rsidRDefault="00EA6DED">
      <w:pPr>
        <w:spacing w:before="100" w:beforeAutospacing="1" w:after="100" w:afterAutospacing="1"/>
        <w:contextualSpacing/>
        <w:jc w:val="both"/>
        <w:rPr>
          <w:b/>
          <w:color w:val="00B0F0"/>
        </w:rPr>
      </w:pPr>
    </w:p>
    <w:p w14:paraId="4337F9E6" w14:textId="77777777" w:rsidR="00EA6DED" w:rsidRDefault="007504AE">
      <w:pPr>
        <w:jc w:val="both"/>
      </w:pPr>
      <w:r>
        <w:rPr>
          <w:b/>
          <w:color w:val="00B0F0"/>
        </w:rPr>
        <w:t xml:space="preserve">Les Groupes de Résultats (GR) </w:t>
      </w:r>
      <w:r>
        <w:rPr>
          <w:b/>
        </w:rPr>
        <w:t>:</w:t>
      </w:r>
      <w:r>
        <w:t xml:space="preserve"> Les groupes disposent de Termes de Référence (TDR) qui organisent leur fonctionnement, mais la fréquence des réunions est souvent irrégulière. Beaucoup de ces réunions sont "circonstancielles" et manquent d'agenda formel et de compte-rendu systématique. Les rencontres formelles se limitent généralement au début et à la fin de l'année pour élaborer des plans de travail conjoints et pour rédiger des rapports. Le suivi et la coordination des GR sont compliqués par le turnover fréquent des points focaux des agences, qui quittent souvent sans être remplacés, affectant ainsi la dynamique des groupes qui dépend généralement du leadership de l’agence chef de file. De plus, les différences dans les modes de planification budgétaire des agences compliquent l'harmonisation des approches au sein du cadre de coopération. L’insertion à temps des éléments de rapportage dans UNINFO est aussi un défi à relever. Les visites semestrielles de suivi des programmes sont peu fréquentes et, parfois, se font sans la participation des représentants de la partie nationale, qui assurent la présence des secteurs clés au sein des groupes de travail. Leur engagement devrait débuter dès la phase de conception des projets, et non seulement lors de la signature des lettres d'endossement. L'implication de certains membres des groupes de travail est faible, se traduisant par une participation irrégulière aux réunions, en raison de l'absence de mesures incitatives pour les motiver en plus de leurs responsabilités au sein de leurs agences.</w:t>
      </w:r>
    </w:p>
    <w:p w14:paraId="4337F9E7" w14:textId="77777777" w:rsidR="00EA6DED" w:rsidRDefault="00EA6DED">
      <w:pPr>
        <w:jc w:val="both"/>
        <w:rPr>
          <w:b/>
          <w:color w:val="00B0F0"/>
        </w:rPr>
      </w:pPr>
    </w:p>
    <w:p w14:paraId="4337F9E8" w14:textId="77777777" w:rsidR="00EA6DED" w:rsidRDefault="007504AE">
      <w:pPr>
        <w:jc w:val="both"/>
      </w:pPr>
      <w:r>
        <w:rPr>
          <w:b/>
          <w:color w:val="00B0F0"/>
        </w:rPr>
        <w:t>Les Groupes techniques transversaux </w:t>
      </w:r>
      <w:r>
        <w:rPr>
          <w:rStyle w:val="Appelnotedebasdep"/>
          <w:rFonts w:eastAsia="SimSun"/>
          <w:b/>
          <w:color w:val="00B0F0"/>
        </w:rPr>
        <w:footnoteReference w:id="55"/>
      </w:r>
      <w:r>
        <w:rPr>
          <w:b/>
        </w:rPr>
        <w:t xml:space="preserve"> :</w:t>
      </w:r>
      <w:r>
        <w:t xml:space="preserve"> Chaque groupe thématique dispose de termes de référence clairs, en lien avec son mandat et ses livrables. La majorité des groupes a bien fonctionné, grâce à des ateliers d’appropriation des termes de référence et de planification des activités, ainsi qu'à la tenue régulière de réunions et à une documentation adéquate des rapports d’activités. Cependant, certains groupes ont rencontré des difficultés en raison de l'irrégularité des réunions, du faible leadership de certains chefs de file, de l'absence de financements pour certaines activités, du manque de suivi des résolutions, et du faible engagement de certaines agences.</w:t>
      </w:r>
    </w:p>
    <w:p w14:paraId="4337F9E9" w14:textId="77777777" w:rsidR="00EA6DED" w:rsidRDefault="007504AE">
      <w:pPr>
        <w:spacing w:before="100" w:beforeAutospacing="1" w:after="100" w:afterAutospacing="1"/>
        <w:jc w:val="both"/>
      </w:pPr>
      <w:r>
        <w:t xml:space="preserve">En ce qui concerne les défis auxquels font face les groupes de gouvernance du CC, la sélection des membres n'est pas toujours fondée sur un profilage précis en lien avec les compétences requises. De plus, il manque un mécanisme d'évaluation et de reconnaissance pour encourager l'engagement des groupes et de leurs membres dans l'exercice de leurs mandats. Enfin, les termes de référence des groupes thématiques ne clarifient pas leur rôle dans le renforcement des capacités des groupes de résultats, ce qui nuit à la prise en compte optimale des thématiques transversales lors de l'élaboration des programmes, la planification conjointe et le reportage. </w:t>
      </w:r>
    </w:p>
    <w:p w14:paraId="4337F9EA" w14:textId="77777777" w:rsidR="00EA6DED" w:rsidRDefault="007504AE">
      <w:pPr>
        <w:pStyle w:val="Titre3"/>
        <w:rPr>
          <w:rFonts w:ascii="Times New Roman" w:eastAsia="Arial" w:hAnsi="Times New Roman"/>
          <w:i/>
          <w:iCs/>
          <w:color w:val="000000"/>
          <w:sz w:val="22"/>
          <w:szCs w:val="22"/>
        </w:rPr>
      </w:pPr>
      <w:bookmarkStart w:id="119" w:name="_Toc6422"/>
      <w:r>
        <w:rPr>
          <w:rFonts w:ascii="Times New Roman" w:eastAsia="Arial" w:hAnsi="Times New Roman"/>
          <w:i/>
          <w:iCs/>
          <w:color w:val="000000"/>
          <w:sz w:val="22"/>
          <w:szCs w:val="22"/>
        </w:rPr>
        <w:t>5.2.5. Atteinte des groupes les plus vulnérables et à risque par les interventions</w:t>
      </w:r>
      <w:bookmarkEnd w:id="119"/>
      <w:r>
        <w:rPr>
          <w:rFonts w:ascii="Times New Roman" w:eastAsia="Arial" w:hAnsi="Times New Roman"/>
          <w:i/>
          <w:iCs/>
          <w:color w:val="000000"/>
          <w:sz w:val="22"/>
          <w:szCs w:val="22"/>
        </w:rPr>
        <w:t xml:space="preserve"> </w:t>
      </w:r>
    </w:p>
    <w:p w14:paraId="4337F9EB" w14:textId="77777777" w:rsidR="00EA6DED" w:rsidRDefault="00EA6DED">
      <w:pPr>
        <w:rPr>
          <w:rFonts w:eastAsia="Calibri"/>
          <w:sz w:val="22"/>
          <w:szCs w:val="22"/>
        </w:rPr>
      </w:pPr>
    </w:p>
    <w:p w14:paraId="4337F9EC" w14:textId="77777777" w:rsidR="00EA6DED" w:rsidRDefault="007504AE">
      <w:pPr>
        <w:jc w:val="both"/>
        <w:rPr>
          <w:rFonts w:eastAsia="Calibri"/>
        </w:rPr>
      </w:pPr>
      <w:r>
        <w:rPr>
          <w:rFonts w:eastAsia="Calibri"/>
        </w:rPr>
        <w:t>L’approche pour l’atteinte des groupes les plus vulnérables a été encadrée par le Bilan Commun Pays (BCP 2020)</w:t>
      </w:r>
      <w:r>
        <w:rPr>
          <w:rStyle w:val="Appelnotedebasdep"/>
          <w:rFonts w:eastAsia="SimSun"/>
        </w:rPr>
        <w:footnoteReference w:id="56"/>
      </w:r>
      <w:r>
        <w:rPr>
          <w:rFonts w:eastAsia="Calibri"/>
        </w:rPr>
        <w:t xml:space="preserve"> qui a fait un examen des causes profondes des vulnérabilités pour déterminer les facteurs d’exclusion tant sur le plan géographique (urbain/rural), des statuts économiques, de la gouvernance, des dynamiques des </w:t>
      </w:r>
      <w:r>
        <w:rPr>
          <w:rFonts w:eastAsia="Calibri"/>
        </w:rPr>
        <w:lastRenderedPageBreak/>
        <w:t xml:space="preserve">conflits (méso, supra ou transfrontaliers) ou des discriminations liées à l’accès aux sévices sociaux de base (….).  Le CC a utilisé cette démarche pour identifier les facteurs de risque, les gaps programmatiques et thématiques pour développer des paquets d’activités sur l’autonomisation économique, l’inclusion sociale, la résilience dans toutes ses formes, la protection sociale, l’égalité des sexes, la durabilité environnementale, l’accès aux services sociaux de base, la sécurité nutritionnelle et alimentaire, la justice et les droits humains (….) pour les groupes les plus vulnérables dont les personnes vivant avec le VIH, les déplacées internes, les réfugiés, les migrants, les demandeurs d’asile, les femmes et les jeunes ou les populations clés. </w:t>
      </w:r>
    </w:p>
    <w:p w14:paraId="4337F9ED" w14:textId="77777777" w:rsidR="00EA6DED" w:rsidRDefault="00EA6DED">
      <w:pPr>
        <w:jc w:val="both"/>
        <w:rPr>
          <w:rFonts w:eastAsia="Calibri"/>
        </w:rPr>
      </w:pPr>
    </w:p>
    <w:p w14:paraId="4337F9EE" w14:textId="77777777" w:rsidR="00EA6DED" w:rsidRDefault="007504AE">
      <w:pPr>
        <w:jc w:val="both"/>
        <w:rPr>
          <w:rFonts w:eastAsia="Calibri"/>
        </w:rPr>
      </w:pPr>
      <w:r>
        <w:rPr>
          <w:rFonts w:eastAsia="Calibri"/>
        </w:rPr>
        <w:t xml:space="preserve">Au niveau géographique, les régions de l’Est fragilisée par la pression des réfugiés centrafricains, de l’Extrême-Nord en proie aux conséquences résiduelles des affres de la secte Boko haram et du NOSO (Nord-Ouest et Sud-Ouest) touchées par la crise dite anglophone ont été les plus couvertes par les interventions humanitaires ou de soutien aux personnes vulnérables. Dans les centres urbains, les déplacés internes, les migrants, les réfugiés, les populations clés, les personnes vivant avec le VIH et les jeunes en situation de survie dans la rue ont été le plus ciblés. De manière transversale et à l’échelle nationale, les programmes sur la santé sexuelle et reproductive, la lutte contre les VBG et l’autonomisation des femmes et des jeunes ont été intégrés dans les stratégies d’intervention des différentes agences.       </w:t>
      </w:r>
    </w:p>
    <w:p w14:paraId="4337F9EF" w14:textId="77777777" w:rsidR="00EA6DED" w:rsidRDefault="00EA6DED">
      <w:pPr>
        <w:ind w:left="720" w:hanging="720"/>
        <w:rPr>
          <w:rFonts w:eastAsia="Calibri"/>
          <w:sz w:val="22"/>
          <w:szCs w:val="22"/>
        </w:rPr>
      </w:pPr>
    </w:p>
    <w:p w14:paraId="4337F9F0" w14:textId="77777777" w:rsidR="00EA6DED" w:rsidRDefault="007504AE">
      <w:pPr>
        <w:pStyle w:val="Titre3"/>
        <w:rPr>
          <w:rFonts w:ascii="Times New Roman" w:eastAsia="Arial" w:hAnsi="Times New Roman"/>
          <w:i/>
          <w:iCs/>
          <w:color w:val="000000"/>
          <w:sz w:val="22"/>
          <w:szCs w:val="22"/>
        </w:rPr>
      </w:pPr>
      <w:bookmarkStart w:id="120" w:name="_Toc26896"/>
      <w:r>
        <w:rPr>
          <w:rFonts w:ascii="Times New Roman" w:eastAsia="Arial" w:hAnsi="Times New Roman"/>
          <w:i/>
          <w:iCs/>
          <w:color w:val="000000"/>
          <w:sz w:val="22"/>
          <w:szCs w:val="22"/>
        </w:rPr>
        <w:t>5.2.6.  Quelques défis notés pour la coordination et la cohérence</w:t>
      </w:r>
      <w:bookmarkEnd w:id="120"/>
      <w:r>
        <w:rPr>
          <w:rFonts w:ascii="Times New Roman" w:eastAsia="Arial" w:hAnsi="Times New Roman"/>
          <w:i/>
          <w:iCs/>
          <w:color w:val="000000"/>
          <w:sz w:val="22"/>
          <w:szCs w:val="22"/>
        </w:rPr>
        <w:t xml:space="preserve"> </w:t>
      </w:r>
    </w:p>
    <w:p w14:paraId="4337F9F1" w14:textId="77777777" w:rsidR="00EA6DED" w:rsidRDefault="007504AE">
      <w:pPr>
        <w:contextualSpacing/>
        <w:jc w:val="both"/>
      </w:pPr>
      <w:r>
        <w:t xml:space="preserve">La coordination et la cohérence du CC sont piégées à la fois par la complexité de la réforme de 2018 qui a créé le bureau du Coordinateur Résident avec des responsabilités de souveraineté symbolique sans moyens d’action contraignants et par le contexte pays marqué par un faible intérêt aux activités des NU à travers l’absence du décret de formalisation du cadre d’orientations stratégiques du CC en cours d’évaluation et le précédent (UNDAF 2018/2020). Quelques défis illustratifs sous-jacents qui alimentent cette observation sont : </w:t>
      </w:r>
    </w:p>
    <w:p w14:paraId="4337F9F2" w14:textId="77777777" w:rsidR="00EA6DED" w:rsidRDefault="00EA6DED">
      <w:pPr>
        <w:contextualSpacing/>
        <w:jc w:val="both"/>
        <w:rPr>
          <w:sz w:val="16"/>
          <w:szCs w:val="16"/>
        </w:rPr>
      </w:pPr>
    </w:p>
    <w:p w14:paraId="4337F9F3" w14:textId="77777777" w:rsidR="00EA6DED" w:rsidRDefault="007504AE">
      <w:pPr>
        <w:numPr>
          <w:ilvl w:val="0"/>
          <w:numId w:val="13"/>
        </w:numPr>
        <w:tabs>
          <w:tab w:val="left" w:pos="360"/>
        </w:tabs>
        <w:ind w:left="360"/>
        <w:contextualSpacing/>
        <w:jc w:val="both"/>
        <w:rPr>
          <w:color w:val="000000"/>
          <w:spacing w:val="-2"/>
        </w:rPr>
      </w:pPr>
      <w:r>
        <w:rPr>
          <w:color w:val="000000"/>
          <w:spacing w:val="-2"/>
        </w:rPr>
        <w:t>Le besoin de clarification des mandats des agences pour éviter les confusions, faciliter le travail conjoint fondé sur les avantages stratégiques comparatifs et non compétitifs des agences, réduire la fragmentation, les gaps programmatiques et les doublons ;</w:t>
      </w:r>
    </w:p>
    <w:p w14:paraId="4337F9F4" w14:textId="77777777" w:rsidR="00EA6DED" w:rsidRDefault="007504AE">
      <w:pPr>
        <w:numPr>
          <w:ilvl w:val="0"/>
          <w:numId w:val="13"/>
        </w:numPr>
        <w:tabs>
          <w:tab w:val="left" w:pos="360"/>
        </w:tabs>
        <w:ind w:left="360"/>
        <w:contextualSpacing/>
        <w:jc w:val="both"/>
        <w:rPr>
          <w:color w:val="000000"/>
          <w:spacing w:val="-2"/>
        </w:rPr>
      </w:pPr>
      <w:r>
        <w:rPr>
          <w:color w:val="000000"/>
          <w:spacing w:val="-2"/>
        </w:rPr>
        <w:t xml:space="preserve">L’absence d’un ancrage institutionnel formel limite l’appropriation mutuelle des programmes et les synergies susceptibles de générer l’impact. Un Copil formalisé et fonctionnel en plein régime demeure un impératif catégorique et symbolique pour l’arrimage stratégique du CC au contexte national, y compris les structures sectorielles de coordination ; </w:t>
      </w:r>
    </w:p>
    <w:p w14:paraId="4337F9F5" w14:textId="77777777" w:rsidR="00EA6DED" w:rsidRDefault="007504AE">
      <w:pPr>
        <w:numPr>
          <w:ilvl w:val="0"/>
          <w:numId w:val="13"/>
        </w:numPr>
        <w:tabs>
          <w:tab w:val="left" w:pos="360"/>
        </w:tabs>
        <w:ind w:left="360"/>
        <w:contextualSpacing/>
        <w:jc w:val="both"/>
        <w:rPr>
          <w:color w:val="000000"/>
          <w:spacing w:val="-2"/>
        </w:rPr>
      </w:pPr>
      <w:r>
        <w:rPr>
          <w:bCs/>
          <w:color w:val="000000"/>
          <w:spacing w:val="-2"/>
        </w:rPr>
        <w:t>Le besoin du renforcement du dialogue de haut niveau avec le Gouvernement</w:t>
      </w:r>
      <w:r>
        <w:rPr>
          <w:color w:val="000000"/>
          <w:spacing w:val="-2"/>
        </w:rPr>
        <w:t xml:space="preserve"> à travers le Forum des partenaires au développement pour définir les priorités thématiques et programmatiques en lien avec les besoins du pays et les enjeux régionaux et internationaux ;</w:t>
      </w:r>
    </w:p>
    <w:p w14:paraId="4337F9F6" w14:textId="77777777" w:rsidR="00EA6DED" w:rsidRDefault="007504AE">
      <w:pPr>
        <w:numPr>
          <w:ilvl w:val="0"/>
          <w:numId w:val="13"/>
        </w:numPr>
        <w:tabs>
          <w:tab w:val="left" w:pos="360"/>
        </w:tabs>
        <w:ind w:left="360"/>
        <w:contextualSpacing/>
        <w:jc w:val="both"/>
      </w:pPr>
      <w:r>
        <w:t xml:space="preserve">La faible agilité des organes de gouvernance du cadre de coopération avec des groupes ayant des modes de fonctionnement </w:t>
      </w:r>
      <w:r>
        <w:rPr>
          <w:bCs/>
          <w:color w:val="000000"/>
          <w:spacing w:val="-2"/>
        </w:rPr>
        <w:t xml:space="preserve">imprévisibles et peu productifs par rapport au temps consommés, le profil des membres, les résultats induits et peu collaboratifs en déphasage avec les attentes du ‘’new way of working’’. En effet, </w:t>
      </w:r>
      <w:r>
        <w:t xml:space="preserve">la vision </w:t>
      </w:r>
      <w:r>
        <w:rPr>
          <w:i/>
          <w:iCs/>
        </w:rPr>
        <w:t>Delivery as One</w:t>
      </w:r>
      <w:r>
        <w:t xml:space="preserve"> doit être concrètement mise en œuvre pour renforcer les synergies, la complémentarité et l’appropriation du MAF comme outil de dialogue entre le Bureau du Coordinateur Résident et les agences ;</w:t>
      </w:r>
    </w:p>
    <w:p w14:paraId="4337F9F7" w14:textId="77777777" w:rsidR="00EA6DED" w:rsidRDefault="007504AE">
      <w:pPr>
        <w:numPr>
          <w:ilvl w:val="0"/>
          <w:numId w:val="13"/>
        </w:numPr>
        <w:tabs>
          <w:tab w:val="left" w:pos="360"/>
        </w:tabs>
        <w:ind w:left="354" w:hanging="357"/>
        <w:contextualSpacing/>
        <w:jc w:val="both"/>
        <w:rPr>
          <w:bCs/>
          <w:color w:val="000000"/>
          <w:spacing w:val="-2"/>
        </w:rPr>
      </w:pPr>
      <w:r>
        <w:rPr>
          <w:color w:val="000000"/>
          <w:spacing w:val="-2"/>
        </w:rPr>
        <w:t>La densité des sous/produits estimés à plus de 400 donne plus de confusion et l’impression d’une cacophonie thématique </w:t>
      </w:r>
      <w:r>
        <w:rPr>
          <w:bCs/>
          <w:color w:val="000000"/>
          <w:spacing w:val="-2"/>
        </w:rPr>
        <w:t>;</w:t>
      </w:r>
    </w:p>
    <w:p w14:paraId="4337F9F8" w14:textId="77777777" w:rsidR="00EA6DED" w:rsidRDefault="007504AE">
      <w:pPr>
        <w:numPr>
          <w:ilvl w:val="0"/>
          <w:numId w:val="13"/>
        </w:numPr>
        <w:tabs>
          <w:tab w:val="left" w:pos="360"/>
        </w:tabs>
        <w:ind w:left="354" w:hanging="357"/>
        <w:contextualSpacing/>
        <w:jc w:val="both"/>
        <w:rPr>
          <w:color w:val="000000"/>
          <w:spacing w:val="-2"/>
        </w:rPr>
      </w:pPr>
      <w:r>
        <w:rPr>
          <w:color w:val="000000"/>
          <w:spacing w:val="-2"/>
        </w:rPr>
        <w:t>La faiblesse des liens décisionnels clairs</w:t>
      </w:r>
      <w:r>
        <w:rPr>
          <w:bCs/>
          <w:color w:val="000000"/>
          <w:spacing w:val="-2"/>
        </w:rPr>
        <w:t xml:space="preserve"> entre les organes de gestion du CC qui ne facilite pas les interactions et la spontanéité dans les décisions ;</w:t>
      </w:r>
    </w:p>
    <w:p w14:paraId="4337F9F9" w14:textId="77777777" w:rsidR="00EA6DED" w:rsidRDefault="007504AE">
      <w:pPr>
        <w:numPr>
          <w:ilvl w:val="0"/>
          <w:numId w:val="13"/>
        </w:numPr>
        <w:tabs>
          <w:tab w:val="left" w:pos="360"/>
        </w:tabs>
        <w:ind w:left="354" w:hanging="357"/>
        <w:contextualSpacing/>
        <w:jc w:val="both"/>
        <w:rPr>
          <w:color w:val="000000"/>
          <w:spacing w:val="-2"/>
        </w:rPr>
      </w:pPr>
      <w:r>
        <w:rPr>
          <w:color w:val="000000"/>
          <w:spacing w:val="-2"/>
        </w:rPr>
        <w:t>L’inertie dans l’a</w:t>
      </w:r>
      <w:r>
        <w:rPr>
          <w:bCs/>
          <w:color w:val="000000"/>
          <w:spacing w:val="-2"/>
        </w:rPr>
        <w:t xml:space="preserve">nalyse continuelle du cadre des résultats et la contextualisation de la théorie du changement pendant la mise en œuvre, qui est un obstacle majeur à la flexibilité programmatique. </w:t>
      </w:r>
    </w:p>
    <w:p w14:paraId="4337F9FA" w14:textId="77777777" w:rsidR="00EA6DED" w:rsidRDefault="00EA6DED">
      <w:pPr>
        <w:jc w:val="both"/>
      </w:pPr>
    </w:p>
    <w:p w14:paraId="4337F9FB" w14:textId="77777777" w:rsidR="00EA6DED" w:rsidRDefault="007504AE">
      <w:pPr>
        <w:pStyle w:val="Titre2"/>
        <w:rPr>
          <w:color w:val="0000FF"/>
          <w:sz w:val="24"/>
          <w:szCs w:val="24"/>
        </w:rPr>
      </w:pPr>
      <w:bookmarkStart w:id="121" w:name="_Toc21777"/>
      <w:r>
        <w:rPr>
          <w:color w:val="0000FF"/>
          <w:sz w:val="24"/>
          <w:szCs w:val="24"/>
        </w:rPr>
        <w:t>5.3. Efficacité</w:t>
      </w:r>
      <w:bookmarkEnd w:id="121"/>
    </w:p>
    <w:p w14:paraId="4337F9FC" w14:textId="77777777" w:rsidR="00EA6DED" w:rsidRDefault="00EA6DED">
      <w:pPr>
        <w:rPr>
          <w:b/>
          <w:color w:val="000000"/>
          <w:sz w:val="22"/>
          <w:szCs w:val="22"/>
        </w:rPr>
      </w:pPr>
    </w:p>
    <w:tbl>
      <w:tblPr>
        <w:tblW w:w="10490"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CellMar>
          <w:left w:w="115" w:type="dxa"/>
          <w:right w:w="115" w:type="dxa"/>
        </w:tblCellMar>
        <w:tblLook w:val="04A0" w:firstRow="1" w:lastRow="0" w:firstColumn="1" w:lastColumn="0" w:noHBand="0" w:noVBand="1"/>
      </w:tblPr>
      <w:tblGrid>
        <w:gridCol w:w="10490"/>
      </w:tblGrid>
      <w:tr w:rsidR="00EA6DED" w14:paraId="4337FA03" w14:textId="77777777">
        <w:tc>
          <w:tcPr>
            <w:tcW w:w="10490" w:type="dxa"/>
            <w:shd w:val="clear" w:color="auto" w:fill="D9E2F3"/>
          </w:tcPr>
          <w:p w14:paraId="4337F9FD" w14:textId="77777777" w:rsidR="00EA6DED" w:rsidRDefault="007504AE">
            <w:pPr>
              <w:widowControl w:val="0"/>
              <w:autoSpaceDE w:val="0"/>
              <w:autoSpaceDN w:val="0"/>
              <w:spacing w:line="276" w:lineRule="auto"/>
              <w:jc w:val="both"/>
              <w:rPr>
                <w:rFonts w:ascii="Calibri" w:eastAsia="Arial" w:hAnsi="Calibri"/>
                <w:color w:val="000000"/>
                <w:sz w:val="22"/>
                <w:szCs w:val="22"/>
                <w:lang w:eastAsia="en-US"/>
              </w:rPr>
            </w:pPr>
            <w:r>
              <w:rPr>
                <w:rFonts w:eastAsia="Arial"/>
                <w:b/>
                <w:color w:val="000000"/>
                <w:sz w:val="22"/>
                <w:szCs w:val="22"/>
                <w:lang w:eastAsia="en-US"/>
              </w:rPr>
              <w:t>6.</w:t>
            </w:r>
            <w:r>
              <w:rPr>
                <w:rFonts w:eastAsia="Arial"/>
                <w:color w:val="000000"/>
                <w:sz w:val="22"/>
                <w:szCs w:val="22"/>
                <w:lang w:eastAsia="en-US"/>
              </w:rPr>
              <w:t xml:space="preserve"> Dans quelle mesure le CC a-t-il été efficace dans l'atteinte des réalisations définis dans le cadre des résultats tout en promouvant l’égalité de genres, les droits humains, la durabilité environnementale et le « ne laisser personne de côté » ?</w:t>
            </w:r>
          </w:p>
          <w:p w14:paraId="4337F9FE" w14:textId="77777777" w:rsidR="00EA6DED" w:rsidRDefault="007504AE">
            <w:pPr>
              <w:contextualSpacing/>
              <w:rPr>
                <w:rFonts w:eastAsia="Arial"/>
                <w:color w:val="000000"/>
                <w:sz w:val="22"/>
                <w:szCs w:val="22"/>
                <w:lang w:eastAsia="en-US"/>
              </w:rPr>
            </w:pPr>
            <w:r>
              <w:rPr>
                <w:rFonts w:eastAsia="Arial"/>
                <w:color w:val="000000" w:themeColor="text1"/>
              </w:rPr>
              <w:lastRenderedPageBreak/>
              <w:t>7</w:t>
            </w:r>
            <w:r>
              <w:rPr>
                <w:rFonts w:eastAsia="Arial"/>
                <w:color w:val="000000"/>
                <w:sz w:val="22"/>
                <w:szCs w:val="22"/>
                <w:lang w:eastAsia="en-US"/>
              </w:rPr>
              <w:t xml:space="preserve">. Dans quelle mesure le CC a-t-il contribué à des changements institutionnels, comportementaux et législatifs clés nécessaires pour catalyser des progrès vers l'impact souhaité du gouvernement ? Qu’en est -il de : </w:t>
            </w:r>
          </w:p>
          <w:p w14:paraId="4337F9FF" w14:textId="77777777" w:rsidR="00EA6DED" w:rsidRDefault="007504AE">
            <w:pPr>
              <w:pStyle w:val="Paragraphedeliste"/>
              <w:numPr>
                <w:ilvl w:val="0"/>
                <w:numId w:val="14"/>
              </w:numPr>
              <w:jc w:val="both"/>
              <w:rPr>
                <w:rFonts w:eastAsia="Arial"/>
                <w:color w:val="000000"/>
                <w:sz w:val="22"/>
                <w:szCs w:val="22"/>
                <w:lang w:eastAsia="en-US"/>
              </w:rPr>
            </w:pPr>
            <w:r>
              <w:rPr>
                <w:rFonts w:eastAsia="Arial"/>
                <w:color w:val="000000"/>
                <w:sz w:val="22"/>
                <w:szCs w:val="22"/>
                <w:lang w:eastAsia="en-US"/>
              </w:rPr>
              <w:t xml:space="preserve">La durabilité environnementale ? </w:t>
            </w:r>
          </w:p>
          <w:p w14:paraId="4337FA00" w14:textId="77777777" w:rsidR="00EA6DED" w:rsidRDefault="007504AE">
            <w:pPr>
              <w:pStyle w:val="Paragraphedeliste"/>
              <w:numPr>
                <w:ilvl w:val="0"/>
                <w:numId w:val="14"/>
              </w:numPr>
              <w:rPr>
                <w:rFonts w:eastAsia="Arial"/>
                <w:color w:val="000000"/>
                <w:sz w:val="22"/>
                <w:szCs w:val="22"/>
                <w:lang w:eastAsia="en-US"/>
              </w:rPr>
            </w:pPr>
            <w:r>
              <w:rPr>
                <w:rFonts w:eastAsia="Arial"/>
                <w:color w:val="000000"/>
                <w:sz w:val="22"/>
                <w:szCs w:val="22"/>
                <w:lang w:eastAsia="en-US"/>
              </w:rPr>
              <w:t xml:space="preserve">Du triple lien développement-paix-humanitaire, </w:t>
            </w:r>
          </w:p>
          <w:p w14:paraId="4337FA01" w14:textId="77777777" w:rsidR="00EA6DED" w:rsidRDefault="007504AE">
            <w:pPr>
              <w:pStyle w:val="Paragraphedeliste"/>
              <w:numPr>
                <w:ilvl w:val="0"/>
                <w:numId w:val="14"/>
              </w:numPr>
              <w:rPr>
                <w:rFonts w:eastAsia="Arial"/>
                <w:color w:val="000000"/>
                <w:sz w:val="22"/>
                <w:szCs w:val="22"/>
                <w:lang w:eastAsia="en-US"/>
              </w:rPr>
            </w:pPr>
            <w:r>
              <w:rPr>
                <w:rFonts w:eastAsia="Arial"/>
                <w:color w:val="000000"/>
                <w:sz w:val="22"/>
                <w:szCs w:val="22"/>
                <w:lang w:eastAsia="en-US"/>
              </w:rPr>
              <w:t xml:space="preserve">De l’approche de résilience, </w:t>
            </w:r>
          </w:p>
          <w:p w14:paraId="4337FA02" w14:textId="77777777" w:rsidR="00EA6DED" w:rsidRDefault="007504AE">
            <w:pPr>
              <w:pStyle w:val="Paragraphedeliste"/>
              <w:numPr>
                <w:ilvl w:val="0"/>
                <w:numId w:val="14"/>
              </w:numPr>
              <w:rPr>
                <w:rFonts w:ascii="Calibri" w:eastAsia="AppleMyungjo" w:hAnsi="Calibri"/>
                <w:color w:val="000000"/>
                <w:sz w:val="21"/>
                <w:szCs w:val="21"/>
                <w:lang w:eastAsia="en-US"/>
              </w:rPr>
            </w:pPr>
            <w:r>
              <w:rPr>
                <w:rFonts w:eastAsia="Arial"/>
                <w:color w:val="000000"/>
                <w:sz w:val="22"/>
                <w:szCs w:val="22"/>
                <w:lang w:eastAsia="en-US"/>
              </w:rPr>
              <w:t>Des problèmes régionaux et transfrontaliers ? La promotion des droits de l’homme, y compris la prise en compte des intérêts des personnes handicapées et autres groupes vulnérables?</w:t>
            </w:r>
          </w:p>
        </w:tc>
      </w:tr>
      <w:tr w:rsidR="00EA6DED" w14:paraId="4337FA0F" w14:textId="77777777">
        <w:tc>
          <w:tcPr>
            <w:tcW w:w="10490" w:type="dxa"/>
          </w:tcPr>
          <w:p w14:paraId="4337FA04" w14:textId="77777777" w:rsidR="00EA6DED" w:rsidRDefault="007504AE">
            <w:pPr>
              <w:pStyle w:val="Default"/>
              <w:jc w:val="both"/>
              <w:rPr>
                <w:rFonts w:ascii="Times New Roman" w:hAnsi="Times New Roman" w:cs="Times New Roman"/>
                <w:bCs/>
              </w:rPr>
            </w:pPr>
            <w:r>
              <w:rPr>
                <w:rFonts w:ascii="Times New Roman" w:hAnsi="Times New Roman" w:cs="Times New Roman"/>
                <w:bCs/>
                <w:color w:val="00B0F0"/>
              </w:rPr>
              <w:lastRenderedPageBreak/>
              <w:t xml:space="preserve">Résumé des constats :  </w:t>
            </w:r>
            <w:r>
              <w:rPr>
                <w:rFonts w:ascii="Times New Roman" w:hAnsi="Times New Roman" w:cs="Times New Roman"/>
                <w:bCs/>
              </w:rPr>
              <w:t>Le cadre des résultats du CC 2022-2026 comporte 23 indicateurs de Réalisation et 64 indicateurs dits de Produits qui sont en réalité des indicateurs d’Impact ou d’Effet. Dans son état actuel, les seuls indicateurs qui pourraient être considérés comme des indicateurs de produit, sont en réalité des indicateurs de couverture au niveau national. Malheureusement, ces derniers ne ressortent pas la contribution spécifique attendue des NUs (par exemple les indicateurs 1.2.1 ; 2.1.5.2 ; 2.1.6.2 ; 2.1.6.3 ; 2.1.6.4 ; 2.1.6.6 ; 2.1.7.1 ; 2.2.1.2 ; 3.1.2 ; 3.1.3). De ce fait, les cibles de ces indicateurs ne marquent pas les attentes du SNU mais plutôt des attentes nationales pour lesquelles tous les partenaires de développement doivent contribuer à atteindre. L’existence des Produits et l’introduction des Sous-Produits (</w:t>
            </w:r>
            <w:r>
              <w:rPr>
                <w:rFonts w:ascii="Times New Roman" w:hAnsi="Times New Roman" w:cs="Times New Roman"/>
                <w:bCs/>
                <w:color w:val="000000" w:themeColor="text1"/>
              </w:rPr>
              <w:t>#</w:t>
            </w:r>
            <w:r>
              <w:rPr>
                <w:rFonts w:ascii="Times New Roman" w:hAnsi="Times New Roman" w:cs="Times New Roman"/>
                <w:bCs/>
              </w:rPr>
              <w:t xml:space="preserve">433) sans indicateurs dans les plans de travail conjoints ont créé une entorse dans la mesure de la contribution des NUs aux résultats de la SND30. </w:t>
            </w:r>
          </w:p>
          <w:p w14:paraId="4337FA05" w14:textId="77777777" w:rsidR="00EA6DED" w:rsidRDefault="00EA6DED">
            <w:pPr>
              <w:pStyle w:val="Default"/>
              <w:jc w:val="both"/>
              <w:rPr>
                <w:rFonts w:ascii="Times New Roman" w:hAnsi="Times New Roman" w:cs="Times New Roman"/>
                <w:bCs/>
              </w:rPr>
            </w:pPr>
          </w:p>
          <w:p w14:paraId="4337FA06" w14:textId="77777777" w:rsidR="00EA6DED" w:rsidRDefault="007504AE">
            <w:pPr>
              <w:pStyle w:val="Default"/>
              <w:jc w:val="both"/>
              <w:rPr>
                <w:rFonts w:ascii="Times New Roman" w:hAnsi="Times New Roman" w:cs="Times New Roman"/>
              </w:rPr>
            </w:pPr>
            <w:r>
              <w:rPr>
                <w:rFonts w:ascii="Times New Roman" w:hAnsi="Times New Roman" w:cs="Times New Roman"/>
                <w:bCs/>
              </w:rPr>
              <w:t>De ce qui précède, la</w:t>
            </w:r>
            <w:r>
              <w:rPr>
                <w:rFonts w:ascii="Times New Roman" w:hAnsi="Times New Roman" w:cs="Times New Roman"/>
              </w:rPr>
              <w:t xml:space="preserve"> mesure des performances des Produits du CC s’est heurtée à la carence des données pour certains indicateurs, la densité des indicateurs à cause de l’introduction de sous-produits dans les plans de travail conjoints, le retard dans la réalisation de certaines études nationales (EDS ou ECAM), l’absence de promptitude et de complétude de UNinfo et la communication résiduelle entre les agences dans les zones de convergence ou les thématiques convergentes. Toutefois, il ressort de la consultation des rapports de résultats annuels de CC, des rapports d’activités des agences et des entretiens semi-directifs avec les partenaires de mise en œuvre que : </w:t>
            </w:r>
          </w:p>
          <w:p w14:paraId="4337FA07" w14:textId="77777777" w:rsidR="00EA6DED" w:rsidRDefault="00EA6DED">
            <w:pPr>
              <w:pStyle w:val="Default"/>
              <w:rPr>
                <w:rFonts w:ascii="Times New Roman" w:hAnsi="Times New Roman" w:cs="Times New Roman"/>
              </w:rPr>
            </w:pPr>
          </w:p>
          <w:p w14:paraId="4337FA08" w14:textId="77777777" w:rsidR="00EA6DED" w:rsidRDefault="007504AE">
            <w:pPr>
              <w:pStyle w:val="Default"/>
              <w:numPr>
                <w:ilvl w:val="0"/>
                <w:numId w:val="15"/>
              </w:numPr>
              <w:contextualSpacing/>
              <w:jc w:val="both"/>
              <w:rPr>
                <w:rFonts w:ascii="Times New Roman" w:hAnsi="Times New Roman" w:cs="Times New Roman"/>
              </w:rPr>
            </w:pPr>
            <w:r>
              <w:rPr>
                <w:rFonts w:ascii="Times New Roman" w:hAnsi="Times New Roman" w:cs="Times New Roman"/>
              </w:rPr>
              <w:t xml:space="preserve">Les Produits de la Réalisation 1 mis en œuvre par </w:t>
            </w:r>
            <w:r>
              <w:rPr>
                <w:rFonts w:ascii="Times New Roman" w:eastAsia="Times New Roman" w:hAnsi="Times New Roman" w:cs="Times New Roman"/>
                <w:color w:val="auto"/>
              </w:rPr>
              <w:t>O</w:t>
            </w:r>
            <w:r>
              <w:rPr>
                <w:rFonts w:ascii="Times New Roman" w:hAnsi="Times New Roman" w:cs="Times New Roman"/>
              </w:rPr>
              <w:t xml:space="preserve">IT, FAO, HCDH, HCR, IFAD, OCHA, OIM, ONUFemmes, ONU-Habitat, ONUSIDA, PAM, PNUD, UNESCO, UNFPA, UNICEF, UNOPS et ONUDI ont permis de développer les chaines de valeurs pour renforcer les capacités de 300 TPE, PME, PMI, startup, GIC, sociétés coopératives et organisations rurales à base communautaire, développer un système d'information pour un accès accru aux opportunités économiques sur les marchés, mobiliser des financements inclusifs pour les jeunes et les femmes, soutenir les communautés économiques régionales et les cadres institutionnel, législatif et règlementaire nationaux pour une meilleure intégration des marchés , la promotion du libre-échange continental (146 institutions et PME renforcées pour l’accès au marché d’exportation (ZLECAF, CEMAC, etc)) et la contribution à la mise en œuvre  du plan directeur d’industrialisation du Cameroun. </w:t>
            </w:r>
          </w:p>
          <w:p w14:paraId="4337FA09" w14:textId="77777777" w:rsidR="00EA6DED" w:rsidRDefault="00EA6DED">
            <w:pPr>
              <w:contextualSpacing/>
              <w:rPr>
                <w:color w:val="000000"/>
              </w:rPr>
            </w:pPr>
          </w:p>
          <w:p w14:paraId="4337FA0A" w14:textId="77777777" w:rsidR="00EA6DED" w:rsidRDefault="007504AE">
            <w:pPr>
              <w:pStyle w:val="Paragraphedeliste"/>
              <w:numPr>
                <w:ilvl w:val="0"/>
                <w:numId w:val="15"/>
              </w:numPr>
              <w:ind w:left="351" w:hanging="357"/>
              <w:jc w:val="both"/>
              <w:rPr>
                <w:color w:val="000000"/>
              </w:rPr>
            </w:pPr>
            <w:r>
              <w:rPr>
                <w:color w:val="000000"/>
              </w:rPr>
              <w:t>Les Produits des Réalisations 2.1 et 2.2 sur le capital humain, mis en œuvre par BIT, FAO, HCDH, HCR, IFAD, OCHA, OIM, ONU</w:t>
            </w:r>
            <w:r>
              <w:t xml:space="preserve"> </w:t>
            </w:r>
            <w:r>
              <w:rPr>
                <w:color w:val="000000"/>
              </w:rPr>
              <w:t xml:space="preserve">Femmes, ONU-Habitat, ONUSIDA, PAM, PNUD, UNESCO UNFPA, UNICEF et ONUDI ont contribué  (i) à l’accès des nouveau-nés, enfants, adolescents et femmes aux services de prévention et de prise en charge des maladies et de la malnutrition (couverture vaccinale Penta 3 est passée de 79,2 % en 2022 à 82,5 % en 2023, réduction de 30 % des cas de paludisme suite à l’introduction du vaccin RTS) ; (ii) au renforcement des capacités de 100 nouveaux établissements de santé dans 50 réseaux de Soins Obstétricaux Néonatals d’Urgence (SONU) pour améliorer la couverture des soins maternels et néonatals, formations de 343 agents spécialisés dans la surveillance des maladies animales ; (iii) à la récupération de 92% des enfants âgés de moins de 5 ans souffrant de malnutrition aiguë modérée ; (iv) au renforcement des capacités du système national de surveillance et de coordination de la sécurité alimentaire et nutritionnelle (formation de 50 acteurs clés à la gestion et à l’analyse des données nutritionnelles) et (v) au  renforcement des capacités de protection sociale </w:t>
            </w:r>
            <w:r>
              <w:t xml:space="preserve">(seulement 10 % de la population couverte par au moins une prestation de protection sociale, selon l'OIT, </w:t>
            </w:r>
            <w:r>
              <w:rPr>
                <w:color w:val="000000"/>
              </w:rPr>
              <w:t>plus de 200 000 personnes en situation d’insécurité alimentaire soutenues seulement en 2023, un accès CC amélioré à l’éducation pour 400 000 enfants vulnérables …).</w:t>
            </w:r>
          </w:p>
          <w:p w14:paraId="4337FA0B" w14:textId="77777777" w:rsidR="00EA6DED" w:rsidRDefault="007504AE">
            <w:pPr>
              <w:pStyle w:val="Paragraphedeliste"/>
              <w:ind w:left="357"/>
              <w:jc w:val="both"/>
              <w:rPr>
                <w:color w:val="000000"/>
              </w:rPr>
            </w:pPr>
            <w:r>
              <w:rPr>
                <w:color w:val="000000"/>
              </w:rPr>
              <w:lastRenderedPageBreak/>
              <w:t xml:space="preserve"> </w:t>
            </w:r>
          </w:p>
          <w:p w14:paraId="4337FA0C" w14:textId="77777777" w:rsidR="00EA6DED" w:rsidRDefault="007504AE">
            <w:pPr>
              <w:pStyle w:val="NormalWeb"/>
              <w:numPr>
                <w:ilvl w:val="0"/>
                <w:numId w:val="15"/>
              </w:numPr>
              <w:spacing w:before="0" w:beforeAutospacing="0" w:after="0" w:afterAutospacing="0"/>
              <w:ind w:left="357"/>
              <w:contextualSpacing/>
              <w:jc w:val="both"/>
            </w:pPr>
            <w:r>
              <w:rPr>
                <w:color w:val="000000"/>
              </w:rPr>
              <w:t>Les Produits de la Réalisation 3 portés par BIT, HCDH, HCR, OCHA, OIM ONU</w:t>
            </w:r>
            <w:r>
              <w:t xml:space="preserve"> </w:t>
            </w:r>
            <w:r>
              <w:rPr>
                <w:color w:val="000000"/>
              </w:rPr>
              <w:t xml:space="preserve">Femmes,  PNUD,  UNESCO, UNICEF et VNU ont permis de (i) renforcer la participation citoyenne et l’appui institutionnel à travers l’amélioration des capacités des acteurs de la société civile pour une participation inclusive aux processus décisionnels (3 500 000 personnes sensibilisées aux valeurs citoyennes et 42 organisations féminines soutenues pour améliorer leur impact au sein des communautés vulnérables ; (ii) renforcer les capacités de coordination, d’anticipation et de réponse aux chocs des institutions et des populations (conception et diffusion de plusieurs programmes d’information et des stratégies de prévention et gestion des catastrophes) ; (iii) outiller les parties prenantes de la décentralisation pour une utilisation efficiente des ressources et des compétences transférées (adoption de la loi sur l’organisation du système d’état civil au Cameroun avec l’enregistrement électronique des actes d’état civil, facilitation à plus 20.000 réfugiés l’obtention des cartes biométriques) et (iv)  renforcer le système national d’information statistique (appui à l’INS pour l’élaboration du profilage socioéconomique des 360 communes et 14 communautés urbaines). </w:t>
            </w:r>
          </w:p>
          <w:p w14:paraId="4337FA0D" w14:textId="77777777" w:rsidR="00EA6DED" w:rsidRDefault="00EA6DED">
            <w:pPr>
              <w:pStyle w:val="NormalWeb"/>
              <w:spacing w:before="0" w:beforeAutospacing="0" w:after="0" w:afterAutospacing="0"/>
              <w:ind w:left="357"/>
              <w:contextualSpacing/>
              <w:jc w:val="both"/>
              <w:rPr>
                <w:color w:val="000000"/>
              </w:rPr>
            </w:pPr>
          </w:p>
          <w:p w14:paraId="4337FA0E" w14:textId="77777777" w:rsidR="00EA6DED" w:rsidRDefault="007504AE">
            <w:pPr>
              <w:pStyle w:val="NormalWeb"/>
              <w:numPr>
                <w:ilvl w:val="0"/>
                <w:numId w:val="15"/>
              </w:numPr>
              <w:spacing w:before="0" w:beforeAutospacing="0" w:after="0" w:afterAutospacing="0"/>
              <w:contextualSpacing/>
              <w:jc w:val="both"/>
            </w:pPr>
            <w:r>
              <w:t xml:space="preserve">Les Produits de la Réalisation 4 portés par FAO, HCR, OCHA, ONU-Femmes, ONU-Habitat, ONUDI, PAM, PNUD, PNUE, UNESCO et </w:t>
            </w:r>
            <w:r>
              <w:rPr>
                <w:color w:val="000000"/>
              </w:rPr>
              <w:t>UNICEF par ont permis de renforcer les capacités institutionnels et communautaires pour l’amélioration des cadres institutionnel et réglementaire, la conception et la mise en œuvre des actions intégrées, l’état de l’environnement et de la biodiversité, y compris l’analyse, la gestion, l’utilisation et la diffusion des données relatives à l’environnement, pour influencer les politiques et stratégies de développement. Parmi les initiatives notables, on retrouve la révision de la CDN, l'élaboration d'un plan national climat en adéquation</w:t>
            </w:r>
            <w:r>
              <w:t xml:space="preserve"> avec le Cadre de Sendai, et la promulgation de la Loi sur le régime forestier et de la faune. Des efforts soutenus ont été engagés pour renforcer les capacités de financement climatique. </w:t>
            </w:r>
          </w:p>
        </w:tc>
      </w:tr>
    </w:tbl>
    <w:p w14:paraId="4337FA10" w14:textId="77777777" w:rsidR="00EA6DED" w:rsidRDefault="00EA6DED">
      <w:pPr>
        <w:rPr>
          <w:b/>
          <w:color w:val="000000"/>
        </w:rPr>
      </w:pPr>
    </w:p>
    <w:p w14:paraId="4337FA11" w14:textId="77777777" w:rsidR="00EA6DED" w:rsidRDefault="00EA6DED">
      <w:pPr>
        <w:rPr>
          <w:b/>
          <w:color w:val="000000"/>
          <w:sz w:val="22"/>
          <w:szCs w:val="22"/>
        </w:rPr>
      </w:pPr>
    </w:p>
    <w:p w14:paraId="4337FA12" w14:textId="77777777" w:rsidR="00EA6DED" w:rsidRDefault="007504AE">
      <w:pPr>
        <w:shd w:val="clear" w:color="auto" w:fill="F7CAAC"/>
        <w:spacing w:line="276" w:lineRule="auto"/>
        <w:jc w:val="both"/>
        <w:rPr>
          <w:rFonts w:eastAsia="Arial"/>
          <w:color w:val="000000"/>
          <w:sz w:val="22"/>
          <w:szCs w:val="22"/>
        </w:rPr>
      </w:pPr>
      <w:r>
        <w:rPr>
          <w:rFonts w:eastAsia="Arial"/>
          <w:b/>
          <w:color w:val="0070C0"/>
          <w:sz w:val="22"/>
          <w:szCs w:val="22"/>
        </w:rPr>
        <w:t>Question d’évaluation 6.</w:t>
      </w:r>
      <w:r>
        <w:rPr>
          <w:rFonts w:eastAsia="Arial"/>
          <w:color w:val="0070C0"/>
          <w:sz w:val="22"/>
          <w:szCs w:val="22"/>
        </w:rPr>
        <w:t xml:space="preserve"> </w:t>
      </w:r>
      <w:r>
        <w:rPr>
          <w:rFonts w:eastAsia="Arial"/>
          <w:color w:val="000000"/>
          <w:sz w:val="22"/>
          <w:szCs w:val="22"/>
        </w:rPr>
        <w:t>Dans quelle mesure le CC a-t-il été efficace dans l'atteinte des réalisations définis dans le cadre des résultats tout en promouvant l’égalité de genres, les droits humains, la durabilité environnementale et le « ne laisser personne de côté » ?</w:t>
      </w:r>
    </w:p>
    <w:p w14:paraId="4337FA13" w14:textId="77777777" w:rsidR="00EA6DED" w:rsidRDefault="00EA6DED">
      <w:pPr>
        <w:rPr>
          <w:b/>
          <w:color w:val="000000"/>
          <w:sz w:val="22"/>
          <w:szCs w:val="22"/>
        </w:rPr>
      </w:pPr>
    </w:p>
    <w:p w14:paraId="4337FA14" w14:textId="77777777" w:rsidR="00EA6DED" w:rsidRDefault="007504AE">
      <w:pPr>
        <w:pStyle w:val="Titre3"/>
        <w:rPr>
          <w:rFonts w:ascii="Times New Roman" w:eastAsia="Arial" w:hAnsi="Times New Roman"/>
          <w:i/>
          <w:iCs/>
          <w:color w:val="000000"/>
          <w:sz w:val="22"/>
          <w:szCs w:val="22"/>
        </w:rPr>
      </w:pPr>
      <w:bookmarkStart w:id="122" w:name="_Toc28341"/>
      <w:r>
        <w:rPr>
          <w:rFonts w:ascii="Times New Roman" w:eastAsia="Arial" w:hAnsi="Times New Roman"/>
          <w:i/>
          <w:iCs/>
          <w:color w:val="000000"/>
          <w:sz w:val="22"/>
          <w:szCs w:val="22"/>
        </w:rPr>
        <w:t>5.3.1 Niveau de réalisation des résultats et des produits du CC 2022-2026</w:t>
      </w:r>
      <w:bookmarkEnd w:id="122"/>
    </w:p>
    <w:p w14:paraId="4337FA15" w14:textId="77777777" w:rsidR="00EA6DED" w:rsidRDefault="00EA6DED"/>
    <w:p w14:paraId="4337FA16" w14:textId="77777777" w:rsidR="00EA6DED" w:rsidRDefault="007504AE">
      <w:pPr>
        <w:shd w:val="clear" w:color="auto" w:fill="A8D08D"/>
        <w:contextualSpacing/>
        <w:jc w:val="both"/>
        <w:rPr>
          <w:b/>
          <w:bCs/>
          <w:szCs w:val="22"/>
        </w:rPr>
      </w:pPr>
      <w:r>
        <w:rPr>
          <w:b/>
          <w:bCs/>
          <w:szCs w:val="22"/>
        </w:rPr>
        <w:t>Priorité stratégique 1 : Opportunités accrues dans une économie verte créatrice d'emplois décents</w:t>
      </w:r>
    </w:p>
    <w:p w14:paraId="4337FA17" w14:textId="77777777" w:rsidR="00EA6DED" w:rsidRDefault="00EA6DED">
      <w:pPr>
        <w:pStyle w:val="NormalWeb"/>
        <w:spacing w:before="0" w:beforeAutospacing="0" w:after="0" w:afterAutospacing="0"/>
        <w:contextualSpacing/>
        <w:jc w:val="both"/>
        <w:rPr>
          <w:rFonts w:eastAsia="Verdana"/>
          <w:b/>
          <w:color w:val="000000"/>
        </w:rPr>
      </w:pPr>
    </w:p>
    <w:p w14:paraId="4337FA18" w14:textId="77777777" w:rsidR="00EA6DED" w:rsidRDefault="007504AE">
      <w:pPr>
        <w:pStyle w:val="NormalWeb"/>
        <w:shd w:val="clear" w:color="auto" w:fill="FFF2CC"/>
        <w:spacing w:before="0" w:beforeAutospacing="0" w:after="0" w:afterAutospacing="0"/>
        <w:contextualSpacing/>
        <w:jc w:val="both"/>
        <w:rPr>
          <w:b/>
        </w:rPr>
      </w:pPr>
      <w:r>
        <w:rPr>
          <w:rFonts w:eastAsia="Verdana"/>
          <w:b/>
          <w:color w:val="000000"/>
        </w:rPr>
        <w:t xml:space="preserve">Réalisation 1 (Effet 1) : </w:t>
      </w:r>
      <w:r>
        <w:rPr>
          <w:b/>
          <w:bCs/>
        </w:rPr>
        <w:t xml:space="preserve">D’ici à 2026, davantage de personnes, plus particulièrement les jeunes, les femmes et les personnes socialement et économiquement vulnérables, y compris les réfugiés et les PDI, bénéficient de façon équitable d’opportunités accrues, dans une économie verte, diversifiée, transformatrice, résiliente et inclusive, créatrice d’emplois décents dans les secteurs productifs </w:t>
      </w:r>
      <w:r>
        <w:rPr>
          <w:b/>
          <w:color w:val="000000"/>
        </w:rPr>
        <w:t>(ODD 1, 5, 8, 9, 10, 12, 17 par BIT, CEA, FAO, FIDA, HCDH, (HCR*), OIM, ONU Femmes,  ONUDI, ONU-Habitat, ONUSIDA, PAM, PNUD, UIT, UNESCO, UNFPA, UNICEF, UNOPS, VNU)</w:t>
      </w:r>
    </w:p>
    <w:p w14:paraId="4337FA19" w14:textId="77777777" w:rsidR="00EA6DED" w:rsidRDefault="00EA6DED">
      <w:pPr>
        <w:pStyle w:val="Lgende"/>
        <w:rPr>
          <w:sz w:val="20"/>
          <w:szCs w:val="20"/>
        </w:rPr>
      </w:pPr>
    </w:p>
    <w:p w14:paraId="4337FA1A" w14:textId="77777777" w:rsidR="00EA6DED" w:rsidRDefault="007504AE">
      <w:pPr>
        <w:pStyle w:val="Lgende"/>
        <w:rPr>
          <w:sz w:val="20"/>
          <w:szCs w:val="20"/>
        </w:rPr>
      </w:pPr>
      <w:r>
        <w:rPr>
          <w:sz w:val="20"/>
          <w:szCs w:val="20"/>
        </w:rPr>
        <w:t xml:space="preserve">Tableau </w:t>
      </w:r>
      <w:r>
        <w:rPr>
          <w:sz w:val="20"/>
          <w:szCs w:val="20"/>
        </w:rPr>
        <w:fldChar w:fldCharType="begin"/>
      </w:r>
      <w:r>
        <w:rPr>
          <w:sz w:val="20"/>
          <w:szCs w:val="20"/>
        </w:rPr>
        <w:instrText xml:space="preserve"> SEQ Tableau \* ARABIC </w:instrText>
      </w:r>
      <w:r>
        <w:rPr>
          <w:sz w:val="20"/>
          <w:szCs w:val="20"/>
        </w:rPr>
        <w:fldChar w:fldCharType="separate"/>
      </w:r>
      <w:r>
        <w:rPr>
          <w:sz w:val="20"/>
          <w:szCs w:val="20"/>
        </w:rPr>
        <w:t>3</w:t>
      </w:r>
      <w:r>
        <w:rPr>
          <w:sz w:val="20"/>
          <w:szCs w:val="20"/>
        </w:rPr>
        <w:fldChar w:fldCharType="end"/>
      </w:r>
      <w:bookmarkStart w:id="123" w:name="_Toc13027"/>
      <w:r>
        <w:rPr>
          <w:sz w:val="20"/>
          <w:szCs w:val="20"/>
        </w:rPr>
        <w:t xml:space="preserve">: État des indicateurs de Réalisation 1 </w:t>
      </w:r>
      <w:r>
        <w:rPr>
          <w:rStyle w:val="Appelnotedebasdep"/>
          <w:rFonts w:eastAsia="SimSun"/>
        </w:rPr>
        <w:footnoteReference w:id="57"/>
      </w:r>
      <w:r>
        <w:rPr>
          <w:sz w:val="20"/>
          <w:szCs w:val="20"/>
        </w:rPr>
        <w:t xml:space="preserve"> </w:t>
      </w:r>
      <w:bookmarkEnd w:id="123"/>
    </w:p>
    <w:p w14:paraId="4337FA1B" w14:textId="77777777" w:rsidR="00EA6DED" w:rsidRDefault="00EA6DED"/>
    <w:tbl>
      <w:tblPr>
        <w:tblW w:w="9923" w:type="dxa"/>
        <w:jc w:val="center"/>
        <w:tblLayout w:type="fixed"/>
        <w:tblLook w:val="04A0" w:firstRow="1" w:lastRow="0" w:firstColumn="1" w:lastColumn="0" w:noHBand="0" w:noVBand="1"/>
      </w:tblPr>
      <w:tblGrid>
        <w:gridCol w:w="2405"/>
        <w:gridCol w:w="1134"/>
        <w:gridCol w:w="992"/>
        <w:gridCol w:w="1134"/>
        <w:gridCol w:w="2552"/>
        <w:gridCol w:w="1706"/>
      </w:tblGrid>
      <w:tr w:rsidR="00EA6DED" w14:paraId="4337FA23" w14:textId="77777777">
        <w:trPr>
          <w:trHeight w:val="450"/>
          <w:tblHeader/>
          <w:jc w:val="center"/>
        </w:trPr>
        <w:tc>
          <w:tcPr>
            <w:tcW w:w="2405" w:type="dxa"/>
            <w:vMerge w:val="restart"/>
            <w:tcBorders>
              <w:top w:val="single" w:sz="4" w:space="0" w:color="auto"/>
              <w:left w:val="single" w:sz="4" w:space="0" w:color="auto"/>
              <w:bottom w:val="single" w:sz="4" w:space="0" w:color="000000"/>
              <w:right w:val="single" w:sz="4" w:space="0" w:color="auto"/>
            </w:tcBorders>
            <w:shd w:val="clear" w:color="000000" w:fill="D9E1F2"/>
            <w:vAlign w:val="center"/>
          </w:tcPr>
          <w:p w14:paraId="4337FA1C" w14:textId="77777777" w:rsidR="00EA6DED" w:rsidRDefault="007504AE">
            <w:pPr>
              <w:jc w:val="center"/>
              <w:rPr>
                <w:b/>
                <w:bCs/>
                <w:color w:val="231F20"/>
                <w:sz w:val="18"/>
                <w:szCs w:val="18"/>
              </w:rPr>
            </w:pPr>
            <w:r>
              <w:rPr>
                <w:b/>
                <w:bCs/>
                <w:color w:val="231F20"/>
                <w:sz w:val="18"/>
                <w:szCs w:val="18"/>
              </w:rPr>
              <w:t>INDICATEURS</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D9E1F2"/>
            <w:vAlign w:val="center"/>
          </w:tcPr>
          <w:p w14:paraId="4337FA1D" w14:textId="77777777" w:rsidR="00EA6DED" w:rsidRDefault="007504AE">
            <w:pPr>
              <w:jc w:val="center"/>
              <w:rPr>
                <w:b/>
                <w:bCs/>
                <w:color w:val="000000"/>
                <w:sz w:val="18"/>
                <w:szCs w:val="18"/>
              </w:rPr>
            </w:pPr>
            <w:r>
              <w:rPr>
                <w:b/>
                <w:bCs/>
                <w:color w:val="000000"/>
                <w:sz w:val="18"/>
                <w:szCs w:val="18"/>
              </w:rPr>
              <w:t xml:space="preserve">Baseline </w:t>
            </w:r>
          </w:p>
        </w:tc>
        <w:tc>
          <w:tcPr>
            <w:tcW w:w="992" w:type="dxa"/>
            <w:vMerge w:val="restart"/>
            <w:tcBorders>
              <w:top w:val="single" w:sz="4" w:space="0" w:color="auto"/>
              <w:left w:val="single" w:sz="4" w:space="0" w:color="auto"/>
              <w:bottom w:val="single" w:sz="4" w:space="0" w:color="000000"/>
              <w:right w:val="single" w:sz="4" w:space="0" w:color="auto"/>
            </w:tcBorders>
            <w:shd w:val="clear" w:color="000000" w:fill="D9E1F2"/>
            <w:vAlign w:val="center"/>
          </w:tcPr>
          <w:p w14:paraId="4337FA1E" w14:textId="77777777" w:rsidR="00EA6DED" w:rsidRDefault="007504AE">
            <w:pPr>
              <w:jc w:val="center"/>
              <w:rPr>
                <w:b/>
                <w:bCs/>
                <w:color w:val="000000"/>
                <w:sz w:val="18"/>
                <w:szCs w:val="18"/>
              </w:rPr>
            </w:pPr>
            <w:r>
              <w:rPr>
                <w:b/>
                <w:bCs/>
                <w:color w:val="000000"/>
                <w:sz w:val="18"/>
                <w:szCs w:val="18"/>
              </w:rPr>
              <w:t>Cible 2026</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D9E1F2"/>
            <w:vAlign w:val="center"/>
          </w:tcPr>
          <w:p w14:paraId="4337FA1F" w14:textId="77777777" w:rsidR="00EA6DED" w:rsidRDefault="007504AE">
            <w:pPr>
              <w:jc w:val="center"/>
              <w:rPr>
                <w:b/>
                <w:bCs/>
                <w:color w:val="000000"/>
                <w:sz w:val="18"/>
                <w:szCs w:val="18"/>
              </w:rPr>
            </w:pPr>
            <w:r>
              <w:rPr>
                <w:b/>
                <w:bCs/>
                <w:color w:val="000000"/>
                <w:sz w:val="18"/>
                <w:szCs w:val="18"/>
              </w:rPr>
              <w:t>Réalisation</w:t>
            </w:r>
          </w:p>
          <w:p w14:paraId="4337FA20" w14:textId="77777777" w:rsidR="00EA6DED" w:rsidRDefault="007504AE">
            <w:pPr>
              <w:jc w:val="center"/>
              <w:rPr>
                <w:b/>
                <w:bCs/>
                <w:color w:val="000000"/>
                <w:sz w:val="18"/>
                <w:szCs w:val="18"/>
              </w:rPr>
            </w:pPr>
            <w:r>
              <w:rPr>
                <w:b/>
                <w:bCs/>
                <w:color w:val="000000"/>
                <w:sz w:val="18"/>
                <w:szCs w:val="18"/>
              </w:rPr>
              <w:t xml:space="preserve">2024 </w:t>
            </w:r>
          </w:p>
        </w:tc>
        <w:tc>
          <w:tcPr>
            <w:tcW w:w="2552" w:type="dxa"/>
            <w:vMerge w:val="restart"/>
            <w:tcBorders>
              <w:top w:val="single" w:sz="4" w:space="0" w:color="auto"/>
              <w:left w:val="single" w:sz="4" w:space="0" w:color="auto"/>
              <w:bottom w:val="single" w:sz="4" w:space="0" w:color="000000"/>
              <w:right w:val="single" w:sz="4" w:space="0" w:color="auto"/>
            </w:tcBorders>
            <w:shd w:val="clear" w:color="000000" w:fill="D9E1F2"/>
            <w:vAlign w:val="center"/>
          </w:tcPr>
          <w:p w14:paraId="4337FA21" w14:textId="77777777" w:rsidR="00EA6DED" w:rsidRDefault="007504AE">
            <w:pPr>
              <w:jc w:val="center"/>
              <w:rPr>
                <w:b/>
                <w:bCs/>
                <w:color w:val="000000"/>
                <w:sz w:val="18"/>
                <w:szCs w:val="18"/>
              </w:rPr>
            </w:pPr>
            <w:r>
              <w:rPr>
                <w:b/>
                <w:bCs/>
                <w:color w:val="000000"/>
                <w:sz w:val="18"/>
                <w:szCs w:val="18"/>
              </w:rPr>
              <w:t>Commentaires</w:t>
            </w:r>
          </w:p>
        </w:tc>
        <w:tc>
          <w:tcPr>
            <w:tcW w:w="1706" w:type="dxa"/>
            <w:vMerge w:val="restart"/>
            <w:tcBorders>
              <w:top w:val="single" w:sz="4" w:space="0" w:color="auto"/>
              <w:left w:val="single" w:sz="4" w:space="0" w:color="auto"/>
              <w:bottom w:val="single" w:sz="4" w:space="0" w:color="000000"/>
              <w:right w:val="single" w:sz="4" w:space="0" w:color="auto"/>
            </w:tcBorders>
            <w:shd w:val="clear" w:color="000000" w:fill="D9E1F2"/>
            <w:vAlign w:val="center"/>
          </w:tcPr>
          <w:p w14:paraId="4337FA22" w14:textId="77777777" w:rsidR="00EA6DED" w:rsidRDefault="007504AE">
            <w:pPr>
              <w:rPr>
                <w:color w:val="231F20"/>
                <w:sz w:val="18"/>
                <w:szCs w:val="18"/>
              </w:rPr>
            </w:pPr>
            <w:r>
              <w:rPr>
                <w:color w:val="231F20"/>
                <w:sz w:val="18"/>
                <w:szCs w:val="18"/>
              </w:rPr>
              <w:t>Sources</w:t>
            </w:r>
          </w:p>
        </w:tc>
      </w:tr>
      <w:tr w:rsidR="00EA6DED" w14:paraId="4337FA2A" w14:textId="77777777">
        <w:trPr>
          <w:trHeight w:val="450"/>
          <w:tblHeader/>
          <w:jc w:val="center"/>
        </w:trPr>
        <w:tc>
          <w:tcPr>
            <w:tcW w:w="2405" w:type="dxa"/>
            <w:vMerge/>
            <w:tcBorders>
              <w:top w:val="single" w:sz="4" w:space="0" w:color="000000"/>
              <w:left w:val="single" w:sz="4" w:space="0" w:color="auto"/>
              <w:bottom w:val="single" w:sz="4" w:space="0" w:color="000000"/>
              <w:right w:val="single" w:sz="4" w:space="0" w:color="auto"/>
            </w:tcBorders>
            <w:vAlign w:val="center"/>
          </w:tcPr>
          <w:p w14:paraId="4337FA24" w14:textId="77777777" w:rsidR="00EA6DED" w:rsidRDefault="00EA6DED">
            <w:pPr>
              <w:rPr>
                <w:b/>
                <w:bCs/>
                <w:color w:val="231F20"/>
                <w:sz w:val="18"/>
                <w:szCs w:val="18"/>
              </w:rPr>
            </w:pPr>
          </w:p>
        </w:tc>
        <w:tc>
          <w:tcPr>
            <w:tcW w:w="1134" w:type="dxa"/>
            <w:vMerge/>
            <w:tcBorders>
              <w:top w:val="single" w:sz="4" w:space="0" w:color="auto"/>
              <w:left w:val="single" w:sz="4" w:space="0" w:color="auto"/>
              <w:bottom w:val="single" w:sz="4" w:space="0" w:color="000000"/>
              <w:right w:val="single" w:sz="4" w:space="0" w:color="auto"/>
            </w:tcBorders>
            <w:vAlign w:val="center"/>
          </w:tcPr>
          <w:p w14:paraId="4337FA25" w14:textId="77777777" w:rsidR="00EA6DED" w:rsidRDefault="00EA6DED">
            <w:pPr>
              <w:rPr>
                <w:b/>
                <w:bCs/>
                <w:color w:val="000000"/>
                <w:sz w:val="18"/>
                <w:szCs w:val="18"/>
              </w:rPr>
            </w:pPr>
          </w:p>
        </w:tc>
        <w:tc>
          <w:tcPr>
            <w:tcW w:w="992" w:type="dxa"/>
            <w:vMerge/>
            <w:tcBorders>
              <w:top w:val="single" w:sz="4" w:space="0" w:color="auto"/>
              <w:left w:val="single" w:sz="4" w:space="0" w:color="auto"/>
              <w:bottom w:val="single" w:sz="4" w:space="0" w:color="000000"/>
              <w:right w:val="single" w:sz="4" w:space="0" w:color="auto"/>
            </w:tcBorders>
            <w:vAlign w:val="center"/>
          </w:tcPr>
          <w:p w14:paraId="4337FA26" w14:textId="77777777" w:rsidR="00EA6DED" w:rsidRDefault="00EA6DED">
            <w:pPr>
              <w:rPr>
                <w:b/>
                <w:bCs/>
                <w:color w:val="000000"/>
                <w:sz w:val="18"/>
                <w:szCs w:val="18"/>
              </w:rPr>
            </w:pPr>
          </w:p>
        </w:tc>
        <w:tc>
          <w:tcPr>
            <w:tcW w:w="1134" w:type="dxa"/>
            <w:vMerge/>
            <w:tcBorders>
              <w:top w:val="single" w:sz="4" w:space="0" w:color="auto"/>
              <w:left w:val="single" w:sz="4" w:space="0" w:color="auto"/>
              <w:bottom w:val="single" w:sz="4" w:space="0" w:color="000000"/>
              <w:right w:val="single" w:sz="4" w:space="0" w:color="auto"/>
            </w:tcBorders>
            <w:vAlign w:val="center"/>
          </w:tcPr>
          <w:p w14:paraId="4337FA27" w14:textId="77777777" w:rsidR="00EA6DED" w:rsidRDefault="00EA6DED">
            <w:pPr>
              <w:rPr>
                <w:b/>
                <w:bCs/>
                <w:color w:val="000000"/>
                <w:sz w:val="18"/>
                <w:szCs w:val="18"/>
              </w:rPr>
            </w:pPr>
          </w:p>
        </w:tc>
        <w:tc>
          <w:tcPr>
            <w:tcW w:w="2552" w:type="dxa"/>
            <w:vMerge/>
            <w:tcBorders>
              <w:top w:val="single" w:sz="4" w:space="0" w:color="auto"/>
              <w:left w:val="single" w:sz="4" w:space="0" w:color="auto"/>
              <w:bottom w:val="single" w:sz="4" w:space="0" w:color="000000"/>
              <w:right w:val="single" w:sz="4" w:space="0" w:color="auto"/>
            </w:tcBorders>
            <w:vAlign w:val="center"/>
          </w:tcPr>
          <w:p w14:paraId="4337FA28" w14:textId="77777777" w:rsidR="00EA6DED" w:rsidRDefault="00EA6DED">
            <w:pPr>
              <w:rPr>
                <w:b/>
                <w:bCs/>
                <w:color w:val="000000"/>
                <w:sz w:val="18"/>
                <w:szCs w:val="18"/>
              </w:rPr>
            </w:pPr>
          </w:p>
        </w:tc>
        <w:tc>
          <w:tcPr>
            <w:tcW w:w="1706" w:type="dxa"/>
            <w:vMerge/>
            <w:tcBorders>
              <w:top w:val="single" w:sz="4" w:space="0" w:color="auto"/>
              <w:left w:val="single" w:sz="4" w:space="0" w:color="auto"/>
              <w:bottom w:val="single" w:sz="4" w:space="0" w:color="000000"/>
              <w:right w:val="single" w:sz="4" w:space="0" w:color="auto"/>
            </w:tcBorders>
            <w:vAlign w:val="center"/>
          </w:tcPr>
          <w:p w14:paraId="4337FA29" w14:textId="77777777" w:rsidR="00EA6DED" w:rsidRDefault="00EA6DED">
            <w:pPr>
              <w:rPr>
                <w:color w:val="231F20"/>
                <w:sz w:val="18"/>
                <w:szCs w:val="18"/>
              </w:rPr>
            </w:pPr>
          </w:p>
        </w:tc>
      </w:tr>
      <w:tr w:rsidR="00EA6DED" w14:paraId="4337FA31" w14:textId="77777777">
        <w:trPr>
          <w:trHeight w:val="924"/>
          <w:jc w:val="center"/>
        </w:trPr>
        <w:tc>
          <w:tcPr>
            <w:tcW w:w="2405" w:type="dxa"/>
            <w:tcBorders>
              <w:top w:val="nil"/>
              <w:left w:val="single" w:sz="4" w:space="0" w:color="auto"/>
              <w:bottom w:val="single" w:sz="4" w:space="0" w:color="auto"/>
              <w:right w:val="single" w:sz="4" w:space="0" w:color="auto"/>
            </w:tcBorders>
            <w:shd w:val="clear" w:color="000000" w:fill="B4C6E7"/>
            <w:vAlign w:val="center"/>
          </w:tcPr>
          <w:p w14:paraId="4337FA2B" w14:textId="77777777" w:rsidR="00EA6DED" w:rsidRDefault="007504AE">
            <w:pPr>
              <w:rPr>
                <w:b/>
                <w:bCs/>
                <w:color w:val="231F20"/>
                <w:sz w:val="18"/>
                <w:szCs w:val="18"/>
              </w:rPr>
            </w:pPr>
            <w:r>
              <w:rPr>
                <w:b/>
                <w:bCs/>
                <w:color w:val="231F20"/>
                <w:sz w:val="18"/>
                <w:szCs w:val="18"/>
              </w:rPr>
              <w:t>IE: 1.1. Part de l’agro-industrie dans le PIB</w:t>
            </w:r>
          </w:p>
        </w:tc>
        <w:tc>
          <w:tcPr>
            <w:tcW w:w="1134" w:type="dxa"/>
            <w:tcBorders>
              <w:top w:val="nil"/>
              <w:left w:val="nil"/>
              <w:bottom w:val="single" w:sz="4" w:space="0" w:color="auto"/>
              <w:right w:val="single" w:sz="4" w:space="0" w:color="auto"/>
            </w:tcBorders>
            <w:shd w:val="clear" w:color="000000" w:fill="FFFFFF"/>
            <w:vAlign w:val="center"/>
          </w:tcPr>
          <w:p w14:paraId="4337FA2C" w14:textId="77777777" w:rsidR="00EA6DED" w:rsidRDefault="007504AE">
            <w:pPr>
              <w:jc w:val="center"/>
              <w:rPr>
                <w:b/>
                <w:bCs/>
                <w:color w:val="231F20"/>
                <w:sz w:val="18"/>
                <w:szCs w:val="18"/>
              </w:rPr>
            </w:pPr>
            <w:r>
              <w:rPr>
                <w:b/>
                <w:bCs/>
                <w:color w:val="231F20"/>
                <w:sz w:val="18"/>
                <w:szCs w:val="18"/>
              </w:rPr>
              <w:t>7,8% (2016 ) (2010)</w:t>
            </w:r>
          </w:p>
        </w:tc>
        <w:tc>
          <w:tcPr>
            <w:tcW w:w="992" w:type="dxa"/>
            <w:tcBorders>
              <w:top w:val="nil"/>
              <w:left w:val="nil"/>
              <w:bottom w:val="single" w:sz="4" w:space="0" w:color="auto"/>
              <w:right w:val="single" w:sz="4" w:space="0" w:color="auto"/>
            </w:tcBorders>
            <w:shd w:val="clear" w:color="auto" w:fill="F4B083"/>
            <w:vAlign w:val="center"/>
          </w:tcPr>
          <w:p w14:paraId="4337FA2D" w14:textId="77777777" w:rsidR="00EA6DED" w:rsidRDefault="007504AE">
            <w:pPr>
              <w:jc w:val="center"/>
              <w:rPr>
                <w:b/>
                <w:bCs/>
                <w:color w:val="231F20"/>
                <w:sz w:val="18"/>
                <w:szCs w:val="18"/>
              </w:rPr>
            </w:pPr>
            <w:r>
              <w:rPr>
                <w:b/>
                <w:bCs/>
                <w:color w:val="231F20"/>
                <w:sz w:val="18"/>
                <w:szCs w:val="18"/>
              </w:rPr>
              <w:t>12%</w:t>
            </w:r>
          </w:p>
        </w:tc>
        <w:tc>
          <w:tcPr>
            <w:tcW w:w="1134" w:type="dxa"/>
            <w:tcBorders>
              <w:top w:val="nil"/>
              <w:left w:val="nil"/>
              <w:bottom w:val="single" w:sz="4" w:space="0" w:color="auto"/>
              <w:right w:val="single" w:sz="4" w:space="0" w:color="auto"/>
            </w:tcBorders>
            <w:shd w:val="clear" w:color="auto" w:fill="F4B083"/>
            <w:vAlign w:val="center"/>
          </w:tcPr>
          <w:p w14:paraId="4337FA2E" w14:textId="77777777" w:rsidR="00EA6DED" w:rsidRDefault="007504AE">
            <w:pPr>
              <w:jc w:val="center"/>
              <w:rPr>
                <w:b/>
                <w:bCs/>
                <w:color w:val="231F20"/>
                <w:sz w:val="18"/>
                <w:szCs w:val="18"/>
              </w:rPr>
            </w:pPr>
            <w:r>
              <w:rPr>
                <w:b/>
                <w:bCs/>
                <w:color w:val="231F20"/>
                <w:sz w:val="18"/>
                <w:szCs w:val="18"/>
              </w:rPr>
              <w:t>10,7%  </w:t>
            </w:r>
          </w:p>
        </w:tc>
        <w:tc>
          <w:tcPr>
            <w:tcW w:w="2552" w:type="dxa"/>
            <w:tcBorders>
              <w:top w:val="nil"/>
              <w:left w:val="nil"/>
              <w:bottom w:val="single" w:sz="4" w:space="0" w:color="auto"/>
              <w:right w:val="single" w:sz="4" w:space="0" w:color="auto"/>
            </w:tcBorders>
            <w:shd w:val="clear" w:color="000000" w:fill="FFFFFF"/>
            <w:vAlign w:val="center"/>
          </w:tcPr>
          <w:p w14:paraId="4337FA2F" w14:textId="77777777" w:rsidR="00EA6DED" w:rsidRDefault="007504AE">
            <w:pPr>
              <w:rPr>
                <w:b/>
                <w:bCs/>
                <w:color w:val="231F20"/>
                <w:sz w:val="18"/>
                <w:szCs w:val="18"/>
              </w:rPr>
            </w:pPr>
            <w:r>
              <w:rPr>
                <w:b/>
                <w:bCs/>
                <w:color w:val="231F20"/>
                <w:sz w:val="18"/>
                <w:szCs w:val="18"/>
              </w:rPr>
              <w:t xml:space="preserve">Très bonne progression avec un bon potentiel pour atteindre la cible de 2026. Cela pourrait traduire une bonne contribution des NU à travers la mise en place des </w:t>
            </w:r>
            <w:r>
              <w:rPr>
                <w:b/>
                <w:bCs/>
                <w:color w:val="231F20"/>
                <w:sz w:val="18"/>
                <w:szCs w:val="18"/>
              </w:rPr>
              <w:lastRenderedPageBreak/>
              <w:t xml:space="preserve">chaînes de valeurs porteuses (P1.1)  </w:t>
            </w:r>
          </w:p>
        </w:tc>
        <w:tc>
          <w:tcPr>
            <w:tcW w:w="1706" w:type="dxa"/>
            <w:tcBorders>
              <w:top w:val="nil"/>
              <w:left w:val="nil"/>
              <w:bottom w:val="single" w:sz="4" w:space="0" w:color="auto"/>
              <w:right w:val="single" w:sz="4" w:space="0" w:color="auto"/>
            </w:tcBorders>
            <w:shd w:val="clear" w:color="000000" w:fill="FFFFFF"/>
            <w:vAlign w:val="center"/>
          </w:tcPr>
          <w:p w14:paraId="4337FA30" w14:textId="77777777" w:rsidR="00EA6DED" w:rsidRDefault="007504AE">
            <w:pPr>
              <w:rPr>
                <w:color w:val="231F20"/>
                <w:sz w:val="18"/>
                <w:szCs w:val="18"/>
              </w:rPr>
            </w:pPr>
            <w:r>
              <w:rPr>
                <w:b/>
                <w:bCs/>
                <w:color w:val="231F20"/>
                <w:sz w:val="18"/>
                <w:szCs w:val="18"/>
              </w:rPr>
              <w:lastRenderedPageBreak/>
              <w:t>Rapport sur l’économie camerounaise en 2024 (MINEPAT, 2024)</w:t>
            </w:r>
          </w:p>
        </w:tc>
      </w:tr>
      <w:tr w:rsidR="00EA6DED" w14:paraId="4337FA39" w14:textId="77777777">
        <w:trPr>
          <w:trHeight w:val="924"/>
          <w:jc w:val="center"/>
        </w:trPr>
        <w:tc>
          <w:tcPr>
            <w:tcW w:w="2405" w:type="dxa"/>
            <w:tcBorders>
              <w:top w:val="single" w:sz="4" w:space="0" w:color="auto"/>
              <w:left w:val="single" w:sz="4" w:space="0" w:color="auto"/>
              <w:bottom w:val="single" w:sz="4" w:space="0" w:color="auto"/>
              <w:right w:val="single" w:sz="4" w:space="0" w:color="auto"/>
            </w:tcBorders>
            <w:shd w:val="clear" w:color="000000" w:fill="B4C6E7"/>
            <w:vAlign w:val="center"/>
          </w:tcPr>
          <w:p w14:paraId="4337FA32" w14:textId="77777777" w:rsidR="00EA6DED" w:rsidRDefault="007504AE">
            <w:pPr>
              <w:rPr>
                <w:b/>
                <w:bCs/>
                <w:color w:val="231F20"/>
                <w:sz w:val="18"/>
                <w:szCs w:val="18"/>
              </w:rPr>
            </w:pPr>
            <w:r>
              <w:rPr>
                <w:b/>
                <w:bCs/>
                <w:color w:val="231F20"/>
                <w:sz w:val="18"/>
                <w:szCs w:val="18"/>
              </w:rPr>
              <w:t>IE: 1.2. Part du secteur primaire dans le PIB</w:t>
            </w:r>
          </w:p>
        </w:tc>
        <w:tc>
          <w:tcPr>
            <w:tcW w:w="1134" w:type="dxa"/>
            <w:tcBorders>
              <w:top w:val="single" w:sz="4" w:space="0" w:color="auto"/>
              <w:left w:val="nil"/>
              <w:bottom w:val="single" w:sz="4" w:space="0" w:color="auto"/>
              <w:right w:val="single" w:sz="4" w:space="0" w:color="auto"/>
            </w:tcBorders>
            <w:shd w:val="clear" w:color="000000" w:fill="FFFFFF"/>
            <w:vAlign w:val="center"/>
          </w:tcPr>
          <w:p w14:paraId="4337FA33" w14:textId="77777777" w:rsidR="00EA6DED" w:rsidRDefault="007504AE">
            <w:pPr>
              <w:jc w:val="center"/>
              <w:rPr>
                <w:b/>
                <w:bCs/>
                <w:color w:val="231F20"/>
                <w:sz w:val="18"/>
                <w:szCs w:val="18"/>
              </w:rPr>
            </w:pPr>
            <w:r>
              <w:rPr>
                <w:b/>
                <w:bCs/>
                <w:color w:val="231F20"/>
                <w:sz w:val="18"/>
                <w:szCs w:val="18"/>
              </w:rPr>
              <w:t xml:space="preserve">14 ,6%% </w:t>
            </w:r>
          </w:p>
          <w:p w14:paraId="4337FA34" w14:textId="77777777" w:rsidR="00EA6DED" w:rsidRDefault="007504AE">
            <w:pPr>
              <w:jc w:val="center"/>
              <w:rPr>
                <w:b/>
                <w:bCs/>
                <w:color w:val="231F20"/>
                <w:sz w:val="18"/>
                <w:szCs w:val="18"/>
              </w:rPr>
            </w:pPr>
            <w:r>
              <w:rPr>
                <w:b/>
                <w:bCs/>
                <w:color w:val="231F20"/>
                <w:sz w:val="18"/>
                <w:szCs w:val="18"/>
              </w:rPr>
              <w:t>(2016)</w:t>
            </w:r>
          </w:p>
        </w:tc>
        <w:tc>
          <w:tcPr>
            <w:tcW w:w="992" w:type="dxa"/>
            <w:tcBorders>
              <w:top w:val="single" w:sz="4" w:space="0" w:color="auto"/>
              <w:left w:val="nil"/>
              <w:bottom w:val="single" w:sz="4" w:space="0" w:color="auto"/>
              <w:right w:val="single" w:sz="4" w:space="0" w:color="auto"/>
            </w:tcBorders>
            <w:shd w:val="clear" w:color="auto" w:fill="F4B083"/>
            <w:vAlign w:val="center"/>
          </w:tcPr>
          <w:p w14:paraId="4337FA35" w14:textId="77777777" w:rsidR="00EA6DED" w:rsidRDefault="007504AE">
            <w:pPr>
              <w:jc w:val="center"/>
              <w:rPr>
                <w:b/>
                <w:bCs/>
                <w:color w:val="231F20"/>
                <w:sz w:val="18"/>
                <w:szCs w:val="18"/>
              </w:rPr>
            </w:pPr>
            <w:r>
              <w:rPr>
                <w:b/>
                <w:bCs/>
                <w:color w:val="231F20"/>
                <w:sz w:val="18"/>
                <w:szCs w:val="18"/>
              </w:rPr>
              <w:t>21%</w:t>
            </w:r>
          </w:p>
        </w:tc>
        <w:tc>
          <w:tcPr>
            <w:tcW w:w="1134" w:type="dxa"/>
            <w:tcBorders>
              <w:top w:val="nil"/>
              <w:left w:val="nil"/>
              <w:bottom w:val="single" w:sz="4" w:space="0" w:color="auto"/>
              <w:right w:val="single" w:sz="4" w:space="0" w:color="auto"/>
            </w:tcBorders>
            <w:shd w:val="clear" w:color="auto" w:fill="F4B083"/>
            <w:vAlign w:val="center"/>
          </w:tcPr>
          <w:p w14:paraId="4337FA36" w14:textId="77777777" w:rsidR="00EA6DED" w:rsidRDefault="007504AE">
            <w:pPr>
              <w:jc w:val="center"/>
              <w:rPr>
                <w:b/>
                <w:bCs/>
                <w:color w:val="231F20"/>
                <w:sz w:val="18"/>
                <w:szCs w:val="18"/>
              </w:rPr>
            </w:pPr>
            <w:r>
              <w:rPr>
                <w:b/>
                <w:bCs/>
                <w:color w:val="231F20"/>
                <w:sz w:val="18"/>
                <w:szCs w:val="18"/>
              </w:rPr>
              <w:t> 12% </w:t>
            </w:r>
          </w:p>
        </w:tc>
        <w:tc>
          <w:tcPr>
            <w:tcW w:w="2552" w:type="dxa"/>
            <w:tcBorders>
              <w:top w:val="nil"/>
              <w:left w:val="nil"/>
              <w:bottom w:val="single" w:sz="4" w:space="0" w:color="auto"/>
              <w:right w:val="single" w:sz="4" w:space="0" w:color="auto"/>
            </w:tcBorders>
            <w:vAlign w:val="center"/>
          </w:tcPr>
          <w:p w14:paraId="4337FA37" w14:textId="77777777" w:rsidR="00EA6DED" w:rsidRDefault="007504AE">
            <w:pPr>
              <w:rPr>
                <w:b/>
                <w:bCs/>
                <w:color w:val="231F20"/>
                <w:sz w:val="18"/>
                <w:szCs w:val="18"/>
              </w:rPr>
            </w:pPr>
            <w:r>
              <w:rPr>
                <w:b/>
                <w:bCs/>
                <w:color w:val="231F20"/>
                <w:sz w:val="18"/>
                <w:szCs w:val="18"/>
              </w:rPr>
              <w:t xml:space="preserve">Progression en baisse par rapport à 2016. A peine 50% de la cible de 2026 est couvert. Cependant, on peut noter que les NU ont mené beaucoup d’activités de soutien pour le renforcement des institutions, TPME, des coopératives et des Start Up (P1.2 et P1.3)    </w:t>
            </w:r>
          </w:p>
        </w:tc>
        <w:tc>
          <w:tcPr>
            <w:tcW w:w="1706" w:type="dxa"/>
            <w:tcBorders>
              <w:top w:val="nil"/>
              <w:left w:val="nil"/>
              <w:bottom w:val="single" w:sz="4" w:space="0" w:color="auto"/>
              <w:right w:val="single" w:sz="4" w:space="0" w:color="auto"/>
            </w:tcBorders>
            <w:shd w:val="clear" w:color="000000" w:fill="FFFFFF"/>
            <w:vAlign w:val="center"/>
          </w:tcPr>
          <w:p w14:paraId="4337FA38" w14:textId="77777777" w:rsidR="00EA6DED" w:rsidRDefault="007504AE">
            <w:pPr>
              <w:rPr>
                <w:color w:val="231F20"/>
                <w:sz w:val="18"/>
                <w:szCs w:val="18"/>
              </w:rPr>
            </w:pPr>
            <w:r>
              <w:rPr>
                <w:b/>
                <w:bCs/>
                <w:color w:val="231F20"/>
                <w:sz w:val="18"/>
                <w:szCs w:val="18"/>
              </w:rPr>
              <w:t>Rapport sur l’économie camerounaise en 2024 (MINEPAT, 2024)</w:t>
            </w:r>
          </w:p>
        </w:tc>
      </w:tr>
      <w:tr w:rsidR="00EA6DED" w14:paraId="4337FA41" w14:textId="77777777">
        <w:trPr>
          <w:trHeight w:val="924"/>
          <w:jc w:val="center"/>
        </w:trPr>
        <w:tc>
          <w:tcPr>
            <w:tcW w:w="2405" w:type="dxa"/>
            <w:tcBorders>
              <w:top w:val="single" w:sz="4" w:space="0" w:color="auto"/>
              <w:left w:val="single" w:sz="4" w:space="0" w:color="auto"/>
              <w:bottom w:val="single" w:sz="4" w:space="0" w:color="auto"/>
              <w:right w:val="single" w:sz="4" w:space="0" w:color="auto"/>
            </w:tcBorders>
            <w:shd w:val="clear" w:color="000000" w:fill="B4C6E7"/>
            <w:vAlign w:val="center"/>
          </w:tcPr>
          <w:p w14:paraId="4337FA3A" w14:textId="77777777" w:rsidR="00EA6DED" w:rsidRDefault="007504AE">
            <w:pPr>
              <w:rPr>
                <w:b/>
                <w:bCs/>
                <w:color w:val="231F20"/>
                <w:sz w:val="18"/>
                <w:szCs w:val="18"/>
              </w:rPr>
            </w:pPr>
            <w:r>
              <w:rPr>
                <w:b/>
                <w:bCs/>
                <w:color w:val="231F20"/>
                <w:sz w:val="18"/>
                <w:szCs w:val="18"/>
              </w:rPr>
              <w:t>IE$:1.3. Taux de sous-emploi global des jeunes (15-24 ans)</w:t>
            </w:r>
          </w:p>
        </w:tc>
        <w:tc>
          <w:tcPr>
            <w:tcW w:w="1134" w:type="dxa"/>
            <w:tcBorders>
              <w:top w:val="single" w:sz="4" w:space="0" w:color="auto"/>
              <w:left w:val="nil"/>
              <w:bottom w:val="single" w:sz="4" w:space="0" w:color="auto"/>
              <w:right w:val="single" w:sz="4" w:space="0" w:color="auto"/>
            </w:tcBorders>
            <w:shd w:val="clear" w:color="000000" w:fill="FFFFFF"/>
            <w:vAlign w:val="center"/>
          </w:tcPr>
          <w:p w14:paraId="4337FA3B" w14:textId="77777777" w:rsidR="00EA6DED" w:rsidRDefault="007504AE">
            <w:pPr>
              <w:jc w:val="center"/>
              <w:rPr>
                <w:b/>
                <w:bCs/>
                <w:color w:val="231F20"/>
                <w:sz w:val="18"/>
                <w:szCs w:val="18"/>
              </w:rPr>
            </w:pPr>
            <w:r>
              <w:rPr>
                <w:b/>
                <w:bCs/>
                <w:color w:val="231F20"/>
                <w:sz w:val="18"/>
                <w:szCs w:val="18"/>
              </w:rPr>
              <w:t>84,8% (2018)</w:t>
            </w:r>
          </w:p>
        </w:tc>
        <w:tc>
          <w:tcPr>
            <w:tcW w:w="992" w:type="dxa"/>
            <w:tcBorders>
              <w:top w:val="single" w:sz="4" w:space="0" w:color="auto"/>
              <w:left w:val="nil"/>
              <w:bottom w:val="single" w:sz="4" w:space="0" w:color="auto"/>
              <w:right w:val="single" w:sz="4" w:space="0" w:color="auto"/>
            </w:tcBorders>
            <w:shd w:val="clear" w:color="auto" w:fill="00B050"/>
            <w:vAlign w:val="center"/>
          </w:tcPr>
          <w:p w14:paraId="4337FA3C" w14:textId="77777777" w:rsidR="00EA6DED" w:rsidRDefault="007504AE">
            <w:pPr>
              <w:jc w:val="center"/>
              <w:rPr>
                <w:b/>
                <w:bCs/>
                <w:color w:val="231F20"/>
                <w:sz w:val="18"/>
                <w:szCs w:val="18"/>
              </w:rPr>
            </w:pPr>
            <w:r>
              <w:rPr>
                <w:b/>
                <w:bCs/>
                <w:color w:val="231F20"/>
                <w:sz w:val="18"/>
                <w:szCs w:val="18"/>
              </w:rPr>
              <w:t>70%</w:t>
            </w:r>
          </w:p>
        </w:tc>
        <w:tc>
          <w:tcPr>
            <w:tcW w:w="1134" w:type="dxa"/>
            <w:tcBorders>
              <w:top w:val="nil"/>
              <w:left w:val="nil"/>
              <w:bottom w:val="single" w:sz="4" w:space="0" w:color="auto"/>
              <w:right w:val="single" w:sz="4" w:space="0" w:color="auto"/>
            </w:tcBorders>
            <w:shd w:val="clear" w:color="auto" w:fill="00B050"/>
            <w:vAlign w:val="center"/>
          </w:tcPr>
          <w:p w14:paraId="4337FA3D" w14:textId="77777777" w:rsidR="00EA6DED" w:rsidRDefault="007504AE">
            <w:pPr>
              <w:jc w:val="center"/>
              <w:rPr>
                <w:b/>
                <w:bCs/>
                <w:color w:val="231F20"/>
                <w:sz w:val="18"/>
                <w:szCs w:val="18"/>
              </w:rPr>
            </w:pPr>
            <w:r>
              <w:rPr>
                <w:b/>
                <w:bCs/>
                <w:color w:val="231F20"/>
                <w:sz w:val="18"/>
                <w:szCs w:val="18"/>
              </w:rPr>
              <w:t> 39,3% </w:t>
            </w:r>
          </w:p>
        </w:tc>
        <w:tc>
          <w:tcPr>
            <w:tcW w:w="2552" w:type="dxa"/>
            <w:tcBorders>
              <w:top w:val="nil"/>
              <w:left w:val="nil"/>
              <w:bottom w:val="single" w:sz="4" w:space="0" w:color="auto"/>
              <w:right w:val="single" w:sz="4" w:space="0" w:color="auto"/>
            </w:tcBorders>
            <w:vAlign w:val="center"/>
          </w:tcPr>
          <w:p w14:paraId="4337FA3E" w14:textId="77777777" w:rsidR="00EA6DED" w:rsidRDefault="007504AE">
            <w:pPr>
              <w:rPr>
                <w:b/>
                <w:bCs/>
                <w:color w:val="231F20"/>
                <w:sz w:val="18"/>
                <w:szCs w:val="18"/>
              </w:rPr>
            </w:pPr>
            <w:r>
              <w:rPr>
                <w:b/>
                <w:bCs/>
                <w:color w:val="231F20"/>
                <w:sz w:val="18"/>
                <w:szCs w:val="18"/>
              </w:rPr>
              <w:t>jeunes de 15-34 ans est</w:t>
            </w:r>
          </w:p>
          <w:p w14:paraId="4337FA3F" w14:textId="77777777" w:rsidR="00EA6DED" w:rsidRDefault="007504AE">
            <w:pPr>
              <w:rPr>
                <w:b/>
                <w:bCs/>
                <w:color w:val="231F20"/>
                <w:sz w:val="18"/>
                <w:szCs w:val="18"/>
              </w:rPr>
            </w:pPr>
            <w:r>
              <w:rPr>
                <w:b/>
                <w:bCs/>
                <w:color w:val="231F20"/>
                <w:sz w:val="18"/>
                <w:szCs w:val="18"/>
              </w:rPr>
              <w:t>la tranche d’âge considérée dans EESI3 et non les  15-24 ans comme le demande l’indicateur. Très bonne tendance à la hausse qui pourrait traduire une meilleure contribution des NU à la création d’emplois décents à travers les Produits P1.1, P12, P13 et P1.4</w:t>
            </w:r>
          </w:p>
        </w:tc>
        <w:tc>
          <w:tcPr>
            <w:tcW w:w="1706" w:type="dxa"/>
            <w:tcBorders>
              <w:top w:val="nil"/>
              <w:left w:val="nil"/>
              <w:bottom w:val="single" w:sz="4" w:space="0" w:color="auto"/>
              <w:right w:val="single" w:sz="4" w:space="0" w:color="auto"/>
            </w:tcBorders>
            <w:shd w:val="clear" w:color="000000" w:fill="FFFFFF"/>
            <w:vAlign w:val="center"/>
          </w:tcPr>
          <w:p w14:paraId="4337FA40" w14:textId="77777777" w:rsidR="00EA6DED" w:rsidRDefault="007504AE">
            <w:pPr>
              <w:rPr>
                <w:color w:val="231F20"/>
                <w:sz w:val="18"/>
                <w:szCs w:val="18"/>
              </w:rPr>
            </w:pPr>
            <w:r>
              <w:rPr>
                <w:b/>
                <w:bCs/>
                <w:color w:val="231F20"/>
                <w:sz w:val="18"/>
                <w:szCs w:val="18"/>
                <w:lang w:val="zh-CN"/>
              </w:rPr>
              <w:t xml:space="preserve">EESI3-Phase 1: Enquête sur l’emploi, rapport principal </w:t>
            </w:r>
          </w:p>
        </w:tc>
      </w:tr>
    </w:tbl>
    <w:p w14:paraId="4337FA42" w14:textId="77777777" w:rsidR="00EA6DED" w:rsidRDefault="00EA6DED">
      <w:pPr>
        <w:rPr>
          <w:b/>
          <w:bCs/>
          <w:color w:val="231F20"/>
          <w:sz w:val="18"/>
          <w:szCs w:val="18"/>
        </w:rPr>
      </w:pPr>
    </w:p>
    <w:p w14:paraId="4337FA43" w14:textId="77777777" w:rsidR="00EA6DED" w:rsidRDefault="007504AE">
      <w:pPr>
        <w:contextualSpacing/>
        <w:jc w:val="both"/>
      </w:pPr>
      <w:r>
        <w:t>L</w:t>
      </w:r>
      <w:r>
        <w:rPr>
          <w:color w:val="000000"/>
        </w:rPr>
        <w:t>a part de l’agro-industrie dans le PIB, au regard de la cible visée par le CC en 2026 (12%) et du taux de réalisation en 2024 (10,7%)</w:t>
      </w:r>
      <w:r>
        <w:rPr>
          <w:rStyle w:val="Appelnotedebasdep"/>
          <w:rFonts w:eastAsia="SimSun"/>
          <w:color w:val="000000"/>
        </w:rPr>
        <w:footnoteReference w:id="58"/>
      </w:r>
      <w:r>
        <w:rPr>
          <w:color w:val="000000"/>
        </w:rPr>
        <w:t>, est sur une bonne lancée. La part du secteur primaire dans le PIB a connu une régression, passant de 14,6% en 2016 à 12%</w:t>
      </w:r>
      <w:r>
        <w:rPr>
          <w:rStyle w:val="Appelnotedebasdep"/>
          <w:rFonts w:eastAsia="SimSun"/>
          <w:color w:val="000000"/>
        </w:rPr>
        <w:footnoteReference w:id="59"/>
      </w:r>
      <w:r>
        <w:rPr>
          <w:color w:val="000000"/>
        </w:rPr>
        <w:t xml:space="preserve"> en 2024. Pour ce qui est du sous-emploi global des jeunes, les statistiques récentes concernant la tranche d’âge de 15-24 ans ne sont pas disponibles. Toutefois, le taux de sous–emploi global des jeunes de 15–34 ans de de 39,4% en 2024 contre 84.8% en 2018 (EESI3-Phase1) pourrait montrer des efforts contributifs consentis par le cadre de coopération aboutir à cette réduction exceptionnelle. </w:t>
      </w:r>
    </w:p>
    <w:p w14:paraId="4337FA44" w14:textId="77777777" w:rsidR="00EA6DED" w:rsidRDefault="00EA6DED">
      <w:pPr>
        <w:jc w:val="both"/>
        <w:rPr>
          <w:color w:val="000000"/>
          <w:u w:val="single"/>
        </w:rPr>
      </w:pPr>
    </w:p>
    <w:p w14:paraId="4337FA45" w14:textId="77777777" w:rsidR="00EA6DED" w:rsidRDefault="007504AE">
      <w:pPr>
        <w:pStyle w:val="Default"/>
        <w:jc w:val="both"/>
        <w:rPr>
          <w:rFonts w:ascii="Times New Roman" w:hAnsi="Times New Roman" w:cs="Times New Roman"/>
          <w:b/>
          <w:color w:val="ED7D31"/>
        </w:rPr>
      </w:pPr>
      <w:r>
        <w:rPr>
          <w:rFonts w:ascii="Times New Roman" w:hAnsi="Times New Roman" w:cs="Times New Roman"/>
          <w:b/>
          <w:color w:val="0070C0"/>
        </w:rPr>
        <w:t>Analyse de la performance du Produit 1.1</w:t>
      </w:r>
      <w:r>
        <w:rPr>
          <w:rFonts w:ascii="Times New Roman" w:hAnsi="Times New Roman" w:cs="Times New Roman"/>
          <w:b/>
        </w:rPr>
        <w:t xml:space="preserve">: </w:t>
      </w:r>
      <w:r>
        <w:rPr>
          <w:rFonts w:ascii="Times New Roman" w:hAnsi="Times New Roman" w:cs="Times New Roman"/>
          <w:b/>
          <w:color w:val="ED7D31"/>
        </w:rPr>
        <w:t xml:space="preserve"> </w:t>
      </w:r>
      <w:r>
        <w:rPr>
          <w:rFonts w:ascii="Times New Roman" w:hAnsi="Times New Roman" w:cs="Times New Roman"/>
          <w:b/>
          <w:sz w:val="22"/>
          <w:szCs w:val="22"/>
        </w:rPr>
        <w:t>Les chaines de valeurs porteuses (végétales, forestières, animales et halieutiques), à fort potentiel d’exportation sont développées et promues.</w:t>
      </w:r>
      <w:r>
        <w:rPr>
          <w:rFonts w:ascii="Times New Roman" w:hAnsi="Times New Roman" w:cs="Times New Roman"/>
          <w:b/>
        </w:rPr>
        <w:t xml:space="preserve"> </w:t>
      </w:r>
    </w:p>
    <w:p w14:paraId="4337FA46" w14:textId="77777777" w:rsidR="00EA6DED" w:rsidRDefault="007504AE">
      <w:pPr>
        <w:spacing w:line="360" w:lineRule="auto"/>
        <w:jc w:val="both"/>
        <w:rPr>
          <w:rFonts w:eastAsia="Aptos"/>
          <w:sz w:val="22"/>
          <w:szCs w:val="22"/>
        </w:rPr>
      </w:pPr>
      <w:r>
        <w:rPr>
          <w:rFonts w:eastAsia="Aptos"/>
          <w:sz w:val="22"/>
          <w:szCs w:val="22"/>
        </w:rPr>
        <w:t xml:space="preserve"> </w:t>
      </w:r>
    </w:p>
    <w:p w14:paraId="4337FA47" w14:textId="77777777" w:rsidR="00EA6DED" w:rsidRDefault="007504AE">
      <w:pPr>
        <w:contextualSpacing/>
        <w:jc w:val="both"/>
        <w:rPr>
          <w:rFonts w:eastAsia="Aptos"/>
        </w:rPr>
      </w:pPr>
      <w:r>
        <w:rPr>
          <w:rFonts w:eastAsia="Aptos"/>
        </w:rPr>
        <w:t>Dans la perspective de contribuer à la promotion des chaines de valeurs agropastorales et halieutiques en conformité avec les attentes de la SND30, le SNU a mis en place des actions pour renforcer des capacités TPE, PME, PMI, start up, sociétés coopératives et organisations rurales à base communautaire et autres acteurs (y compris les réfugiés) pour la promotion et le développement des chaines de valeurs agricole et l'accroissement de la productivité. Il s’agit notamment du soutien apporté à plus de 300</w:t>
      </w:r>
      <w:r>
        <w:rPr>
          <w:rStyle w:val="Appelnotedebasdep"/>
          <w:rFonts w:eastAsia="Aptos"/>
        </w:rPr>
        <w:footnoteReference w:id="60"/>
      </w:r>
      <w:r>
        <w:rPr>
          <w:rFonts w:eastAsia="Aptos"/>
        </w:rPr>
        <w:t xml:space="preserve"> PME, GIC et sociétés coopératives pour le renforcement des chaines de valeur et l’accès aux technologies et aux financements. En outre, douze (12)</w:t>
      </w:r>
      <w:r>
        <w:rPr>
          <w:rStyle w:val="Appelnotedebasdep"/>
          <w:rFonts w:eastAsia="Aptos"/>
        </w:rPr>
        <w:footnoteReference w:id="61"/>
      </w:r>
      <w:r>
        <w:rPr>
          <w:rFonts w:eastAsia="Aptos"/>
        </w:rPr>
        <w:t xml:space="preserve"> chaînes de valeur ont été renforcées dans les filières du manioc, du palmier, du cacao, de la banane plantain, du maïs, de la volaille et de la porcherie. Les activités majeures réalisées concernent  (i) la mobilisation d’environ 6 500 250 $ US</w:t>
      </w:r>
      <w:r>
        <w:rPr>
          <w:rStyle w:val="Appelnotedebasdep"/>
          <w:rFonts w:eastAsia="Aptos"/>
        </w:rPr>
        <w:footnoteReference w:id="62"/>
      </w:r>
      <w:r>
        <w:rPr>
          <w:rFonts w:eastAsia="Aptos"/>
        </w:rPr>
        <w:t xml:space="preserve"> pour l'agriculture d'urgence, la promotion de l'élevage et de la pêche (pour environ 6 000 ménages dans les régions de l'Extrême-Nord et du Sud-Ouest, avec un enrôlement des réfugiés nigérians et des personnes déplacées internes), (ii) le soutien à la mobilisation de ressources pour des projets visant à renforcer les chaînes de valeur agro-pastorales et halieutiques, le blé, le riz et le manioc , ainsi que la mise en œuvre d'un programme de développement hydraulique pour les régions du Nord, de l'Extrême-Nord et de l'Adamaoua, (iii) le soutien à quatre-vingt-dix (90) PME et coopératives pour renforcer vingt (20) chaînes de </w:t>
      </w:r>
      <w:r>
        <w:rPr>
          <w:rFonts w:eastAsia="Aptos"/>
        </w:rPr>
        <w:lastRenderedPageBreak/>
        <w:t xml:space="preserve">valeur (manioc, palmier, cacao, plantain, maïs, volaille, pisciculture ….), et de créer près de 100 emplois, (iv) la formation de 150 membres de coopératives rizicoles et oignonières à la gestion durable des terres via l'approche École pratique d'agriculture (FFS), (v) le soutien à 5 000 ménages (30 000 individus), principalement des PDI et des populations locales vulnérables, à travers la distribution des intrants agricoles, améliorant ainsi la sécurité alimentaire, (vi)la formation de 1 000 producteurs (35 % de femmes, 30 % de jeunes) ayant favorisé la production de 13 tonnes de semences de riz de base et de 250 kg de semences d'oignon, et la  mise en place de Système d'information sur les marchés pour un accès accru aux opportunités économiques au niveau national et local. </w:t>
      </w:r>
    </w:p>
    <w:p w14:paraId="4337FA48" w14:textId="77777777" w:rsidR="00EA6DED" w:rsidRDefault="00EA6DED">
      <w:pPr>
        <w:contextualSpacing/>
        <w:jc w:val="both"/>
        <w:rPr>
          <w:rFonts w:eastAsia="Aptos"/>
        </w:rPr>
      </w:pPr>
    </w:p>
    <w:p w14:paraId="4337FA49" w14:textId="77777777" w:rsidR="00EA6DED" w:rsidRDefault="007504AE">
      <w:pPr>
        <w:jc w:val="both"/>
      </w:pPr>
      <w:r>
        <w:t>Des actions concrètes comme la création de mini-fermes, la diffusion de techniques agricoles résilientes et le soutien aux chaînes de valeur (manioc, œufs, porc) illustrent des vecteurs tangibles de résilience communautaire et peuvent servir de modèles pour de futures interventions.</w:t>
      </w:r>
    </w:p>
    <w:p w14:paraId="4337FA4A" w14:textId="77777777" w:rsidR="00EA6DED" w:rsidRDefault="00EA6DED">
      <w:pPr>
        <w:contextualSpacing/>
        <w:jc w:val="both"/>
        <w:rPr>
          <w:rFonts w:eastAsia="Aptos"/>
        </w:rPr>
      </w:pPr>
    </w:p>
    <w:p w14:paraId="4337FA4B" w14:textId="77777777" w:rsidR="00EA6DED" w:rsidRDefault="00EA6DED">
      <w:pPr>
        <w:pStyle w:val="Default"/>
        <w:rPr>
          <w:rFonts w:ascii="Times New Roman" w:hAnsi="Times New Roman" w:cs="Times New Roman"/>
          <w:b/>
          <w:color w:val="0070C0"/>
          <w:sz w:val="15"/>
          <w:szCs w:val="15"/>
        </w:rPr>
      </w:pPr>
    </w:p>
    <w:p w14:paraId="4337FA4C" w14:textId="77777777" w:rsidR="00EA6DED" w:rsidRDefault="007504AE">
      <w:pPr>
        <w:pStyle w:val="Default"/>
        <w:jc w:val="both"/>
        <w:rPr>
          <w:rFonts w:ascii="Times New Roman" w:hAnsi="Times New Roman" w:cs="Times New Roman"/>
          <w:b/>
        </w:rPr>
      </w:pPr>
      <w:r>
        <w:rPr>
          <w:rFonts w:ascii="Times New Roman" w:hAnsi="Times New Roman" w:cs="Times New Roman"/>
          <w:b/>
          <w:color w:val="0070C0"/>
        </w:rPr>
        <w:t>Analyse de la performance du produit 1.2:</w:t>
      </w:r>
      <w:r>
        <w:rPr>
          <w:rFonts w:ascii="Times New Roman" w:hAnsi="Times New Roman" w:cs="Times New Roman"/>
          <w:b/>
        </w:rPr>
        <w:t xml:space="preserve"> </w:t>
      </w:r>
      <w:r>
        <w:rPr>
          <w:rFonts w:ascii="Times New Roman" w:hAnsi="Times New Roman" w:cs="Times New Roman"/>
          <w:b/>
          <w:sz w:val="22"/>
          <w:szCs w:val="22"/>
        </w:rPr>
        <w:t>Les TPME, les sociétés coopératives et les start-ups portées prioritairement par les jeunes, les femmes et les couches vulnérables ont un meilleur accès aux mécanismes de financement inclusifs.</w:t>
      </w:r>
      <w:r>
        <w:rPr>
          <w:rFonts w:ascii="Times New Roman" w:hAnsi="Times New Roman" w:cs="Times New Roman"/>
          <w:b/>
        </w:rPr>
        <w:t xml:space="preserve"> </w:t>
      </w:r>
    </w:p>
    <w:p w14:paraId="4337FA4D" w14:textId="77777777" w:rsidR="00EA6DED" w:rsidRDefault="00EA6DED">
      <w:pPr>
        <w:contextualSpacing/>
        <w:jc w:val="both"/>
      </w:pPr>
    </w:p>
    <w:p w14:paraId="4337FA4E" w14:textId="77777777" w:rsidR="00EA6DED" w:rsidRDefault="007504AE">
      <w:pPr>
        <w:contextualSpacing/>
        <w:jc w:val="both"/>
      </w:pPr>
      <w:r>
        <w:t>Pour contribuer à l’atteinte de cet objectif, le SNU soutient le gouvernement par le biais du renforcement des capacités techniques et opérationnelles des institutions et autres acteurs financiers pour la mise en place d'un cadre favorable pour un accès accru et inclusif des TPME, PME, Start up et société coopérative à des opportunités de financements adaptés De manière détaillée, il s’agit d’un (i) soutien financier de 260 000 $ et des équipements fournis à 19 PME pour favoriser l'entrepreneuriat local, (ii) d’un soutien à 1 000 producteurs pour accéder au crédit et améliorer la cohésion sociale grâce à l'approche du fonds de résilience, (iii) du financement de 13 projets financés, (iv) le soutien de 70 groupes villageois d'épargne et de crédit (GVEC), et l’organisation de deux concours de plans d'affaires. Dans la même perspective, plus de 70 sociétés coopératives et 76 jeunes femmes entrepreneurs ont reçu un appui. En outre, quatre-vingt-dix (90) PME ont été soutenues et environ 80 emplois, dont 20% occupés par des femmes ont été créés.</w:t>
      </w:r>
    </w:p>
    <w:p w14:paraId="4337FA4F" w14:textId="77777777" w:rsidR="00EA6DED" w:rsidRDefault="00EA6DED">
      <w:pPr>
        <w:pStyle w:val="Default"/>
        <w:jc w:val="both"/>
        <w:rPr>
          <w:rFonts w:ascii="Times New Roman" w:hAnsi="Times New Roman" w:cs="Times New Roman"/>
          <w:color w:val="ED7D31"/>
        </w:rPr>
      </w:pPr>
    </w:p>
    <w:p w14:paraId="4337FA50" w14:textId="77777777" w:rsidR="00EA6DED" w:rsidRDefault="007504AE">
      <w:pPr>
        <w:pStyle w:val="Default"/>
        <w:jc w:val="both"/>
        <w:rPr>
          <w:rFonts w:ascii="Times New Roman" w:hAnsi="Times New Roman" w:cs="Times New Roman"/>
          <w:color w:val="ED7D31"/>
        </w:rPr>
      </w:pPr>
      <w:r>
        <w:rPr>
          <w:rFonts w:ascii="Times New Roman" w:hAnsi="Times New Roman" w:cs="Times New Roman"/>
          <w:b/>
          <w:color w:val="0070C0"/>
        </w:rPr>
        <w:t>Analyse de la performance du produit 1.3 </w:t>
      </w:r>
      <w:r>
        <w:rPr>
          <w:rFonts w:ascii="Times New Roman" w:hAnsi="Times New Roman" w:cs="Times New Roman"/>
          <w:b/>
        </w:rPr>
        <w:t xml:space="preserve">: </w:t>
      </w:r>
      <w:r>
        <w:rPr>
          <w:rFonts w:ascii="Times New Roman" w:hAnsi="Times New Roman" w:cs="Times New Roman"/>
          <w:b/>
          <w:sz w:val="22"/>
          <w:szCs w:val="22"/>
        </w:rPr>
        <w:t>Les capacités des institutions, des TPME, des sociétés coopératives et des start-ups portées prioritairement par les jeunes, les femmes et les couches vulnérables sont renforcées pour une contribution effective à la transformation de l’économie</w:t>
      </w:r>
      <w:r>
        <w:rPr>
          <w:rFonts w:ascii="Times New Roman" w:hAnsi="Times New Roman" w:cs="Times New Roman"/>
          <w:sz w:val="22"/>
          <w:szCs w:val="22"/>
        </w:rPr>
        <w:t xml:space="preserve">. </w:t>
      </w:r>
    </w:p>
    <w:p w14:paraId="4337FA51" w14:textId="77777777" w:rsidR="00EA6DED" w:rsidRDefault="00EA6DED">
      <w:pPr>
        <w:pStyle w:val="Default"/>
        <w:jc w:val="both"/>
        <w:rPr>
          <w:rFonts w:ascii="Times New Roman" w:hAnsi="Times New Roman" w:cs="Times New Roman"/>
          <w:color w:val="ED7D31"/>
        </w:rPr>
      </w:pPr>
    </w:p>
    <w:p w14:paraId="4337FA52" w14:textId="77777777" w:rsidR="00EA6DED" w:rsidRDefault="007504AE">
      <w:pPr>
        <w:jc w:val="both"/>
      </w:pPr>
      <w:r>
        <w:t xml:space="preserve">Pour soutenir le gouvernement du Cameroun dans la conduite du processus de l’industrialisation afin d’atteindre l’objectif fixé par le SND30, le SNU met en œuvre des actions pour le renforcement des capacités des institutions, des très petites et moyennes entreprises, des sociétés coopératives et des start-ups, dirigées principalement par des jeunes, des femmes et des groupes vulnérables y compris les refugies, afin de contribuer efficacement à la transformation de l'économie. Parmi les initiatives développées, on note essentiellement (i) la formation de 150 formateurs (dont 40 femmes) aux outils d’entrepreneuriat, (ii) la formation de 177  facilitateurs (30 % de femmes) à l'agriculture intelligente face au climat et aux pratiques agricoles durables pour établir 109 écoles pratiques d'agriculture, (iii) la formation de 47 acteurs à la production agro-sylvo-pastorale durable à l'éducation nutritionnelle et à la sécurité alimentaire, (iv) la formation de 130 coopératives et 10 Groupes d'Initiative Commune (GIC) aux techniques de production et de transformation, (v)une formation technique dispensée à 4 000 réfugiés et membres des communautés hôtes en agroécologie et gestion des déchets agricoles. Par ailleurs, 130 PME et start-ups ont été soutenues à travers des incubateurs, et un hub d'innovation technologique a été créé. A cela s’ajoutent l’élaboration d’un plan de développement des compétences pour cinq métiers clés du secteur de la viande et la création de 4 517 emplois à travers les chaines de valeur (36%) de femmes. </w:t>
      </w:r>
    </w:p>
    <w:p w14:paraId="4337FA53" w14:textId="77777777" w:rsidR="00EA6DED" w:rsidRDefault="00EA6DED">
      <w:pPr>
        <w:pStyle w:val="Default"/>
        <w:jc w:val="both"/>
        <w:rPr>
          <w:rFonts w:ascii="Times New Roman" w:hAnsi="Times New Roman" w:cs="Times New Roman"/>
          <w:color w:val="ED7D31"/>
        </w:rPr>
      </w:pPr>
    </w:p>
    <w:p w14:paraId="4337FA54" w14:textId="77777777" w:rsidR="00EA6DED" w:rsidRDefault="007504AE">
      <w:pPr>
        <w:pStyle w:val="Default"/>
        <w:jc w:val="both"/>
        <w:rPr>
          <w:rFonts w:ascii="Times New Roman" w:hAnsi="Times New Roman" w:cs="Times New Roman"/>
          <w:b/>
          <w:sz w:val="22"/>
          <w:szCs w:val="22"/>
        </w:rPr>
      </w:pPr>
      <w:r>
        <w:rPr>
          <w:rFonts w:ascii="Times New Roman" w:hAnsi="Times New Roman" w:cs="Times New Roman"/>
          <w:b/>
          <w:color w:val="0070C0"/>
        </w:rPr>
        <w:t xml:space="preserve">Analyse de la performance du produit 1.4 : </w:t>
      </w:r>
      <w:r>
        <w:rPr>
          <w:rFonts w:ascii="Times New Roman" w:hAnsi="Times New Roman" w:cs="Times New Roman"/>
          <w:b/>
          <w:sz w:val="22"/>
          <w:szCs w:val="22"/>
        </w:rPr>
        <w:t>Les communautés économiques régionales et les cadres institutionnel, législatif et règlementaire nationaux sont renforcés pour une meilleure intégration des marchés et la promotion du libre-échange continental.</w:t>
      </w:r>
    </w:p>
    <w:p w14:paraId="4337FA55" w14:textId="77777777" w:rsidR="00EA6DED" w:rsidRDefault="00EA6DED">
      <w:pPr>
        <w:jc w:val="both"/>
        <w:rPr>
          <w:color w:val="ED7D31"/>
        </w:rPr>
      </w:pPr>
    </w:p>
    <w:p w14:paraId="4337FA56" w14:textId="77777777" w:rsidR="00EA6DED" w:rsidRDefault="007504AE">
      <w:pPr>
        <w:contextualSpacing/>
        <w:jc w:val="both"/>
      </w:pPr>
      <w:r>
        <w:lastRenderedPageBreak/>
        <w:t>Dans la perspective d’intensification des actions pour porter la Valeur Ajoutée Manufacturière (VAM) à 25% en 2030, mettre la part des exportations des produits manufacturiers à 54,5% et d’améliorer la part des exportations en direction de la CEMAC, le SNU a contribué au renforcement des communautés économiques régionales, à travers des cadres institutionnels, législatifs et réglementaires nationaux, pour une meilleure intégration des marchés et la promotion du commerce continental libre. Une stratégie multisectorielle de sécurité alimentaire a été élaborée et une plateforme représentant 20 000 pêcheurs artisanaux a été créée. 146 Institutions et PME ont été renforcées pour améliorer l’accès au marché d’exportation (ZLECAF, CEMAC, etc...) et trois coopératives ont été soutenues pour accéder à la Zone de libre-échange continentale africaine (ZLECAF). En outre le potentiel d'exportation pour les chaînes de valeur du maïs, du manioc et de la volaille a été identifié, et des opportunités d'accès au marché ont été ouvertes pour huit coopératives féminines.</w:t>
      </w:r>
    </w:p>
    <w:p w14:paraId="4337FA57" w14:textId="77777777" w:rsidR="00EA6DED" w:rsidRDefault="00EA6DED">
      <w:pPr>
        <w:jc w:val="both"/>
        <w:rPr>
          <w:color w:val="ED7D31"/>
        </w:rPr>
      </w:pPr>
    </w:p>
    <w:p w14:paraId="4337FA58" w14:textId="77777777" w:rsidR="00EA6DED" w:rsidRDefault="007504AE">
      <w:pPr>
        <w:jc w:val="both"/>
        <w:rPr>
          <w:b/>
        </w:rPr>
      </w:pPr>
      <w:r>
        <w:rPr>
          <w:b/>
          <w:color w:val="0070C0"/>
        </w:rPr>
        <w:t>Analyse de la performance du produit 1.5 </w:t>
      </w:r>
      <w:r>
        <w:rPr>
          <w:b/>
          <w:color w:val="000000"/>
        </w:rPr>
        <w:t xml:space="preserve">: </w:t>
      </w:r>
      <w:r>
        <w:rPr>
          <w:b/>
          <w:sz w:val="22"/>
          <w:szCs w:val="22"/>
        </w:rPr>
        <w:t xml:space="preserve">Le Plan </w:t>
      </w:r>
      <w:r>
        <w:rPr>
          <w:b/>
        </w:rPr>
        <w:t xml:space="preserve">directeur d’industrialisation est mis en œuvre </w:t>
      </w:r>
    </w:p>
    <w:p w14:paraId="4337FA59" w14:textId="77777777" w:rsidR="00EA6DED" w:rsidRDefault="00EA6DED">
      <w:pPr>
        <w:jc w:val="both"/>
        <w:rPr>
          <w:b/>
        </w:rPr>
      </w:pPr>
    </w:p>
    <w:p w14:paraId="4337FA5A" w14:textId="77777777" w:rsidR="00EA6DED" w:rsidRDefault="007504AE">
      <w:pPr>
        <w:jc w:val="both"/>
      </w:pPr>
      <w:r>
        <w:t xml:space="preserve">A l’effet de booster l’industrialisation visée par la SND30, le SNU a contribué à la révision et à la validation du Plan directeur d’industrialisation, y compris sa mise en œuvre à travers le soutien au secteur privé, la promotion de la bonne gouvernance, la promotion de l’intégration sous régionale, régionale et internationale et la mobilisation des partenariats stratégiques. </w:t>
      </w:r>
    </w:p>
    <w:p w14:paraId="4337FA5B" w14:textId="77777777" w:rsidR="00EA6DED" w:rsidRDefault="007504AE">
      <w:pPr>
        <w:pStyle w:val="NormalWeb"/>
        <w:jc w:val="both"/>
      </w:pPr>
      <w:r>
        <w:t xml:space="preserve">On peut cependant relever que les la mise en œuvre du Plan directeur d’industrialisation fait face à plusieurs défis dont (i) la persistance de la crise sécuritaire dans les régions de l'Extrême-Nord, du Nord-Ouest et du Sud-Ouest, (ii) les impacts du changement climatique (répartition inégale des pluies, inondations et augmentation des températures dans plusieurs zones du pays), (iii) la hausse des prix des intrants agricoles (engrais et produits phytosanitaires ..), (iv) le double choc externe provoqué par la pandémie de COVID-19 et l'invasion russe en Ukraine. </w:t>
      </w:r>
      <w:r>
        <w:rPr>
          <w:color w:val="000000"/>
          <w:szCs w:val="22"/>
        </w:rPr>
        <w:t>A cela s’ajoutent les enjeux de gouvernance qui nécessitent des actions robustes pour améliorer la compétitivité et l’attractivité du pays. En effet, avec un score de 42,9 en gouvernance globale (39</w:t>
      </w:r>
      <w:r>
        <w:rPr>
          <w:color w:val="000000"/>
          <w:szCs w:val="22"/>
          <w:vertAlign w:val="superscript"/>
        </w:rPr>
        <w:t>e</w:t>
      </w:r>
      <w:r>
        <w:rPr>
          <w:color w:val="000000"/>
          <w:szCs w:val="22"/>
        </w:rPr>
        <w:t xml:space="preserve"> sur 54 en Afrique), le Cameroun a un score inférieur à la moyenne continentale (49,3) et un index des fondements économiques (environnement des affaires, administration publique, infrastructures, économie rurale) en dessous de la moyenne (47.1/100), une perception d’égalité devant la loi très faible (15,7/100) et un index de développement humain (santé, éducation, protection sociale et accès services sociaux en dessous de la moyenne (48,7/1)</w:t>
      </w:r>
      <w:r>
        <w:rPr>
          <w:color w:val="000000"/>
          <w:szCs w:val="22"/>
          <w:vertAlign w:val="superscript"/>
        </w:rPr>
        <w:footnoteReference w:id="63"/>
      </w:r>
      <w:r>
        <w:rPr>
          <w:color w:val="000000"/>
          <w:szCs w:val="22"/>
        </w:rPr>
        <w:t>. Selon le dernier rapport de la Conférence des Nations Unies sur le Commerce et le Développement (CNUCED), le pays peine à tirer profit du flux des capitaux extérieurs à cause du mauvais climat d’affaires, entretenu par la corruption, la faible croissance économique, l'insécurité juridique et foncière ou des difficultés administratives</w:t>
      </w:r>
      <w:r>
        <w:rPr>
          <w:color w:val="000000"/>
          <w:szCs w:val="22"/>
          <w:vertAlign w:val="superscript"/>
        </w:rPr>
        <w:footnoteReference w:id="64"/>
      </w:r>
      <w:r>
        <w:rPr>
          <w:color w:val="000000"/>
          <w:szCs w:val="22"/>
          <w:vertAlign w:val="superscript"/>
        </w:rPr>
        <w:t>.</w:t>
      </w:r>
    </w:p>
    <w:p w14:paraId="4337FA5C" w14:textId="77777777" w:rsidR="00EA6DED" w:rsidRDefault="00EA6DED">
      <w:pPr>
        <w:jc w:val="both"/>
      </w:pPr>
    </w:p>
    <w:p w14:paraId="4337FA5D" w14:textId="77777777" w:rsidR="00EA6DED" w:rsidRDefault="007504AE">
      <w:pPr>
        <w:shd w:val="clear" w:color="auto" w:fill="A8D08D"/>
        <w:contextualSpacing/>
        <w:jc w:val="both"/>
        <w:rPr>
          <w:b/>
          <w:bCs/>
          <w:szCs w:val="22"/>
        </w:rPr>
      </w:pPr>
      <w:r>
        <w:rPr>
          <w:b/>
          <w:bCs/>
          <w:szCs w:val="22"/>
        </w:rPr>
        <w:t>Priorité stratégique 2 : Développement humain et social : services sociaux de base de qualité, égalité des sexes et autonomisation des jeunes, des femmes et des filles</w:t>
      </w:r>
    </w:p>
    <w:p w14:paraId="4337FA5E" w14:textId="77777777" w:rsidR="00EA6DED" w:rsidRDefault="00EA6DED">
      <w:pPr>
        <w:pStyle w:val="NormalWeb"/>
        <w:spacing w:before="0" w:beforeAutospacing="0" w:after="0" w:afterAutospacing="0"/>
        <w:contextualSpacing/>
        <w:jc w:val="both"/>
        <w:rPr>
          <w:rFonts w:eastAsia="Verdana"/>
          <w:bCs/>
          <w:color w:val="000000"/>
        </w:rPr>
      </w:pPr>
    </w:p>
    <w:p w14:paraId="4337FA5F" w14:textId="77777777" w:rsidR="00EA6DED" w:rsidRDefault="007504AE">
      <w:pPr>
        <w:pStyle w:val="NormalWeb"/>
        <w:shd w:val="clear" w:color="auto" w:fill="FFF2CC"/>
        <w:spacing w:before="0" w:beforeAutospacing="0" w:after="0" w:afterAutospacing="0"/>
        <w:contextualSpacing/>
        <w:jc w:val="both"/>
      </w:pPr>
      <w:r>
        <w:rPr>
          <w:rFonts w:eastAsia="Verdana"/>
          <w:bCs/>
          <w:color w:val="000000"/>
        </w:rPr>
        <w:t>Réalisation 2.1 (Effet 2.1)</w:t>
      </w:r>
      <w:r>
        <w:rPr>
          <w:rFonts w:eastAsia="Arial"/>
          <w:iCs/>
          <w:color w:val="000000"/>
        </w:rPr>
        <w:t xml:space="preserve"> : D’ici</w:t>
      </w:r>
      <w:r>
        <w:rPr>
          <w:b/>
          <w:bCs/>
        </w:rPr>
        <w:t xml:space="preserve"> à 2026, davantage de personnes, par tranche d’âge, particulièrement les plus vulnérables, y compris les réfugiés et les PDI, utilisent des services sociaux de base de qualité́ de façon équitable et durable pour réaliser leur plein potentiel humain et accroitre leur bien-être social et économique. </w:t>
      </w:r>
      <w:r>
        <w:rPr>
          <w:color w:val="000000"/>
        </w:rPr>
        <w:t>(ODD 1, 2, 3, 4, 5, 6, 8, 9, 10, 11, 12, 16, 17 par BIT, FAO, HCDH, HCR, OIM, OMS, ONU Femmes, ONU-Habitat, ONUSIDA, PAM, PNUD, UNESCO, UNFPA, UNICEF, UNOPS, VNU)</w:t>
      </w:r>
    </w:p>
    <w:p w14:paraId="4337FA60" w14:textId="77777777" w:rsidR="00EA6DED" w:rsidRDefault="00EA6DED">
      <w:pPr>
        <w:jc w:val="both"/>
      </w:pPr>
    </w:p>
    <w:p w14:paraId="4337FA61" w14:textId="77777777" w:rsidR="00EA6DED" w:rsidRDefault="00EA6DED">
      <w:pPr>
        <w:jc w:val="both"/>
      </w:pPr>
    </w:p>
    <w:p w14:paraId="4337FA62" w14:textId="77777777" w:rsidR="00EA6DED" w:rsidRDefault="007504AE">
      <w:pPr>
        <w:pStyle w:val="Lgende"/>
        <w:rPr>
          <w:sz w:val="20"/>
          <w:szCs w:val="20"/>
        </w:rPr>
      </w:pPr>
      <w:r>
        <w:rPr>
          <w:sz w:val="20"/>
          <w:szCs w:val="20"/>
        </w:rPr>
        <w:t xml:space="preserve">Tableau </w:t>
      </w:r>
      <w:r>
        <w:rPr>
          <w:sz w:val="20"/>
          <w:szCs w:val="20"/>
        </w:rPr>
        <w:fldChar w:fldCharType="begin"/>
      </w:r>
      <w:r>
        <w:rPr>
          <w:sz w:val="20"/>
          <w:szCs w:val="20"/>
        </w:rPr>
        <w:instrText xml:space="preserve"> SEQ Tableau \* ARABIC </w:instrText>
      </w:r>
      <w:r>
        <w:rPr>
          <w:sz w:val="20"/>
          <w:szCs w:val="20"/>
        </w:rPr>
        <w:fldChar w:fldCharType="separate"/>
      </w:r>
      <w:r>
        <w:rPr>
          <w:sz w:val="20"/>
          <w:szCs w:val="20"/>
        </w:rPr>
        <w:t>4</w:t>
      </w:r>
      <w:r>
        <w:rPr>
          <w:sz w:val="20"/>
          <w:szCs w:val="20"/>
        </w:rPr>
        <w:fldChar w:fldCharType="end"/>
      </w:r>
      <w:bookmarkStart w:id="124" w:name="_Toc20382"/>
      <w:r>
        <w:rPr>
          <w:sz w:val="20"/>
          <w:szCs w:val="20"/>
        </w:rPr>
        <w:t>: État des indicateurs de Réalisation 2.1</w:t>
      </w:r>
      <w:bookmarkEnd w:id="124"/>
    </w:p>
    <w:p w14:paraId="4337FA63" w14:textId="77777777" w:rsidR="00EA6DED" w:rsidRDefault="00EA6DED">
      <w:pPr>
        <w:jc w:val="both"/>
      </w:pPr>
    </w:p>
    <w:tbl>
      <w:tblPr>
        <w:tblW w:w="10279" w:type="dxa"/>
        <w:jc w:val="center"/>
        <w:tblLayout w:type="fixed"/>
        <w:tblLook w:val="04A0" w:firstRow="1" w:lastRow="0" w:firstColumn="1" w:lastColumn="0" w:noHBand="0" w:noVBand="1"/>
      </w:tblPr>
      <w:tblGrid>
        <w:gridCol w:w="2689"/>
        <w:gridCol w:w="1275"/>
        <w:gridCol w:w="993"/>
        <w:gridCol w:w="1417"/>
        <w:gridCol w:w="2835"/>
        <w:gridCol w:w="1070"/>
      </w:tblGrid>
      <w:tr w:rsidR="00EA6DED" w14:paraId="4337FA6A" w14:textId="77777777">
        <w:trPr>
          <w:trHeight w:val="341"/>
          <w:tblHeader/>
          <w:jc w:val="center"/>
        </w:trPr>
        <w:tc>
          <w:tcPr>
            <w:tcW w:w="2689" w:type="dxa"/>
            <w:vMerge w:val="restart"/>
            <w:tcBorders>
              <w:top w:val="single" w:sz="4" w:space="0" w:color="auto"/>
              <w:left w:val="single" w:sz="4" w:space="0" w:color="auto"/>
              <w:bottom w:val="single" w:sz="4" w:space="0" w:color="auto"/>
              <w:right w:val="single" w:sz="4" w:space="0" w:color="auto"/>
            </w:tcBorders>
            <w:shd w:val="clear" w:color="000000" w:fill="D9E1F2"/>
          </w:tcPr>
          <w:p w14:paraId="4337FA64" w14:textId="77777777" w:rsidR="00EA6DED" w:rsidRDefault="007504AE">
            <w:pPr>
              <w:jc w:val="center"/>
              <w:rPr>
                <w:sz w:val="20"/>
                <w:szCs w:val="22"/>
              </w:rPr>
            </w:pPr>
            <w:r>
              <w:rPr>
                <w:sz w:val="20"/>
                <w:szCs w:val="22"/>
              </w:rPr>
              <w:lastRenderedPageBreak/>
              <w:t xml:space="preserve">Indicateurs </w:t>
            </w:r>
          </w:p>
        </w:tc>
        <w:tc>
          <w:tcPr>
            <w:tcW w:w="1275" w:type="dxa"/>
            <w:vMerge w:val="restart"/>
            <w:tcBorders>
              <w:top w:val="single" w:sz="4" w:space="0" w:color="auto"/>
              <w:left w:val="single" w:sz="4" w:space="0" w:color="auto"/>
              <w:bottom w:val="single" w:sz="4" w:space="0" w:color="auto"/>
              <w:right w:val="single" w:sz="4" w:space="0" w:color="auto"/>
            </w:tcBorders>
            <w:shd w:val="clear" w:color="000000" w:fill="D9E1F2"/>
          </w:tcPr>
          <w:p w14:paraId="4337FA65" w14:textId="77777777" w:rsidR="00EA6DED" w:rsidRDefault="007504AE">
            <w:pPr>
              <w:jc w:val="center"/>
              <w:rPr>
                <w:sz w:val="20"/>
                <w:szCs w:val="22"/>
              </w:rPr>
            </w:pPr>
            <w:r>
              <w:rPr>
                <w:sz w:val="20"/>
                <w:szCs w:val="22"/>
              </w:rPr>
              <w:t xml:space="preserve">Baseline </w:t>
            </w:r>
          </w:p>
        </w:tc>
        <w:tc>
          <w:tcPr>
            <w:tcW w:w="993" w:type="dxa"/>
            <w:vMerge w:val="restart"/>
            <w:tcBorders>
              <w:top w:val="single" w:sz="4" w:space="0" w:color="auto"/>
              <w:left w:val="single" w:sz="4" w:space="0" w:color="auto"/>
              <w:bottom w:val="single" w:sz="4" w:space="0" w:color="auto"/>
              <w:right w:val="single" w:sz="4" w:space="0" w:color="auto"/>
            </w:tcBorders>
            <w:shd w:val="clear" w:color="000000" w:fill="D9E1F2"/>
          </w:tcPr>
          <w:p w14:paraId="4337FA66" w14:textId="77777777" w:rsidR="00EA6DED" w:rsidRDefault="007504AE">
            <w:pPr>
              <w:jc w:val="center"/>
              <w:rPr>
                <w:sz w:val="20"/>
                <w:szCs w:val="22"/>
              </w:rPr>
            </w:pPr>
            <w:r>
              <w:rPr>
                <w:sz w:val="20"/>
                <w:szCs w:val="22"/>
              </w:rPr>
              <w:t>Cible 2026</w:t>
            </w:r>
          </w:p>
        </w:tc>
        <w:tc>
          <w:tcPr>
            <w:tcW w:w="1417" w:type="dxa"/>
            <w:vMerge w:val="restart"/>
            <w:tcBorders>
              <w:top w:val="single" w:sz="4" w:space="0" w:color="auto"/>
              <w:left w:val="single" w:sz="4" w:space="0" w:color="auto"/>
              <w:bottom w:val="single" w:sz="4" w:space="0" w:color="auto"/>
              <w:right w:val="single" w:sz="4" w:space="0" w:color="auto"/>
            </w:tcBorders>
            <w:shd w:val="clear" w:color="000000" w:fill="D9E1F2"/>
          </w:tcPr>
          <w:p w14:paraId="4337FA67" w14:textId="77777777" w:rsidR="00EA6DED" w:rsidRDefault="007504AE">
            <w:pPr>
              <w:jc w:val="center"/>
              <w:rPr>
                <w:sz w:val="20"/>
                <w:szCs w:val="22"/>
              </w:rPr>
            </w:pPr>
            <w:r>
              <w:rPr>
                <w:sz w:val="20"/>
                <w:szCs w:val="22"/>
              </w:rPr>
              <w:t xml:space="preserve">Réalisation 2024 </w:t>
            </w:r>
          </w:p>
        </w:tc>
        <w:tc>
          <w:tcPr>
            <w:tcW w:w="2835" w:type="dxa"/>
            <w:vMerge w:val="restart"/>
            <w:tcBorders>
              <w:top w:val="single" w:sz="4" w:space="0" w:color="auto"/>
              <w:left w:val="single" w:sz="4" w:space="0" w:color="auto"/>
              <w:bottom w:val="single" w:sz="4" w:space="0" w:color="auto"/>
              <w:right w:val="single" w:sz="4" w:space="0" w:color="auto"/>
            </w:tcBorders>
            <w:shd w:val="clear" w:color="000000" w:fill="D9E1F2"/>
          </w:tcPr>
          <w:p w14:paraId="4337FA68" w14:textId="77777777" w:rsidR="00EA6DED" w:rsidRDefault="007504AE">
            <w:pPr>
              <w:jc w:val="center"/>
              <w:rPr>
                <w:sz w:val="20"/>
                <w:szCs w:val="22"/>
              </w:rPr>
            </w:pPr>
            <w:r>
              <w:rPr>
                <w:sz w:val="20"/>
                <w:szCs w:val="22"/>
              </w:rPr>
              <w:t>Commentaires</w:t>
            </w:r>
          </w:p>
        </w:tc>
        <w:tc>
          <w:tcPr>
            <w:tcW w:w="1070" w:type="dxa"/>
            <w:vMerge w:val="restart"/>
            <w:tcBorders>
              <w:top w:val="single" w:sz="4" w:space="0" w:color="auto"/>
              <w:left w:val="single" w:sz="4" w:space="0" w:color="auto"/>
              <w:bottom w:val="single" w:sz="4" w:space="0" w:color="auto"/>
              <w:right w:val="single" w:sz="4" w:space="0" w:color="auto"/>
            </w:tcBorders>
            <w:shd w:val="clear" w:color="000000" w:fill="D9E1F2"/>
          </w:tcPr>
          <w:p w14:paraId="4337FA69" w14:textId="77777777" w:rsidR="00EA6DED" w:rsidRDefault="007504AE">
            <w:pPr>
              <w:rPr>
                <w:sz w:val="20"/>
                <w:szCs w:val="22"/>
              </w:rPr>
            </w:pPr>
            <w:r>
              <w:rPr>
                <w:sz w:val="20"/>
                <w:szCs w:val="22"/>
              </w:rPr>
              <w:t>Sources</w:t>
            </w:r>
          </w:p>
        </w:tc>
      </w:tr>
      <w:tr w:rsidR="00EA6DED" w14:paraId="4337FA71" w14:textId="77777777">
        <w:trPr>
          <w:trHeight w:val="256"/>
          <w:tblHeader/>
          <w:jc w:val="center"/>
        </w:trPr>
        <w:tc>
          <w:tcPr>
            <w:tcW w:w="2689" w:type="dxa"/>
            <w:vMerge/>
            <w:tcBorders>
              <w:top w:val="single" w:sz="4" w:space="0" w:color="auto"/>
              <w:left w:val="single" w:sz="4" w:space="0" w:color="auto"/>
              <w:bottom w:val="single" w:sz="4" w:space="0" w:color="auto"/>
              <w:right w:val="single" w:sz="4" w:space="0" w:color="auto"/>
            </w:tcBorders>
          </w:tcPr>
          <w:p w14:paraId="4337FA6B" w14:textId="77777777" w:rsidR="00EA6DED" w:rsidRDefault="00EA6DED">
            <w:pPr>
              <w:rPr>
                <w:sz w:val="20"/>
                <w:szCs w:val="22"/>
              </w:rPr>
            </w:pPr>
          </w:p>
        </w:tc>
        <w:tc>
          <w:tcPr>
            <w:tcW w:w="1275" w:type="dxa"/>
            <w:vMerge/>
            <w:tcBorders>
              <w:top w:val="single" w:sz="4" w:space="0" w:color="auto"/>
              <w:left w:val="single" w:sz="4" w:space="0" w:color="auto"/>
              <w:bottom w:val="single" w:sz="4" w:space="0" w:color="auto"/>
              <w:right w:val="single" w:sz="4" w:space="0" w:color="auto"/>
            </w:tcBorders>
          </w:tcPr>
          <w:p w14:paraId="4337FA6C" w14:textId="77777777" w:rsidR="00EA6DED" w:rsidRDefault="00EA6DED">
            <w:pPr>
              <w:rPr>
                <w:sz w:val="20"/>
                <w:szCs w:val="22"/>
              </w:rPr>
            </w:pPr>
          </w:p>
        </w:tc>
        <w:tc>
          <w:tcPr>
            <w:tcW w:w="993" w:type="dxa"/>
            <w:vMerge/>
            <w:tcBorders>
              <w:top w:val="single" w:sz="4" w:space="0" w:color="auto"/>
              <w:left w:val="single" w:sz="4" w:space="0" w:color="auto"/>
              <w:bottom w:val="single" w:sz="4" w:space="0" w:color="auto"/>
              <w:right w:val="single" w:sz="4" w:space="0" w:color="auto"/>
            </w:tcBorders>
          </w:tcPr>
          <w:p w14:paraId="4337FA6D" w14:textId="77777777" w:rsidR="00EA6DED" w:rsidRDefault="00EA6DED">
            <w:pPr>
              <w:rPr>
                <w:sz w:val="20"/>
                <w:szCs w:val="22"/>
              </w:rPr>
            </w:pPr>
          </w:p>
        </w:tc>
        <w:tc>
          <w:tcPr>
            <w:tcW w:w="1417" w:type="dxa"/>
            <w:vMerge/>
            <w:tcBorders>
              <w:top w:val="single" w:sz="4" w:space="0" w:color="auto"/>
              <w:left w:val="single" w:sz="4" w:space="0" w:color="auto"/>
              <w:bottom w:val="single" w:sz="4" w:space="0" w:color="auto"/>
              <w:right w:val="single" w:sz="4" w:space="0" w:color="auto"/>
            </w:tcBorders>
          </w:tcPr>
          <w:p w14:paraId="4337FA6E" w14:textId="77777777" w:rsidR="00EA6DED" w:rsidRDefault="00EA6DED">
            <w:pPr>
              <w:rPr>
                <w:sz w:val="20"/>
                <w:szCs w:val="22"/>
              </w:rPr>
            </w:pPr>
          </w:p>
        </w:tc>
        <w:tc>
          <w:tcPr>
            <w:tcW w:w="2835" w:type="dxa"/>
            <w:vMerge/>
            <w:tcBorders>
              <w:top w:val="single" w:sz="4" w:space="0" w:color="auto"/>
              <w:left w:val="single" w:sz="4" w:space="0" w:color="auto"/>
              <w:bottom w:val="single" w:sz="4" w:space="0" w:color="auto"/>
              <w:right w:val="single" w:sz="4" w:space="0" w:color="auto"/>
            </w:tcBorders>
          </w:tcPr>
          <w:p w14:paraId="4337FA6F" w14:textId="77777777" w:rsidR="00EA6DED" w:rsidRDefault="00EA6DED">
            <w:pPr>
              <w:rPr>
                <w:sz w:val="20"/>
                <w:szCs w:val="22"/>
              </w:rPr>
            </w:pPr>
          </w:p>
        </w:tc>
        <w:tc>
          <w:tcPr>
            <w:tcW w:w="1070" w:type="dxa"/>
            <w:vMerge/>
            <w:tcBorders>
              <w:top w:val="single" w:sz="4" w:space="0" w:color="auto"/>
              <w:left w:val="single" w:sz="4" w:space="0" w:color="auto"/>
              <w:bottom w:val="single" w:sz="4" w:space="0" w:color="auto"/>
              <w:right w:val="single" w:sz="4" w:space="0" w:color="auto"/>
            </w:tcBorders>
          </w:tcPr>
          <w:p w14:paraId="4337FA70" w14:textId="77777777" w:rsidR="00EA6DED" w:rsidRDefault="00EA6DED">
            <w:pPr>
              <w:rPr>
                <w:sz w:val="20"/>
                <w:szCs w:val="22"/>
              </w:rPr>
            </w:pPr>
          </w:p>
        </w:tc>
      </w:tr>
      <w:tr w:rsidR="00EA6DED" w14:paraId="4337FA78" w14:textId="77777777">
        <w:trPr>
          <w:trHeight w:val="489"/>
          <w:jc w:val="center"/>
        </w:trPr>
        <w:tc>
          <w:tcPr>
            <w:tcW w:w="2689" w:type="dxa"/>
            <w:tcBorders>
              <w:top w:val="nil"/>
              <w:left w:val="single" w:sz="4" w:space="0" w:color="auto"/>
              <w:bottom w:val="single" w:sz="4" w:space="0" w:color="auto"/>
              <w:right w:val="single" w:sz="4" w:space="0" w:color="auto"/>
            </w:tcBorders>
            <w:shd w:val="clear" w:color="000000" w:fill="B4C6E7"/>
          </w:tcPr>
          <w:p w14:paraId="4337FA72" w14:textId="77777777" w:rsidR="00EA6DED" w:rsidRDefault="007504AE">
            <w:pPr>
              <w:rPr>
                <w:sz w:val="20"/>
                <w:szCs w:val="22"/>
              </w:rPr>
            </w:pPr>
            <w:r>
              <w:rPr>
                <w:sz w:val="20"/>
                <w:szCs w:val="22"/>
              </w:rPr>
              <w:t>Indicateur d’Effet 2.1.1. Indice national de capital humain</w:t>
            </w:r>
          </w:p>
        </w:tc>
        <w:tc>
          <w:tcPr>
            <w:tcW w:w="1275" w:type="dxa"/>
            <w:tcBorders>
              <w:top w:val="nil"/>
              <w:left w:val="nil"/>
              <w:bottom w:val="single" w:sz="4" w:space="0" w:color="auto"/>
              <w:right w:val="single" w:sz="4" w:space="0" w:color="auto"/>
            </w:tcBorders>
            <w:noWrap/>
          </w:tcPr>
          <w:p w14:paraId="4337FA73" w14:textId="77777777" w:rsidR="00EA6DED" w:rsidRDefault="007504AE">
            <w:pPr>
              <w:rPr>
                <w:sz w:val="20"/>
                <w:szCs w:val="22"/>
              </w:rPr>
            </w:pPr>
            <w:r>
              <w:rPr>
                <w:sz w:val="20"/>
                <w:szCs w:val="22"/>
              </w:rPr>
              <w:t xml:space="preserve"> 0,39 (2017)</w:t>
            </w:r>
          </w:p>
        </w:tc>
        <w:tc>
          <w:tcPr>
            <w:tcW w:w="993" w:type="dxa"/>
            <w:tcBorders>
              <w:top w:val="nil"/>
              <w:left w:val="nil"/>
              <w:bottom w:val="single" w:sz="4" w:space="0" w:color="auto"/>
              <w:right w:val="single" w:sz="4" w:space="0" w:color="auto"/>
            </w:tcBorders>
            <w:noWrap/>
          </w:tcPr>
          <w:p w14:paraId="4337FA74" w14:textId="77777777" w:rsidR="00EA6DED" w:rsidRDefault="007504AE">
            <w:pPr>
              <w:rPr>
                <w:sz w:val="20"/>
                <w:szCs w:val="22"/>
              </w:rPr>
            </w:pPr>
            <w:r>
              <w:rPr>
                <w:sz w:val="20"/>
                <w:szCs w:val="22"/>
              </w:rPr>
              <w:t>0,45</w:t>
            </w:r>
          </w:p>
        </w:tc>
        <w:tc>
          <w:tcPr>
            <w:tcW w:w="1417" w:type="dxa"/>
            <w:tcBorders>
              <w:top w:val="nil"/>
              <w:left w:val="nil"/>
              <w:bottom w:val="single" w:sz="4" w:space="0" w:color="auto"/>
              <w:right w:val="single" w:sz="4" w:space="0" w:color="auto"/>
            </w:tcBorders>
            <w:shd w:val="clear" w:color="auto" w:fill="F7CAAC"/>
          </w:tcPr>
          <w:p w14:paraId="4337FA75" w14:textId="77777777" w:rsidR="00EA6DED" w:rsidRDefault="007504AE">
            <w:pPr>
              <w:rPr>
                <w:sz w:val="20"/>
                <w:szCs w:val="22"/>
              </w:rPr>
            </w:pPr>
            <w:r>
              <w:rPr>
                <w:sz w:val="20"/>
                <w:szCs w:val="22"/>
              </w:rPr>
              <w:t> 0,40 (2020)</w:t>
            </w:r>
          </w:p>
        </w:tc>
        <w:tc>
          <w:tcPr>
            <w:tcW w:w="2835" w:type="dxa"/>
            <w:tcBorders>
              <w:top w:val="nil"/>
              <w:left w:val="nil"/>
              <w:bottom w:val="single" w:sz="4" w:space="0" w:color="auto"/>
              <w:right w:val="single" w:sz="4" w:space="0" w:color="auto"/>
            </w:tcBorders>
            <w:shd w:val="clear" w:color="000000" w:fill="FFFFFF"/>
          </w:tcPr>
          <w:p w14:paraId="4337FA76" w14:textId="77777777" w:rsidR="00EA6DED" w:rsidRDefault="007504AE">
            <w:pPr>
              <w:rPr>
                <w:sz w:val="20"/>
                <w:szCs w:val="22"/>
              </w:rPr>
            </w:pPr>
            <w:r>
              <w:rPr>
                <w:sz w:val="20"/>
                <w:szCs w:val="22"/>
              </w:rPr>
              <w:t xml:space="preserve">Les contributions des NU sont assez visibles en matière de santé et de l’éducation dans les Produits 2.1.1, 2.1.2, 2.1.3 et 2.1.4. Cependant, des efforts restent à  poursuivre au niveau national  avec toutes les parties prenantes de l’éducation et de la santé pour atteindre la cible de 2026 </w:t>
            </w:r>
          </w:p>
        </w:tc>
        <w:tc>
          <w:tcPr>
            <w:tcW w:w="1070" w:type="dxa"/>
            <w:tcBorders>
              <w:top w:val="nil"/>
              <w:left w:val="nil"/>
              <w:bottom w:val="single" w:sz="4" w:space="0" w:color="auto"/>
              <w:right w:val="single" w:sz="4" w:space="0" w:color="auto"/>
            </w:tcBorders>
            <w:shd w:val="clear" w:color="000000" w:fill="FFFFFF"/>
          </w:tcPr>
          <w:p w14:paraId="4337FA77" w14:textId="77777777" w:rsidR="00EA6DED" w:rsidRDefault="007504AE">
            <w:pPr>
              <w:rPr>
                <w:sz w:val="20"/>
                <w:szCs w:val="22"/>
              </w:rPr>
            </w:pPr>
            <w:r>
              <w:rPr>
                <w:sz w:val="20"/>
                <w:szCs w:val="22"/>
              </w:rPr>
              <w:t>Banque mondiale</w:t>
            </w:r>
            <w:r>
              <w:rPr>
                <w:sz w:val="20"/>
                <w:vertAlign w:val="superscript"/>
              </w:rPr>
              <w:footnoteReference w:id="65"/>
            </w:r>
          </w:p>
        </w:tc>
      </w:tr>
      <w:tr w:rsidR="00EA6DED" w14:paraId="4337FA7F" w14:textId="77777777">
        <w:trPr>
          <w:trHeight w:val="489"/>
          <w:jc w:val="center"/>
        </w:trPr>
        <w:tc>
          <w:tcPr>
            <w:tcW w:w="2689" w:type="dxa"/>
            <w:tcBorders>
              <w:top w:val="nil"/>
              <w:left w:val="single" w:sz="4" w:space="0" w:color="auto"/>
              <w:bottom w:val="single" w:sz="4" w:space="0" w:color="auto"/>
              <w:right w:val="single" w:sz="4" w:space="0" w:color="auto"/>
            </w:tcBorders>
            <w:shd w:val="clear" w:color="000000" w:fill="B4C6E7"/>
          </w:tcPr>
          <w:p w14:paraId="4337FA79" w14:textId="77777777" w:rsidR="00EA6DED" w:rsidRDefault="007504AE">
            <w:pPr>
              <w:rPr>
                <w:sz w:val="20"/>
                <w:szCs w:val="22"/>
              </w:rPr>
            </w:pPr>
            <w:r>
              <w:rPr>
                <w:sz w:val="20"/>
                <w:szCs w:val="22"/>
              </w:rPr>
              <w:t>Indicateur d’Effet 2.1.2 : Proportion de la population bénéficiant d’une assurance ou d’une couverture santé</w:t>
            </w:r>
          </w:p>
        </w:tc>
        <w:tc>
          <w:tcPr>
            <w:tcW w:w="1275" w:type="dxa"/>
            <w:tcBorders>
              <w:top w:val="nil"/>
              <w:left w:val="nil"/>
              <w:bottom w:val="single" w:sz="4" w:space="0" w:color="auto"/>
              <w:right w:val="single" w:sz="4" w:space="0" w:color="auto"/>
            </w:tcBorders>
            <w:noWrap/>
          </w:tcPr>
          <w:p w14:paraId="4337FA7A" w14:textId="77777777" w:rsidR="00EA6DED" w:rsidRDefault="007504AE">
            <w:pPr>
              <w:rPr>
                <w:sz w:val="20"/>
                <w:szCs w:val="22"/>
              </w:rPr>
            </w:pPr>
            <w:r>
              <w:rPr>
                <w:sz w:val="20"/>
                <w:szCs w:val="22"/>
              </w:rPr>
              <w:t xml:space="preserve"> 22% (2018)</w:t>
            </w:r>
          </w:p>
        </w:tc>
        <w:tc>
          <w:tcPr>
            <w:tcW w:w="993" w:type="dxa"/>
            <w:tcBorders>
              <w:top w:val="nil"/>
              <w:left w:val="nil"/>
              <w:bottom w:val="single" w:sz="4" w:space="0" w:color="auto"/>
              <w:right w:val="single" w:sz="4" w:space="0" w:color="auto"/>
            </w:tcBorders>
            <w:noWrap/>
          </w:tcPr>
          <w:p w14:paraId="4337FA7B" w14:textId="77777777" w:rsidR="00EA6DED" w:rsidRDefault="007504AE">
            <w:pPr>
              <w:rPr>
                <w:sz w:val="20"/>
                <w:szCs w:val="22"/>
              </w:rPr>
            </w:pPr>
            <w:r>
              <w:rPr>
                <w:sz w:val="20"/>
                <w:szCs w:val="22"/>
              </w:rPr>
              <w:t>&gt; 50%</w:t>
            </w:r>
          </w:p>
        </w:tc>
        <w:tc>
          <w:tcPr>
            <w:tcW w:w="1417" w:type="dxa"/>
            <w:tcBorders>
              <w:top w:val="nil"/>
              <w:left w:val="nil"/>
              <w:bottom w:val="single" w:sz="4" w:space="0" w:color="auto"/>
              <w:right w:val="single" w:sz="4" w:space="0" w:color="auto"/>
            </w:tcBorders>
            <w:shd w:val="clear" w:color="000000" w:fill="FFFFFF"/>
          </w:tcPr>
          <w:p w14:paraId="4337FA7C" w14:textId="77777777" w:rsidR="00EA6DED" w:rsidRDefault="007504AE">
            <w:pPr>
              <w:rPr>
                <w:sz w:val="20"/>
                <w:szCs w:val="22"/>
              </w:rPr>
            </w:pPr>
            <w:r>
              <w:rPr>
                <w:sz w:val="20"/>
                <w:szCs w:val="22"/>
              </w:rPr>
              <w:t xml:space="preserve">2 000 000 enrôlés </w:t>
            </w:r>
          </w:p>
        </w:tc>
        <w:tc>
          <w:tcPr>
            <w:tcW w:w="2835" w:type="dxa"/>
            <w:tcBorders>
              <w:top w:val="nil"/>
              <w:left w:val="nil"/>
              <w:bottom w:val="single" w:sz="4" w:space="0" w:color="auto"/>
              <w:right w:val="single" w:sz="4" w:space="0" w:color="auto"/>
            </w:tcBorders>
            <w:shd w:val="clear" w:color="000000" w:fill="FFFFFF"/>
          </w:tcPr>
          <w:p w14:paraId="4337FA7D" w14:textId="77777777" w:rsidR="00EA6DED" w:rsidRDefault="007504AE">
            <w:pPr>
              <w:rPr>
                <w:sz w:val="20"/>
                <w:szCs w:val="22"/>
              </w:rPr>
            </w:pPr>
            <w:r>
              <w:rPr>
                <w:sz w:val="20"/>
                <w:szCs w:val="22"/>
              </w:rPr>
              <w:t>Le résultat en proportion n’est pas disponible, mais le nombre de personnes enrôlées traduit un effort contributif important des NU en matière de couverture sanitaire</w:t>
            </w:r>
          </w:p>
        </w:tc>
        <w:tc>
          <w:tcPr>
            <w:tcW w:w="1070" w:type="dxa"/>
            <w:tcBorders>
              <w:top w:val="nil"/>
              <w:left w:val="nil"/>
              <w:bottom w:val="single" w:sz="4" w:space="0" w:color="auto"/>
              <w:right w:val="single" w:sz="4" w:space="0" w:color="auto"/>
            </w:tcBorders>
            <w:shd w:val="clear" w:color="000000" w:fill="FFFFFF"/>
          </w:tcPr>
          <w:p w14:paraId="4337FA7E" w14:textId="77777777" w:rsidR="00EA6DED" w:rsidRDefault="007504AE">
            <w:pPr>
              <w:rPr>
                <w:sz w:val="20"/>
                <w:szCs w:val="22"/>
              </w:rPr>
            </w:pPr>
            <w:r>
              <w:rPr>
                <w:sz w:val="20"/>
                <w:szCs w:val="22"/>
              </w:rPr>
              <w:t> OMS</w:t>
            </w:r>
            <w:r>
              <w:rPr>
                <w:sz w:val="20"/>
                <w:vertAlign w:val="superscript"/>
              </w:rPr>
              <w:footnoteReference w:id="66"/>
            </w:r>
          </w:p>
        </w:tc>
      </w:tr>
      <w:tr w:rsidR="00EA6DED" w14:paraId="4337FA87" w14:textId="77777777">
        <w:trPr>
          <w:trHeight w:val="489"/>
          <w:jc w:val="center"/>
        </w:trPr>
        <w:tc>
          <w:tcPr>
            <w:tcW w:w="2689" w:type="dxa"/>
            <w:tcBorders>
              <w:top w:val="nil"/>
              <w:left w:val="single" w:sz="4" w:space="0" w:color="auto"/>
              <w:bottom w:val="single" w:sz="4" w:space="0" w:color="auto"/>
              <w:right w:val="single" w:sz="4" w:space="0" w:color="auto"/>
            </w:tcBorders>
            <w:shd w:val="clear" w:color="000000" w:fill="B4C6E7"/>
          </w:tcPr>
          <w:p w14:paraId="4337FA80" w14:textId="77777777" w:rsidR="00EA6DED" w:rsidRDefault="007504AE">
            <w:pPr>
              <w:rPr>
                <w:sz w:val="20"/>
                <w:szCs w:val="22"/>
              </w:rPr>
            </w:pPr>
            <w:r>
              <w:rPr>
                <w:sz w:val="20"/>
                <w:szCs w:val="22"/>
              </w:rPr>
              <w:t>Indicateur d’Effet 2.1.3 : Taux d’alphabétisation (filles/garçons)</w:t>
            </w:r>
          </w:p>
        </w:tc>
        <w:tc>
          <w:tcPr>
            <w:tcW w:w="1275" w:type="dxa"/>
            <w:tcBorders>
              <w:top w:val="nil"/>
              <w:left w:val="nil"/>
              <w:bottom w:val="single" w:sz="4" w:space="0" w:color="auto"/>
              <w:right w:val="single" w:sz="4" w:space="0" w:color="auto"/>
            </w:tcBorders>
            <w:noWrap/>
          </w:tcPr>
          <w:p w14:paraId="4337FA81" w14:textId="77777777" w:rsidR="00EA6DED" w:rsidRDefault="007504AE">
            <w:pPr>
              <w:rPr>
                <w:sz w:val="20"/>
                <w:szCs w:val="22"/>
              </w:rPr>
            </w:pPr>
            <w:r>
              <w:rPr>
                <w:sz w:val="20"/>
                <w:szCs w:val="22"/>
              </w:rPr>
              <w:t xml:space="preserve"> 81% (2017)</w:t>
            </w:r>
          </w:p>
        </w:tc>
        <w:tc>
          <w:tcPr>
            <w:tcW w:w="993" w:type="dxa"/>
            <w:tcBorders>
              <w:top w:val="nil"/>
              <w:left w:val="nil"/>
              <w:bottom w:val="single" w:sz="4" w:space="0" w:color="auto"/>
              <w:right w:val="single" w:sz="4" w:space="0" w:color="auto"/>
            </w:tcBorders>
            <w:noWrap/>
          </w:tcPr>
          <w:p w14:paraId="4337FA82" w14:textId="77777777" w:rsidR="00EA6DED" w:rsidRDefault="007504AE">
            <w:pPr>
              <w:rPr>
                <w:sz w:val="20"/>
                <w:szCs w:val="22"/>
              </w:rPr>
            </w:pPr>
            <w:r>
              <w:rPr>
                <w:sz w:val="20"/>
                <w:szCs w:val="22"/>
              </w:rPr>
              <w:t>91%</w:t>
            </w:r>
          </w:p>
        </w:tc>
        <w:tc>
          <w:tcPr>
            <w:tcW w:w="1417" w:type="dxa"/>
            <w:tcBorders>
              <w:top w:val="nil"/>
              <w:left w:val="nil"/>
              <w:bottom w:val="single" w:sz="4" w:space="0" w:color="auto"/>
              <w:right w:val="single" w:sz="4" w:space="0" w:color="auto"/>
            </w:tcBorders>
            <w:shd w:val="clear" w:color="auto" w:fill="00B050"/>
          </w:tcPr>
          <w:p w14:paraId="4337FA83" w14:textId="77777777" w:rsidR="00EA6DED" w:rsidRDefault="007504AE">
            <w:pPr>
              <w:rPr>
                <w:sz w:val="20"/>
                <w:szCs w:val="22"/>
              </w:rPr>
            </w:pPr>
            <w:r>
              <w:rPr>
                <w:sz w:val="20"/>
                <w:szCs w:val="22"/>
              </w:rPr>
              <w:t> 89,9% garçon</w:t>
            </w:r>
          </w:p>
          <w:p w14:paraId="4337FA84" w14:textId="77777777" w:rsidR="00EA6DED" w:rsidRDefault="007504AE">
            <w:pPr>
              <w:rPr>
                <w:sz w:val="20"/>
                <w:szCs w:val="22"/>
              </w:rPr>
            </w:pPr>
            <w:r>
              <w:rPr>
                <w:sz w:val="20"/>
                <w:szCs w:val="22"/>
              </w:rPr>
              <w:t>81,4% filles</w:t>
            </w:r>
          </w:p>
        </w:tc>
        <w:tc>
          <w:tcPr>
            <w:tcW w:w="2835" w:type="dxa"/>
            <w:tcBorders>
              <w:top w:val="nil"/>
              <w:left w:val="nil"/>
              <w:bottom w:val="single" w:sz="4" w:space="0" w:color="auto"/>
              <w:right w:val="single" w:sz="4" w:space="0" w:color="auto"/>
            </w:tcBorders>
            <w:shd w:val="clear" w:color="000000" w:fill="FFFFFF"/>
          </w:tcPr>
          <w:p w14:paraId="4337FA85" w14:textId="77777777" w:rsidR="00EA6DED" w:rsidRDefault="007504AE">
            <w:pPr>
              <w:rPr>
                <w:sz w:val="20"/>
                <w:szCs w:val="22"/>
              </w:rPr>
            </w:pPr>
            <w:r>
              <w:rPr>
                <w:sz w:val="20"/>
                <w:szCs w:val="22"/>
              </w:rPr>
              <w:t xml:space="preserve">L’avancée du taux d’alphabétisation global et par sexe reste stable en dépit des contributions des NU dans le renforcement du système National d’éducation, la protection social (P2.1.2) l’éducation inclusive (P2.1.6) </w:t>
            </w:r>
          </w:p>
        </w:tc>
        <w:tc>
          <w:tcPr>
            <w:tcW w:w="1070" w:type="dxa"/>
            <w:tcBorders>
              <w:top w:val="nil"/>
              <w:left w:val="nil"/>
              <w:bottom w:val="single" w:sz="4" w:space="0" w:color="auto"/>
              <w:right w:val="single" w:sz="4" w:space="0" w:color="auto"/>
            </w:tcBorders>
            <w:shd w:val="clear" w:color="000000" w:fill="FFFFFF"/>
          </w:tcPr>
          <w:p w14:paraId="4337FA86" w14:textId="77777777" w:rsidR="00EA6DED" w:rsidRDefault="007504AE">
            <w:pPr>
              <w:rPr>
                <w:sz w:val="20"/>
                <w:szCs w:val="22"/>
              </w:rPr>
            </w:pPr>
            <w:r>
              <w:rPr>
                <w:sz w:val="20"/>
                <w:szCs w:val="22"/>
              </w:rPr>
              <w:t xml:space="preserve"> INS </w:t>
            </w:r>
            <w:r>
              <w:rPr>
                <w:sz w:val="20"/>
                <w:vertAlign w:val="superscript"/>
              </w:rPr>
              <w:footnoteReference w:id="67"/>
            </w:r>
          </w:p>
        </w:tc>
      </w:tr>
      <w:tr w:rsidR="00EA6DED" w14:paraId="4337FA90" w14:textId="77777777">
        <w:trPr>
          <w:trHeight w:val="489"/>
          <w:jc w:val="center"/>
        </w:trPr>
        <w:tc>
          <w:tcPr>
            <w:tcW w:w="2689" w:type="dxa"/>
            <w:tcBorders>
              <w:top w:val="nil"/>
              <w:left w:val="single" w:sz="4" w:space="0" w:color="auto"/>
              <w:bottom w:val="single" w:sz="4" w:space="0" w:color="auto"/>
              <w:right w:val="single" w:sz="4" w:space="0" w:color="auto"/>
            </w:tcBorders>
            <w:shd w:val="clear" w:color="000000" w:fill="B4C6E7"/>
          </w:tcPr>
          <w:p w14:paraId="4337FA88" w14:textId="77777777" w:rsidR="00EA6DED" w:rsidRDefault="007504AE">
            <w:pPr>
              <w:rPr>
                <w:sz w:val="20"/>
                <w:szCs w:val="22"/>
              </w:rPr>
            </w:pPr>
            <w:r>
              <w:rPr>
                <w:sz w:val="20"/>
                <w:szCs w:val="22"/>
              </w:rPr>
              <w:t>Indicateur d’Effet 2.1.4 : Taux d’achèvement (G/F) au primaire et secondaire (premier cycle)</w:t>
            </w:r>
          </w:p>
        </w:tc>
        <w:tc>
          <w:tcPr>
            <w:tcW w:w="1275" w:type="dxa"/>
            <w:tcBorders>
              <w:top w:val="nil"/>
              <w:left w:val="nil"/>
              <w:bottom w:val="single" w:sz="4" w:space="0" w:color="auto"/>
              <w:right w:val="single" w:sz="4" w:space="0" w:color="auto"/>
            </w:tcBorders>
          </w:tcPr>
          <w:p w14:paraId="4337FA89" w14:textId="77777777" w:rsidR="00EA6DED" w:rsidRDefault="007504AE">
            <w:pPr>
              <w:rPr>
                <w:sz w:val="20"/>
                <w:szCs w:val="22"/>
              </w:rPr>
            </w:pPr>
            <w:r>
              <w:rPr>
                <w:sz w:val="20"/>
                <w:szCs w:val="22"/>
              </w:rPr>
              <w:t xml:space="preserve"> Primaire: 71% (2018) Secondaire: 43% (2018)</w:t>
            </w:r>
          </w:p>
        </w:tc>
        <w:tc>
          <w:tcPr>
            <w:tcW w:w="993" w:type="dxa"/>
            <w:tcBorders>
              <w:top w:val="nil"/>
              <w:left w:val="nil"/>
              <w:bottom w:val="single" w:sz="4" w:space="0" w:color="auto"/>
              <w:right w:val="single" w:sz="4" w:space="0" w:color="auto"/>
            </w:tcBorders>
          </w:tcPr>
          <w:p w14:paraId="4337FA8A" w14:textId="77777777" w:rsidR="00EA6DED" w:rsidRDefault="007504AE">
            <w:pPr>
              <w:rPr>
                <w:sz w:val="20"/>
                <w:szCs w:val="22"/>
              </w:rPr>
            </w:pPr>
            <w:r>
              <w:rPr>
                <w:sz w:val="20"/>
                <w:szCs w:val="22"/>
              </w:rPr>
              <w:t>Primaire : 100%</w:t>
            </w:r>
            <w:r>
              <w:rPr>
                <w:sz w:val="20"/>
                <w:szCs w:val="22"/>
              </w:rPr>
              <w:br/>
              <w:t>Secondaire : 100%</w:t>
            </w:r>
          </w:p>
        </w:tc>
        <w:tc>
          <w:tcPr>
            <w:tcW w:w="1417" w:type="dxa"/>
            <w:tcBorders>
              <w:top w:val="nil"/>
              <w:left w:val="nil"/>
              <w:bottom w:val="single" w:sz="4" w:space="0" w:color="auto"/>
              <w:right w:val="single" w:sz="4" w:space="0" w:color="auto"/>
            </w:tcBorders>
            <w:shd w:val="clear" w:color="auto" w:fill="00B050"/>
          </w:tcPr>
          <w:p w14:paraId="4337FA8B" w14:textId="77777777" w:rsidR="00EA6DED" w:rsidRDefault="007504AE">
            <w:pPr>
              <w:rPr>
                <w:sz w:val="20"/>
                <w:szCs w:val="22"/>
              </w:rPr>
            </w:pPr>
            <w:r>
              <w:rPr>
                <w:sz w:val="20"/>
                <w:szCs w:val="22"/>
              </w:rPr>
              <w:t>Primaire 73 ,5% (2024)</w:t>
            </w:r>
          </w:p>
          <w:p w14:paraId="4337FA8C" w14:textId="77777777" w:rsidR="00EA6DED" w:rsidRDefault="007504AE">
            <w:pPr>
              <w:rPr>
                <w:sz w:val="20"/>
                <w:szCs w:val="22"/>
              </w:rPr>
            </w:pPr>
            <w:r>
              <w:rPr>
                <w:sz w:val="20"/>
                <w:szCs w:val="22"/>
              </w:rPr>
              <w:t>Secondaire</w:t>
            </w:r>
          </w:p>
          <w:p w14:paraId="4337FA8D" w14:textId="77777777" w:rsidR="00EA6DED" w:rsidRDefault="007504AE">
            <w:pPr>
              <w:rPr>
                <w:sz w:val="20"/>
                <w:szCs w:val="22"/>
              </w:rPr>
            </w:pPr>
            <w:r>
              <w:rPr>
                <w:sz w:val="20"/>
                <w:szCs w:val="22"/>
              </w:rPr>
              <w:t>50,5% (2024)</w:t>
            </w:r>
          </w:p>
        </w:tc>
        <w:tc>
          <w:tcPr>
            <w:tcW w:w="2835" w:type="dxa"/>
            <w:tcBorders>
              <w:top w:val="nil"/>
              <w:left w:val="nil"/>
              <w:bottom w:val="single" w:sz="4" w:space="0" w:color="auto"/>
              <w:right w:val="single" w:sz="4" w:space="0" w:color="auto"/>
            </w:tcBorders>
            <w:shd w:val="clear" w:color="000000" w:fill="FFFFFF"/>
          </w:tcPr>
          <w:p w14:paraId="4337FA8E" w14:textId="77777777" w:rsidR="00EA6DED" w:rsidRDefault="007504AE">
            <w:pPr>
              <w:jc w:val="both"/>
              <w:rPr>
                <w:sz w:val="20"/>
                <w:szCs w:val="22"/>
              </w:rPr>
            </w:pPr>
            <w:r>
              <w:rPr>
                <w:sz w:val="20"/>
                <w:szCs w:val="22"/>
              </w:rPr>
              <w:t xml:space="preserve">Cette bonne avancée pourrait traduire les efforts contributifs des NU dans accès accru des enfants, des adolescents, des jeunes, prioritairement les filles, et des groupes vulnérables, à une éducation inclusive de qualité, y compris une offre d’alphabétisation. Toutefois, le risque de non atteinte des objectifs en 2026 restent élevé si l’on s’en tient aux écarts (26,5% pour le primaire et 49,5% pour le secondaire) entre les cibles de 2026 et les réalisations de 2024. </w:t>
            </w:r>
          </w:p>
        </w:tc>
        <w:tc>
          <w:tcPr>
            <w:tcW w:w="1070" w:type="dxa"/>
            <w:tcBorders>
              <w:top w:val="nil"/>
              <w:left w:val="nil"/>
              <w:bottom w:val="single" w:sz="4" w:space="0" w:color="auto"/>
              <w:right w:val="single" w:sz="4" w:space="0" w:color="auto"/>
            </w:tcBorders>
            <w:shd w:val="clear" w:color="000000" w:fill="FFFFFF"/>
          </w:tcPr>
          <w:p w14:paraId="4337FA8F" w14:textId="77777777" w:rsidR="00EA6DED" w:rsidRDefault="007504AE">
            <w:pPr>
              <w:rPr>
                <w:sz w:val="20"/>
                <w:szCs w:val="22"/>
              </w:rPr>
            </w:pPr>
            <w:r>
              <w:rPr>
                <w:sz w:val="20"/>
                <w:szCs w:val="22"/>
              </w:rPr>
              <w:t> INS</w:t>
            </w:r>
          </w:p>
        </w:tc>
      </w:tr>
      <w:tr w:rsidR="00EA6DED" w14:paraId="4337FA97" w14:textId="77777777">
        <w:trPr>
          <w:trHeight w:val="489"/>
          <w:jc w:val="center"/>
        </w:trPr>
        <w:tc>
          <w:tcPr>
            <w:tcW w:w="2689" w:type="dxa"/>
            <w:tcBorders>
              <w:top w:val="nil"/>
              <w:left w:val="single" w:sz="4" w:space="0" w:color="auto"/>
              <w:bottom w:val="single" w:sz="4" w:space="0" w:color="auto"/>
              <w:right w:val="single" w:sz="4" w:space="0" w:color="auto"/>
            </w:tcBorders>
            <w:shd w:val="clear" w:color="000000" w:fill="B4C6E7"/>
          </w:tcPr>
          <w:p w14:paraId="4337FA91" w14:textId="77777777" w:rsidR="00EA6DED" w:rsidRDefault="007504AE">
            <w:pPr>
              <w:rPr>
                <w:sz w:val="20"/>
                <w:szCs w:val="22"/>
              </w:rPr>
            </w:pPr>
            <w:r>
              <w:rPr>
                <w:sz w:val="20"/>
                <w:szCs w:val="22"/>
              </w:rPr>
              <w:t>Indicateur d’Effet 2.1.5 : Incidence VIH/1000</w:t>
            </w:r>
          </w:p>
        </w:tc>
        <w:tc>
          <w:tcPr>
            <w:tcW w:w="1275" w:type="dxa"/>
            <w:tcBorders>
              <w:top w:val="nil"/>
              <w:left w:val="nil"/>
              <w:bottom w:val="single" w:sz="4" w:space="0" w:color="auto"/>
              <w:right w:val="single" w:sz="4" w:space="0" w:color="auto"/>
            </w:tcBorders>
            <w:noWrap/>
          </w:tcPr>
          <w:p w14:paraId="4337FA92" w14:textId="77777777" w:rsidR="00EA6DED" w:rsidRDefault="007504AE">
            <w:pPr>
              <w:rPr>
                <w:sz w:val="20"/>
                <w:szCs w:val="22"/>
              </w:rPr>
            </w:pPr>
            <w:r>
              <w:rPr>
                <w:sz w:val="20"/>
                <w:szCs w:val="22"/>
              </w:rPr>
              <w:t xml:space="preserve"> 6,9/1000 (2019)</w:t>
            </w:r>
          </w:p>
        </w:tc>
        <w:tc>
          <w:tcPr>
            <w:tcW w:w="993" w:type="dxa"/>
            <w:tcBorders>
              <w:top w:val="nil"/>
              <w:left w:val="nil"/>
              <w:bottom w:val="single" w:sz="4" w:space="0" w:color="auto"/>
              <w:right w:val="single" w:sz="4" w:space="0" w:color="auto"/>
            </w:tcBorders>
            <w:noWrap/>
          </w:tcPr>
          <w:p w14:paraId="4337FA93" w14:textId="77777777" w:rsidR="00EA6DED" w:rsidRDefault="007504AE">
            <w:pPr>
              <w:rPr>
                <w:sz w:val="20"/>
                <w:szCs w:val="22"/>
              </w:rPr>
            </w:pPr>
            <w:r>
              <w:rPr>
                <w:sz w:val="20"/>
                <w:szCs w:val="22"/>
              </w:rPr>
              <w:t>3,4/1 000</w:t>
            </w:r>
          </w:p>
        </w:tc>
        <w:tc>
          <w:tcPr>
            <w:tcW w:w="1417" w:type="dxa"/>
            <w:tcBorders>
              <w:top w:val="nil"/>
              <w:left w:val="nil"/>
              <w:bottom w:val="single" w:sz="4" w:space="0" w:color="auto"/>
              <w:right w:val="single" w:sz="4" w:space="0" w:color="auto"/>
            </w:tcBorders>
            <w:shd w:val="clear" w:color="auto" w:fill="00B050"/>
          </w:tcPr>
          <w:p w14:paraId="4337FA94" w14:textId="77777777" w:rsidR="00EA6DED" w:rsidRDefault="007504AE">
            <w:pPr>
              <w:rPr>
                <w:sz w:val="20"/>
                <w:szCs w:val="22"/>
              </w:rPr>
            </w:pPr>
            <w:r>
              <w:rPr>
                <w:sz w:val="20"/>
                <w:szCs w:val="22"/>
              </w:rPr>
              <w:t> 0,24/1000 (2024)</w:t>
            </w:r>
          </w:p>
        </w:tc>
        <w:tc>
          <w:tcPr>
            <w:tcW w:w="2835" w:type="dxa"/>
            <w:tcBorders>
              <w:top w:val="nil"/>
              <w:left w:val="nil"/>
              <w:bottom w:val="single" w:sz="4" w:space="0" w:color="auto"/>
              <w:right w:val="single" w:sz="4" w:space="0" w:color="auto"/>
            </w:tcBorders>
            <w:shd w:val="clear" w:color="000000" w:fill="FFFFFF"/>
          </w:tcPr>
          <w:p w14:paraId="4337FA95" w14:textId="77777777" w:rsidR="00EA6DED" w:rsidRDefault="007504AE">
            <w:pPr>
              <w:jc w:val="both"/>
              <w:rPr>
                <w:color w:val="000000" w:themeColor="text1"/>
              </w:rPr>
            </w:pPr>
            <w:r>
              <w:rPr>
                <w:sz w:val="20"/>
                <w:szCs w:val="22"/>
              </w:rPr>
              <w:t xml:space="preserve">Bonne avancée avec de bonnes perspectives pour un résultat très significatif en 2026. Ce résultat pourrait justifier les contributions des nations unies à travers les </w:t>
            </w:r>
            <w:r>
              <w:rPr>
                <w:color w:val="000000" w:themeColor="text1"/>
              </w:rPr>
              <w:t xml:space="preserve"> produits 2.1.1 sur un accès accu de façon équitable et durable aux services de prévention et de prise en charge des cas de maladies (..) de qualité et le produit 2.1.2 sur le renforcement des capacités du système national de santé.</w:t>
            </w:r>
          </w:p>
        </w:tc>
        <w:tc>
          <w:tcPr>
            <w:tcW w:w="1070" w:type="dxa"/>
            <w:tcBorders>
              <w:top w:val="nil"/>
              <w:left w:val="nil"/>
              <w:bottom w:val="single" w:sz="4" w:space="0" w:color="auto"/>
              <w:right w:val="single" w:sz="4" w:space="0" w:color="auto"/>
            </w:tcBorders>
            <w:shd w:val="clear" w:color="000000" w:fill="FFFFFF"/>
          </w:tcPr>
          <w:p w14:paraId="4337FA96" w14:textId="77777777" w:rsidR="00EA6DED" w:rsidRDefault="007504AE">
            <w:pPr>
              <w:rPr>
                <w:sz w:val="20"/>
                <w:szCs w:val="22"/>
              </w:rPr>
            </w:pPr>
            <w:r>
              <w:rPr>
                <w:sz w:val="20"/>
                <w:szCs w:val="22"/>
              </w:rPr>
              <w:t> CNLS</w:t>
            </w:r>
            <w:r>
              <w:rPr>
                <w:sz w:val="20"/>
                <w:vertAlign w:val="superscript"/>
              </w:rPr>
              <w:footnoteReference w:id="68"/>
            </w:r>
          </w:p>
        </w:tc>
      </w:tr>
      <w:tr w:rsidR="00EA6DED" w14:paraId="4337FA9F" w14:textId="77777777">
        <w:trPr>
          <w:trHeight w:val="489"/>
          <w:jc w:val="center"/>
        </w:trPr>
        <w:tc>
          <w:tcPr>
            <w:tcW w:w="2689" w:type="dxa"/>
            <w:tcBorders>
              <w:top w:val="nil"/>
              <w:left w:val="single" w:sz="4" w:space="0" w:color="auto"/>
              <w:bottom w:val="single" w:sz="4" w:space="0" w:color="auto"/>
              <w:right w:val="single" w:sz="4" w:space="0" w:color="auto"/>
            </w:tcBorders>
            <w:shd w:val="clear" w:color="000000" w:fill="B4C6E7"/>
          </w:tcPr>
          <w:p w14:paraId="4337FA98" w14:textId="77777777" w:rsidR="00EA6DED" w:rsidRDefault="007504AE">
            <w:pPr>
              <w:rPr>
                <w:sz w:val="20"/>
                <w:szCs w:val="22"/>
              </w:rPr>
            </w:pPr>
            <w:r>
              <w:rPr>
                <w:sz w:val="20"/>
                <w:szCs w:val="22"/>
              </w:rPr>
              <w:lastRenderedPageBreak/>
              <w:t>Indicateur d’Effet 2.1.6 : Incidence tuberculose /100 000</w:t>
            </w:r>
          </w:p>
        </w:tc>
        <w:tc>
          <w:tcPr>
            <w:tcW w:w="1275" w:type="dxa"/>
            <w:tcBorders>
              <w:top w:val="nil"/>
              <w:left w:val="nil"/>
              <w:bottom w:val="single" w:sz="4" w:space="0" w:color="auto"/>
              <w:right w:val="single" w:sz="4" w:space="0" w:color="auto"/>
            </w:tcBorders>
            <w:noWrap/>
          </w:tcPr>
          <w:p w14:paraId="4337FA99" w14:textId="77777777" w:rsidR="00EA6DED" w:rsidRDefault="007504AE">
            <w:pPr>
              <w:rPr>
                <w:sz w:val="20"/>
                <w:szCs w:val="22"/>
              </w:rPr>
            </w:pPr>
            <w:r>
              <w:rPr>
                <w:sz w:val="20"/>
                <w:szCs w:val="22"/>
              </w:rPr>
              <w:t xml:space="preserve"> 186/100.000</w:t>
            </w:r>
          </w:p>
        </w:tc>
        <w:tc>
          <w:tcPr>
            <w:tcW w:w="993" w:type="dxa"/>
            <w:tcBorders>
              <w:top w:val="nil"/>
              <w:left w:val="nil"/>
              <w:bottom w:val="single" w:sz="4" w:space="0" w:color="auto"/>
              <w:right w:val="single" w:sz="4" w:space="0" w:color="auto"/>
            </w:tcBorders>
            <w:noWrap/>
          </w:tcPr>
          <w:p w14:paraId="4337FA9A" w14:textId="77777777" w:rsidR="00EA6DED" w:rsidRDefault="007504AE">
            <w:pPr>
              <w:rPr>
                <w:sz w:val="20"/>
                <w:szCs w:val="22"/>
              </w:rPr>
            </w:pPr>
            <w:r>
              <w:rPr>
                <w:sz w:val="20"/>
                <w:szCs w:val="22"/>
              </w:rPr>
              <w:t>130/100 000</w:t>
            </w:r>
            <w:r>
              <w:rPr>
                <w:sz w:val="20"/>
                <w:szCs w:val="22"/>
              </w:rPr>
              <w:br/>
            </w:r>
          </w:p>
        </w:tc>
        <w:tc>
          <w:tcPr>
            <w:tcW w:w="1417" w:type="dxa"/>
            <w:tcBorders>
              <w:top w:val="nil"/>
              <w:left w:val="nil"/>
              <w:bottom w:val="single" w:sz="4" w:space="0" w:color="auto"/>
              <w:right w:val="single" w:sz="4" w:space="0" w:color="auto"/>
            </w:tcBorders>
            <w:shd w:val="clear" w:color="auto" w:fill="F7CAAC"/>
          </w:tcPr>
          <w:p w14:paraId="4337FA9B" w14:textId="77777777" w:rsidR="00EA6DED" w:rsidRDefault="007504AE">
            <w:pPr>
              <w:rPr>
                <w:sz w:val="20"/>
                <w:szCs w:val="22"/>
              </w:rPr>
            </w:pPr>
            <w:r>
              <w:rPr>
                <w:sz w:val="20"/>
                <w:szCs w:val="22"/>
              </w:rPr>
              <w:t>150/100 000</w:t>
            </w:r>
          </w:p>
          <w:p w14:paraId="4337FA9C" w14:textId="77777777" w:rsidR="00EA6DED" w:rsidRDefault="007504AE">
            <w:pPr>
              <w:rPr>
                <w:sz w:val="20"/>
                <w:szCs w:val="22"/>
              </w:rPr>
            </w:pPr>
            <w:r>
              <w:rPr>
                <w:sz w:val="20"/>
                <w:szCs w:val="22"/>
              </w:rPr>
              <w:t>(2024)</w:t>
            </w:r>
          </w:p>
        </w:tc>
        <w:tc>
          <w:tcPr>
            <w:tcW w:w="2835" w:type="dxa"/>
            <w:tcBorders>
              <w:top w:val="nil"/>
              <w:left w:val="nil"/>
              <w:bottom w:val="single" w:sz="4" w:space="0" w:color="auto"/>
              <w:right w:val="single" w:sz="4" w:space="0" w:color="auto"/>
            </w:tcBorders>
            <w:shd w:val="clear" w:color="000000" w:fill="FFFFFF"/>
          </w:tcPr>
          <w:p w14:paraId="4337FA9D" w14:textId="77777777" w:rsidR="00EA6DED" w:rsidRDefault="007504AE">
            <w:pPr>
              <w:rPr>
                <w:sz w:val="20"/>
                <w:szCs w:val="22"/>
              </w:rPr>
            </w:pPr>
            <w:r>
              <w:rPr>
                <w:sz w:val="20"/>
                <w:szCs w:val="22"/>
              </w:rPr>
              <w:t>On note une baisse de 36/100000 e 2024 par rapport à 2022. Cette baisse aurait bénéficié des contributions des Nus à les Produits 2.1.1 et 2.1.2</w:t>
            </w:r>
          </w:p>
        </w:tc>
        <w:tc>
          <w:tcPr>
            <w:tcW w:w="1070" w:type="dxa"/>
            <w:tcBorders>
              <w:top w:val="nil"/>
              <w:left w:val="nil"/>
              <w:bottom w:val="single" w:sz="4" w:space="0" w:color="auto"/>
              <w:right w:val="single" w:sz="4" w:space="0" w:color="auto"/>
            </w:tcBorders>
            <w:shd w:val="clear" w:color="000000" w:fill="FFFFFF"/>
          </w:tcPr>
          <w:p w14:paraId="4337FA9E" w14:textId="77777777" w:rsidR="00EA6DED" w:rsidRDefault="007504AE">
            <w:pPr>
              <w:rPr>
                <w:sz w:val="20"/>
                <w:szCs w:val="22"/>
              </w:rPr>
            </w:pPr>
            <w:r>
              <w:rPr>
                <w:sz w:val="15"/>
                <w:szCs w:val="13"/>
              </w:rPr>
              <w:t>https://donnees.banquemondiale.org/indicateur/SH.TBS.INCD?locations=CM</w:t>
            </w:r>
          </w:p>
        </w:tc>
      </w:tr>
      <w:tr w:rsidR="00EA6DED" w14:paraId="4337FAA7" w14:textId="77777777">
        <w:trPr>
          <w:trHeight w:val="489"/>
          <w:jc w:val="center"/>
        </w:trPr>
        <w:tc>
          <w:tcPr>
            <w:tcW w:w="2689" w:type="dxa"/>
            <w:tcBorders>
              <w:top w:val="nil"/>
              <w:left w:val="single" w:sz="4" w:space="0" w:color="auto"/>
              <w:bottom w:val="single" w:sz="4" w:space="0" w:color="auto"/>
              <w:right w:val="single" w:sz="4" w:space="0" w:color="auto"/>
            </w:tcBorders>
            <w:shd w:val="clear" w:color="000000" w:fill="B4C6E7"/>
          </w:tcPr>
          <w:p w14:paraId="4337FAA0" w14:textId="77777777" w:rsidR="00EA6DED" w:rsidRDefault="007504AE">
            <w:pPr>
              <w:rPr>
                <w:sz w:val="20"/>
                <w:szCs w:val="22"/>
              </w:rPr>
            </w:pPr>
            <w:r>
              <w:rPr>
                <w:sz w:val="20"/>
                <w:szCs w:val="22"/>
              </w:rPr>
              <w:t>Indicateur d’Effet 2.1.7: Incidence malaria/1000</w:t>
            </w:r>
          </w:p>
        </w:tc>
        <w:tc>
          <w:tcPr>
            <w:tcW w:w="1275" w:type="dxa"/>
            <w:tcBorders>
              <w:top w:val="nil"/>
              <w:left w:val="nil"/>
              <w:bottom w:val="single" w:sz="4" w:space="0" w:color="auto"/>
              <w:right w:val="single" w:sz="4" w:space="0" w:color="auto"/>
            </w:tcBorders>
            <w:noWrap/>
          </w:tcPr>
          <w:p w14:paraId="4337FAA1" w14:textId="77777777" w:rsidR="00EA6DED" w:rsidRDefault="007504AE">
            <w:pPr>
              <w:rPr>
                <w:sz w:val="20"/>
                <w:szCs w:val="22"/>
              </w:rPr>
            </w:pPr>
            <w:r>
              <w:rPr>
                <w:sz w:val="20"/>
                <w:szCs w:val="22"/>
              </w:rPr>
              <w:t xml:space="preserve"> 245/1000 (2018)</w:t>
            </w:r>
          </w:p>
        </w:tc>
        <w:tc>
          <w:tcPr>
            <w:tcW w:w="993" w:type="dxa"/>
            <w:tcBorders>
              <w:top w:val="nil"/>
              <w:left w:val="nil"/>
              <w:bottom w:val="single" w:sz="4" w:space="0" w:color="auto"/>
              <w:right w:val="single" w:sz="4" w:space="0" w:color="auto"/>
            </w:tcBorders>
            <w:noWrap/>
          </w:tcPr>
          <w:p w14:paraId="4337FAA2" w14:textId="77777777" w:rsidR="00EA6DED" w:rsidRDefault="007504AE">
            <w:pPr>
              <w:rPr>
                <w:sz w:val="20"/>
                <w:szCs w:val="22"/>
              </w:rPr>
            </w:pPr>
            <w:r>
              <w:rPr>
                <w:sz w:val="20"/>
                <w:szCs w:val="22"/>
              </w:rPr>
              <w:t>210/1 000</w:t>
            </w:r>
          </w:p>
        </w:tc>
        <w:tc>
          <w:tcPr>
            <w:tcW w:w="1417" w:type="dxa"/>
            <w:tcBorders>
              <w:top w:val="nil"/>
              <w:left w:val="nil"/>
              <w:bottom w:val="single" w:sz="4" w:space="0" w:color="auto"/>
              <w:right w:val="single" w:sz="4" w:space="0" w:color="auto"/>
            </w:tcBorders>
            <w:shd w:val="clear" w:color="auto" w:fill="00B050"/>
          </w:tcPr>
          <w:p w14:paraId="4337FAA3" w14:textId="77777777" w:rsidR="00EA6DED" w:rsidRDefault="007504AE">
            <w:pPr>
              <w:rPr>
                <w:sz w:val="20"/>
                <w:szCs w:val="22"/>
              </w:rPr>
            </w:pPr>
            <w:r>
              <w:rPr>
                <w:sz w:val="20"/>
                <w:szCs w:val="22"/>
              </w:rPr>
              <w:t> 106.2/1000</w:t>
            </w:r>
          </w:p>
          <w:p w14:paraId="4337FAA4" w14:textId="77777777" w:rsidR="00EA6DED" w:rsidRDefault="007504AE">
            <w:pPr>
              <w:rPr>
                <w:sz w:val="20"/>
                <w:szCs w:val="22"/>
              </w:rPr>
            </w:pPr>
            <w:r>
              <w:rPr>
                <w:sz w:val="20"/>
                <w:szCs w:val="22"/>
              </w:rPr>
              <w:t>(2023)</w:t>
            </w:r>
          </w:p>
        </w:tc>
        <w:tc>
          <w:tcPr>
            <w:tcW w:w="2835" w:type="dxa"/>
            <w:tcBorders>
              <w:top w:val="nil"/>
              <w:left w:val="nil"/>
              <w:bottom w:val="single" w:sz="4" w:space="0" w:color="auto"/>
              <w:right w:val="single" w:sz="4" w:space="0" w:color="auto"/>
            </w:tcBorders>
            <w:shd w:val="clear" w:color="000000" w:fill="FFFFFF"/>
          </w:tcPr>
          <w:p w14:paraId="4337FAA5" w14:textId="77777777" w:rsidR="00EA6DED" w:rsidRDefault="007504AE">
            <w:pPr>
              <w:rPr>
                <w:sz w:val="20"/>
                <w:szCs w:val="22"/>
              </w:rPr>
            </w:pPr>
            <w:r>
              <w:rPr>
                <w:sz w:val="20"/>
                <w:szCs w:val="22"/>
              </w:rPr>
              <w:t xml:space="preserve">L’incidence de la malaria est en nette évolution et cela pourrait traduire la contribution des NU à travers les produits 2.1.1 et 2. 1.2  </w:t>
            </w:r>
          </w:p>
        </w:tc>
        <w:tc>
          <w:tcPr>
            <w:tcW w:w="1070" w:type="dxa"/>
            <w:tcBorders>
              <w:top w:val="nil"/>
              <w:left w:val="nil"/>
              <w:bottom w:val="single" w:sz="4" w:space="0" w:color="auto"/>
              <w:right w:val="single" w:sz="4" w:space="0" w:color="auto"/>
            </w:tcBorders>
            <w:shd w:val="clear" w:color="000000" w:fill="FFFFFF"/>
          </w:tcPr>
          <w:p w14:paraId="4337FAA6" w14:textId="77777777" w:rsidR="00EA6DED" w:rsidRDefault="007504AE">
            <w:pPr>
              <w:rPr>
                <w:sz w:val="20"/>
                <w:szCs w:val="22"/>
              </w:rPr>
            </w:pPr>
            <w:r>
              <w:rPr>
                <w:sz w:val="20"/>
                <w:szCs w:val="22"/>
              </w:rPr>
              <w:t> INS</w:t>
            </w:r>
            <w:r>
              <w:rPr>
                <w:sz w:val="20"/>
                <w:vertAlign w:val="superscript"/>
              </w:rPr>
              <w:footnoteReference w:id="69"/>
            </w:r>
          </w:p>
        </w:tc>
      </w:tr>
      <w:tr w:rsidR="00EA6DED" w14:paraId="4337FAAE" w14:textId="77777777">
        <w:trPr>
          <w:trHeight w:val="480"/>
          <w:jc w:val="center"/>
        </w:trPr>
        <w:tc>
          <w:tcPr>
            <w:tcW w:w="2689" w:type="dxa"/>
            <w:tcBorders>
              <w:top w:val="nil"/>
              <w:left w:val="single" w:sz="4" w:space="0" w:color="auto"/>
              <w:bottom w:val="single" w:sz="4" w:space="0" w:color="auto"/>
              <w:right w:val="single" w:sz="4" w:space="0" w:color="auto"/>
            </w:tcBorders>
            <w:shd w:val="clear" w:color="000000" w:fill="B4C6E7"/>
          </w:tcPr>
          <w:p w14:paraId="4337FAA8" w14:textId="77777777" w:rsidR="00EA6DED" w:rsidRDefault="007504AE">
            <w:pPr>
              <w:rPr>
                <w:sz w:val="20"/>
                <w:szCs w:val="22"/>
              </w:rPr>
            </w:pPr>
            <w:r>
              <w:rPr>
                <w:sz w:val="20"/>
                <w:szCs w:val="22"/>
              </w:rPr>
              <w:t>Indicateur d’Effet 2.1.10 : Taux de malnutrition chronique (enfants &lt; 5 ans)</w:t>
            </w:r>
          </w:p>
        </w:tc>
        <w:tc>
          <w:tcPr>
            <w:tcW w:w="1275" w:type="dxa"/>
            <w:tcBorders>
              <w:top w:val="nil"/>
              <w:left w:val="nil"/>
              <w:bottom w:val="single" w:sz="4" w:space="0" w:color="auto"/>
              <w:right w:val="single" w:sz="4" w:space="0" w:color="auto"/>
            </w:tcBorders>
            <w:noWrap/>
          </w:tcPr>
          <w:p w14:paraId="4337FAA9" w14:textId="77777777" w:rsidR="00EA6DED" w:rsidRDefault="007504AE">
            <w:pPr>
              <w:rPr>
                <w:sz w:val="20"/>
                <w:szCs w:val="22"/>
              </w:rPr>
            </w:pPr>
            <w:r>
              <w:rPr>
                <w:sz w:val="20"/>
                <w:szCs w:val="22"/>
              </w:rPr>
              <w:t xml:space="preserve"> 29% (&lt;5 ans)</w:t>
            </w:r>
            <w:r>
              <w:rPr>
                <w:sz w:val="20"/>
                <w:szCs w:val="22"/>
              </w:rPr>
              <w:br/>
              <w:t>(2018)</w:t>
            </w:r>
          </w:p>
        </w:tc>
        <w:tc>
          <w:tcPr>
            <w:tcW w:w="993" w:type="dxa"/>
            <w:tcBorders>
              <w:top w:val="nil"/>
              <w:left w:val="nil"/>
              <w:bottom w:val="single" w:sz="4" w:space="0" w:color="auto"/>
              <w:right w:val="single" w:sz="4" w:space="0" w:color="auto"/>
            </w:tcBorders>
            <w:shd w:val="clear" w:color="000000" w:fill="FFFFFF"/>
            <w:noWrap/>
          </w:tcPr>
          <w:p w14:paraId="4337FAAA" w14:textId="77777777" w:rsidR="00EA6DED" w:rsidRDefault="007504AE">
            <w:pPr>
              <w:rPr>
                <w:sz w:val="20"/>
                <w:szCs w:val="22"/>
              </w:rPr>
            </w:pPr>
            <w:r>
              <w:rPr>
                <w:sz w:val="20"/>
                <w:szCs w:val="22"/>
              </w:rPr>
              <w:t>&lt;20%</w:t>
            </w:r>
          </w:p>
        </w:tc>
        <w:tc>
          <w:tcPr>
            <w:tcW w:w="1417" w:type="dxa"/>
            <w:tcBorders>
              <w:top w:val="nil"/>
              <w:left w:val="nil"/>
              <w:bottom w:val="single" w:sz="4" w:space="0" w:color="auto"/>
              <w:right w:val="single" w:sz="4" w:space="0" w:color="auto"/>
            </w:tcBorders>
            <w:shd w:val="clear" w:color="auto" w:fill="ED7D31"/>
          </w:tcPr>
          <w:p w14:paraId="4337FAAB" w14:textId="77777777" w:rsidR="00EA6DED" w:rsidRDefault="007504AE">
            <w:pPr>
              <w:rPr>
                <w:sz w:val="20"/>
                <w:szCs w:val="22"/>
              </w:rPr>
            </w:pPr>
            <w:r>
              <w:rPr>
                <w:sz w:val="20"/>
                <w:szCs w:val="22"/>
              </w:rPr>
              <w:t> 52 % (2024)</w:t>
            </w:r>
          </w:p>
        </w:tc>
        <w:tc>
          <w:tcPr>
            <w:tcW w:w="2835" w:type="dxa"/>
            <w:tcBorders>
              <w:top w:val="nil"/>
              <w:left w:val="nil"/>
              <w:bottom w:val="single" w:sz="4" w:space="0" w:color="auto"/>
              <w:right w:val="single" w:sz="4" w:space="0" w:color="auto"/>
            </w:tcBorders>
            <w:shd w:val="clear" w:color="000000" w:fill="FFFFFF"/>
          </w:tcPr>
          <w:p w14:paraId="4337FAAC" w14:textId="77777777" w:rsidR="00EA6DED" w:rsidRDefault="007504AE">
            <w:pPr>
              <w:rPr>
                <w:sz w:val="20"/>
                <w:szCs w:val="22"/>
              </w:rPr>
            </w:pPr>
            <w:r>
              <w:rPr>
                <w:sz w:val="20"/>
                <w:szCs w:val="22"/>
              </w:rPr>
              <w:t xml:space="preserve">Le taux de malnutrition de 23% entre 2028 et 2024n chronique en dépit des contributions des NU dans le renforcement du Système sanitaire (P2.1.1), l’accès aux services de prévention et de prise en charge (P2.1.1), l’accès à une alimentation saine, nutritive, adéquate, diversifiée et sécurisée et aux services de prévention de la malnutrition (P2.1.3) et le renforcement des capacités du système national de surveillance et de coordination de la sécurité alimentaire et nutritionnelle.  </w:t>
            </w:r>
          </w:p>
        </w:tc>
        <w:tc>
          <w:tcPr>
            <w:tcW w:w="1070" w:type="dxa"/>
            <w:tcBorders>
              <w:top w:val="nil"/>
              <w:left w:val="nil"/>
              <w:bottom w:val="single" w:sz="4" w:space="0" w:color="auto"/>
              <w:right w:val="single" w:sz="4" w:space="0" w:color="auto"/>
            </w:tcBorders>
            <w:shd w:val="clear" w:color="000000" w:fill="FFFFFF"/>
          </w:tcPr>
          <w:p w14:paraId="4337FAAD" w14:textId="77777777" w:rsidR="00EA6DED" w:rsidRDefault="007504AE">
            <w:pPr>
              <w:rPr>
                <w:sz w:val="20"/>
                <w:szCs w:val="22"/>
              </w:rPr>
            </w:pPr>
            <w:r>
              <w:rPr>
                <w:sz w:val="20"/>
                <w:szCs w:val="22"/>
              </w:rPr>
              <w:t> UNICEF</w:t>
            </w:r>
            <w:r>
              <w:rPr>
                <w:sz w:val="20"/>
                <w:vertAlign w:val="superscript"/>
              </w:rPr>
              <w:footnoteReference w:id="70"/>
            </w:r>
          </w:p>
        </w:tc>
      </w:tr>
    </w:tbl>
    <w:p w14:paraId="4337FAAF" w14:textId="77777777" w:rsidR="00EA6DED" w:rsidRDefault="00EA6DED">
      <w:pPr>
        <w:jc w:val="both"/>
      </w:pPr>
    </w:p>
    <w:p w14:paraId="4337FAB0" w14:textId="77777777" w:rsidR="00EA6DED" w:rsidRDefault="007504AE">
      <w:pPr>
        <w:spacing w:before="100" w:beforeAutospacing="1" w:after="100" w:afterAutospacing="1"/>
        <w:jc w:val="both"/>
      </w:pPr>
      <w:r>
        <w:t xml:space="preserve">De manière global, ce tableau met en lumière les résultats de la Réalisation 2.1 qui reflètent à la fois des avancées significatives et des défis en rapport avec les potentielles contributions du NU. Il faut relever qu’en 2020, l’indice national de capital humain s’était de 0,40, marquant une légère progression par rapport à 2017, mais toujours en deçà de l’objectif de 0,45 (2026). Le taux d'alphabétisation encourageant (89,9% chez les garçons et 81,4% chez les filles) se rapproche de l'objectif de 91% (2026). Cependant, l'écart entre les sexes demeure préoccupant et appelle à des efforts ciblés des partenaires de l’éducation dont le SNU. Les taux d’achèvement scolaire montrent également une progression, avec 73,5% au primaire et 50,5% au secondaire, bien que l’objectif de 100% pour les deux niveaux demeure un défi. Sur le plan de la santé publique, des résultats notables émergent. L’incidence du VIH qui a chuté à 0,24/1000 en 2024 représente un avancement significatif par rapport à l'objectif de 3,4/1000. En revanche, l’incidence de la tuberculose, bien qu'en diminution, reste élevée (150/100 000). L'incidence de la malaria a également connu une amélioration, avec un taux de 106,2/1000, bien en deçà de l’objectif de 210/1000. En ce qui concerne la santé reproductive, le taux de prévalence contraceptive moderne s’élève à 18%, dépassant l’objectif de 15%. </w:t>
      </w:r>
    </w:p>
    <w:p w14:paraId="4337FAB1" w14:textId="77777777" w:rsidR="00EA6DED" w:rsidRDefault="007504AE">
      <w:pPr>
        <w:jc w:val="both"/>
        <w:rPr>
          <w:b/>
        </w:rPr>
      </w:pPr>
      <w:r>
        <w:rPr>
          <w:b/>
          <w:color w:val="0070C0"/>
        </w:rPr>
        <w:t>Analyse de la performance du produit 2.1.1</w:t>
      </w:r>
      <w:r>
        <w:rPr>
          <w:b/>
        </w:rPr>
        <w:t>: Un accès accu de façon équitable et durable des nouveau-nés, enfants, adolescents, femmes et hommes aux services de prévention et de prise en charge des cas de maladies et de malnutrition de qualité.</w:t>
      </w:r>
    </w:p>
    <w:p w14:paraId="4337FAB2" w14:textId="77777777" w:rsidR="00EA6DED" w:rsidRDefault="00EA6DED"/>
    <w:p w14:paraId="4337FAB3" w14:textId="77777777" w:rsidR="00EA6DED" w:rsidRDefault="007504AE">
      <w:pPr>
        <w:jc w:val="both"/>
      </w:pPr>
      <w:r>
        <w:rPr>
          <w:color w:val="000000"/>
        </w:rPr>
        <w:t xml:space="preserve">Selon les données des rapport annuels UN 2022 et 2024, des progrès notables ont été réalisés, notamment une amélioration de la couverture vaccinale Penta 3, qui est passée de 79,2 % en 2022 à 82,5 % en 2023. L’introduction d’un vaccin contre le paludisme dans les communautés réfugiées a permis une réduction de 30 % des cas de cette maladie parmi les enfants réfugiés de 0 à 5ans, tandis que les programmes de prévention mère-enfant du VIH ont dépassé leurs objectifs avec un taux de mise sous traitement antirétroviral de 93% chez </w:t>
      </w:r>
      <w:r>
        <w:rPr>
          <w:color w:val="000000"/>
        </w:rPr>
        <w:lastRenderedPageBreak/>
        <w:t xml:space="preserve">les femmes enceintes séropositives. Ces avancées témoignent d’un renforcement du système de santé, conformément aux priorités de la SND30 pour réduire la mortalité maternelle et infantile et améliorer la lutte contre les maladies transmissibles. Le soutien des NU s’est traduit par le plaidoyer et le conseil au niveau stratégique, l’appui logistique et institutionnel, la mobilisation partenariale et financière.  </w:t>
      </w:r>
      <w:r>
        <w:t xml:space="preserve">L’accès aux services de planification familiale s’est notablement élargi avec 383 683 nouveaux bénéficiaires grâce aux campagnes de PF organisées et soutenues par le SNU. </w:t>
      </w:r>
    </w:p>
    <w:p w14:paraId="4337FAB4" w14:textId="77777777" w:rsidR="00EA6DED" w:rsidRDefault="00EA6DED">
      <w:pPr>
        <w:jc w:val="both"/>
        <w:rPr>
          <w:color w:val="000000"/>
        </w:rPr>
      </w:pPr>
    </w:p>
    <w:p w14:paraId="4337FAB5" w14:textId="77777777" w:rsidR="00EA6DED" w:rsidRDefault="007504AE">
      <w:pPr>
        <w:jc w:val="both"/>
        <w:rPr>
          <w:color w:val="000000"/>
        </w:rPr>
      </w:pPr>
      <w:r>
        <w:rPr>
          <w:color w:val="000000"/>
        </w:rPr>
        <w:t xml:space="preserve">Cependant, malgré ces succès, plusieurs défis demeurent. A titre illustratif, le taux d’allaitement maternel exclusif est resté faible à 47% en 2023, et seulement 39% des enfants de 6 à 23 mois bénéficient d’une alimentation diversifiée. </w:t>
      </w:r>
    </w:p>
    <w:p w14:paraId="4337FAB6" w14:textId="77777777" w:rsidR="00EA6DED" w:rsidRDefault="00EA6DED">
      <w:pPr>
        <w:rPr>
          <w:color w:val="000000"/>
          <w:sz w:val="15"/>
          <w:szCs w:val="15"/>
        </w:rPr>
      </w:pPr>
    </w:p>
    <w:p w14:paraId="4337FAB7" w14:textId="77777777" w:rsidR="00EA6DED" w:rsidRDefault="007504AE">
      <w:pPr>
        <w:jc w:val="both"/>
      </w:pPr>
      <w:r>
        <w:rPr>
          <w:b/>
          <w:color w:val="0070C0"/>
        </w:rPr>
        <w:t>Analyse de la performance du produit 2.1.2</w:t>
      </w:r>
      <w:r>
        <w:rPr>
          <w:b/>
        </w:rPr>
        <w:t xml:space="preserve"> : Les capacités du système national de santé sont renforcées pour fournir des services essentiels de qualité à tous et répondre efficacement aux situations d’urgences et aux épidémies</w:t>
      </w:r>
      <w:r>
        <w:t>.</w:t>
      </w:r>
      <w:r>
        <w:rPr>
          <w:color w:val="ED7D31"/>
        </w:rPr>
        <w:t xml:space="preserve"> </w:t>
      </w:r>
    </w:p>
    <w:p w14:paraId="4337FAB8" w14:textId="77777777" w:rsidR="00EA6DED" w:rsidRDefault="00EA6DED">
      <w:pPr>
        <w:rPr>
          <w:color w:val="ED7D31"/>
          <w:sz w:val="13"/>
          <w:szCs w:val="13"/>
        </w:rPr>
      </w:pPr>
    </w:p>
    <w:p w14:paraId="4337FAB9" w14:textId="77777777" w:rsidR="00EA6DED" w:rsidRDefault="007504AE">
      <w:pPr>
        <w:jc w:val="both"/>
      </w:pPr>
      <w:r>
        <w:t xml:space="preserve">Les rapports annuels indiquent des avancées majeures dans le renforcement des capacités du système national de santé à travers la contribution des NU à la fourniture de services essentiels et une réponse plus efficace aux urgences et aux épidémies. En 2024, l’intégration de 100 nouveaux établissements de santé dans 50 réseaux de Soins Obstétricaux et Néonatals d’Urgence (SONU) a amélioré la couverture des soins maternels et néonatals dans plusieurs régions clés (Nord-Ouest, Sud-Ouest et Extrême-Nord). Le déploiement de 51 sages-femmes humanitaires, la formation de 343 agents spécialisés dans la surveillance des maladies animales et l’élaboration de documents stratégiques ont renforcé à la fois la prévention et la gestion des zoonoses et autres risques sanitaires. </w:t>
      </w:r>
    </w:p>
    <w:p w14:paraId="4337FABA" w14:textId="77777777" w:rsidR="00EA6DED" w:rsidRDefault="00EA6DED">
      <w:pPr>
        <w:jc w:val="both"/>
        <w:rPr>
          <w:sz w:val="13"/>
          <w:szCs w:val="13"/>
        </w:rPr>
      </w:pPr>
    </w:p>
    <w:p w14:paraId="4337FABB" w14:textId="77777777" w:rsidR="00EA6DED" w:rsidRDefault="007504AE">
      <w:pPr>
        <w:jc w:val="both"/>
      </w:pPr>
      <w:r>
        <w:t>Le soutien au processus d’accréditation des écoles de sages-femmes et les échanges d’expérience à l’international, notamment au Rwanda, ont contribué à l’élévation des standards de formation et de compétences. La formation des agents au Dispositif Minimum d’Urgence en Santé Reproductive (DMU SR) a renforcé la capacité à intervenir efficacement lors des urgences. Toutefois, des lacunes subsistent dans la collecte complète de données sur la couverture réelle des services d’urgence et dans la coordination interinstitutionnelle, éléments essentiels pour une gestion optimale du système de santé.</w:t>
      </w:r>
    </w:p>
    <w:p w14:paraId="4337FABC" w14:textId="77777777" w:rsidR="00EA6DED" w:rsidRDefault="00EA6DED">
      <w:pPr>
        <w:jc w:val="both"/>
      </w:pPr>
    </w:p>
    <w:p w14:paraId="4337FABD" w14:textId="77777777" w:rsidR="00EA6DED" w:rsidRDefault="007504AE">
      <w:pPr>
        <w:jc w:val="both"/>
        <w:rPr>
          <w:b/>
          <w:color w:val="ED7D31"/>
        </w:rPr>
      </w:pPr>
      <w:r>
        <w:rPr>
          <w:b/>
          <w:color w:val="0070C0"/>
        </w:rPr>
        <w:t xml:space="preserve">Analyse de la performance du produit 2.1.3 : </w:t>
      </w:r>
      <w:r>
        <w:rPr>
          <w:b/>
        </w:rPr>
        <w:t>Un accès accru de façon équitable et durable des enfants de moins de 5 ans, des femmes enceintes et allaitantes, des adolescents, des personnes âgées et des communautés vulnérables à une alimentation saine, nutritive, adéquate, diversifiée et sécurisée et aux services de prévention de la malnutrition</w:t>
      </w:r>
    </w:p>
    <w:p w14:paraId="4337FABE" w14:textId="77777777" w:rsidR="00EA6DED" w:rsidRDefault="007504AE">
      <w:pPr>
        <w:jc w:val="both"/>
        <w:rPr>
          <w:color w:val="ED7D31"/>
          <w:sz w:val="16"/>
          <w:szCs w:val="16"/>
        </w:rPr>
      </w:pPr>
      <w:r>
        <w:rPr>
          <w:color w:val="ED7D31"/>
        </w:rPr>
        <w:t xml:space="preserve"> </w:t>
      </w:r>
    </w:p>
    <w:p w14:paraId="4337FABF" w14:textId="77777777" w:rsidR="00EA6DED" w:rsidRDefault="007504AE">
      <w:pPr>
        <w:jc w:val="both"/>
      </w:pPr>
      <w:r>
        <w:t>Les interventions majeures appuyées par le SNU ont porté sur la distribution ciblée d’aliments nutritifs spécialisés, le dépistage et la prise en charge des cas de malnutrition, ainsi que sur la promotion des pratiques agricoles durables et de supplémentation en micronutriments, notamment en fer et acide folique pour plus de 82 000 adolescentes. Le développement de systèmes intégrés de production maraîchère et piscicole en bac hors sol a renforcé la résilience alimentaire des populations vulnérables.</w:t>
      </w:r>
    </w:p>
    <w:p w14:paraId="4337FAC0" w14:textId="77777777" w:rsidR="00EA6DED" w:rsidRDefault="007504AE">
      <w:pPr>
        <w:jc w:val="both"/>
      </w:pPr>
      <w:r>
        <w:t xml:space="preserve"> </w:t>
      </w:r>
    </w:p>
    <w:p w14:paraId="4337FAC1" w14:textId="77777777" w:rsidR="00EA6DED" w:rsidRDefault="007504AE">
      <w:pPr>
        <w:jc w:val="both"/>
      </w:pPr>
      <w:r>
        <w:t xml:space="preserve">En 2024, plus de 185 000 enfants âgés de moins de 5 ans souffrant de malnutrition aiguë modérée ont bénéficié d’une assistance nutritionnelle, avec un taux de récupération élevé de 92 %. La distribution de 3 000 tonnes métriques d’aliments nutritifs spécialisés et la fourniture de rations adaptées à 30 500 enfants de 6 à 23 mois ont permis d’améliorer significativement la qualité et la diversité de l’alimentation infantile dans plusieurs régions particulièrement affectées par des crises. Par ailleurs, le renforcement des capacités de 47 acteurs dans la production agro-sylvo-pastorale durable et l’éducation nutritionnelle a favorisé une meilleure sécurité alimentaire à long terme. Le soutien aux programmes d’alimentation scolaire, avec 74 752 élèves nourris dans 151 écoles, contribue également à la lutte contre la malnutrition chez les enfants vulnérables. Ces actions correspondent aux ambitions de la SND30 qui vise à réduire de deux tiers la malnutrition chez les enfants de moins de 5 ans et à renforcer la sécurité alimentaire. </w:t>
      </w:r>
    </w:p>
    <w:p w14:paraId="4337FAC2" w14:textId="77777777" w:rsidR="00EA6DED" w:rsidRDefault="00EA6DED">
      <w:pPr>
        <w:jc w:val="both"/>
        <w:rPr>
          <w:sz w:val="15"/>
          <w:szCs w:val="15"/>
        </w:rPr>
      </w:pPr>
    </w:p>
    <w:p w14:paraId="4337FAC3" w14:textId="77777777" w:rsidR="00EA6DED" w:rsidRDefault="007504AE">
      <w:pPr>
        <w:jc w:val="both"/>
        <w:rPr>
          <w:b/>
          <w:color w:val="ED7D31"/>
        </w:rPr>
      </w:pPr>
      <w:r>
        <w:rPr>
          <w:b/>
          <w:color w:val="0070C0"/>
        </w:rPr>
        <w:lastRenderedPageBreak/>
        <w:t>Analyse de la performance du produit 2.1.4</w:t>
      </w:r>
      <w:r>
        <w:rPr>
          <w:b/>
          <w:color w:val="000000"/>
        </w:rPr>
        <w:t xml:space="preserve">: Les capacités du système national de surveillance et de coordination de la sécurité alimentaire et nutritionnelle sont renforcées pour permettre l’utilisation efficace des données par les utilisateurs. </w:t>
      </w:r>
    </w:p>
    <w:p w14:paraId="4337FAC4" w14:textId="77777777" w:rsidR="00EA6DED" w:rsidRDefault="00EA6DED">
      <w:pPr>
        <w:rPr>
          <w:color w:val="ED7D31"/>
          <w:sz w:val="16"/>
          <w:szCs w:val="16"/>
        </w:rPr>
      </w:pPr>
    </w:p>
    <w:p w14:paraId="4337FAC5" w14:textId="77777777" w:rsidR="00EA6DED" w:rsidRDefault="007504AE">
      <w:pPr>
        <w:jc w:val="both"/>
        <w:rPr>
          <w:color w:val="000000"/>
        </w:rPr>
      </w:pPr>
      <w:r>
        <w:rPr>
          <w:color w:val="000000"/>
        </w:rPr>
        <w:t xml:space="preserve">L’examen du produit 2.1.4 montre un renforcement significatif des capacités du système national de surveillance et de coordination de la sécurité alimentaire et nutritionnelle dans l’amélioration de l’utilisation efficace des données par les différents utilisateurs. L’action du SNU s’est traduite entre autres par la mise en place d’un système intégré de collecte et d’analyse des données couvre désormais l’ensemble des régions du pays, avec des rapports réguliers sur la sécurité alimentaire et la nutrition qui facilitent une meilleure anticipation des crises. En 2024, plus de 50 acteurs clés ont été formés à la gestion et à l’analyse des données nutritionnelles, ce qui a considérablement amélioré la qualité et la fiabilité des informations disponibles. Les rapports annuels montrent que les principales activités réalisées comprennent l’élaboration et la diffusion de rapports périodiques sur la situation nutritionnelle et alimentaire, ainsi que l’organisation d’ateliers de renforcement des capacités à destination des agents de terrain et des décideurs. Le développement d’outils numériques interactifs, tels que des tableaux de bord, a amélioré la surveillance en temps réel des indicateurs clé. Des campagnes de sensibilisation ont également été menées pour encourager l’intégration des données dans la planification des interventions et la mobilisation des ressources. Cependant, certaines régions comme l’Extrême-Nord, l’Adamaoua et l’Est restent confrontées à des difficultés d’accès aux technologies et infrastructures nécessaires, ce qui limite la couverture complète et la continuité de la surveillance. </w:t>
      </w:r>
    </w:p>
    <w:p w14:paraId="4337FAC6" w14:textId="77777777" w:rsidR="00EA6DED" w:rsidRDefault="00EA6DED">
      <w:pPr>
        <w:jc w:val="both"/>
        <w:rPr>
          <w:color w:val="000000"/>
        </w:rPr>
      </w:pPr>
    </w:p>
    <w:p w14:paraId="4337FAC7" w14:textId="77777777" w:rsidR="00EA6DED" w:rsidRDefault="007504AE">
      <w:pPr>
        <w:jc w:val="both"/>
        <w:rPr>
          <w:b/>
          <w:color w:val="000000"/>
        </w:rPr>
      </w:pPr>
      <w:r>
        <w:rPr>
          <w:b/>
          <w:color w:val="0070C0"/>
        </w:rPr>
        <w:t>Analyse de la performance du produit 2.1.5</w:t>
      </w:r>
      <w:r>
        <w:rPr>
          <w:b/>
          <w:color w:val="000000"/>
        </w:rPr>
        <w:t>:   Les capacités du système de protection sociale sont renforcées pour répondre efficacement aux besoins des enfants, des adolescents, des jeunes, des femmes et des personnes laissées pour compte, en vue de la réduction des inégalités</w:t>
      </w:r>
    </w:p>
    <w:p w14:paraId="4337FAC8" w14:textId="77777777" w:rsidR="00EA6DED" w:rsidRDefault="00EA6DED">
      <w:pPr>
        <w:jc w:val="both"/>
        <w:rPr>
          <w:color w:val="ED7D31"/>
        </w:rPr>
      </w:pPr>
    </w:p>
    <w:p w14:paraId="4337FAC9" w14:textId="77777777" w:rsidR="00EA6DED" w:rsidRDefault="007504AE">
      <w:pPr>
        <w:jc w:val="both"/>
      </w:pPr>
      <w:r>
        <w:t>L’exploitation des rapports montre qu’avec la contribution des NU, des progrès notables ont été enregistrés dans l’extension des filets sociaux et des mécanismes d’appui ciblés. En 2024, environ 150 000 bénéficiaires vulnérables ont accédé à des services sociaux renforcés, incluant des transferts monétaires ciblés, un appui psychosocial, et des programmes d’intégration socio-économique, notamment dans les régions du Nord-Ouest, du Sud-Ouest, de l’Extrême-Nord et de l’Adamaoua. Ces actions sont en phase avec les recommandations et interventions des agences telles que le HCR, qui œuvre à la protection des réfugiés et déplacés internes, le PAM, qui lutte contre l’insécurité alimentaire et la malnutrition, et l’UNICEF, qui cible la protection des enfants et la réduction des violences basées sur le genre (VBG). Par exemple, selon le rapport 2024 du HCR, le Ministère de la Santé publique, sous l’impulsion des Nations Unies, a permis à 93 000 réfugiés de bénéficier de la Couverture Santé Universelle (CSU) et d’un cadre conjoint HCR-MINAS sur la protection sociale et poursuite de l’inclusion des personnes réfugiées avec des besoins spécifiques.</w:t>
      </w:r>
    </w:p>
    <w:p w14:paraId="4337FACA" w14:textId="77777777" w:rsidR="00EA6DED" w:rsidRDefault="00EA6DED">
      <w:pPr>
        <w:jc w:val="both"/>
      </w:pPr>
    </w:p>
    <w:p w14:paraId="4337FACB" w14:textId="77777777" w:rsidR="00EA6DED" w:rsidRDefault="007504AE">
      <w:pPr>
        <w:jc w:val="both"/>
      </w:pPr>
      <w:r>
        <w:t>Avec le plaidoyer des NU, le Ministère de la Décentralisation et du Développement (MINDDEVEL) a publié une circulaire conjointe imposant la budgétisation des besoins des réfugiés dans les plans locaux et régionaux, le Ministère des Affaires sociales (MINAS) a procédé à l’inclusion des réfugiés âgés et handicapés et des personnes déplacées dans les programmes de protection sociale, Le Ministère de l’Éducation de base a facilité la scolarisation des réfugiés aux mêmes frais que les nationaux et la Délégation Générale à la Sécurité Nationale a délivré les cartes d’identité biométriques pour réfugiés portant le sceau du gouvernement</w:t>
      </w:r>
      <w:r>
        <w:rPr>
          <w:rStyle w:val="Appelnotedebasdep"/>
          <w:rFonts w:eastAsia="Calibri"/>
        </w:rPr>
        <w:footnoteReference w:id="71"/>
      </w:r>
      <w:r>
        <w:t>. Le PAM a renforcé ses programmes de filets sociaux pour plus de 200 000 personnes en situation d’insécurité alimentaire en 2023</w:t>
      </w:r>
      <w:r>
        <w:rPr>
          <w:rStyle w:val="Appelnotedebasdep"/>
          <w:rFonts w:eastAsia="Calibri"/>
        </w:rPr>
        <w:footnoteReference w:id="72"/>
      </w:r>
      <w:r>
        <w:t>.</w:t>
      </w:r>
    </w:p>
    <w:p w14:paraId="4337FACC" w14:textId="77777777" w:rsidR="00EA6DED" w:rsidRDefault="00EA6DED">
      <w:pPr>
        <w:jc w:val="both"/>
      </w:pPr>
    </w:p>
    <w:p w14:paraId="4337FACD" w14:textId="77777777" w:rsidR="00EA6DED" w:rsidRDefault="007504AE">
      <w:pPr>
        <w:jc w:val="both"/>
      </w:pPr>
      <w:r>
        <w:t>Cependant, les interventions font face à une absence de cartographie détaillée pour structurer l’élargissement de la couverture géographique, mieux coordonner les efforts entre les différents acteurs gouvernementaux et humanitaires, en particulier dans les régions les plus marginalisées.</w:t>
      </w:r>
    </w:p>
    <w:p w14:paraId="4337FACE" w14:textId="77777777" w:rsidR="00EA6DED" w:rsidRDefault="00EA6DED">
      <w:pPr>
        <w:jc w:val="both"/>
      </w:pPr>
    </w:p>
    <w:p w14:paraId="4337FACF" w14:textId="77777777" w:rsidR="00EA6DED" w:rsidRDefault="007504AE">
      <w:pPr>
        <w:jc w:val="both"/>
        <w:rPr>
          <w:b/>
        </w:rPr>
      </w:pPr>
      <w:r>
        <w:rPr>
          <w:b/>
          <w:color w:val="0070C0"/>
        </w:rPr>
        <w:lastRenderedPageBreak/>
        <w:t xml:space="preserve">Analyse de la performance du produit 2.1.6 : </w:t>
      </w:r>
      <w:r>
        <w:rPr>
          <w:b/>
        </w:rPr>
        <w:t>Un accès accru des enfants, des adolescents, des jeunes, prioritairement les filles, et des groupes vulnérables, à une éducation inclusive de qualité, y compris une offre d’alphabétisation</w:t>
      </w:r>
    </w:p>
    <w:p w14:paraId="4337FAD0" w14:textId="77777777" w:rsidR="00EA6DED" w:rsidRDefault="00EA6DED"/>
    <w:p w14:paraId="4337FAD1" w14:textId="77777777" w:rsidR="00EA6DED" w:rsidRDefault="007504AE">
      <w:pPr>
        <w:jc w:val="both"/>
      </w:pPr>
      <w:r>
        <w:t xml:space="preserve">En 2024, plus de 400 000 enfants vulnérables dont 63,000 réfugiés ont bénéficié d’un accès amélioré à l’éducation. Les principales activités menées avec le soutien des NU ont inclus la construction et la réhabilitation d’écoles dans les régions à risque, </w:t>
      </w:r>
      <w:r>
        <w:rPr>
          <w:bCs/>
        </w:rPr>
        <w:t>la distribution des kits scolaires et de dignité aux élèves, des aides matérielles aux enfants handicapés</w:t>
      </w:r>
      <w:r>
        <w:t>, la formation continue des enseignants aux pédagogies inclusives et aux approches sensibles au genre, ainsi que la mise en place de programmes d’alphabétisation fonctionnelle ciblant les adolescents et jeunes femmes non scolarisés. De manière globale dans les sites, camps et localités à forte concentration de réfugiés les NU ont soutenu des campagnes de sensibilisation pour encourager la scolarisation des filles et la lutte contre les violences en milieu scolaire. A travers le soutien de l’UNESCO, des modules de formation adaptés aux populations vulnérables ont été développés pour favoriser l’apprentissage en langues locales et l’intégration des élèves en situation de handicap. En outre, des initiatives de soutien psychosocial ont été déployées pour les élèves affectés par les conflits et les déplacements. Malgré ces efforts, le rapport l’UNESCO 2024</w:t>
      </w:r>
      <w:r>
        <w:rPr>
          <w:rStyle w:val="Appelnotedebasdep"/>
          <w:rFonts w:eastAsia="Calibri"/>
        </w:rPr>
        <w:footnoteReference w:id="73"/>
      </w:r>
      <w:r>
        <w:t xml:space="preserve"> souligne que l’accès reste limité dans certaines zones rurales et affectées par l’insécurité, notamment dans les régions de l’Extrême-Nord et du Nord-Ouest, où des investissements supplémentaires sont nécessaires pour garantir une éducation inclusive, durable et de qualité à tous. Il pourrait également être envisageable pour le Cameroun de créer des points d’entrée adaptés pour les travailleurs informels, indépendants et vulnérables au sein de la CNPS, afin d’assurer une protection sociale adéquate et durable. Actuellement, les non-salariés ne peuvent y adhérer que via une assurance volontaire coûteuse, limitée à la branche Pensions, Vieillesse, Invalidité et Décès (PVID), excluant les prestations familiales et les Accidents du Travail et Maladies Professionnelles (ATMP), qui sont pourtant prioritaires pour eux. Il en va de même pour certaines zones à forte concentration des réfugiés, dans les régions de l’Est, de l’Adamaoua, du Nord et au Camp de Minawao, où des efforts supplémentaires en termes d’infrastructures scolaires sont nécessaires. Le HCR indique que plus de 150.000 enfants réfugiés restent encore hors de l’école en 2024.</w:t>
      </w:r>
    </w:p>
    <w:p w14:paraId="4337FAD2" w14:textId="77777777" w:rsidR="00EA6DED" w:rsidRDefault="00EA6DED">
      <w:pPr>
        <w:jc w:val="both"/>
      </w:pPr>
    </w:p>
    <w:p w14:paraId="4337FAD3" w14:textId="77777777" w:rsidR="00EA6DED" w:rsidRDefault="007504AE">
      <w:pPr>
        <w:jc w:val="both"/>
        <w:rPr>
          <w:b/>
          <w:color w:val="000000"/>
        </w:rPr>
      </w:pPr>
      <w:r>
        <w:rPr>
          <w:b/>
          <w:color w:val="0070C0"/>
        </w:rPr>
        <w:t>Analyse de la performance du produit 2.1.7 </w:t>
      </w:r>
      <w:r>
        <w:rPr>
          <w:b/>
          <w:color w:val="000000"/>
        </w:rPr>
        <w:t>: Un accès accru de façon équitable et durable des jeunes de 15-35 ans à la formation professionnelle et aux opportunités d’apprentissage, en adéquation avec le secteur productif</w:t>
      </w:r>
    </w:p>
    <w:p w14:paraId="4337FAD4" w14:textId="77777777" w:rsidR="00EA6DED" w:rsidRDefault="007504AE">
      <w:pPr>
        <w:rPr>
          <w:color w:val="ED7D31"/>
        </w:rPr>
      </w:pPr>
      <w:r>
        <w:rPr>
          <w:color w:val="ED7D31"/>
        </w:rPr>
        <w:t xml:space="preserve"> </w:t>
      </w:r>
    </w:p>
    <w:p w14:paraId="4337FAD5" w14:textId="77777777" w:rsidR="00EA6DED" w:rsidRDefault="007504AE">
      <w:pPr>
        <w:pStyle w:val="NormalWeb"/>
        <w:spacing w:before="0" w:beforeAutospacing="0" w:after="0" w:afterAutospacing="0"/>
        <w:jc w:val="both"/>
      </w:pPr>
      <w:r>
        <w:t xml:space="preserve">Le Ministère de l’Emploi et de la Formation Professionnelle (MINFOP) a intensifié ses efforts pour augmenter le nombre de jeunes inscrits dans les centres de formation professionnelle, avec un accent sur la diversification des filières telles que l’agriculture, les technologies de l’information, la construction et l’artisanat. Ces efforts sont soutenus par les NU qui interviennent dans plusieurs programmes visant à renforcer l’employabilité des jeunes par des formations adaptées, l’apprentissage en milieu professionnel et l’appui à l’entrepreneuriat. </w:t>
      </w:r>
    </w:p>
    <w:p w14:paraId="4337FAD6" w14:textId="77777777" w:rsidR="00EA6DED" w:rsidRDefault="00EA6DED">
      <w:pPr>
        <w:pStyle w:val="NormalWeb"/>
        <w:spacing w:before="0" w:beforeAutospacing="0" w:after="0" w:afterAutospacing="0"/>
        <w:jc w:val="both"/>
      </w:pPr>
    </w:p>
    <w:p w14:paraId="4337FAD7" w14:textId="77777777" w:rsidR="00EA6DED" w:rsidRDefault="007504AE">
      <w:pPr>
        <w:pStyle w:val="NormalWeb"/>
        <w:shd w:val="clear" w:color="auto" w:fill="FFF2CC"/>
        <w:jc w:val="both"/>
        <w:rPr>
          <w:rFonts w:eastAsia="Verdana"/>
          <w:b/>
          <w:color w:val="000000"/>
        </w:rPr>
      </w:pPr>
      <w:r>
        <w:rPr>
          <w:rFonts w:eastAsia="Verdana"/>
          <w:b/>
          <w:color w:val="000000"/>
        </w:rPr>
        <w:t>Réalisation 2.2 (Effet 2.2) : D’ici à 2026, les écarts dans les indicateurs clés socio-économiques sont réduits, reflétant une plus grande égalité́ des sexes et une progression dans l’autonomisation des jeunes, des femmes et des filles, et d’autres groupes vulnérables, Gouvernement Nations Unies y compris dans les contextes humanitaires  (ODD 1, 2, 3, 4, 5, 6, 7, 8, 9, 10, 11, 12, 13, 14, 15, 16, 17 par BIT, FAO, HCDH, HCR, OIM, OMS, ONU Femmes, ONU-Habitat, ONUSIDA, PAM, PNUD, UNESCO, UNFPA, UNICEF, UNOPS, VNU)</w:t>
      </w:r>
    </w:p>
    <w:p w14:paraId="4337FAD8" w14:textId="77777777" w:rsidR="00EA6DED" w:rsidRDefault="00EA6DED">
      <w:pPr>
        <w:pStyle w:val="Lgende"/>
        <w:widowControl w:val="0"/>
        <w:tabs>
          <w:tab w:val="left" w:pos="1275"/>
          <w:tab w:val="left" w:pos="1277"/>
        </w:tabs>
        <w:spacing w:line="267" w:lineRule="auto"/>
      </w:pPr>
    </w:p>
    <w:p w14:paraId="4337FAD9" w14:textId="77777777" w:rsidR="00EA6DED" w:rsidRDefault="007504AE">
      <w:pPr>
        <w:pStyle w:val="Lgende"/>
        <w:widowControl w:val="0"/>
        <w:tabs>
          <w:tab w:val="left" w:pos="1275"/>
          <w:tab w:val="left" w:pos="1277"/>
        </w:tabs>
        <w:spacing w:line="267" w:lineRule="auto"/>
        <w:rPr>
          <w:rFonts w:ascii="Times New Roman" w:hAnsi="Times New Roman"/>
          <w:color w:val="000000"/>
          <w:sz w:val="21"/>
          <w:szCs w:val="21"/>
        </w:rPr>
      </w:pPr>
      <w:r>
        <w:rPr>
          <w:sz w:val="21"/>
          <w:szCs w:val="21"/>
        </w:rPr>
        <w:t xml:space="preserve">Tableau </w:t>
      </w:r>
      <w:r>
        <w:rPr>
          <w:sz w:val="21"/>
          <w:szCs w:val="21"/>
        </w:rPr>
        <w:fldChar w:fldCharType="begin"/>
      </w:r>
      <w:r>
        <w:rPr>
          <w:sz w:val="21"/>
          <w:szCs w:val="21"/>
        </w:rPr>
        <w:instrText xml:space="preserve"> SEQ Tableau \* ARABIC </w:instrText>
      </w:r>
      <w:r>
        <w:rPr>
          <w:sz w:val="21"/>
          <w:szCs w:val="21"/>
        </w:rPr>
        <w:fldChar w:fldCharType="separate"/>
      </w:r>
      <w:r>
        <w:rPr>
          <w:sz w:val="21"/>
          <w:szCs w:val="21"/>
        </w:rPr>
        <w:t>5</w:t>
      </w:r>
      <w:r>
        <w:rPr>
          <w:sz w:val="21"/>
          <w:szCs w:val="21"/>
        </w:rPr>
        <w:fldChar w:fldCharType="end"/>
      </w:r>
      <w:bookmarkStart w:id="125" w:name="_Toc26508"/>
      <w:r>
        <w:rPr>
          <w:sz w:val="21"/>
          <w:szCs w:val="21"/>
        </w:rPr>
        <w:t xml:space="preserve">: État des indicateurs de Réalisation 2.2 </w:t>
      </w:r>
      <w:bookmarkEnd w:id="125"/>
    </w:p>
    <w:p w14:paraId="4337FADA" w14:textId="77777777" w:rsidR="00EA6DED" w:rsidRDefault="00EA6DED">
      <w:pPr>
        <w:rPr>
          <w:sz w:val="2"/>
          <w:szCs w:val="2"/>
          <w:highlight w:val="yellow"/>
        </w:rPr>
      </w:pPr>
    </w:p>
    <w:tbl>
      <w:tblPr>
        <w:tblW w:w="10317" w:type="dxa"/>
        <w:tblLayout w:type="fixed"/>
        <w:tblLook w:val="04A0" w:firstRow="1" w:lastRow="0" w:firstColumn="1" w:lastColumn="0" w:noHBand="0" w:noVBand="1"/>
      </w:tblPr>
      <w:tblGrid>
        <w:gridCol w:w="2268"/>
        <w:gridCol w:w="993"/>
        <w:gridCol w:w="1275"/>
        <w:gridCol w:w="1134"/>
        <w:gridCol w:w="3261"/>
        <w:gridCol w:w="1386"/>
      </w:tblGrid>
      <w:tr w:rsidR="00EA6DED" w14:paraId="4337FAE1" w14:textId="77777777">
        <w:trPr>
          <w:trHeight w:val="339"/>
        </w:trPr>
        <w:tc>
          <w:tcPr>
            <w:tcW w:w="2268" w:type="dxa"/>
            <w:tcBorders>
              <w:top w:val="single" w:sz="4" w:space="0" w:color="auto"/>
              <w:left w:val="nil"/>
              <w:bottom w:val="single" w:sz="4" w:space="0" w:color="auto"/>
              <w:right w:val="nil"/>
            </w:tcBorders>
            <w:shd w:val="clear" w:color="9CC2E5" w:fill="B4C6E7"/>
          </w:tcPr>
          <w:p w14:paraId="4337FADB" w14:textId="77777777" w:rsidR="00EA6DED" w:rsidRDefault="007504AE">
            <w:pPr>
              <w:rPr>
                <w:bCs/>
                <w:color w:val="231F20"/>
                <w:sz w:val="21"/>
                <w:szCs w:val="20"/>
              </w:rPr>
            </w:pPr>
            <w:r>
              <w:rPr>
                <w:bCs/>
                <w:color w:val="231F20"/>
                <w:sz w:val="21"/>
                <w:szCs w:val="20"/>
              </w:rPr>
              <w:lastRenderedPageBreak/>
              <w:t xml:space="preserve">Indicateurs </w:t>
            </w:r>
          </w:p>
        </w:tc>
        <w:tc>
          <w:tcPr>
            <w:tcW w:w="993" w:type="dxa"/>
            <w:tcBorders>
              <w:top w:val="single" w:sz="4" w:space="0" w:color="auto"/>
              <w:left w:val="single" w:sz="4" w:space="0" w:color="auto"/>
              <w:bottom w:val="single" w:sz="4" w:space="0" w:color="auto"/>
              <w:right w:val="single" w:sz="4" w:space="0" w:color="auto"/>
            </w:tcBorders>
            <w:shd w:val="clear" w:color="9CC2E5" w:fill="FFFFFF"/>
          </w:tcPr>
          <w:p w14:paraId="4337FADC" w14:textId="77777777" w:rsidR="00EA6DED" w:rsidRDefault="007504AE">
            <w:pPr>
              <w:jc w:val="center"/>
              <w:rPr>
                <w:bCs/>
                <w:color w:val="000000"/>
                <w:sz w:val="21"/>
                <w:szCs w:val="20"/>
              </w:rPr>
            </w:pPr>
            <w:r>
              <w:rPr>
                <w:bCs/>
                <w:color w:val="000000"/>
                <w:sz w:val="21"/>
                <w:szCs w:val="20"/>
              </w:rPr>
              <w:t xml:space="preserve">Baseline </w:t>
            </w:r>
          </w:p>
        </w:tc>
        <w:tc>
          <w:tcPr>
            <w:tcW w:w="1275" w:type="dxa"/>
            <w:tcBorders>
              <w:top w:val="single" w:sz="4" w:space="0" w:color="auto"/>
              <w:left w:val="nil"/>
              <w:bottom w:val="single" w:sz="4" w:space="0" w:color="auto"/>
              <w:right w:val="single" w:sz="4" w:space="0" w:color="auto"/>
            </w:tcBorders>
            <w:shd w:val="clear" w:color="9CC2E5" w:fill="FFFFFF"/>
          </w:tcPr>
          <w:p w14:paraId="4337FADD" w14:textId="77777777" w:rsidR="00EA6DED" w:rsidRDefault="007504AE">
            <w:pPr>
              <w:jc w:val="center"/>
              <w:rPr>
                <w:bCs/>
                <w:color w:val="000000"/>
                <w:sz w:val="21"/>
                <w:szCs w:val="20"/>
              </w:rPr>
            </w:pPr>
            <w:r>
              <w:rPr>
                <w:bCs/>
                <w:color w:val="000000"/>
                <w:sz w:val="21"/>
                <w:szCs w:val="20"/>
              </w:rPr>
              <w:t>Cible 2026</w:t>
            </w:r>
          </w:p>
        </w:tc>
        <w:tc>
          <w:tcPr>
            <w:tcW w:w="1134" w:type="dxa"/>
            <w:tcBorders>
              <w:top w:val="single" w:sz="4" w:space="0" w:color="auto"/>
              <w:left w:val="nil"/>
              <w:bottom w:val="single" w:sz="4" w:space="0" w:color="auto"/>
              <w:right w:val="single" w:sz="4" w:space="0" w:color="auto"/>
            </w:tcBorders>
            <w:noWrap/>
          </w:tcPr>
          <w:p w14:paraId="4337FADE" w14:textId="77777777" w:rsidR="00EA6DED" w:rsidRDefault="007504AE">
            <w:pPr>
              <w:jc w:val="center"/>
              <w:rPr>
                <w:bCs/>
                <w:color w:val="000000"/>
                <w:sz w:val="21"/>
                <w:szCs w:val="20"/>
              </w:rPr>
            </w:pPr>
            <w:r>
              <w:rPr>
                <w:bCs/>
                <w:color w:val="000000"/>
                <w:sz w:val="21"/>
                <w:szCs w:val="20"/>
              </w:rPr>
              <w:t xml:space="preserve">Réalisation 2024 </w:t>
            </w:r>
          </w:p>
        </w:tc>
        <w:tc>
          <w:tcPr>
            <w:tcW w:w="3261" w:type="dxa"/>
            <w:tcBorders>
              <w:top w:val="single" w:sz="4" w:space="0" w:color="auto"/>
              <w:left w:val="nil"/>
              <w:bottom w:val="single" w:sz="4" w:space="0" w:color="auto"/>
              <w:right w:val="single" w:sz="4" w:space="0" w:color="auto"/>
            </w:tcBorders>
            <w:noWrap/>
          </w:tcPr>
          <w:p w14:paraId="4337FADF" w14:textId="77777777" w:rsidR="00EA6DED" w:rsidRDefault="007504AE">
            <w:pPr>
              <w:jc w:val="center"/>
              <w:rPr>
                <w:bCs/>
                <w:color w:val="000000"/>
                <w:sz w:val="21"/>
                <w:szCs w:val="20"/>
              </w:rPr>
            </w:pPr>
            <w:r>
              <w:rPr>
                <w:bCs/>
                <w:color w:val="000000"/>
                <w:sz w:val="21"/>
                <w:szCs w:val="20"/>
              </w:rPr>
              <w:t>Commentaires</w:t>
            </w:r>
          </w:p>
        </w:tc>
        <w:tc>
          <w:tcPr>
            <w:tcW w:w="1386" w:type="dxa"/>
            <w:tcBorders>
              <w:top w:val="single" w:sz="4" w:space="0" w:color="auto"/>
              <w:left w:val="nil"/>
              <w:bottom w:val="single" w:sz="4" w:space="0" w:color="auto"/>
              <w:right w:val="single" w:sz="4" w:space="0" w:color="auto"/>
            </w:tcBorders>
            <w:noWrap/>
          </w:tcPr>
          <w:p w14:paraId="4337FAE0" w14:textId="77777777" w:rsidR="00EA6DED" w:rsidRDefault="007504AE">
            <w:pPr>
              <w:rPr>
                <w:color w:val="231F20"/>
                <w:sz w:val="21"/>
                <w:szCs w:val="20"/>
              </w:rPr>
            </w:pPr>
            <w:r>
              <w:rPr>
                <w:color w:val="231F20"/>
                <w:sz w:val="21"/>
                <w:szCs w:val="20"/>
              </w:rPr>
              <w:t>Sources</w:t>
            </w:r>
          </w:p>
        </w:tc>
      </w:tr>
      <w:tr w:rsidR="00EA6DED" w14:paraId="4337FAEA" w14:textId="77777777">
        <w:trPr>
          <w:trHeight w:val="1236"/>
        </w:trPr>
        <w:tc>
          <w:tcPr>
            <w:tcW w:w="2268" w:type="dxa"/>
            <w:tcBorders>
              <w:top w:val="single" w:sz="4" w:space="0" w:color="auto"/>
              <w:left w:val="nil"/>
              <w:bottom w:val="single" w:sz="4" w:space="0" w:color="auto"/>
              <w:right w:val="nil"/>
            </w:tcBorders>
            <w:shd w:val="clear" w:color="9CC2E5" w:fill="B4C6E7"/>
            <w:vAlign w:val="center"/>
          </w:tcPr>
          <w:p w14:paraId="4337FAE2" w14:textId="77777777" w:rsidR="00EA6DED" w:rsidRDefault="007504AE">
            <w:pPr>
              <w:rPr>
                <w:bCs/>
                <w:color w:val="000000"/>
                <w:sz w:val="21"/>
                <w:szCs w:val="20"/>
              </w:rPr>
            </w:pPr>
            <w:r>
              <w:rPr>
                <w:bCs/>
                <w:color w:val="000000"/>
                <w:sz w:val="21"/>
                <w:szCs w:val="20"/>
              </w:rPr>
              <w:t>IE 2.2 1: Proportion de femmes âgées de 15 à 49 ans prenant leurs propres décisions éclairées en ce qui concerne les relations sexuelles, l’utilisation d’une contraception et les soins de santé reproductive</w:t>
            </w:r>
          </w:p>
        </w:tc>
        <w:tc>
          <w:tcPr>
            <w:tcW w:w="993" w:type="dxa"/>
            <w:tcBorders>
              <w:top w:val="single" w:sz="4" w:space="0" w:color="auto"/>
              <w:left w:val="single" w:sz="4" w:space="0" w:color="auto"/>
              <w:bottom w:val="single" w:sz="4" w:space="0" w:color="auto"/>
              <w:right w:val="single" w:sz="4" w:space="0" w:color="auto"/>
            </w:tcBorders>
            <w:shd w:val="clear" w:color="9CC2E5" w:fill="FFFFFF"/>
            <w:vAlign w:val="center"/>
          </w:tcPr>
          <w:p w14:paraId="4337FAE3" w14:textId="77777777" w:rsidR="00EA6DED" w:rsidRDefault="007504AE">
            <w:pPr>
              <w:contextualSpacing/>
              <w:rPr>
                <w:bCs/>
                <w:color w:val="000000"/>
                <w:sz w:val="21"/>
                <w:szCs w:val="20"/>
              </w:rPr>
            </w:pPr>
            <w:r>
              <w:rPr>
                <w:bCs/>
                <w:color w:val="000000"/>
                <w:sz w:val="21"/>
                <w:szCs w:val="20"/>
              </w:rPr>
              <w:t>19% (2018)</w:t>
            </w:r>
          </w:p>
        </w:tc>
        <w:tc>
          <w:tcPr>
            <w:tcW w:w="1275" w:type="dxa"/>
            <w:tcBorders>
              <w:top w:val="single" w:sz="4" w:space="0" w:color="auto"/>
              <w:left w:val="nil"/>
              <w:bottom w:val="single" w:sz="4" w:space="0" w:color="auto"/>
              <w:right w:val="single" w:sz="4" w:space="0" w:color="auto"/>
            </w:tcBorders>
            <w:shd w:val="clear" w:color="9CC2E5" w:fill="FFFFFF"/>
            <w:vAlign w:val="center"/>
          </w:tcPr>
          <w:p w14:paraId="4337FAE4" w14:textId="77777777" w:rsidR="00EA6DED" w:rsidRDefault="007504AE">
            <w:pPr>
              <w:contextualSpacing/>
              <w:rPr>
                <w:bCs/>
                <w:color w:val="000000"/>
                <w:sz w:val="21"/>
                <w:szCs w:val="20"/>
              </w:rPr>
            </w:pPr>
            <w:r>
              <w:rPr>
                <w:bCs/>
                <w:color w:val="000000"/>
                <w:sz w:val="21"/>
                <w:szCs w:val="20"/>
              </w:rPr>
              <w:t xml:space="preserve"> 25% (2026)</w:t>
            </w:r>
          </w:p>
        </w:tc>
        <w:tc>
          <w:tcPr>
            <w:tcW w:w="1134" w:type="dxa"/>
            <w:tcBorders>
              <w:top w:val="single" w:sz="4" w:space="0" w:color="auto"/>
              <w:left w:val="nil"/>
              <w:bottom w:val="single" w:sz="4" w:space="0" w:color="auto"/>
              <w:right w:val="single" w:sz="4" w:space="0" w:color="auto"/>
            </w:tcBorders>
            <w:noWrap/>
            <w:vAlign w:val="bottom"/>
          </w:tcPr>
          <w:p w14:paraId="4337FAE5" w14:textId="77777777" w:rsidR="00EA6DED" w:rsidRDefault="007504AE">
            <w:pPr>
              <w:rPr>
                <w:bCs/>
                <w:color w:val="000000"/>
                <w:sz w:val="21"/>
                <w:szCs w:val="20"/>
              </w:rPr>
            </w:pPr>
            <w:r>
              <w:rPr>
                <w:bCs/>
                <w:color w:val="000000"/>
                <w:sz w:val="21"/>
                <w:szCs w:val="20"/>
              </w:rPr>
              <w:t>-</w:t>
            </w:r>
          </w:p>
        </w:tc>
        <w:tc>
          <w:tcPr>
            <w:tcW w:w="3261" w:type="dxa"/>
            <w:tcBorders>
              <w:top w:val="single" w:sz="4" w:space="0" w:color="auto"/>
              <w:left w:val="nil"/>
              <w:bottom w:val="single" w:sz="4" w:space="0" w:color="auto"/>
              <w:right w:val="single" w:sz="4" w:space="0" w:color="auto"/>
            </w:tcBorders>
            <w:noWrap/>
            <w:vAlign w:val="bottom"/>
          </w:tcPr>
          <w:p w14:paraId="4337FAE6" w14:textId="77777777" w:rsidR="00EA6DED" w:rsidRDefault="007504AE">
            <w:pPr>
              <w:jc w:val="both"/>
              <w:rPr>
                <w:bCs/>
                <w:color w:val="000000"/>
                <w:sz w:val="21"/>
                <w:szCs w:val="20"/>
              </w:rPr>
            </w:pPr>
            <w:r>
              <w:rPr>
                <w:color w:val="231F20"/>
                <w:sz w:val="22"/>
                <w:szCs w:val="22"/>
              </w:rPr>
              <w:t xml:space="preserve">Donnée indisponible. Toutefois, les NU ont donné une contribution pour renforcer l’autonomie et les capacités des femmes à prendre des décisions éclairées en matière de sexualité ou en matière de contraception à travers les interventions des Produits 2.2.1 et 2.2.3  </w:t>
            </w:r>
          </w:p>
          <w:p w14:paraId="4337FAE7" w14:textId="77777777" w:rsidR="00EA6DED" w:rsidRDefault="00EA6DED">
            <w:pPr>
              <w:jc w:val="center"/>
              <w:rPr>
                <w:bCs/>
                <w:color w:val="000000"/>
                <w:sz w:val="21"/>
                <w:szCs w:val="20"/>
              </w:rPr>
            </w:pPr>
          </w:p>
          <w:p w14:paraId="4337FAE8" w14:textId="77777777" w:rsidR="00EA6DED" w:rsidRDefault="00EA6DED">
            <w:pPr>
              <w:rPr>
                <w:bCs/>
                <w:color w:val="000000"/>
                <w:sz w:val="21"/>
                <w:szCs w:val="20"/>
              </w:rPr>
            </w:pPr>
          </w:p>
        </w:tc>
        <w:tc>
          <w:tcPr>
            <w:tcW w:w="1386" w:type="dxa"/>
            <w:tcBorders>
              <w:top w:val="single" w:sz="4" w:space="0" w:color="auto"/>
              <w:left w:val="nil"/>
              <w:bottom w:val="single" w:sz="4" w:space="0" w:color="auto"/>
              <w:right w:val="single" w:sz="4" w:space="0" w:color="auto"/>
            </w:tcBorders>
            <w:noWrap/>
            <w:vAlign w:val="bottom"/>
          </w:tcPr>
          <w:p w14:paraId="4337FAE9" w14:textId="77777777" w:rsidR="00EA6DED" w:rsidRDefault="00EA6DED">
            <w:pPr>
              <w:contextualSpacing/>
              <w:rPr>
                <w:sz w:val="21"/>
                <w:szCs w:val="20"/>
              </w:rPr>
            </w:pPr>
          </w:p>
        </w:tc>
      </w:tr>
      <w:tr w:rsidR="00EA6DED" w14:paraId="4337FAF2" w14:textId="77777777">
        <w:trPr>
          <w:trHeight w:val="143"/>
        </w:trPr>
        <w:tc>
          <w:tcPr>
            <w:tcW w:w="2268" w:type="dxa"/>
            <w:tcBorders>
              <w:top w:val="nil"/>
              <w:left w:val="nil"/>
              <w:bottom w:val="single" w:sz="4" w:space="0" w:color="auto"/>
              <w:right w:val="nil"/>
            </w:tcBorders>
            <w:shd w:val="clear" w:color="9CC2E5" w:fill="B4C6E7"/>
            <w:vAlign w:val="center"/>
          </w:tcPr>
          <w:p w14:paraId="4337FAEB" w14:textId="77777777" w:rsidR="00EA6DED" w:rsidRDefault="007504AE">
            <w:pPr>
              <w:rPr>
                <w:bCs/>
                <w:color w:val="000000"/>
                <w:sz w:val="21"/>
                <w:szCs w:val="20"/>
              </w:rPr>
            </w:pPr>
            <w:r>
              <w:rPr>
                <w:bCs/>
                <w:color w:val="000000"/>
                <w:sz w:val="21"/>
                <w:szCs w:val="20"/>
              </w:rPr>
              <w:t>IE 2.2 2:  Proportion de femmes et de filles âgées de 15 ans ou plus ayant vécu en couple, victimes de violences physiques, sexuelles ou émotionnelles infligées au cours des 12 mois précédents par leur partenaire actuel ou un ancien partenaire, par âge et par lieu des faits</w:t>
            </w:r>
          </w:p>
        </w:tc>
        <w:tc>
          <w:tcPr>
            <w:tcW w:w="993" w:type="dxa"/>
            <w:tcBorders>
              <w:top w:val="nil"/>
              <w:left w:val="single" w:sz="4" w:space="0" w:color="auto"/>
              <w:bottom w:val="single" w:sz="4" w:space="0" w:color="auto"/>
              <w:right w:val="single" w:sz="4" w:space="0" w:color="auto"/>
            </w:tcBorders>
            <w:shd w:val="clear" w:color="9CC2E5" w:fill="FFFFFF"/>
            <w:vAlign w:val="center"/>
          </w:tcPr>
          <w:p w14:paraId="4337FAEC" w14:textId="77777777" w:rsidR="00EA6DED" w:rsidRDefault="007504AE">
            <w:pPr>
              <w:contextualSpacing/>
              <w:rPr>
                <w:bCs/>
                <w:color w:val="000000"/>
                <w:sz w:val="21"/>
                <w:szCs w:val="20"/>
              </w:rPr>
            </w:pPr>
            <w:r>
              <w:rPr>
                <w:bCs/>
                <w:color w:val="000000"/>
                <w:sz w:val="21"/>
                <w:szCs w:val="20"/>
              </w:rPr>
              <w:t xml:space="preserve"> 31.5% (2018)</w:t>
            </w:r>
          </w:p>
        </w:tc>
        <w:tc>
          <w:tcPr>
            <w:tcW w:w="1275" w:type="dxa"/>
            <w:tcBorders>
              <w:top w:val="nil"/>
              <w:left w:val="nil"/>
              <w:bottom w:val="single" w:sz="4" w:space="0" w:color="auto"/>
              <w:right w:val="single" w:sz="4" w:space="0" w:color="auto"/>
            </w:tcBorders>
            <w:shd w:val="clear" w:color="9CC2E5" w:fill="FFFFFF"/>
            <w:vAlign w:val="center"/>
          </w:tcPr>
          <w:p w14:paraId="4337FAED" w14:textId="77777777" w:rsidR="00EA6DED" w:rsidRDefault="007504AE">
            <w:pPr>
              <w:contextualSpacing/>
              <w:rPr>
                <w:bCs/>
                <w:color w:val="000000"/>
                <w:sz w:val="21"/>
                <w:szCs w:val="20"/>
              </w:rPr>
            </w:pPr>
            <w:r>
              <w:rPr>
                <w:bCs/>
                <w:color w:val="000000"/>
                <w:sz w:val="21"/>
                <w:szCs w:val="20"/>
              </w:rPr>
              <w:t>15% (2026)</w:t>
            </w:r>
          </w:p>
        </w:tc>
        <w:tc>
          <w:tcPr>
            <w:tcW w:w="1134" w:type="dxa"/>
            <w:tcBorders>
              <w:top w:val="nil"/>
              <w:left w:val="nil"/>
              <w:bottom w:val="single" w:sz="4" w:space="0" w:color="auto"/>
              <w:right w:val="single" w:sz="4" w:space="0" w:color="auto"/>
            </w:tcBorders>
            <w:noWrap/>
            <w:vAlign w:val="bottom"/>
          </w:tcPr>
          <w:p w14:paraId="4337FAEE" w14:textId="77777777" w:rsidR="00EA6DED" w:rsidRDefault="007504AE">
            <w:pPr>
              <w:contextualSpacing/>
              <w:rPr>
                <w:sz w:val="21"/>
                <w:szCs w:val="20"/>
              </w:rPr>
            </w:pPr>
            <w:r>
              <w:rPr>
                <w:sz w:val="21"/>
                <w:szCs w:val="20"/>
              </w:rPr>
              <w:t> 32 %</w:t>
            </w:r>
          </w:p>
        </w:tc>
        <w:tc>
          <w:tcPr>
            <w:tcW w:w="3261" w:type="dxa"/>
            <w:tcBorders>
              <w:top w:val="nil"/>
              <w:left w:val="nil"/>
              <w:bottom w:val="single" w:sz="4" w:space="0" w:color="auto"/>
              <w:right w:val="single" w:sz="4" w:space="0" w:color="auto"/>
            </w:tcBorders>
            <w:shd w:val="clear" w:color="auto" w:fill="F7CAAC" w:themeFill="accent2" w:themeFillTint="66"/>
            <w:noWrap/>
            <w:vAlign w:val="bottom"/>
          </w:tcPr>
          <w:p w14:paraId="4337FAEF" w14:textId="77777777" w:rsidR="00EA6DED" w:rsidRDefault="007504AE">
            <w:pPr>
              <w:contextualSpacing/>
              <w:rPr>
                <w:sz w:val="21"/>
                <w:szCs w:val="20"/>
              </w:rPr>
            </w:pPr>
            <w:r>
              <w:rPr>
                <w:bCs/>
                <w:color w:val="000000"/>
                <w:sz w:val="21"/>
                <w:szCs w:val="20"/>
              </w:rPr>
              <w:t>La prévalence des violences basées sur le genre est restée stable entre 2018 et 2024 en dépit des efforts contributifs dans NU sur la protection des filles et des femmes sur toutes les formes de violences et de discrimination (P2.2.3)</w:t>
            </w:r>
          </w:p>
        </w:tc>
        <w:tc>
          <w:tcPr>
            <w:tcW w:w="1386" w:type="dxa"/>
            <w:vMerge w:val="restart"/>
            <w:tcBorders>
              <w:top w:val="nil"/>
              <w:left w:val="nil"/>
              <w:right w:val="single" w:sz="4" w:space="0" w:color="auto"/>
            </w:tcBorders>
            <w:noWrap/>
            <w:vAlign w:val="bottom"/>
          </w:tcPr>
          <w:p w14:paraId="4337FAF0" w14:textId="77777777" w:rsidR="00EA6DED" w:rsidRDefault="007504AE">
            <w:pPr>
              <w:contextualSpacing/>
              <w:rPr>
                <w:sz w:val="21"/>
                <w:szCs w:val="20"/>
              </w:rPr>
            </w:pPr>
            <w:r>
              <w:rPr>
                <w:sz w:val="21"/>
                <w:szCs w:val="20"/>
              </w:rPr>
              <w:t>Evaluation de la mise en œuvre de la déclaration et du programme d’action de Beijing (2019 – 2024)</w:t>
            </w:r>
          </w:p>
          <w:p w14:paraId="4337FAF1" w14:textId="77777777" w:rsidR="00EA6DED" w:rsidRDefault="007504AE">
            <w:pPr>
              <w:contextualSpacing/>
              <w:rPr>
                <w:sz w:val="21"/>
                <w:szCs w:val="20"/>
              </w:rPr>
            </w:pPr>
            <w:r>
              <w:rPr>
                <w:sz w:val="21"/>
                <w:szCs w:val="20"/>
              </w:rPr>
              <w:t>Octobre 2024</w:t>
            </w:r>
          </w:p>
        </w:tc>
      </w:tr>
      <w:tr w:rsidR="00EA6DED" w14:paraId="4337FAFA" w14:textId="77777777">
        <w:trPr>
          <w:trHeight w:val="780"/>
        </w:trPr>
        <w:tc>
          <w:tcPr>
            <w:tcW w:w="2268" w:type="dxa"/>
            <w:tcBorders>
              <w:top w:val="nil"/>
              <w:left w:val="nil"/>
              <w:bottom w:val="single" w:sz="4" w:space="0" w:color="000000"/>
              <w:right w:val="nil"/>
            </w:tcBorders>
            <w:shd w:val="clear" w:color="9CC2E5" w:fill="B4C6E7"/>
            <w:vAlign w:val="center"/>
          </w:tcPr>
          <w:p w14:paraId="4337FAF3" w14:textId="77777777" w:rsidR="00EA6DED" w:rsidRDefault="007504AE">
            <w:pPr>
              <w:rPr>
                <w:bCs/>
                <w:color w:val="000000"/>
                <w:sz w:val="21"/>
                <w:szCs w:val="20"/>
              </w:rPr>
            </w:pPr>
            <w:r>
              <w:rPr>
                <w:bCs/>
                <w:color w:val="000000"/>
                <w:sz w:val="21"/>
                <w:szCs w:val="20"/>
              </w:rPr>
              <w:t>IE 2.2.2A - Violence physique</w:t>
            </w:r>
          </w:p>
        </w:tc>
        <w:tc>
          <w:tcPr>
            <w:tcW w:w="993" w:type="dxa"/>
            <w:tcBorders>
              <w:top w:val="nil"/>
              <w:left w:val="single" w:sz="4" w:space="0" w:color="auto"/>
              <w:bottom w:val="single" w:sz="4" w:space="0" w:color="auto"/>
              <w:right w:val="single" w:sz="4" w:space="0" w:color="auto"/>
            </w:tcBorders>
            <w:shd w:val="clear" w:color="9CC2E5" w:fill="FFFFFF"/>
            <w:vAlign w:val="center"/>
          </w:tcPr>
          <w:p w14:paraId="4337FAF4" w14:textId="77777777" w:rsidR="00EA6DED" w:rsidRDefault="007504AE">
            <w:pPr>
              <w:contextualSpacing/>
              <w:rPr>
                <w:bCs/>
                <w:color w:val="000000"/>
                <w:sz w:val="21"/>
                <w:szCs w:val="20"/>
              </w:rPr>
            </w:pPr>
            <w:r>
              <w:rPr>
                <w:bCs/>
                <w:color w:val="000000"/>
                <w:sz w:val="21"/>
                <w:szCs w:val="20"/>
              </w:rPr>
              <w:t>19,60%</w:t>
            </w:r>
          </w:p>
        </w:tc>
        <w:tc>
          <w:tcPr>
            <w:tcW w:w="1275" w:type="dxa"/>
            <w:tcBorders>
              <w:top w:val="nil"/>
              <w:left w:val="nil"/>
              <w:bottom w:val="single" w:sz="4" w:space="0" w:color="auto"/>
              <w:right w:val="single" w:sz="4" w:space="0" w:color="auto"/>
            </w:tcBorders>
            <w:shd w:val="clear" w:color="9CC2E5" w:fill="FFFFFF"/>
            <w:vAlign w:val="center"/>
          </w:tcPr>
          <w:p w14:paraId="4337FAF5" w14:textId="77777777" w:rsidR="00EA6DED" w:rsidRDefault="007504AE">
            <w:pPr>
              <w:contextualSpacing/>
              <w:rPr>
                <w:bCs/>
                <w:color w:val="000000"/>
                <w:sz w:val="21"/>
                <w:szCs w:val="20"/>
              </w:rPr>
            </w:pPr>
            <w:r>
              <w:rPr>
                <w:bCs/>
                <w:color w:val="000000"/>
                <w:sz w:val="21"/>
                <w:szCs w:val="20"/>
              </w:rPr>
              <w:t xml:space="preserve"> 9,8% (2026)</w:t>
            </w:r>
          </w:p>
        </w:tc>
        <w:tc>
          <w:tcPr>
            <w:tcW w:w="1134" w:type="dxa"/>
            <w:tcBorders>
              <w:top w:val="nil"/>
              <w:left w:val="nil"/>
              <w:bottom w:val="single" w:sz="4" w:space="0" w:color="auto"/>
              <w:right w:val="single" w:sz="4" w:space="0" w:color="auto"/>
            </w:tcBorders>
            <w:noWrap/>
            <w:vAlign w:val="bottom"/>
          </w:tcPr>
          <w:p w14:paraId="4337FAF6" w14:textId="77777777" w:rsidR="00EA6DED" w:rsidRDefault="007504AE">
            <w:pPr>
              <w:contextualSpacing/>
              <w:rPr>
                <w:sz w:val="21"/>
                <w:szCs w:val="20"/>
              </w:rPr>
            </w:pPr>
            <w:r>
              <w:rPr>
                <w:sz w:val="21"/>
                <w:szCs w:val="20"/>
              </w:rPr>
              <w:t>20 %</w:t>
            </w:r>
          </w:p>
        </w:tc>
        <w:tc>
          <w:tcPr>
            <w:tcW w:w="3261" w:type="dxa"/>
            <w:vMerge w:val="restart"/>
            <w:tcBorders>
              <w:top w:val="nil"/>
              <w:left w:val="nil"/>
              <w:right w:val="single" w:sz="4" w:space="0" w:color="auto"/>
            </w:tcBorders>
            <w:shd w:val="clear" w:color="auto" w:fill="F7CAAC"/>
            <w:noWrap/>
            <w:vAlign w:val="bottom"/>
          </w:tcPr>
          <w:p w14:paraId="4337FAF7" w14:textId="77777777" w:rsidR="00EA6DED" w:rsidRDefault="00EA6DED">
            <w:pPr>
              <w:contextualSpacing/>
              <w:rPr>
                <w:sz w:val="21"/>
                <w:szCs w:val="20"/>
              </w:rPr>
            </w:pPr>
          </w:p>
          <w:p w14:paraId="4337FAF8" w14:textId="77777777" w:rsidR="00EA6DED" w:rsidRDefault="007504AE">
            <w:pPr>
              <w:contextualSpacing/>
              <w:jc w:val="both"/>
              <w:rPr>
                <w:sz w:val="21"/>
                <w:szCs w:val="20"/>
              </w:rPr>
            </w:pPr>
            <w:r>
              <w:rPr>
                <w:sz w:val="21"/>
                <w:szCs w:val="20"/>
              </w:rPr>
              <w:t>Le niveau des violences physiques et psychologiques est resté stable entre 2022 et 2024 alors que les violences sexuelles ont drastiquement augmenté (plus de 5 fois plus en d’que 2022), (. Les NU ont fait des efforts pour réduire les disparités entre les hommes et les femmes dans tous les domaines de la vie nationale (P2.2.2)et protéger les femmes et les filles de toutes formes de violences et de discriminations (P2.2)</w:t>
            </w:r>
          </w:p>
        </w:tc>
        <w:tc>
          <w:tcPr>
            <w:tcW w:w="1386" w:type="dxa"/>
            <w:vMerge/>
            <w:tcBorders>
              <w:left w:val="nil"/>
              <w:bottom w:val="single" w:sz="4" w:space="0" w:color="auto"/>
              <w:right w:val="single" w:sz="4" w:space="0" w:color="auto"/>
            </w:tcBorders>
            <w:noWrap/>
            <w:vAlign w:val="bottom"/>
          </w:tcPr>
          <w:p w14:paraId="4337FAF9" w14:textId="77777777" w:rsidR="00EA6DED" w:rsidRDefault="00EA6DED">
            <w:pPr>
              <w:contextualSpacing/>
              <w:rPr>
                <w:sz w:val="21"/>
                <w:szCs w:val="20"/>
              </w:rPr>
            </w:pPr>
          </w:p>
        </w:tc>
      </w:tr>
      <w:tr w:rsidR="00EA6DED" w14:paraId="4337FB01" w14:textId="77777777">
        <w:trPr>
          <w:trHeight w:val="559"/>
        </w:trPr>
        <w:tc>
          <w:tcPr>
            <w:tcW w:w="2268" w:type="dxa"/>
            <w:tcBorders>
              <w:top w:val="nil"/>
              <w:left w:val="nil"/>
              <w:bottom w:val="single" w:sz="4" w:space="0" w:color="000000"/>
              <w:right w:val="nil"/>
            </w:tcBorders>
            <w:shd w:val="clear" w:color="9CC2E5" w:fill="B4C6E7"/>
            <w:vAlign w:val="center"/>
          </w:tcPr>
          <w:p w14:paraId="4337FAFB" w14:textId="77777777" w:rsidR="00EA6DED" w:rsidRDefault="007504AE">
            <w:pPr>
              <w:rPr>
                <w:bCs/>
                <w:color w:val="000000"/>
                <w:sz w:val="21"/>
                <w:szCs w:val="20"/>
              </w:rPr>
            </w:pPr>
            <w:r>
              <w:rPr>
                <w:bCs/>
                <w:color w:val="000000"/>
                <w:sz w:val="21"/>
                <w:szCs w:val="20"/>
              </w:rPr>
              <w:t>IE 2.2.2B  - Violence sexuelle</w:t>
            </w:r>
          </w:p>
        </w:tc>
        <w:tc>
          <w:tcPr>
            <w:tcW w:w="993" w:type="dxa"/>
            <w:tcBorders>
              <w:top w:val="nil"/>
              <w:left w:val="single" w:sz="4" w:space="0" w:color="auto"/>
              <w:bottom w:val="single" w:sz="4" w:space="0" w:color="auto"/>
              <w:right w:val="single" w:sz="4" w:space="0" w:color="auto"/>
            </w:tcBorders>
            <w:shd w:val="clear" w:color="9CC2E5" w:fill="FFFFFF"/>
            <w:vAlign w:val="center"/>
          </w:tcPr>
          <w:p w14:paraId="4337FAFC" w14:textId="77777777" w:rsidR="00EA6DED" w:rsidRDefault="007504AE">
            <w:pPr>
              <w:contextualSpacing/>
              <w:rPr>
                <w:bCs/>
                <w:color w:val="000000"/>
                <w:sz w:val="21"/>
                <w:szCs w:val="20"/>
              </w:rPr>
            </w:pPr>
            <w:r>
              <w:rPr>
                <w:bCs/>
                <w:color w:val="000000"/>
                <w:sz w:val="21"/>
                <w:szCs w:val="20"/>
              </w:rPr>
              <w:t>6,90%</w:t>
            </w:r>
          </w:p>
        </w:tc>
        <w:tc>
          <w:tcPr>
            <w:tcW w:w="1275" w:type="dxa"/>
            <w:tcBorders>
              <w:top w:val="nil"/>
              <w:left w:val="nil"/>
              <w:bottom w:val="single" w:sz="4" w:space="0" w:color="auto"/>
              <w:right w:val="single" w:sz="4" w:space="0" w:color="auto"/>
            </w:tcBorders>
            <w:shd w:val="clear" w:color="9CC2E5" w:fill="FFFFFF"/>
            <w:vAlign w:val="center"/>
          </w:tcPr>
          <w:p w14:paraId="4337FAFD" w14:textId="77777777" w:rsidR="00EA6DED" w:rsidRDefault="007504AE">
            <w:pPr>
              <w:contextualSpacing/>
              <w:rPr>
                <w:bCs/>
                <w:color w:val="000000"/>
                <w:sz w:val="21"/>
                <w:szCs w:val="20"/>
              </w:rPr>
            </w:pPr>
            <w:r>
              <w:rPr>
                <w:bCs/>
                <w:color w:val="000000"/>
                <w:sz w:val="21"/>
                <w:szCs w:val="20"/>
              </w:rPr>
              <w:t>3,5% (2026)</w:t>
            </w:r>
          </w:p>
        </w:tc>
        <w:tc>
          <w:tcPr>
            <w:tcW w:w="1134" w:type="dxa"/>
            <w:tcBorders>
              <w:top w:val="nil"/>
              <w:left w:val="nil"/>
              <w:bottom w:val="single" w:sz="4" w:space="0" w:color="auto"/>
              <w:right w:val="single" w:sz="4" w:space="0" w:color="auto"/>
            </w:tcBorders>
            <w:noWrap/>
            <w:vAlign w:val="bottom"/>
          </w:tcPr>
          <w:p w14:paraId="4337FAFE" w14:textId="77777777" w:rsidR="00EA6DED" w:rsidRDefault="007504AE">
            <w:pPr>
              <w:contextualSpacing/>
              <w:rPr>
                <w:sz w:val="21"/>
                <w:szCs w:val="20"/>
              </w:rPr>
            </w:pPr>
            <w:r>
              <w:rPr>
                <w:sz w:val="21"/>
                <w:szCs w:val="20"/>
              </w:rPr>
              <w:t> 38%</w:t>
            </w:r>
          </w:p>
        </w:tc>
        <w:tc>
          <w:tcPr>
            <w:tcW w:w="3261" w:type="dxa"/>
            <w:vMerge/>
            <w:tcBorders>
              <w:left w:val="nil"/>
              <w:right w:val="single" w:sz="4" w:space="0" w:color="auto"/>
            </w:tcBorders>
            <w:shd w:val="clear" w:color="auto" w:fill="FF0000"/>
            <w:noWrap/>
            <w:vAlign w:val="bottom"/>
          </w:tcPr>
          <w:p w14:paraId="4337FAFF" w14:textId="77777777" w:rsidR="00EA6DED" w:rsidRDefault="00EA6DED">
            <w:pPr>
              <w:contextualSpacing/>
              <w:rPr>
                <w:sz w:val="21"/>
                <w:szCs w:val="20"/>
              </w:rPr>
            </w:pPr>
          </w:p>
        </w:tc>
        <w:tc>
          <w:tcPr>
            <w:tcW w:w="1386" w:type="dxa"/>
            <w:tcBorders>
              <w:top w:val="nil"/>
              <w:left w:val="nil"/>
              <w:bottom w:val="single" w:sz="4" w:space="0" w:color="auto"/>
              <w:right w:val="single" w:sz="4" w:space="0" w:color="auto"/>
            </w:tcBorders>
            <w:noWrap/>
            <w:vAlign w:val="bottom"/>
          </w:tcPr>
          <w:p w14:paraId="4337FB00" w14:textId="77777777" w:rsidR="00EA6DED" w:rsidRDefault="007504AE">
            <w:pPr>
              <w:contextualSpacing/>
              <w:rPr>
                <w:sz w:val="21"/>
                <w:szCs w:val="20"/>
              </w:rPr>
            </w:pPr>
            <w:r>
              <w:rPr>
                <w:sz w:val="21"/>
                <w:szCs w:val="20"/>
              </w:rPr>
              <w:t>Analyse situationnelle des VBG au Cameroun 2023, MINPROF</w:t>
            </w:r>
          </w:p>
        </w:tc>
      </w:tr>
      <w:tr w:rsidR="00EA6DED" w14:paraId="4337FB08" w14:textId="77777777">
        <w:trPr>
          <w:trHeight w:val="480"/>
        </w:trPr>
        <w:tc>
          <w:tcPr>
            <w:tcW w:w="2268" w:type="dxa"/>
            <w:tcBorders>
              <w:top w:val="nil"/>
              <w:left w:val="nil"/>
              <w:bottom w:val="single" w:sz="4" w:space="0" w:color="000000"/>
              <w:right w:val="nil"/>
            </w:tcBorders>
            <w:shd w:val="clear" w:color="9CC2E5" w:fill="B4C6E7"/>
            <w:vAlign w:val="center"/>
          </w:tcPr>
          <w:p w14:paraId="4337FB02" w14:textId="77777777" w:rsidR="00EA6DED" w:rsidRDefault="007504AE">
            <w:pPr>
              <w:rPr>
                <w:bCs/>
                <w:color w:val="000000"/>
                <w:sz w:val="21"/>
                <w:szCs w:val="20"/>
              </w:rPr>
            </w:pPr>
            <w:r>
              <w:rPr>
                <w:bCs/>
                <w:color w:val="000000"/>
                <w:sz w:val="21"/>
                <w:szCs w:val="20"/>
              </w:rPr>
              <w:t>IE 2.2.2C - Violence psychologique</w:t>
            </w:r>
          </w:p>
        </w:tc>
        <w:tc>
          <w:tcPr>
            <w:tcW w:w="993" w:type="dxa"/>
            <w:tcBorders>
              <w:top w:val="nil"/>
              <w:left w:val="single" w:sz="4" w:space="0" w:color="auto"/>
              <w:bottom w:val="single" w:sz="4" w:space="0" w:color="auto"/>
              <w:right w:val="single" w:sz="4" w:space="0" w:color="auto"/>
            </w:tcBorders>
            <w:shd w:val="clear" w:color="9CC2E5" w:fill="FFFFFF"/>
            <w:vAlign w:val="center"/>
          </w:tcPr>
          <w:p w14:paraId="4337FB03" w14:textId="77777777" w:rsidR="00EA6DED" w:rsidRDefault="007504AE">
            <w:pPr>
              <w:contextualSpacing/>
              <w:rPr>
                <w:bCs/>
                <w:color w:val="000000"/>
                <w:sz w:val="21"/>
                <w:szCs w:val="20"/>
              </w:rPr>
            </w:pPr>
            <w:r>
              <w:rPr>
                <w:bCs/>
                <w:color w:val="000000"/>
                <w:sz w:val="21"/>
                <w:szCs w:val="20"/>
              </w:rPr>
              <w:t>22,40%</w:t>
            </w:r>
          </w:p>
        </w:tc>
        <w:tc>
          <w:tcPr>
            <w:tcW w:w="1275" w:type="dxa"/>
            <w:tcBorders>
              <w:top w:val="nil"/>
              <w:left w:val="nil"/>
              <w:bottom w:val="single" w:sz="4" w:space="0" w:color="auto"/>
              <w:right w:val="single" w:sz="4" w:space="0" w:color="auto"/>
            </w:tcBorders>
            <w:shd w:val="clear" w:color="9CC2E5" w:fill="FFFFFF"/>
            <w:vAlign w:val="center"/>
          </w:tcPr>
          <w:p w14:paraId="4337FB04" w14:textId="77777777" w:rsidR="00EA6DED" w:rsidRDefault="007504AE">
            <w:pPr>
              <w:contextualSpacing/>
              <w:rPr>
                <w:bCs/>
                <w:color w:val="000000"/>
                <w:sz w:val="21"/>
                <w:szCs w:val="20"/>
              </w:rPr>
            </w:pPr>
            <w:r>
              <w:rPr>
                <w:bCs/>
                <w:color w:val="000000"/>
                <w:sz w:val="21"/>
                <w:szCs w:val="20"/>
              </w:rPr>
              <w:t>11,2% (2026)</w:t>
            </w:r>
          </w:p>
        </w:tc>
        <w:tc>
          <w:tcPr>
            <w:tcW w:w="1134" w:type="dxa"/>
            <w:tcBorders>
              <w:top w:val="single" w:sz="4" w:space="0" w:color="auto"/>
              <w:left w:val="nil"/>
              <w:bottom w:val="single" w:sz="4" w:space="0" w:color="auto"/>
              <w:right w:val="single" w:sz="4" w:space="0" w:color="auto"/>
            </w:tcBorders>
            <w:noWrap/>
            <w:vAlign w:val="bottom"/>
          </w:tcPr>
          <w:p w14:paraId="4337FB05" w14:textId="77777777" w:rsidR="00EA6DED" w:rsidRDefault="007504AE">
            <w:pPr>
              <w:contextualSpacing/>
              <w:rPr>
                <w:sz w:val="21"/>
                <w:szCs w:val="20"/>
              </w:rPr>
            </w:pPr>
            <w:r>
              <w:rPr>
                <w:sz w:val="21"/>
                <w:szCs w:val="20"/>
              </w:rPr>
              <w:t> 22% </w:t>
            </w:r>
          </w:p>
        </w:tc>
        <w:tc>
          <w:tcPr>
            <w:tcW w:w="3261" w:type="dxa"/>
            <w:vMerge/>
            <w:tcBorders>
              <w:left w:val="single" w:sz="4" w:space="0" w:color="auto"/>
              <w:bottom w:val="single" w:sz="4" w:space="0" w:color="auto"/>
              <w:right w:val="single" w:sz="4" w:space="0" w:color="auto"/>
            </w:tcBorders>
            <w:shd w:val="clear" w:color="auto" w:fill="F7CAAC"/>
            <w:noWrap/>
            <w:vAlign w:val="bottom"/>
          </w:tcPr>
          <w:p w14:paraId="4337FB06" w14:textId="77777777" w:rsidR="00EA6DED" w:rsidRDefault="00EA6DED">
            <w:pPr>
              <w:contextualSpacing/>
              <w:rPr>
                <w:sz w:val="21"/>
                <w:szCs w:val="20"/>
              </w:rPr>
            </w:pPr>
          </w:p>
        </w:tc>
        <w:tc>
          <w:tcPr>
            <w:tcW w:w="1386" w:type="dxa"/>
            <w:tcBorders>
              <w:top w:val="single" w:sz="4" w:space="0" w:color="auto"/>
              <w:left w:val="single" w:sz="4" w:space="0" w:color="auto"/>
              <w:bottom w:val="single" w:sz="4" w:space="0" w:color="auto"/>
              <w:right w:val="single" w:sz="4" w:space="0" w:color="auto"/>
            </w:tcBorders>
            <w:noWrap/>
            <w:vAlign w:val="bottom"/>
          </w:tcPr>
          <w:p w14:paraId="4337FB07" w14:textId="77777777" w:rsidR="00EA6DED" w:rsidRDefault="007504AE">
            <w:pPr>
              <w:contextualSpacing/>
              <w:rPr>
                <w:sz w:val="21"/>
                <w:szCs w:val="20"/>
              </w:rPr>
            </w:pPr>
            <w:r>
              <w:rPr>
                <w:sz w:val="21"/>
                <w:szCs w:val="20"/>
              </w:rPr>
              <w:t> Analyse situationnelle des VBG au Cameroun 2023, MINPROF</w:t>
            </w:r>
          </w:p>
        </w:tc>
      </w:tr>
      <w:tr w:rsidR="00EA6DED" w14:paraId="4337FB0F" w14:textId="77777777">
        <w:trPr>
          <w:trHeight w:val="480"/>
        </w:trPr>
        <w:tc>
          <w:tcPr>
            <w:tcW w:w="2268" w:type="dxa"/>
            <w:tcBorders>
              <w:top w:val="nil"/>
              <w:left w:val="nil"/>
              <w:bottom w:val="single" w:sz="4" w:space="0" w:color="auto"/>
              <w:right w:val="nil"/>
            </w:tcBorders>
            <w:shd w:val="clear" w:color="9CC2E5" w:fill="B4C6E7"/>
            <w:vAlign w:val="center"/>
          </w:tcPr>
          <w:p w14:paraId="4337FB09" w14:textId="77777777" w:rsidR="00EA6DED" w:rsidRDefault="007504AE">
            <w:pPr>
              <w:rPr>
                <w:bCs/>
                <w:color w:val="000000"/>
                <w:sz w:val="21"/>
                <w:szCs w:val="20"/>
              </w:rPr>
            </w:pPr>
            <w:r>
              <w:rPr>
                <w:bCs/>
                <w:color w:val="000000"/>
                <w:sz w:val="21"/>
                <w:szCs w:val="20"/>
              </w:rPr>
              <w:t>IE 2.2. 3 Réduction du gap hommes/femmes en matière d’inclusion financière</w:t>
            </w:r>
          </w:p>
        </w:tc>
        <w:tc>
          <w:tcPr>
            <w:tcW w:w="993" w:type="dxa"/>
            <w:tcBorders>
              <w:top w:val="nil"/>
              <w:left w:val="single" w:sz="4" w:space="0" w:color="auto"/>
              <w:bottom w:val="single" w:sz="4" w:space="0" w:color="auto"/>
              <w:right w:val="single" w:sz="4" w:space="0" w:color="auto"/>
            </w:tcBorders>
            <w:shd w:val="clear" w:color="9CC2E5" w:fill="FFFFFF"/>
            <w:vAlign w:val="center"/>
          </w:tcPr>
          <w:p w14:paraId="4337FB0A" w14:textId="77777777" w:rsidR="00EA6DED" w:rsidRDefault="007504AE">
            <w:pPr>
              <w:contextualSpacing/>
              <w:rPr>
                <w:bCs/>
                <w:color w:val="000000"/>
                <w:sz w:val="21"/>
                <w:szCs w:val="20"/>
              </w:rPr>
            </w:pPr>
            <w:r>
              <w:rPr>
                <w:bCs/>
                <w:color w:val="000000"/>
                <w:sz w:val="21"/>
                <w:szCs w:val="20"/>
              </w:rPr>
              <w:t>5,8% (2017)</w:t>
            </w:r>
          </w:p>
        </w:tc>
        <w:tc>
          <w:tcPr>
            <w:tcW w:w="1275" w:type="dxa"/>
            <w:tcBorders>
              <w:top w:val="nil"/>
              <w:left w:val="nil"/>
              <w:bottom w:val="single" w:sz="4" w:space="0" w:color="auto"/>
              <w:right w:val="single" w:sz="4" w:space="0" w:color="auto"/>
            </w:tcBorders>
            <w:shd w:val="clear" w:color="9CC2E5" w:fill="FFFFFF"/>
            <w:vAlign w:val="center"/>
          </w:tcPr>
          <w:p w14:paraId="4337FB0B" w14:textId="77777777" w:rsidR="00EA6DED" w:rsidRDefault="007504AE">
            <w:pPr>
              <w:contextualSpacing/>
              <w:rPr>
                <w:bCs/>
                <w:color w:val="000000"/>
                <w:sz w:val="21"/>
                <w:szCs w:val="20"/>
              </w:rPr>
            </w:pPr>
            <w:r>
              <w:rPr>
                <w:bCs/>
                <w:color w:val="000000"/>
                <w:sz w:val="21"/>
                <w:szCs w:val="20"/>
              </w:rPr>
              <w:t xml:space="preserve"> 3% (2026)</w:t>
            </w:r>
          </w:p>
        </w:tc>
        <w:tc>
          <w:tcPr>
            <w:tcW w:w="1134" w:type="dxa"/>
            <w:tcBorders>
              <w:top w:val="single" w:sz="4" w:space="0" w:color="auto"/>
              <w:left w:val="nil"/>
              <w:bottom w:val="single" w:sz="4" w:space="0" w:color="auto"/>
              <w:right w:val="single" w:sz="4" w:space="0" w:color="auto"/>
            </w:tcBorders>
            <w:noWrap/>
            <w:vAlign w:val="bottom"/>
          </w:tcPr>
          <w:p w14:paraId="4337FB0C" w14:textId="77777777" w:rsidR="00EA6DED" w:rsidRDefault="007504AE">
            <w:pPr>
              <w:contextualSpacing/>
              <w:rPr>
                <w:sz w:val="21"/>
                <w:szCs w:val="20"/>
              </w:rPr>
            </w:pPr>
            <w:r>
              <w:rPr>
                <w:sz w:val="21"/>
                <w:szCs w:val="20"/>
              </w:rPr>
              <w:t> Données non disponibles</w:t>
            </w:r>
          </w:p>
        </w:tc>
        <w:tc>
          <w:tcPr>
            <w:tcW w:w="3261" w:type="dxa"/>
            <w:tcBorders>
              <w:top w:val="single" w:sz="4" w:space="0" w:color="auto"/>
              <w:left w:val="single" w:sz="4" w:space="0" w:color="auto"/>
              <w:bottom w:val="single" w:sz="4" w:space="0" w:color="auto"/>
              <w:right w:val="single" w:sz="4" w:space="0" w:color="auto"/>
            </w:tcBorders>
            <w:noWrap/>
            <w:vAlign w:val="bottom"/>
          </w:tcPr>
          <w:p w14:paraId="4337FB0D" w14:textId="77777777" w:rsidR="00EA6DED" w:rsidRDefault="007504AE">
            <w:pPr>
              <w:contextualSpacing/>
              <w:rPr>
                <w:sz w:val="21"/>
                <w:szCs w:val="20"/>
              </w:rPr>
            </w:pPr>
            <w:r>
              <w:rPr>
                <w:sz w:val="21"/>
                <w:szCs w:val="20"/>
              </w:rPr>
              <w:t> La dernière enquête FinScope au Cameroun date de 2017</w:t>
            </w:r>
          </w:p>
        </w:tc>
        <w:tc>
          <w:tcPr>
            <w:tcW w:w="1386" w:type="dxa"/>
            <w:tcBorders>
              <w:top w:val="single" w:sz="4" w:space="0" w:color="auto"/>
              <w:left w:val="single" w:sz="4" w:space="0" w:color="auto"/>
              <w:bottom w:val="single" w:sz="4" w:space="0" w:color="auto"/>
              <w:right w:val="single" w:sz="4" w:space="0" w:color="auto"/>
            </w:tcBorders>
            <w:noWrap/>
            <w:vAlign w:val="bottom"/>
          </w:tcPr>
          <w:p w14:paraId="4337FB0E" w14:textId="77777777" w:rsidR="00EA6DED" w:rsidRDefault="007504AE">
            <w:pPr>
              <w:contextualSpacing/>
              <w:rPr>
                <w:sz w:val="21"/>
                <w:szCs w:val="20"/>
              </w:rPr>
            </w:pPr>
            <w:r>
              <w:rPr>
                <w:sz w:val="21"/>
                <w:szCs w:val="20"/>
              </w:rPr>
              <w:t> </w:t>
            </w:r>
          </w:p>
        </w:tc>
      </w:tr>
    </w:tbl>
    <w:p w14:paraId="4337FB10" w14:textId="77777777" w:rsidR="00EA6DED" w:rsidRDefault="00EA6DED"/>
    <w:p w14:paraId="4337FB11" w14:textId="77777777" w:rsidR="00EA6DED" w:rsidRDefault="007504AE">
      <w:pPr>
        <w:jc w:val="both"/>
        <w:rPr>
          <w:color w:val="000000"/>
        </w:rPr>
      </w:pPr>
      <w:r>
        <w:rPr>
          <w:color w:val="000000"/>
        </w:rPr>
        <w:t>En l’absence de la principale source de vérification de la progression des indicateurs 2.2 qui était l’enquête Démographique de Santé</w:t>
      </w:r>
      <w:r>
        <w:rPr>
          <w:rStyle w:val="Appelnotedebasdep"/>
          <w:rFonts w:eastAsia="SimSun"/>
          <w:color w:val="000000"/>
        </w:rPr>
        <w:footnoteReference w:id="74"/>
      </w:r>
      <w:r>
        <w:rPr>
          <w:color w:val="000000"/>
        </w:rPr>
        <w:t>, les autres sources de données consultées indiquent que la proportion de femmes et de filles âgées de 15 ans ou plus ayant vécu en couple, victimes de violences physiques, sexuelles ou émotionnelles infligées au cours des 12 derniers mois par leur partenaire actuel ou un ancien, a légèrement augmenté, passant de 31,5% en 2018 à 32%</w:t>
      </w:r>
      <w:r>
        <w:rPr>
          <w:rStyle w:val="Appelnotedebasdep"/>
          <w:rFonts w:eastAsia="SimSun"/>
          <w:color w:val="000000"/>
        </w:rPr>
        <w:footnoteReference w:id="75"/>
      </w:r>
      <w:r>
        <w:rPr>
          <w:color w:val="000000"/>
        </w:rPr>
        <w:t xml:space="preserve"> en 2024, avec une stabilité pour la violence physique (20%</w:t>
      </w:r>
      <w:r>
        <w:rPr>
          <w:rStyle w:val="Appelnotedebasdep"/>
          <w:rFonts w:eastAsia="SimSun"/>
          <w:color w:val="000000"/>
        </w:rPr>
        <w:footnoteReference w:id="76"/>
      </w:r>
      <w:r>
        <w:rPr>
          <w:color w:val="000000"/>
        </w:rPr>
        <w:t xml:space="preserve"> en 2024 contre 19,50% en 2018). Toutefois, la violence psychologique a légèrement baissé, passant de 22,40% en 2018 à 22%</w:t>
      </w:r>
      <w:r>
        <w:rPr>
          <w:rStyle w:val="Appelnotedebasdep"/>
          <w:rFonts w:eastAsia="SimSun"/>
          <w:color w:val="000000"/>
        </w:rPr>
        <w:footnoteReference w:id="77"/>
      </w:r>
      <w:r>
        <w:rPr>
          <w:color w:val="000000"/>
        </w:rPr>
        <w:t xml:space="preserve"> en 2023. Malgré les contributions remarquables du SNU aux priorités nationales dans la lutte </w:t>
      </w:r>
      <w:r>
        <w:rPr>
          <w:color w:val="000000"/>
        </w:rPr>
        <w:lastRenderedPageBreak/>
        <w:t xml:space="preserve">contre les violences basées sur le genre, la proportion des femmes victimes de violence en 2024 (32%) à est très élevé par rapport à la cible de 10% attendue en 2029 dans la SND30.  </w:t>
      </w:r>
    </w:p>
    <w:p w14:paraId="4337FB12" w14:textId="77777777" w:rsidR="00EA6DED" w:rsidRDefault="00EA6DED">
      <w:pPr>
        <w:rPr>
          <w:sz w:val="28"/>
        </w:rPr>
      </w:pPr>
    </w:p>
    <w:p w14:paraId="4337FB13" w14:textId="77777777" w:rsidR="00EA6DED" w:rsidRDefault="007504AE">
      <w:pPr>
        <w:contextualSpacing/>
        <w:rPr>
          <w:b/>
          <w:color w:val="ED7D31"/>
          <w:sz w:val="28"/>
        </w:rPr>
      </w:pPr>
      <w:r>
        <w:rPr>
          <w:b/>
          <w:color w:val="0070C0"/>
          <w:sz w:val="28"/>
        </w:rPr>
        <w:t>Analyse de la performance du produit 2.2.1</w:t>
      </w:r>
      <w:r>
        <w:rPr>
          <w:b/>
          <w:szCs w:val="22"/>
        </w:rPr>
        <w:t xml:space="preserve">: Le potentiel des jeunes filles et des femmes est valorisé afin qu’elles participent aux efforts de développement dans tous les secteurs et jouissent équitablement des bénéfices de la croissance au même titre que les hommes. </w:t>
      </w:r>
    </w:p>
    <w:p w14:paraId="4337FB14" w14:textId="77777777" w:rsidR="00EA6DED" w:rsidRDefault="00EA6DED">
      <w:pPr>
        <w:contextualSpacing/>
        <w:jc w:val="both"/>
      </w:pPr>
    </w:p>
    <w:p w14:paraId="4337FB15" w14:textId="77777777" w:rsidR="00EA6DED" w:rsidRDefault="007504AE">
      <w:pPr>
        <w:contextualSpacing/>
        <w:jc w:val="both"/>
      </w:pPr>
      <w:r>
        <w:t xml:space="preserve">Le SNU a contribué à la réalisation des priorités nationales à travers </w:t>
      </w:r>
      <w:r>
        <w:rPr>
          <w:rFonts w:eastAsia="Aptos"/>
        </w:rPr>
        <w:t xml:space="preserve">le renforcement de l’entreprenariat féminin en conformité avec </w:t>
      </w:r>
      <w:r>
        <w:t>la SND30</w:t>
      </w:r>
      <w:r>
        <w:rPr>
          <w:rStyle w:val="Appelnotedebasdep"/>
          <w:rFonts w:eastAsia="SimSun"/>
        </w:rPr>
        <w:footnoteReference w:id="78"/>
      </w:r>
      <w:r>
        <w:t xml:space="preserve"> à travers la formation de 14251 </w:t>
      </w:r>
      <w:r>
        <w:rPr>
          <w:rStyle w:val="Appelnotedebasdep"/>
          <w:rFonts w:eastAsia="SimSun"/>
        </w:rPr>
        <w:footnoteReference w:id="79"/>
      </w:r>
      <w:r>
        <w:t xml:space="preserve"> femmes et filles dans le développement des AGR dans le maraîchage, l’élevage des petits ruminants, la pisciculture, l’agriculture céréalière et urbaine, le petit commerce, les technologies de l’information et de la communication, la couture, la comptabilité, la fabrication du savon et la production alimentaire. Sous le lead du Ministère de la Promotion de la Femme et de la Famille (MINPROFF), les compétences techniques et professionnelles de 5000</w:t>
      </w:r>
      <w:r>
        <w:rPr>
          <w:rStyle w:val="Appelnotedebasdep"/>
          <w:rFonts w:eastAsia="SimSun"/>
        </w:rPr>
        <w:footnoteReference w:id="80"/>
      </w:r>
      <w:r>
        <w:t xml:space="preserve"> femmes au Centre d'autonomisation des femmes ont été renforcées avec l’appui du SNU.  </w:t>
      </w:r>
    </w:p>
    <w:p w14:paraId="4337FB16" w14:textId="77777777" w:rsidR="00EA6DED" w:rsidRDefault="00EA6DED">
      <w:pPr>
        <w:contextualSpacing/>
        <w:jc w:val="both"/>
        <w:rPr>
          <w:rFonts w:eastAsia="Aptos"/>
        </w:rPr>
      </w:pPr>
    </w:p>
    <w:p w14:paraId="4337FB17" w14:textId="77777777" w:rsidR="00EA6DED" w:rsidRDefault="007504AE">
      <w:pPr>
        <w:contextualSpacing/>
        <w:jc w:val="both"/>
        <w:rPr>
          <w:rFonts w:eastAsia="Aptos"/>
        </w:rPr>
      </w:pPr>
      <w:r>
        <w:rPr>
          <w:rFonts w:eastAsia="Aptos"/>
        </w:rPr>
        <w:t>Pour promouvoir le développement des compétences des femmes et des filles, renforcer leurs entreprises et la capacité à fournir des services de soutien psychosocial et de formation aux femmes et filles vulnérables, 165</w:t>
      </w:r>
      <w:r>
        <w:rPr>
          <w:rStyle w:val="Appelnotedebasdep"/>
          <w:rFonts w:eastAsia="SimSun"/>
        </w:rPr>
        <w:footnoteReference w:id="81"/>
      </w:r>
      <w:r>
        <w:rPr>
          <w:rFonts w:eastAsia="Aptos"/>
        </w:rPr>
        <w:t xml:space="preserve"> structures de soutien pour les jeunes ont été équipées de matériel de formation (réfrigérateurs, cuisinières à gaz, machines à coudre, etc.) et 53</w:t>
      </w:r>
      <w:r>
        <w:rPr>
          <w:rStyle w:val="Appelnotedebasdep"/>
          <w:rFonts w:eastAsia="SimSun"/>
        </w:rPr>
        <w:footnoteReference w:id="82"/>
      </w:r>
      <w:r>
        <w:rPr>
          <w:rFonts w:eastAsia="Aptos"/>
        </w:rPr>
        <w:t xml:space="preserve"> réseaux d'associations locales et 140</w:t>
      </w:r>
      <w:r>
        <w:rPr>
          <w:rStyle w:val="Appelnotedebasdep"/>
          <w:rFonts w:eastAsia="SimSun"/>
        </w:rPr>
        <w:footnoteReference w:id="83"/>
      </w:r>
      <w:r>
        <w:rPr>
          <w:rFonts w:eastAsia="Aptos"/>
        </w:rPr>
        <w:t xml:space="preserve"> femmes vulnérables ont reçu des ressources (kits agricoles, kits de subsistance, tricycles et transferts monétaires). Le SNU a soutenu en 2022</w:t>
      </w:r>
      <w:r>
        <w:rPr>
          <w:rStyle w:val="Appelnotedebasdep"/>
          <w:rFonts w:eastAsia="SimSun"/>
        </w:rPr>
        <w:footnoteReference w:id="84"/>
      </w:r>
      <w:r>
        <w:rPr>
          <w:rFonts w:eastAsia="Aptos"/>
        </w:rPr>
        <w:t xml:space="preserve"> </w:t>
      </w:r>
      <w:r>
        <w:t xml:space="preserve">l'inclusion du travail domestique non rémunéré dans l'enquête MICS de l'Institut National de la Statistique, et la publication du rapport de l’enquête sur l’utilisation du temps 2021. Ce rapport met </w:t>
      </w:r>
      <w:r>
        <w:rPr>
          <w:rFonts w:eastAsia="Aptos"/>
        </w:rPr>
        <w:t xml:space="preserve">en lumière les disparités de genre dans le travail non rémunéré et plaide pour un changement positif. </w:t>
      </w:r>
    </w:p>
    <w:p w14:paraId="4337FB18" w14:textId="77777777" w:rsidR="00EA6DED" w:rsidRDefault="00EA6DED">
      <w:pPr>
        <w:contextualSpacing/>
        <w:rPr>
          <w:b/>
          <w:color w:val="0070C0"/>
        </w:rPr>
      </w:pPr>
    </w:p>
    <w:p w14:paraId="4337FB19" w14:textId="77777777" w:rsidR="00EA6DED" w:rsidRDefault="007504AE">
      <w:pPr>
        <w:contextualSpacing/>
        <w:jc w:val="both"/>
        <w:rPr>
          <w:b/>
          <w:color w:val="ED7D31"/>
          <w:sz w:val="28"/>
        </w:rPr>
      </w:pPr>
      <w:r>
        <w:rPr>
          <w:b/>
          <w:color w:val="0070C0"/>
          <w:sz w:val="28"/>
        </w:rPr>
        <w:t>Analyse de la performance du produit 2.2.2</w:t>
      </w:r>
      <w:r>
        <w:rPr>
          <w:b/>
          <w:szCs w:val="22"/>
        </w:rPr>
        <w:t xml:space="preserve">: Les disparités entre les hommes et les femmes sont réduites dans tous les domaines de la vie nationale (politique, économique, sociale, culturelle, sportive etc.) et les données statistiques existent pour en rendre compte. </w:t>
      </w:r>
    </w:p>
    <w:p w14:paraId="4337FB1A" w14:textId="77777777" w:rsidR="00EA6DED" w:rsidRDefault="00EA6DED">
      <w:pPr>
        <w:contextualSpacing/>
        <w:jc w:val="both"/>
      </w:pPr>
    </w:p>
    <w:p w14:paraId="4337FB1B" w14:textId="77777777" w:rsidR="00EA6DED" w:rsidRDefault="007504AE">
      <w:pPr>
        <w:contextualSpacing/>
        <w:jc w:val="both"/>
      </w:pPr>
      <w:r>
        <w:t>En 2024</w:t>
      </w:r>
      <w:r>
        <w:rPr>
          <w:rStyle w:val="Appelnotedebasdep"/>
          <w:rFonts w:eastAsia="SimSun"/>
        </w:rPr>
        <w:footnoteReference w:id="85"/>
      </w:r>
      <w:r>
        <w:t xml:space="preserve">, le SNU a soutenu la production, l'analyse et la diffusion des statistiques sexospécifiques, conduisant à la publication de « Ladies News », mettant en avant l'autonomisation des femmes au sein des ménages. De plus, des cafés genre ont été organisés dans plusieurs régions pour discuter des obstacles à la participation politique des femmes et élaborer des stratégies pour accroître l'implication des jeunes. </w:t>
      </w:r>
      <w:r>
        <w:rPr>
          <w:rFonts w:eastAsia="Aptos"/>
        </w:rPr>
        <w:t>Dans le domaine du renforcement des capacités, trente-deux (32)</w:t>
      </w:r>
      <w:r>
        <w:rPr>
          <w:rStyle w:val="Appelnotedebasdep"/>
          <w:rFonts w:eastAsia="SimSun"/>
        </w:rPr>
        <w:footnoteReference w:id="86"/>
      </w:r>
      <w:r>
        <w:rPr>
          <w:rFonts w:eastAsia="Aptos"/>
        </w:rPr>
        <w:t xml:space="preserve"> </w:t>
      </w:r>
      <w:r>
        <w:t>partenaires gouvernementaux et des assistantes sociales du Centre d'autonomisation des femmes et vingt (20)</w:t>
      </w:r>
      <w:r>
        <w:rPr>
          <w:rStyle w:val="Appelnotedebasdep"/>
          <w:rFonts w:eastAsia="SimSun"/>
        </w:rPr>
        <w:footnoteReference w:id="87"/>
      </w:r>
      <w:r>
        <w:t xml:space="preserve"> journalistes ont été formés respectivement sur la budgétisation sensible au genre et la collecte de données sur les violences sexistes et </w:t>
      </w:r>
      <w:r>
        <w:rPr>
          <w:rFonts w:eastAsia="Aptos"/>
        </w:rPr>
        <w:t>l'accès et l'utilisation des statistiques officielles pour plaider en faveur de l'avancement des femmes et des filles</w:t>
      </w:r>
      <w:r>
        <w:t xml:space="preserve">. De plus, grâce au projet WOMEN COUNT, le SNU a contribué à l’amélioration des connaissances et au renforcement des capacités des partenaires gouvernementaux, des journalistes et de l'Institut National de la Statistique afin d'améliorer la production, l'analyse et la diffusion de statistiques sexospécifiques et la budgétisation sensible au genre. Dans le domaine politique, le SNU a organisé avec la collaboration de ELECAM et des parlementaires des activités favorisant la participation politique des femmes. Les interventions ont été réalisées dans les régions du Centre, Est, Extrême-Nord, Sud-Ouest et Nord-Ouest. </w:t>
      </w:r>
    </w:p>
    <w:p w14:paraId="4337FB1C" w14:textId="77777777" w:rsidR="00EA6DED" w:rsidRDefault="00EA6DED">
      <w:pPr>
        <w:pStyle w:val="Default"/>
        <w:contextualSpacing/>
        <w:jc w:val="both"/>
        <w:rPr>
          <w:rFonts w:ascii="Times New Roman" w:hAnsi="Times New Roman" w:cs="Times New Roman"/>
          <w:bCs/>
          <w:szCs w:val="22"/>
        </w:rPr>
      </w:pPr>
    </w:p>
    <w:p w14:paraId="4337FB1D" w14:textId="77777777" w:rsidR="00EA6DED" w:rsidRDefault="007504AE">
      <w:pPr>
        <w:contextualSpacing/>
        <w:jc w:val="both"/>
        <w:rPr>
          <w:color w:val="ED7D31"/>
        </w:rPr>
      </w:pPr>
      <w:r>
        <w:rPr>
          <w:b/>
          <w:color w:val="0070C0"/>
        </w:rPr>
        <w:t>Analyse de la performance du produit 2.2.3</w:t>
      </w:r>
      <w:r>
        <w:rPr>
          <w:b/>
        </w:rPr>
        <w:t xml:space="preserve"> Les femmes et les jeunes filles et garçons sont protégés de toutes formes de violences et de discriminations à leur encontre dans tous les secteurs de la vie publique</w:t>
      </w:r>
      <w:r>
        <w:rPr>
          <w:sz w:val="22"/>
          <w:szCs w:val="22"/>
        </w:rPr>
        <w:t xml:space="preserve">. </w:t>
      </w:r>
    </w:p>
    <w:p w14:paraId="4337FB1E" w14:textId="77777777" w:rsidR="00EA6DED" w:rsidRDefault="00EA6DED">
      <w:pPr>
        <w:contextualSpacing/>
        <w:jc w:val="both"/>
      </w:pPr>
    </w:p>
    <w:p w14:paraId="4337FB1F" w14:textId="77777777" w:rsidR="00EA6DED" w:rsidRDefault="007504AE">
      <w:pPr>
        <w:ind w:right="-29"/>
        <w:jc w:val="both"/>
      </w:pPr>
      <w:r>
        <w:t xml:space="preserve">Selon les rapports des NU sur les résultats au Cameroun (2022-2024), le SNU a mis en avant des solutions innovantes pour intensifier les actions de lutte contre les Violences Basées sur le Genre. Il s’agit notamment de la formation de 32 280 femmes, filles et adolescents à la production de serviettes hygiéniques réutilisables pour gérer leur hygiène menstruelle de manière autonome et </w:t>
      </w:r>
      <w:r>
        <w:rPr>
          <w:rFonts w:eastAsia="Aptos"/>
        </w:rPr>
        <w:t xml:space="preserve">soutenir leur éducation et l’entrepreneuriat. En 2022, 724 prestataires de services (dont 373 femmes) de la société civile et des acteurs gouvernementaux du ministère de la Promotion de la Femme et de la Famille, de la police, de la gendarmerie et des magistrats ont été formés aux compétences nécessaires pour gérer les cas de VBG et pour fournir des services aux survivants. De plus, </w:t>
      </w:r>
      <w:r>
        <w:t xml:space="preserve">100 bénéficiaires, y compris des femmes et des filles exposées au risque de violence liée au sexe et des survivantes de ces violences, ont participé à des activités économiques et à une formation professionnelle. Des soins holistiques ont été fournis à 32 510 survivantes de violences liées au sexe, des femmes et filles.  Plus de 53 000 personnes ont été orientées vers des prestataires de services spécialisés dans la lutte contre les VBG. Par ailleurs, des kits de dignité et des kits scolaires ont été distribués à environ 65 084 survivantes de VBG et jeunes filles (32 950 kits de dignité et 34 000 kits scolaires). En matière de collecte des données sur les survivantes des VBG, le système de gestion de l’information sur les VBG (GBVIMS) a été renforcé et </w:t>
      </w:r>
      <w:r>
        <w:rPr>
          <w:rFonts w:eastAsia="Aptos"/>
        </w:rPr>
        <w:t xml:space="preserve">24 </w:t>
      </w:r>
      <w:r>
        <w:t>nouveaux intervenants et deux nouvelles organisations ont bénéficié du renforcement des capacités. A cela s’ajoutent l’organisation d'un atelier pour évaluer les bureaux genre dans les postes de police et de gendarmerie (avec une feuille de route), et la réalisation d'une étude intitulée "Voix du Cameroun" pour amplifier les voix des femmes et des filles dans les zones touchées par des crises.</w:t>
      </w:r>
    </w:p>
    <w:p w14:paraId="4337FB20" w14:textId="77777777" w:rsidR="00EA6DED" w:rsidRDefault="00EA6DED">
      <w:pPr>
        <w:ind w:right="-29"/>
        <w:jc w:val="both"/>
        <w:rPr>
          <w:color w:val="000000"/>
        </w:rPr>
      </w:pPr>
    </w:p>
    <w:p w14:paraId="4337FB21" w14:textId="77777777" w:rsidR="00EA6DED" w:rsidRDefault="007504AE">
      <w:pPr>
        <w:shd w:val="clear" w:color="auto" w:fill="A8D08D"/>
        <w:spacing w:after="160" w:line="276" w:lineRule="auto"/>
        <w:jc w:val="both"/>
        <w:rPr>
          <w:b/>
          <w:bCs/>
          <w:szCs w:val="22"/>
        </w:rPr>
      </w:pPr>
      <w:r>
        <w:rPr>
          <w:b/>
          <w:bCs/>
          <w:szCs w:val="22"/>
        </w:rPr>
        <w:t>Priorité stratégique 3 : Efficacité des politiques et performance des institutions publiques, jouissance des droits</w:t>
      </w:r>
    </w:p>
    <w:p w14:paraId="4337FB22" w14:textId="77777777" w:rsidR="00EA6DED" w:rsidRDefault="00EA6DED">
      <w:pPr>
        <w:pStyle w:val="Titre2"/>
        <w:keepNext w:val="0"/>
        <w:keepLines w:val="0"/>
        <w:widowControl w:val="0"/>
        <w:tabs>
          <w:tab w:val="left" w:pos="1275"/>
          <w:tab w:val="left" w:pos="1277"/>
        </w:tabs>
        <w:spacing w:line="267" w:lineRule="auto"/>
        <w:rPr>
          <w:rFonts w:ascii="Times New Roman" w:eastAsia="Verdana" w:hAnsi="Times New Roman"/>
          <w:color w:val="000000"/>
          <w:sz w:val="18"/>
          <w:szCs w:val="20"/>
        </w:rPr>
      </w:pPr>
    </w:p>
    <w:p w14:paraId="4337FB23" w14:textId="77777777" w:rsidR="00EA6DED" w:rsidRDefault="007504AE">
      <w:pPr>
        <w:shd w:val="clear" w:color="auto" w:fill="FFF2CC"/>
        <w:jc w:val="both"/>
        <w:rPr>
          <w:b/>
          <w:bCs/>
        </w:rPr>
      </w:pPr>
      <w:r>
        <w:rPr>
          <w:b/>
          <w:bCs/>
        </w:rPr>
        <w:t xml:space="preserve">Réalisation 3 (Effet 3) : D'ici 2026 les jeunes, les femmes, les groupes les plus vulnérables, les personnes vivant avec le handicap, y compris les réfugiés est les PDI, contribuent activement à l'efficacité des politiques et à la performance des institutions publiques au niveau national, régional et communal, et jouissent pleinement de leurs droits (ODD : </w:t>
      </w:r>
      <w:r>
        <w:rPr>
          <w:b/>
          <w:color w:val="000000"/>
          <w:sz w:val="22"/>
          <w:szCs w:val="22"/>
        </w:rPr>
        <w:t>5, 10,11, 13, 14,  15, 16, 17</w:t>
      </w:r>
      <w:r>
        <w:rPr>
          <w:b/>
        </w:rPr>
        <w:t xml:space="preserve"> par </w:t>
      </w:r>
      <w:r>
        <w:rPr>
          <w:b/>
          <w:bCs/>
        </w:rPr>
        <w:t>BIT, CDH, HCR, OCHA, OIM, ONU Femmes, PNUD, UNESCO, UNICEF, VNU)</w:t>
      </w:r>
    </w:p>
    <w:p w14:paraId="4337FB24" w14:textId="77777777" w:rsidR="00EA6DED" w:rsidRDefault="00EA6DED">
      <w:pPr>
        <w:rPr>
          <w:highlight w:val="yellow"/>
        </w:rPr>
      </w:pPr>
    </w:p>
    <w:p w14:paraId="4337FB25" w14:textId="77777777" w:rsidR="00EA6DED" w:rsidRDefault="00EA6DED">
      <w:pPr>
        <w:rPr>
          <w:highlight w:val="yellow"/>
        </w:rPr>
      </w:pPr>
    </w:p>
    <w:p w14:paraId="4337FB26" w14:textId="77777777" w:rsidR="00EA6DED" w:rsidRDefault="007504AE">
      <w:pPr>
        <w:pStyle w:val="Lgende"/>
        <w:rPr>
          <w:sz w:val="21"/>
          <w:szCs w:val="21"/>
        </w:rPr>
      </w:pPr>
      <w:r>
        <w:rPr>
          <w:sz w:val="21"/>
          <w:szCs w:val="21"/>
        </w:rPr>
        <w:t xml:space="preserve">Tableau </w:t>
      </w:r>
      <w:r>
        <w:rPr>
          <w:sz w:val="21"/>
          <w:szCs w:val="21"/>
        </w:rPr>
        <w:fldChar w:fldCharType="begin"/>
      </w:r>
      <w:r>
        <w:rPr>
          <w:sz w:val="21"/>
          <w:szCs w:val="21"/>
        </w:rPr>
        <w:instrText xml:space="preserve"> SEQ Tableau \* ARABIC </w:instrText>
      </w:r>
      <w:r>
        <w:rPr>
          <w:sz w:val="21"/>
          <w:szCs w:val="21"/>
        </w:rPr>
        <w:fldChar w:fldCharType="separate"/>
      </w:r>
      <w:r>
        <w:rPr>
          <w:sz w:val="21"/>
          <w:szCs w:val="21"/>
        </w:rPr>
        <w:t>6</w:t>
      </w:r>
      <w:r>
        <w:rPr>
          <w:sz w:val="21"/>
          <w:szCs w:val="21"/>
        </w:rPr>
        <w:fldChar w:fldCharType="end"/>
      </w:r>
      <w:bookmarkStart w:id="126" w:name="_Toc4025"/>
      <w:r>
        <w:rPr>
          <w:sz w:val="21"/>
          <w:szCs w:val="21"/>
        </w:rPr>
        <w:t xml:space="preserve">: État des indicateurs de Réalisation 3 </w:t>
      </w:r>
      <w:bookmarkEnd w:id="126"/>
    </w:p>
    <w:p w14:paraId="4337FB27" w14:textId="77777777" w:rsidR="00EA6DED" w:rsidRDefault="00EA6DED">
      <w:pPr>
        <w:rPr>
          <w:highlight w:val="yellow"/>
        </w:rPr>
      </w:pPr>
    </w:p>
    <w:tbl>
      <w:tblPr>
        <w:tblW w:w="10773" w:type="dxa"/>
        <w:tblLayout w:type="fixed"/>
        <w:tblLook w:val="04A0" w:firstRow="1" w:lastRow="0" w:firstColumn="1" w:lastColumn="0" w:noHBand="0" w:noVBand="1"/>
      </w:tblPr>
      <w:tblGrid>
        <w:gridCol w:w="1985"/>
        <w:gridCol w:w="850"/>
        <w:gridCol w:w="1134"/>
        <w:gridCol w:w="1985"/>
        <w:gridCol w:w="3260"/>
        <w:gridCol w:w="1559"/>
      </w:tblGrid>
      <w:tr w:rsidR="00EA6DED" w14:paraId="4337FB2E" w14:textId="77777777">
        <w:trPr>
          <w:trHeight w:val="473"/>
        </w:trPr>
        <w:tc>
          <w:tcPr>
            <w:tcW w:w="1985" w:type="dxa"/>
            <w:tcBorders>
              <w:top w:val="nil"/>
              <w:left w:val="nil"/>
              <w:bottom w:val="single" w:sz="4" w:space="0" w:color="auto"/>
              <w:right w:val="single" w:sz="4" w:space="0" w:color="auto"/>
            </w:tcBorders>
            <w:shd w:val="clear" w:color="000000" w:fill="B4C6E7"/>
          </w:tcPr>
          <w:p w14:paraId="4337FB28" w14:textId="77777777" w:rsidR="00EA6DED" w:rsidRDefault="007504AE">
            <w:pPr>
              <w:jc w:val="center"/>
              <w:rPr>
                <w:bCs/>
                <w:color w:val="231F20"/>
                <w:sz w:val="22"/>
                <w:szCs w:val="22"/>
              </w:rPr>
            </w:pPr>
            <w:r>
              <w:rPr>
                <w:bCs/>
                <w:color w:val="231F20"/>
                <w:sz w:val="22"/>
                <w:szCs w:val="22"/>
              </w:rPr>
              <w:t>INDICATEURS</w:t>
            </w:r>
          </w:p>
        </w:tc>
        <w:tc>
          <w:tcPr>
            <w:tcW w:w="850" w:type="dxa"/>
            <w:tcBorders>
              <w:top w:val="single" w:sz="4" w:space="0" w:color="auto"/>
              <w:left w:val="nil"/>
              <w:bottom w:val="single" w:sz="4" w:space="0" w:color="auto"/>
              <w:right w:val="single" w:sz="4" w:space="0" w:color="auto"/>
            </w:tcBorders>
            <w:shd w:val="clear" w:color="9CC2E5" w:fill="FFFFFF"/>
            <w:noWrap/>
          </w:tcPr>
          <w:p w14:paraId="4337FB29" w14:textId="77777777" w:rsidR="00EA6DED" w:rsidRDefault="007504AE">
            <w:pPr>
              <w:jc w:val="center"/>
              <w:rPr>
                <w:bCs/>
                <w:color w:val="000000"/>
                <w:sz w:val="22"/>
                <w:szCs w:val="22"/>
              </w:rPr>
            </w:pPr>
            <w:r>
              <w:rPr>
                <w:bCs/>
                <w:color w:val="000000"/>
                <w:sz w:val="22"/>
                <w:szCs w:val="22"/>
              </w:rPr>
              <w:t xml:space="preserve">Baseline </w:t>
            </w:r>
          </w:p>
        </w:tc>
        <w:tc>
          <w:tcPr>
            <w:tcW w:w="1134" w:type="dxa"/>
            <w:tcBorders>
              <w:top w:val="single" w:sz="4" w:space="0" w:color="auto"/>
              <w:left w:val="nil"/>
              <w:bottom w:val="single" w:sz="4" w:space="0" w:color="auto"/>
              <w:right w:val="single" w:sz="4" w:space="0" w:color="auto"/>
            </w:tcBorders>
            <w:shd w:val="clear" w:color="9CC2E5" w:fill="FFFFFF"/>
            <w:noWrap/>
          </w:tcPr>
          <w:p w14:paraId="4337FB2A" w14:textId="77777777" w:rsidR="00EA6DED" w:rsidRDefault="007504AE">
            <w:pPr>
              <w:jc w:val="center"/>
              <w:rPr>
                <w:bCs/>
                <w:color w:val="000000"/>
                <w:sz w:val="22"/>
                <w:szCs w:val="22"/>
              </w:rPr>
            </w:pPr>
            <w:r>
              <w:rPr>
                <w:bCs/>
                <w:color w:val="000000"/>
                <w:sz w:val="22"/>
                <w:szCs w:val="22"/>
              </w:rPr>
              <w:t>Cible 2026</w:t>
            </w:r>
          </w:p>
        </w:tc>
        <w:tc>
          <w:tcPr>
            <w:tcW w:w="1985" w:type="dxa"/>
            <w:tcBorders>
              <w:top w:val="single" w:sz="4" w:space="0" w:color="auto"/>
              <w:left w:val="nil"/>
              <w:bottom w:val="single" w:sz="4" w:space="0" w:color="auto"/>
              <w:right w:val="single" w:sz="4" w:space="0" w:color="auto"/>
            </w:tcBorders>
            <w:shd w:val="clear" w:color="000000" w:fill="FFFFFF"/>
          </w:tcPr>
          <w:p w14:paraId="4337FB2B" w14:textId="77777777" w:rsidR="00EA6DED" w:rsidRDefault="007504AE">
            <w:pPr>
              <w:jc w:val="center"/>
              <w:rPr>
                <w:bCs/>
                <w:color w:val="000000"/>
                <w:sz w:val="22"/>
                <w:szCs w:val="22"/>
              </w:rPr>
            </w:pPr>
            <w:r>
              <w:rPr>
                <w:bCs/>
                <w:color w:val="000000"/>
                <w:sz w:val="22"/>
                <w:szCs w:val="22"/>
              </w:rPr>
              <w:t xml:space="preserve">Réalisation 2024 </w:t>
            </w:r>
          </w:p>
        </w:tc>
        <w:tc>
          <w:tcPr>
            <w:tcW w:w="3260" w:type="dxa"/>
            <w:tcBorders>
              <w:top w:val="single" w:sz="4" w:space="0" w:color="auto"/>
              <w:left w:val="nil"/>
              <w:bottom w:val="single" w:sz="4" w:space="0" w:color="auto"/>
              <w:right w:val="single" w:sz="4" w:space="0" w:color="auto"/>
            </w:tcBorders>
            <w:shd w:val="clear" w:color="000000" w:fill="FFFFFF"/>
          </w:tcPr>
          <w:p w14:paraId="4337FB2C" w14:textId="77777777" w:rsidR="00EA6DED" w:rsidRDefault="007504AE">
            <w:pPr>
              <w:jc w:val="center"/>
              <w:rPr>
                <w:bCs/>
                <w:color w:val="000000"/>
                <w:sz w:val="22"/>
                <w:szCs w:val="22"/>
              </w:rPr>
            </w:pPr>
            <w:r>
              <w:rPr>
                <w:bCs/>
                <w:color w:val="000000"/>
                <w:sz w:val="22"/>
                <w:szCs w:val="22"/>
              </w:rPr>
              <w:t>Commentaires</w:t>
            </w:r>
          </w:p>
        </w:tc>
        <w:tc>
          <w:tcPr>
            <w:tcW w:w="1559" w:type="dxa"/>
            <w:tcBorders>
              <w:top w:val="single" w:sz="4" w:space="0" w:color="auto"/>
              <w:left w:val="nil"/>
              <w:bottom w:val="single" w:sz="4" w:space="0" w:color="auto"/>
              <w:right w:val="single" w:sz="4" w:space="0" w:color="auto"/>
            </w:tcBorders>
            <w:shd w:val="clear" w:color="000000" w:fill="FFFFFF"/>
          </w:tcPr>
          <w:p w14:paraId="4337FB2D" w14:textId="77777777" w:rsidR="00EA6DED" w:rsidRDefault="007504AE">
            <w:pPr>
              <w:rPr>
                <w:color w:val="231F20"/>
                <w:sz w:val="22"/>
                <w:szCs w:val="22"/>
              </w:rPr>
            </w:pPr>
            <w:r>
              <w:rPr>
                <w:color w:val="231F20"/>
                <w:sz w:val="22"/>
                <w:szCs w:val="22"/>
              </w:rPr>
              <w:t>Sources</w:t>
            </w:r>
          </w:p>
        </w:tc>
      </w:tr>
      <w:tr w:rsidR="00EA6DED" w14:paraId="4337FB39" w14:textId="77777777">
        <w:trPr>
          <w:trHeight w:val="789"/>
        </w:trPr>
        <w:tc>
          <w:tcPr>
            <w:tcW w:w="1985" w:type="dxa"/>
            <w:tcBorders>
              <w:top w:val="nil"/>
              <w:left w:val="nil"/>
              <w:bottom w:val="single" w:sz="4" w:space="0" w:color="auto"/>
              <w:right w:val="single" w:sz="4" w:space="0" w:color="auto"/>
            </w:tcBorders>
            <w:shd w:val="clear" w:color="000000" w:fill="B4C6E7"/>
            <w:vAlign w:val="center"/>
          </w:tcPr>
          <w:p w14:paraId="4337FB2F" w14:textId="77777777" w:rsidR="00EA6DED" w:rsidRDefault="007504AE">
            <w:pPr>
              <w:ind w:left="40"/>
              <w:rPr>
                <w:bCs/>
                <w:color w:val="231F20"/>
                <w:sz w:val="22"/>
                <w:szCs w:val="22"/>
              </w:rPr>
            </w:pPr>
            <w:r>
              <w:rPr>
                <w:bCs/>
                <w:color w:val="231F20"/>
                <w:sz w:val="22"/>
                <w:szCs w:val="22"/>
              </w:rPr>
              <w:t>IE 3.1 : Pourcentage des maires, députés et sénateurs femmes</w:t>
            </w:r>
          </w:p>
        </w:tc>
        <w:tc>
          <w:tcPr>
            <w:tcW w:w="850" w:type="dxa"/>
            <w:tcBorders>
              <w:top w:val="single" w:sz="4" w:space="0" w:color="auto"/>
              <w:left w:val="nil"/>
              <w:bottom w:val="single" w:sz="4" w:space="0" w:color="auto"/>
              <w:right w:val="single" w:sz="4" w:space="0" w:color="auto"/>
            </w:tcBorders>
            <w:shd w:val="clear" w:color="9CC2E5" w:fill="FFFFFF"/>
            <w:noWrap/>
          </w:tcPr>
          <w:p w14:paraId="4337FB30" w14:textId="77777777" w:rsidR="00EA6DED" w:rsidRDefault="007504AE">
            <w:pPr>
              <w:rPr>
                <w:bCs/>
                <w:sz w:val="22"/>
                <w:szCs w:val="22"/>
              </w:rPr>
            </w:pPr>
            <w:r>
              <w:rPr>
                <w:bCs/>
                <w:sz w:val="22"/>
                <w:szCs w:val="22"/>
              </w:rPr>
              <w:t>19,68% (2021)</w:t>
            </w:r>
          </w:p>
        </w:tc>
        <w:tc>
          <w:tcPr>
            <w:tcW w:w="1134" w:type="dxa"/>
            <w:tcBorders>
              <w:top w:val="single" w:sz="4" w:space="0" w:color="auto"/>
              <w:left w:val="nil"/>
              <w:bottom w:val="single" w:sz="4" w:space="0" w:color="auto"/>
              <w:right w:val="single" w:sz="4" w:space="0" w:color="auto"/>
            </w:tcBorders>
            <w:shd w:val="clear" w:color="9CC2E5" w:fill="FFFFFF"/>
            <w:noWrap/>
          </w:tcPr>
          <w:p w14:paraId="4337FB31" w14:textId="77777777" w:rsidR="00EA6DED" w:rsidRDefault="007504AE">
            <w:pPr>
              <w:rPr>
                <w:bCs/>
                <w:sz w:val="22"/>
                <w:szCs w:val="22"/>
              </w:rPr>
            </w:pPr>
            <w:r>
              <w:rPr>
                <w:bCs/>
                <w:sz w:val="22"/>
                <w:szCs w:val="22"/>
              </w:rPr>
              <w:t>30%</w:t>
            </w:r>
          </w:p>
        </w:tc>
        <w:tc>
          <w:tcPr>
            <w:tcW w:w="1985" w:type="dxa"/>
            <w:tcBorders>
              <w:top w:val="single" w:sz="4" w:space="0" w:color="auto"/>
              <w:left w:val="nil"/>
              <w:bottom w:val="single" w:sz="4" w:space="0" w:color="auto"/>
              <w:right w:val="single" w:sz="4" w:space="0" w:color="auto"/>
            </w:tcBorders>
            <w:shd w:val="clear" w:color="auto" w:fill="00B050"/>
            <w:vAlign w:val="center"/>
          </w:tcPr>
          <w:p w14:paraId="4337FB32" w14:textId="77777777" w:rsidR="00EA6DED" w:rsidRDefault="007504AE">
            <w:pPr>
              <w:rPr>
                <w:color w:val="231F20"/>
                <w:sz w:val="22"/>
                <w:szCs w:val="22"/>
              </w:rPr>
            </w:pPr>
            <w:r>
              <w:rPr>
                <w:color w:val="231F20"/>
                <w:sz w:val="22"/>
                <w:szCs w:val="22"/>
              </w:rPr>
              <w:t>Un total de 23% dont :</w:t>
            </w:r>
          </w:p>
          <w:p w14:paraId="4337FB33" w14:textId="77777777" w:rsidR="00EA6DED" w:rsidRDefault="007504AE">
            <w:pPr>
              <w:pStyle w:val="Paragraphedeliste"/>
              <w:numPr>
                <w:ilvl w:val="0"/>
                <w:numId w:val="16"/>
              </w:numPr>
              <w:rPr>
                <w:color w:val="231F20"/>
                <w:sz w:val="22"/>
                <w:szCs w:val="22"/>
              </w:rPr>
            </w:pPr>
            <w:r>
              <w:rPr>
                <w:color w:val="231F20"/>
                <w:sz w:val="22"/>
                <w:szCs w:val="22"/>
              </w:rPr>
              <w:t xml:space="preserve">Sénatrices </w:t>
            </w:r>
          </w:p>
          <w:p w14:paraId="4337FB34" w14:textId="77777777" w:rsidR="00EA6DED" w:rsidRDefault="007504AE">
            <w:pPr>
              <w:pStyle w:val="Paragraphedeliste"/>
              <w:numPr>
                <w:ilvl w:val="0"/>
                <w:numId w:val="16"/>
              </w:numPr>
              <w:rPr>
                <w:color w:val="231F20"/>
                <w:sz w:val="22"/>
                <w:szCs w:val="22"/>
              </w:rPr>
            </w:pPr>
            <w:r>
              <w:rPr>
                <w:color w:val="231F20"/>
                <w:sz w:val="22"/>
                <w:szCs w:val="22"/>
              </w:rPr>
              <w:t>(26/100) soit 26%, </w:t>
            </w:r>
          </w:p>
          <w:p w14:paraId="4337FB35" w14:textId="77777777" w:rsidR="00EA6DED" w:rsidRDefault="007504AE">
            <w:pPr>
              <w:pStyle w:val="Paragraphedeliste"/>
              <w:numPr>
                <w:ilvl w:val="0"/>
                <w:numId w:val="16"/>
              </w:numPr>
              <w:rPr>
                <w:color w:val="231F20"/>
                <w:sz w:val="22"/>
                <w:szCs w:val="22"/>
              </w:rPr>
            </w:pPr>
            <w:r>
              <w:rPr>
                <w:color w:val="231F20"/>
                <w:sz w:val="22"/>
                <w:szCs w:val="22"/>
              </w:rPr>
              <w:t>Maires (39/360) soit 10,83%, </w:t>
            </w:r>
          </w:p>
          <w:p w14:paraId="4337FB36" w14:textId="77777777" w:rsidR="00EA6DED" w:rsidRDefault="007504AE">
            <w:pPr>
              <w:pStyle w:val="Paragraphedeliste"/>
              <w:numPr>
                <w:ilvl w:val="0"/>
                <w:numId w:val="16"/>
              </w:numPr>
              <w:rPr>
                <w:bCs/>
                <w:color w:val="231F20"/>
                <w:sz w:val="22"/>
                <w:szCs w:val="22"/>
              </w:rPr>
            </w:pPr>
            <w:r>
              <w:rPr>
                <w:color w:val="231F20"/>
                <w:sz w:val="22"/>
                <w:szCs w:val="22"/>
              </w:rPr>
              <w:t xml:space="preserve">Députés (61/180), soit 33,88% </w:t>
            </w:r>
          </w:p>
        </w:tc>
        <w:tc>
          <w:tcPr>
            <w:tcW w:w="3260" w:type="dxa"/>
            <w:tcBorders>
              <w:top w:val="single" w:sz="4" w:space="0" w:color="auto"/>
              <w:left w:val="nil"/>
              <w:bottom w:val="single" w:sz="4" w:space="0" w:color="auto"/>
              <w:right w:val="single" w:sz="4" w:space="0" w:color="auto"/>
            </w:tcBorders>
            <w:shd w:val="clear" w:color="000000" w:fill="FFFFFF"/>
            <w:vAlign w:val="center"/>
          </w:tcPr>
          <w:p w14:paraId="4337FB37" w14:textId="77777777" w:rsidR="00EA6DED" w:rsidRDefault="007504AE">
            <w:pPr>
              <w:jc w:val="both"/>
              <w:rPr>
                <w:color w:val="ED7D31"/>
              </w:rPr>
            </w:pPr>
            <w:r>
              <w:rPr>
                <w:color w:val="231F20"/>
                <w:sz w:val="22"/>
                <w:szCs w:val="22"/>
              </w:rPr>
              <w:t>Quelle que soit la position, la proportion des femmes est en nette progression depuis 2021 quoi qu’il ait 7 points à rattraper par rapport à la cible de 2026. Les NU y ont contribué en renforçant les capacités de coordination, d’anticipation des acteurs de la société civile et des populations (…) pour une participation effective et inclusive aux processus décisionnels aux niveaux communautaire, communal, régional et national.</w:t>
            </w:r>
            <w:r>
              <w:t xml:space="preserve"> </w:t>
            </w:r>
          </w:p>
        </w:tc>
        <w:tc>
          <w:tcPr>
            <w:tcW w:w="1559" w:type="dxa"/>
            <w:tcBorders>
              <w:top w:val="single" w:sz="4" w:space="0" w:color="auto"/>
              <w:left w:val="nil"/>
              <w:bottom w:val="single" w:sz="4" w:space="0" w:color="auto"/>
              <w:right w:val="single" w:sz="4" w:space="0" w:color="auto"/>
            </w:tcBorders>
            <w:shd w:val="clear" w:color="000000" w:fill="FFFFFF"/>
            <w:vAlign w:val="center"/>
          </w:tcPr>
          <w:p w14:paraId="4337FB38" w14:textId="77777777" w:rsidR="00EA6DED" w:rsidRDefault="007504AE">
            <w:pPr>
              <w:rPr>
                <w:color w:val="231F20"/>
                <w:sz w:val="22"/>
                <w:szCs w:val="22"/>
              </w:rPr>
            </w:pPr>
            <w:r>
              <w:rPr>
                <w:color w:val="231F20"/>
                <w:sz w:val="22"/>
              </w:rPr>
              <w:t>Evaluation de la mise en œuvre de la déclaration et du plan d’action de Beidjing : Rapport de l’Etat du Cameroun 2024</w:t>
            </w:r>
          </w:p>
        </w:tc>
      </w:tr>
      <w:tr w:rsidR="00EA6DED" w14:paraId="4337FB41" w14:textId="77777777">
        <w:trPr>
          <w:trHeight w:val="624"/>
        </w:trPr>
        <w:tc>
          <w:tcPr>
            <w:tcW w:w="1985" w:type="dxa"/>
            <w:tcBorders>
              <w:top w:val="nil"/>
              <w:left w:val="nil"/>
              <w:bottom w:val="single" w:sz="4" w:space="0" w:color="auto"/>
              <w:right w:val="single" w:sz="4" w:space="0" w:color="auto"/>
            </w:tcBorders>
            <w:shd w:val="clear" w:color="auto" w:fill="B4C6E7"/>
            <w:vAlign w:val="center"/>
          </w:tcPr>
          <w:p w14:paraId="4337FB3A" w14:textId="77777777" w:rsidR="00EA6DED" w:rsidRDefault="007504AE">
            <w:pPr>
              <w:pStyle w:val="NormalWeb"/>
              <w:rPr>
                <w:bCs/>
                <w:color w:val="231F20"/>
                <w:sz w:val="22"/>
                <w:szCs w:val="22"/>
              </w:rPr>
            </w:pPr>
            <w:r>
              <w:rPr>
                <w:bCs/>
                <w:color w:val="231F20"/>
                <w:sz w:val="22"/>
                <w:szCs w:val="22"/>
              </w:rPr>
              <w:t xml:space="preserve">IE 3.2 : Taux de satisfaction des usagers par rapport à la qualité́ du service public au </w:t>
            </w:r>
            <w:r>
              <w:rPr>
                <w:bCs/>
                <w:color w:val="231F20"/>
                <w:sz w:val="22"/>
                <w:szCs w:val="22"/>
              </w:rPr>
              <w:lastRenderedPageBreak/>
              <w:t xml:space="preserve">niveau national et local </w:t>
            </w:r>
          </w:p>
        </w:tc>
        <w:tc>
          <w:tcPr>
            <w:tcW w:w="850" w:type="dxa"/>
            <w:tcBorders>
              <w:top w:val="single" w:sz="4" w:space="0" w:color="auto"/>
              <w:left w:val="nil"/>
              <w:bottom w:val="single" w:sz="4" w:space="0" w:color="auto"/>
              <w:right w:val="single" w:sz="4" w:space="0" w:color="auto"/>
            </w:tcBorders>
            <w:shd w:val="clear" w:color="9CC2E5" w:fill="FFFFFF"/>
            <w:noWrap/>
          </w:tcPr>
          <w:p w14:paraId="4337FB3B" w14:textId="77777777" w:rsidR="00EA6DED" w:rsidRDefault="007504AE">
            <w:pPr>
              <w:rPr>
                <w:bCs/>
                <w:sz w:val="22"/>
                <w:szCs w:val="22"/>
              </w:rPr>
            </w:pPr>
            <w:r>
              <w:rPr>
                <w:bCs/>
                <w:sz w:val="22"/>
                <w:szCs w:val="22"/>
              </w:rPr>
              <w:lastRenderedPageBreak/>
              <w:t>75% (2020)</w:t>
            </w:r>
          </w:p>
        </w:tc>
        <w:tc>
          <w:tcPr>
            <w:tcW w:w="1134" w:type="dxa"/>
            <w:tcBorders>
              <w:top w:val="single" w:sz="4" w:space="0" w:color="auto"/>
              <w:left w:val="nil"/>
              <w:bottom w:val="single" w:sz="4" w:space="0" w:color="auto"/>
              <w:right w:val="single" w:sz="4" w:space="0" w:color="auto"/>
            </w:tcBorders>
            <w:shd w:val="clear" w:color="9CC2E5" w:fill="FFFFFF"/>
            <w:noWrap/>
          </w:tcPr>
          <w:p w14:paraId="4337FB3C" w14:textId="77777777" w:rsidR="00EA6DED" w:rsidRDefault="007504AE">
            <w:pPr>
              <w:rPr>
                <w:bCs/>
                <w:sz w:val="22"/>
                <w:szCs w:val="22"/>
              </w:rPr>
            </w:pPr>
            <w:r>
              <w:rPr>
                <w:bCs/>
                <w:sz w:val="22"/>
                <w:szCs w:val="22"/>
              </w:rPr>
              <w:t>90%</w:t>
            </w:r>
          </w:p>
        </w:tc>
        <w:tc>
          <w:tcPr>
            <w:tcW w:w="1985" w:type="dxa"/>
            <w:tcBorders>
              <w:top w:val="single" w:sz="4" w:space="0" w:color="auto"/>
              <w:left w:val="nil"/>
              <w:bottom w:val="single" w:sz="4" w:space="0" w:color="auto"/>
              <w:right w:val="single" w:sz="4" w:space="0" w:color="auto"/>
            </w:tcBorders>
            <w:shd w:val="clear" w:color="auto" w:fill="FF0000"/>
            <w:vAlign w:val="center"/>
          </w:tcPr>
          <w:p w14:paraId="4337FB3D" w14:textId="77777777" w:rsidR="00EA6DED" w:rsidRDefault="007504AE">
            <w:pPr>
              <w:rPr>
                <w:bCs/>
                <w:color w:val="231F20"/>
                <w:sz w:val="22"/>
                <w:szCs w:val="22"/>
              </w:rPr>
            </w:pPr>
            <w:r>
              <w:rPr>
                <w:bCs/>
                <w:color w:val="231F20"/>
                <w:sz w:val="22"/>
                <w:szCs w:val="22"/>
              </w:rPr>
              <w:t> </w:t>
            </w:r>
            <w:r>
              <w:rPr>
                <w:color w:val="231F20"/>
                <w:sz w:val="22"/>
                <w:szCs w:val="22"/>
              </w:rPr>
              <w:t>59,30%</w:t>
            </w:r>
          </w:p>
        </w:tc>
        <w:tc>
          <w:tcPr>
            <w:tcW w:w="3260" w:type="dxa"/>
            <w:tcBorders>
              <w:top w:val="single" w:sz="4" w:space="0" w:color="auto"/>
              <w:left w:val="nil"/>
              <w:bottom w:val="single" w:sz="4" w:space="0" w:color="auto"/>
              <w:right w:val="single" w:sz="4" w:space="0" w:color="auto"/>
            </w:tcBorders>
            <w:shd w:val="clear" w:color="000000" w:fill="FFFFFF"/>
            <w:vAlign w:val="center"/>
          </w:tcPr>
          <w:p w14:paraId="4337FB3E" w14:textId="77777777" w:rsidR="00EA6DED" w:rsidRDefault="007504AE">
            <w:pPr>
              <w:jc w:val="both"/>
              <w:rPr>
                <w:color w:val="231F20"/>
                <w:sz w:val="22"/>
                <w:szCs w:val="22"/>
              </w:rPr>
            </w:pPr>
            <w:r>
              <w:rPr>
                <w:bCs/>
                <w:color w:val="231F20"/>
                <w:sz w:val="22"/>
                <w:szCs w:val="22"/>
              </w:rPr>
              <w:t> </w:t>
            </w:r>
            <w:r>
              <w:rPr>
                <w:color w:val="231F20"/>
                <w:sz w:val="22"/>
                <w:szCs w:val="22"/>
              </w:rPr>
              <w:t xml:space="preserve">Taux en régression par rapport à la situation de référence. Cependant, au niveau des produits, les NU ont donné une contribution à travers le renforcement des capacités de </w:t>
            </w:r>
            <w:r>
              <w:rPr>
                <w:color w:val="231F20"/>
                <w:sz w:val="22"/>
                <w:szCs w:val="22"/>
              </w:rPr>
              <w:lastRenderedPageBreak/>
              <w:t>coordination, d’anticipation et de réponse aux chocs des institutions et des populations pour améliorent l’efficacité des politiques de développement (P3.2) et l’outillage des parties prenantes de la décentralisation pour renforcer une utilisation efficiente des compétences transférées, y compris les ressources.</w:t>
            </w:r>
          </w:p>
          <w:p w14:paraId="4337FB3F" w14:textId="77777777" w:rsidR="00EA6DED" w:rsidRDefault="007504AE">
            <w:pPr>
              <w:jc w:val="both"/>
              <w:rPr>
                <w:color w:val="231F20"/>
                <w:sz w:val="22"/>
                <w:szCs w:val="22"/>
              </w:rPr>
            </w:pPr>
            <w:r>
              <w:rPr>
                <w:color w:val="231F20"/>
                <w:sz w:val="22"/>
                <w:szCs w:val="22"/>
              </w:rPr>
              <w:t>(P3.3)</w:t>
            </w:r>
          </w:p>
        </w:tc>
        <w:tc>
          <w:tcPr>
            <w:tcW w:w="1559" w:type="dxa"/>
            <w:tcBorders>
              <w:top w:val="single" w:sz="4" w:space="0" w:color="auto"/>
              <w:left w:val="nil"/>
              <w:bottom w:val="single" w:sz="4" w:space="0" w:color="auto"/>
              <w:right w:val="single" w:sz="4" w:space="0" w:color="auto"/>
            </w:tcBorders>
            <w:shd w:val="clear" w:color="000000" w:fill="FFFFFF"/>
            <w:vAlign w:val="center"/>
          </w:tcPr>
          <w:p w14:paraId="4337FB40" w14:textId="77777777" w:rsidR="00EA6DED" w:rsidRDefault="007504AE">
            <w:pPr>
              <w:rPr>
                <w:color w:val="231F20"/>
                <w:sz w:val="22"/>
                <w:szCs w:val="22"/>
              </w:rPr>
            </w:pPr>
            <w:r>
              <w:rPr>
                <w:color w:val="231F20"/>
                <w:sz w:val="22"/>
                <w:szCs w:val="22"/>
              </w:rPr>
              <w:lastRenderedPageBreak/>
              <w:t xml:space="preserve">Qualité des services publics et modernisation de l’Etat par </w:t>
            </w:r>
            <w:r>
              <w:rPr>
                <w:color w:val="231F20"/>
                <w:sz w:val="22"/>
                <w:szCs w:val="22"/>
              </w:rPr>
              <w:lastRenderedPageBreak/>
              <w:t>Mireille BITYE (2024)</w:t>
            </w:r>
          </w:p>
        </w:tc>
      </w:tr>
      <w:tr w:rsidR="00EA6DED" w14:paraId="4337FB48" w14:textId="77777777">
        <w:trPr>
          <w:trHeight w:val="696"/>
        </w:trPr>
        <w:tc>
          <w:tcPr>
            <w:tcW w:w="1985" w:type="dxa"/>
            <w:tcBorders>
              <w:top w:val="nil"/>
              <w:left w:val="nil"/>
              <w:bottom w:val="single" w:sz="4" w:space="0" w:color="auto"/>
              <w:right w:val="single" w:sz="4" w:space="0" w:color="auto"/>
            </w:tcBorders>
            <w:shd w:val="clear" w:color="auto" w:fill="B4C6E7"/>
            <w:vAlign w:val="center"/>
          </w:tcPr>
          <w:p w14:paraId="4337FB42" w14:textId="77777777" w:rsidR="00EA6DED" w:rsidRDefault="007504AE">
            <w:pPr>
              <w:ind w:left="40"/>
              <w:rPr>
                <w:bCs/>
                <w:color w:val="231F20"/>
                <w:sz w:val="22"/>
                <w:szCs w:val="22"/>
              </w:rPr>
            </w:pPr>
            <w:r>
              <w:rPr>
                <w:bCs/>
                <w:color w:val="231F20"/>
                <w:sz w:val="22"/>
                <w:szCs w:val="22"/>
              </w:rPr>
              <w:lastRenderedPageBreak/>
              <w:t>IE 3.3 : Pourcentage de populations ayant confiance en la justice</w:t>
            </w:r>
          </w:p>
        </w:tc>
        <w:tc>
          <w:tcPr>
            <w:tcW w:w="850" w:type="dxa"/>
            <w:tcBorders>
              <w:top w:val="single" w:sz="4" w:space="0" w:color="auto"/>
              <w:left w:val="nil"/>
              <w:bottom w:val="single" w:sz="4" w:space="0" w:color="auto"/>
              <w:right w:val="single" w:sz="4" w:space="0" w:color="auto"/>
            </w:tcBorders>
            <w:shd w:val="clear" w:color="9CC2E5" w:fill="FFFFFF"/>
            <w:noWrap/>
          </w:tcPr>
          <w:p w14:paraId="4337FB43" w14:textId="77777777" w:rsidR="00EA6DED" w:rsidRDefault="007504AE">
            <w:pPr>
              <w:rPr>
                <w:bCs/>
                <w:sz w:val="22"/>
                <w:szCs w:val="22"/>
              </w:rPr>
            </w:pPr>
            <w:r>
              <w:rPr>
                <w:bCs/>
                <w:sz w:val="22"/>
                <w:szCs w:val="22"/>
              </w:rPr>
              <w:t xml:space="preserve"> 46,3% (2020)</w:t>
            </w:r>
          </w:p>
        </w:tc>
        <w:tc>
          <w:tcPr>
            <w:tcW w:w="1134" w:type="dxa"/>
            <w:tcBorders>
              <w:top w:val="single" w:sz="4" w:space="0" w:color="auto"/>
              <w:left w:val="nil"/>
              <w:bottom w:val="single" w:sz="4" w:space="0" w:color="auto"/>
              <w:right w:val="single" w:sz="4" w:space="0" w:color="auto"/>
            </w:tcBorders>
            <w:shd w:val="clear" w:color="9CC2E5" w:fill="FFFFFF"/>
            <w:noWrap/>
          </w:tcPr>
          <w:p w14:paraId="4337FB44" w14:textId="77777777" w:rsidR="00EA6DED" w:rsidRDefault="007504AE">
            <w:pPr>
              <w:rPr>
                <w:bCs/>
                <w:sz w:val="22"/>
                <w:szCs w:val="22"/>
              </w:rPr>
            </w:pPr>
            <w:r>
              <w:rPr>
                <w:bCs/>
                <w:sz w:val="22"/>
                <w:szCs w:val="22"/>
              </w:rPr>
              <w:t>65,20%</w:t>
            </w:r>
          </w:p>
        </w:tc>
        <w:tc>
          <w:tcPr>
            <w:tcW w:w="1985" w:type="dxa"/>
            <w:tcBorders>
              <w:top w:val="single" w:sz="4" w:space="0" w:color="auto"/>
              <w:left w:val="nil"/>
              <w:bottom w:val="single" w:sz="4" w:space="0" w:color="auto"/>
              <w:right w:val="single" w:sz="4" w:space="0" w:color="auto"/>
            </w:tcBorders>
            <w:shd w:val="clear" w:color="auto" w:fill="00B050"/>
            <w:vAlign w:val="center"/>
          </w:tcPr>
          <w:p w14:paraId="4337FB45" w14:textId="77777777" w:rsidR="00EA6DED" w:rsidRDefault="007504AE">
            <w:pPr>
              <w:rPr>
                <w:color w:val="231F20"/>
                <w:sz w:val="22"/>
                <w:szCs w:val="22"/>
              </w:rPr>
            </w:pPr>
            <w:r>
              <w:rPr>
                <w:color w:val="231F20"/>
                <w:sz w:val="22"/>
                <w:szCs w:val="22"/>
              </w:rPr>
              <w:t xml:space="preserve"> 54% </w:t>
            </w:r>
            <w:r>
              <w:rPr>
                <w:bCs/>
                <w:color w:val="231F20"/>
                <w:sz w:val="22"/>
                <w:szCs w:val="22"/>
              </w:rPr>
              <w:t>(2023)</w:t>
            </w:r>
          </w:p>
        </w:tc>
        <w:tc>
          <w:tcPr>
            <w:tcW w:w="3260" w:type="dxa"/>
            <w:tcBorders>
              <w:top w:val="single" w:sz="4" w:space="0" w:color="auto"/>
              <w:left w:val="nil"/>
              <w:bottom w:val="single" w:sz="4" w:space="0" w:color="auto"/>
              <w:right w:val="single" w:sz="4" w:space="0" w:color="auto"/>
            </w:tcBorders>
            <w:shd w:val="clear" w:color="000000" w:fill="FFFFFF"/>
            <w:vAlign w:val="center"/>
          </w:tcPr>
          <w:p w14:paraId="4337FB46" w14:textId="77777777" w:rsidR="00EA6DED" w:rsidRDefault="007504AE">
            <w:pPr>
              <w:jc w:val="both"/>
              <w:rPr>
                <w:color w:val="231F20"/>
                <w:sz w:val="22"/>
                <w:szCs w:val="22"/>
              </w:rPr>
            </w:pPr>
            <w:r>
              <w:rPr>
                <w:color w:val="231F20"/>
                <w:sz w:val="22"/>
                <w:szCs w:val="22"/>
              </w:rPr>
              <w:t xml:space="preserve">Taux à la hausse en 2023 par rapport à 2020. Des efforts restent à faire pour atteindre la cible attendue en 2026 (65,5%). Les contributions des nations unies ont porté sur le renforcement des cadres juridiques, institutionnels et techniques pour une meilleure administration de la justice, un plus grand respect des droits et une meilleure participation des populations (P3.4). </w:t>
            </w:r>
          </w:p>
        </w:tc>
        <w:tc>
          <w:tcPr>
            <w:tcW w:w="1559" w:type="dxa"/>
            <w:tcBorders>
              <w:top w:val="single" w:sz="4" w:space="0" w:color="auto"/>
              <w:left w:val="nil"/>
              <w:bottom w:val="single" w:sz="4" w:space="0" w:color="auto"/>
              <w:right w:val="single" w:sz="4" w:space="0" w:color="auto"/>
            </w:tcBorders>
            <w:shd w:val="clear" w:color="000000" w:fill="FFFFFF"/>
            <w:vAlign w:val="center"/>
          </w:tcPr>
          <w:p w14:paraId="4337FB47" w14:textId="77777777" w:rsidR="00EA6DED" w:rsidRDefault="007504AE">
            <w:pPr>
              <w:rPr>
                <w:color w:val="231F20"/>
                <w:sz w:val="22"/>
                <w:szCs w:val="22"/>
              </w:rPr>
            </w:pPr>
            <w:r>
              <w:rPr>
                <w:color w:val="231F20"/>
                <w:sz w:val="22"/>
                <w:szCs w:val="22"/>
              </w:rPr>
              <w:t>Rapport MINJUSTICE sur  les droits de l’Homme (2023)</w:t>
            </w:r>
          </w:p>
        </w:tc>
      </w:tr>
      <w:tr w:rsidR="00EA6DED" w14:paraId="4337FB4F" w14:textId="77777777">
        <w:trPr>
          <w:trHeight w:val="132"/>
        </w:trPr>
        <w:tc>
          <w:tcPr>
            <w:tcW w:w="1985" w:type="dxa"/>
            <w:tcBorders>
              <w:top w:val="nil"/>
              <w:left w:val="nil"/>
              <w:bottom w:val="single" w:sz="4" w:space="0" w:color="auto"/>
              <w:right w:val="single" w:sz="4" w:space="0" w:color="auto"/>
            </w:tcBorders>
            <w:shd w:val="clear" w:color="000000" w:fill="B4C6E7"/>
            <w:vAlign w:val="center"/>
          </w:tcPr>
          <w:p w14:paraId="4337FB49" w14:textId="77777777" w:rsidR="00EA6DED" w:rsidRDefault="007504AE">
            <w:pPr>
              <w:ind w:left="40"/>
              <w:rPr>
                <w:bCs/>
                <w:color w:val="231F20"/>
                <w:sz w:val="22"/>
                <w:szCs w:val="22"/>
              </w:rPr>
            </w:pPr>
            <w:r>
              <w:rPr>
                <w:bCs/>
                <w:color w:val="231F20"/>
                <w:sz w:val="22"/>
                <w:szCs w:val="22"/>
              </w:rPr>
              <w:t xml:space="preserve">IE 3.4 : Proportion d’indicateurs de développement durable contextualisés renseignés et diffusés au niveau national avec une désagrégation complète </w:t>
            </w:r>
          </w:p>
        </w:tc>
        <w:tc>
          <w:tcPr>
            <w:tcW w:w="850" w:type="dxa"/>
            <w:tcBorders>
              <w:top w:val="single" w:sz="4" w:space="0" w:color="auto"/>
              <w:left w:val="nil"/>
              <w:bottom w:val="single" w:sz="4" w:space="0" w:color="auto"/>
              <w:right w:val="single" w:sz="4" w:space="0" w:color="auto"/>
            </w:tcBorders>
            <w:shd w:val="clear" w:color="9CC2E5" w:fill="FFFFFF"/>
            <w:noWrap/>
          </w:tcPr>
          <w:p w14:paraId="4337FB4A" w14:textId="77777777" w:rsidR="00EA6DED" w:rsidRDefault="007504AE">
            <w:pPr>
              <w:rPr>
                <w:bCs/>
                <w:sz w:val="22"/>
                <w:szCs w:val="22"/>
              </w:rPr>
            </w:pPr>
            <w:r>
              <w:rPr>
                <w:bCs/>
                <w:sz w:val="22"/>
                <w:szCs w:val="22"/>
              </w:rPr>
              <w:t>0% (2020)</w:t>
            </w:r>
          </w:p>
        </w:tc>
        <w:tc>
          <w:tcPr>
            <w:tcW w:w="1134" w:type="dxa"/>
            <w:tcBorders>
              <w:top w:val="single" w:sz="4" w:space="0" w:color="auto"/>
              <w:left w:val="nil"/>
              <w:bottom w:val="single" w:sz="4" w:space="0" w:color="auto"/>
              <w:right w:val="single" w:sz="4" w:space="0" w:color="auto"/>
            </w:tcBorders>
            <w:shd w:val="clear" w:color="9CC2E5" w:fill="FFFFFF"/>
            <w:noWrap/>
          </w:tcPr>
          <w:p w14:paraId="4337FB4B" w14:textId="77777777" w:rsidR="00EA6DED" w:rsidRDefault="007504AE">
            <w:pPr>
              <w:rPr>
                <w:bCs/>
                <w:sz w:val="22"/>
                <w:szCs w:val="22"/>
              </w:rPr>
            </w:pPr>
            <w:r>
              <w:rPr>
                <w:bCs/>
                <w:sz w:val="22"/>
                <w:szCs w:val="22"/>
              </w:rPr>
              <w:t>100%</w:t>
            </w:r>
          </w:p>
        </w:tc>
        <w:tc>
          <w:tcPr>
            <w:tcW w:w="1985" w:type="dxa"/>
            <w:tcBorders>
              <w:top w:val="single" w:sz="4" w:space="0" w:color="auto"/>
              <w:left w:val="nil"/>
              <w:bottom w:val="single" w:sz="4" w:space="0" w:color="auto"/>
              <w:right w:val="single" w:sz="4" w:space="0" w:color="auto"/>
            </w:tcBorders>
            <w:shd w:val="clear" w:color="000000" w:fill="FFFFFF"/>
            <w:vAlign w:val="center"/>
          </w:tcPr>
          <w:p w14:paraId="4337FB4C" w14:textId="77777777" w:rsidR="00EA6DED" w:rsidRDefault="007504AE">
            <w:pPr>
              <w:rPr>
                <w:color w:val="231F20"/>
                <w:sz w:val="22"/>
                <w:szCs w:val="22"/>
              </w:rPr>
            </w:pPr>
            <w:r>
              <w:rPr>
                <w:color w:val="231F20"/>
                <w:sz w:val="22"/>
                <w:szCs w:val="22"/>
              </w:rPr>
              <w:t> </w:t>
            </w:r>
          </w:p>
        </w:tc>
        <w:tc>
          <w:tcPr>
            <w:tcW w:w="3260" w:type="dxa"/>
            <w:tcBorders>
              <w:top w:val="single" w:sz="4" w:space="0" w:color="auto"/>
              <w:left w:val="nil"/>
              <w:bottom w:val="single" w:sz="4" w:space="0" w:color="auto"/>
              <w:right w:val="single" w:sz="4" w:space="0" w:color="auto"/>
            </w:tcBorders>
            <w:shd w:val="clear" w:color="000000" w:fill="FFFFFF"/>
            <w:vAlign w:val="center"/>
          </w:tcPr>
          <w:p w14:paraId="4337FB4D" w14:textId="77777777" w:rsidR="00EA6DED" w:rsidRDefault="007504AE">
            <w:pPr>
              <w:rPr>
                <w:color w:val="231F20"/>
                <w:sz w:val="22"/>
                <w:szCs w:val="22"/>
              </w:rPr>
            </w:pPr>
            <w:r>
              <w:rPr>
                <w:color w:val="231F20"/>
                <w:sz w:val="22"/>
                <w:szCs w:val="22"/>
              </w:rPr>
              <w:t xml:space="preserve"> Donnée indisponible </w:t>
            </w:r>
          </w:p>
        </w:tc>
        <w:tc>
          <w:tcPr>
            <w:tcW w:w="1559" w:type="dxa"/>
            <w:tcBorders>
              <w:top w:val="single" w:sz="4" w:space="0" w:color="auto"/>
              <w:left w:val="nil"/>
              <w:bottom w:val="single" w:sz="4" w:space="0" w:color="auto"/>
              <w:right w:val="single" w:sz="4" w:space="0" w:color="auto"/>
            </w:tcBorders>
            <w:shd w:val="clear" w:color="000000" w:fill="FFFFFF"/>
            <w:vAlign w:val="center"/>
          </w:tcPr>
          <w:p w14:paraId="4337FB4E" w14:textId="77777777" w:rsidR="00EA6DED" w:rsidRDefault="007504AE">
            <w:pPr>
              <w:rPr>
                <w:color w:val="231F20"/>
                <w:sz w:val="22"/>
                <w:szCs w:val="22"/>
              </w:rPr>
            </w:pPr>
            <w:r>
              <w:rPr>
                <w:color w:val="231F20"/>
                <w:sz w:val="22"/>
                <w:szCs w:val="22"/>
              </w:rPr>
              <w:t> </w:t>
            </w:r>
          </w:p>
        </w:tc>
      </w:tr>
    </w:tbl>
    <w:p w14:paraId="4337FB50" w14:textId="77777777" w:rsidR="00EA6DED" w:rsidRDefault="007504AE">
      <w:pPr>
        <w:tabs>
          <w:tab w:val="left" w:pos="5057"/>
        </w:tabs>
        <w:rPr>
          <w:color w:val="000000"/>
        </w:rPr>
      </w:pPr>
      <w:r>
        <w:rPr>
          <w:color w:val="000000"/>
        </w:rPr>
        <w:tab/>
      </w:r>
    </w:p>
    <w:p w14:paraId="4337FB51" w14:textId="77777777" w:rsidR="00EA6DED" w:rsidRDefault="007504AE">
      <w:pPr>
        <w:tabs>
          <w:tab w:val="left" w:pos="5057"/>
        </w:tabs>
        <w:jc w:val="both"/>
        <w:rPr>
          <w:color w:val="000000"/>
        </w:rPr>
      </w:pPr>
      <w:r>
        <w:t>L'augmentation du nombre de femmes occupant des postes de maires, députés et sénateurs en 2024 témoigne d'un engagement croissant en faveur de l'égalité des genres dans la politique. Quant à la confiance du public envers la justice, elle a progressé en passant de 46,3% en 2020 à 54% en 2023. Bien qu'il reste des efforts à fournir pour atteindre 65,20% d'ici 2026, cette évolution positive indique des améliorations dans le système judiciaire et des initiatives visant à restaurer la confiance. À l'inverse, le taux de satisfaction des usagers concernant la qualité des services publics a chuté à 59,30% en 2023 par rapport à son score de 75% en 2020 et représente un défi urgent nécessitant une attention spécifique.</w:t>
      </w:r>
    </w:p>
    <w:p w14:paraId="4337FB52" w14:textId="77777777" w:rsidR="00EA6DED" w:rsidRDefault="00EA6DED">
      <w:pPr>
        <w:jc w:val="both"/>
        <w:rPr>
          <w:color w:val="000000"/>
          <w:sz w:val="15"/>
          <w:szCs w:val="15"/>
          <w:highlight w:val="yellow"/>
        </w:rPr>
      </w:pPr>
    </w:p>
    <w:p w14:paraId="4337FB53" w14:textId="77777777" w:rsidR="00EA6DED" w:rsidRDefault="007504AE">
      <w:pPr>
        <w:jc w:val="both"/>
        <w:rPr>
          <w:b/>
          <w:color w:val="ED7D31"/>
        </w:rPr>
      </w:pPr>
      <w:r>
        <w:rPr>
          <w:b/>
          <w:color w:val="0070C0"/>
        </w:rPr>
        <w:t>Analyse de la performance du produit 3.1 :</w:t>
      </w:r>
      <w:r>
        <w:rPr>
          <w:b/>
        </w:rPr>
        <w:t xml:space="preserve"> Les capacités des acteurs de la société civile et des populations, y compris les jeunes, les femmes et les personnes socialement vulnérables, sont renforcées pour une participation effective et inclusive aux processus décisionnels aux niveaux communautaire, communal, régional et national. </w:t>
      </w:r>
    </w:p>
    <w:p w14:paraId="4337FB54" w14:textId="77777777" w:rsidR="00EA6DED" w:rsidRDefault="007504AE">
      <w:pPr>
        <w:pStyle w:val="NormalWeb"/>
        <w:jc w:val="both"/>
      </w:pPr>
      <w:r>
        <w:t xml:space="preserve">Durant la période 2022-2024, les capacités organisationnelles des organisations de la société civile (OSC), notamment celles dédiées aux femmes, ont été renforcées pour accroître leur rôle dans la promotion de la démocratie, de la bonne gouvernance et de l'égalité des sexes. Plus de 3 500 000 personnes ont été sensibilisées aux valeurs citoyennes et 42 organisations féminines soutenues pour améliorer leur impact au sein des communautés vulnérables. Le SNU a formé par ailleurs 900 jeunes dans les zones frontalières du Gabon et du Tchad dans le cadre de l’initiative des Tisserands de la paix, tout en renforçant leurs capacités institutionnelles à travers une conférence ministérielle régionale en 2022 sur les solutions aux déplacements forcés en Afrique </w:t>
      </w:r>
      <w:r>
        <w:lastRenderedPageBreak/>
        <w:t xml:space="preserve">centrale, ainsi qu'un dialogue multipartite sur la gestion des réfugiés. De plus, 80 OSC des régions du Nord et de l’Extrême Nord ont été formées sur les mécanismes de participation et de représentation citoyenne. </w:t>
      </w:r>
    </w:p>
    <w:p w14:paraId="4337FB55" w14:textId="77777777" w:rsidR="00EA6DED" w:rsidRDefault="007504AE">
      <w:pPr>
        <w:jc w:val="both"/>
        <w:rPr>
          <w:b/>
          <w:bCs/>
          <w:color w:val="000000"/>
        </w:rPr>
      </w:pPr>
      <w:r>
        <w:rPr>
          <w:b/>
          <w:color w:val="0070C0"/>
        </w:rPr>
        <w:t>Analyse de la performance du produit 3.2</w:t>
      </w:r>
      <w:r>
        <w:rPr>
          <w:b/>
        </w:rPr>
        <w:t xml:space="preserve">: Les capacités de coordination, d’anticipation et de réponse aux chocs des institutions et des populations sont renforcées à tous les niveaux, et améliorent l’efficacité des politiques de développement. </w:t>
      </w:r>
    </w:p>
    <w:p w14:paraId="4337FB56" w14:textId="77777777" w:rsidR="00EA6DED" w:rsidRDefault="00EA6DED">
      <w:pPr>
        <w:rPr>
          <w:bCs/>
          <w:color w:val="000000"/>
          <w:sz w:val="13"/>
          <w:szCs w:val="13"/>
        </w:rPr>
      </w:pPr>
    </w:p>
    <w:p w14:paraId="4337FB57" w14:textId="77777777" w:rsidR="00EA6DED" w:rsidRDefault="007504AE">
      <w:pPr>
        <w:jc w:val="both"/>
        <w:rPr>
          <w:bCs/>
          <w:color w:val="000000"/>
        </w:rPr>
      </w:pPr>
      <w:r>
        <w:rPr>
          <w:bCs/>
          <w:color w:val="000000"/>
        </w:rPr>
        <w:t>Avec la contribution du SNU, plusieurs programmes d’information et des stratégies de prévention et gestion des catastrophes ont été développés pour améliorer les capacités de coordination et d’anticipation aux chocs et l’efficacité des politiques de développement.  Un cadre de dialogue inclusif au niveau des CTD a été mis en place ainsi que</w:t>
      </w:r>
      <w:r>
        <w:t xml:space="preserve"> le renforcement du Mécanisme d’alerte rapide de l’Afrique centrale (MARAC) de la CEEAC dans la prévention des conflits et des violences avec la participation des jeunes des zones frontalières. Plusieurs assistances psychologiques et psychosociales ont eu lieu au bénéfice de 1500 Personnes déplacées internes et communautés d’accueil à l’Ouest, au Littoral et à Extrême Nord. 25 membres dont 17 femmes des organisations des personnes handicapées ont été formés pour une meilleure compréhension des droits des personnes handicapées</w:t>
      </w:r>
      <w:r>
        <w:rPr>
          <w:rStyle w:val="Appelnotedebasdep"/>
          <w:rFonts w:eastAsia="SimSun"/>
        </w:rPr>
        <w:footnoteReference w:id="88"/>
      </w:r>
      <w:r>
        <w:t xml:space="preserve">. </w:t>
      </w:r>
    </w:p>
    <w:p w14:paraId="4337FB58" w14:textId="77777777" w:rsidR="00EA6DED" w:rsidRDefault="00EA6DED">
      <w:pPr>
        <w:rPr>
          <w:b/>
          <w:color w:val="0070C0"/>
          <w:sz w:val="15"/>
          <w:szCs w:val="15"/>
        </w:rPr>
      </w:pPr>
    </w:p>
    <w:p w14:paraId="4337FB59" w14:textId="77777777" w:rsidR="00EA6DED" w:rsidRDefault="007504AE">
      <w:pPr>
        <w:jc w:val="both"/>
        <w:rPr>
          <w:b/>
          <w:color w:val="ED7D31"/>
        </w:rPr>
      </w:pPr>
      <w:r>
        <w:rPr>
          <w:b/>
          <w:color w:val="0070C0"/>
        </w:rPr>
        <w:t>Analyse de la performance du produit 3.3</w:t>
      </w:r>
      <w:r>
        <w:rPr>
          <w:b/>
        </w:rPr>
        <w:t>: Les parties prenantes de la décentralisation sont outillées pour renforcer une utilisation efficiente des compétences transférées, y compris les ressources.</w:t>
      </w:r>
    </w:p>
    <w:p w14:paraId="4337FB5A" w14:textId="77777777" w:rsidR="00EA6DED" w:rsidRDefault="00EA6DED">
      <w:pPr>
        <w:pStyle w:val="Default"/>
        <w:jc w:val="both"/>
        <w:rPr>
          <w:rFonts w:ascii="Times New Roman" w:hAnsi="Times New Roman" w:cs="Times New Roman"/>
          <w:b/>
          <w:bCs/>
          <w:sz w:val="15"/>
          <w:szCs w:val="15"/>
        </w:rPr>
      </w:pPr>
    </w:p>
    <w:p w14:paraId="4337FB5B" w14:textId="77777777" w:rsidR="00EA6DED" w:rsidRDefault="007504AE">
      <w:pPr>
        <w:spacing w:line="278" w:lineRule="auto"/>
        <w:jc w:val="both"/>
      </w:pPr>
      <w:r>
        <w:t>La revue documentaire souligne que le SNU a joué un rôle clé en matière de plaidoyer pour l'adoption de la loi sur l’organisation du système d’état civil au Cameroun avec l’enregistrement électronique des actes d’état civil qui a induit la réduction du nombre de jugements supplétifs et le taux de naissances non enregistrées. Il a également contribué à la facilitation aux documents identitaires pour 20.000 réfugiés pour l’obtention de leurs cartes biométriques à la formation de 140 maires sur les actions humanitaires et soutien aux personnes déplacées internes l’élaboration d'un guide méthodologique pour la conception des Plans Communaux de Développement (PCD) intégrant les Objectifs de Développement Durable (ODD). Le système des Nations Unies accompagne le gouvernement du Cameroun dans la modernisation des CTD  à travers  le soutien à la création d'un Système d'Information Géographique (SIG) pour 374 communes , l’appui à la mise en place de système d’archivage moderne au niveau des communes et l’assistance à 10 communes des régions de l’Extrême Nord , du Nord-Ouest et du Sud-Ouest  pour la digitalisation  des services d'état civil</w:t>
      </w:r>
      <w:r>
        <w:rPr>
          <w:vertAlign w:val="superscript"/>
        </w:rPr>
        <w:footnoteReference w:id="89"/>
      </w:r>
      <w:r>
        <w:rPr>
          <w:vertAlign w:val="superscript"/>
        </w:rPr>
        <w:t>.</w:t>
      </w:r>
    </w:p>
    <w:p w14:paraId="4337FB5C" w14:textId="77777777" w:rsidR="00EA6DED" w:rsidRDefault="00EA6DED">
      <w:pPr>
        <w:spacing w:line="278" w:lineRule="auto"/>
        <w:jc w:val="both"/>
        <w:rPr>
          <w:sz w:val="15"/>
          <w:szCs w:val="15"/>
        </w:rPr>
      </w:pPr>
    </w:p>
    <w:p w14:paraId="4337FB5D" w14:textId="77777777" w:rsidR="00EA6DED" w:rsidRDefault="007504AE">
      <w:pPr>
        <w:jc w:val="both"/>
        <w:rPr>
          <w:b/>
          <w:color w:val="ED7D31"/>
        </w:rPr>
      </w:pPr>
      <w:r>
        <w:rPr>
          <w:b/>
          <w:color w:val="0070C0"/>
        </w:rPr>
        <w:t xml:space="preserve">Analyse de la performance du produit 3.4 </w:t>
      </w:r>
      <w:r>
        <w:rPr>
          <w:b/>
          <w:sz w:val="22"/>
          <w:szCs w:val="22"/>
        </w:rPr>
        <w:t xml:space="preserve">: Les cadres juridiques, institutionnels et techniques sont renforcés pour une meilleure administration de la justice, un plus grand respect des droits et une meilleure participation des populations. </w:t>
      </w:r>
    </w:p>
    <w:p w14:paraId="4337FB5E" w14:textId="77777777" w:rsidR="00EA6DED" w:rsidRDefault="00EA6DED">
      <w:pPr>
        <w:rPr>
          <w:color w:val="ED7D31"/>
        </w:rPr>
      </w:pPr>
    </w:p>
    <w:p w14:paraId="4337FB5F" w14:textId="77777777" w:rsidR="00EA6DED" w:rsidRDefault="007504AE">
      <w:pPr>
        <w:spacing w:line="278" w:lineRule="auto"/>
        <w:jc w:val="both"/>
      </w:pPr>
      <w:r>
        <w:t>En collaboration avec le ministère de la justice, le SNU a appuyé la formation de 52 avocats et magistrats, dont 18 femmes des régions du Nord-ouest et du Sud-Ouest sur les mesures de protection des victimes et des témoins dans le système de justice pénale</w:t>
      </w:r>
      <w:r>
        <w:rPr>
          <w:rStyle w:val="Appelnotedebasdep"/>
          <w:rFonts w:eastAsia="SimSun"/>
        </w:rPr>
        <w:footnoteReference w:id="90"/>
      </w:r>
      <w:r>
        <w:t>, formé 200 médias professionnels sur le reportage des droits de l’homme</w:t>
      </w:r>
      <w:r>
        <w:rPr>
          <w:rStyle w:val="Appelnotedebasdep"/>
          <w:rFonts w:eastAsia="SimSun"/>
        </w:rPr>
        <w:footnoteReference w:id="91"/>
      </w:r>
      <w:r>
        <w:t>, sensibilisé plus de 10.000 personnes sur les instruments des NU pour promouvoir et protéger les droits humains et d’autres sujets relatifs aux règles de démocratie et à la loi humanitaire internationale</w:t>
      </w:r>
      <w:r>
        <w:rPr>
          <w:rStyle w:val="Appelnotedebasdep"/>
          <w:rFonts w:eastAsia="SimSun"/>
        </w:rPr>
        <w:footnoteReference w:id="92"/>
      </w:r>
      <w:r>
        <w:t xml:space="preserve">. Le SNU a par ailleurs fourni une assistance juridique à 1 000 personnes et renforcé les capacités du Comité National pour la Réhabilitation et la Réinsertion Socio-Économique des Personnes Handicapées pour collecter des données et soutenu des politiques de développement inclusif. Il en est de même pour la formation de 17 administrations publiques sur les normes de qualité des services publics et 572 défenseurs des droits de l'homme, forces de </w:t>
      </w:r>
      <w:r>
        <w:lastRenderedPageBreak/>
        <w:t>sécurité et membres de la communauté (5% de femmes) sur les droits de l'homme, les violences basées sur le genre (VBG) et le droit international humanitaire.</w:t>
      </w:r>
      <w:r>
        <w:rPr>
          <w:rStyle w:val="Appelnotedebasdep"/>
          <w:rFonts w:eastAsia="SimSun"/>
        </w:rPr>
        <w:footnoteReference w:id="93"/>
      </w:r>
    </w:p>
    <w:p w14:paraId="4337FB60" w14:textId="77777777" w:rsidR="00EA6DED" w:rsidRDefault="00EA6DED">
      <w:pPr>
        <w:pStyle w:val="Default"/>
        <w:jc w:val="both"/>
        <w:rPr>
          <w:rFonts w:ascii="Times New Roman" w:hAnsi="Times New Roman" w:cs="Times New Roman"/>
          <w:b/>
          <w:bCs/>
          <w:sz w:val="11"/>
          <w:szCs w:val="11"/>
        </w:rPr>
      </w:pPr>
    </w:p>
    <w:p w14:paraId="4337FB61" w14:textId="77777777" w:rsidR="00EA6DED" w:rsidRDefault="007504AE">
      <w:pPr>
        <w:jc w:val="both"/>
        <w:rPr>
          <w:b/>
          <w:color w:val="ED7D31"/>
        </w:rPr>
      </w:pPr>
      <w:r>
        <w:rPr>
          <w:b/>
          <w:color w:val="0070C0"/>
        </w:rPr>
        <w:t>Analyse de la performance du produit 3.5</w:t>
      </w:r>
      <w:r>
        <w:rPr>
          <w:b/>
        </w:rPr>
        <w:t xml:space="preserve">: Le Système national d’information statistique est renforcé et permet une participation effective des parties prenantes à l’élaboration, la mise en œuvre et le suivi des politiques de développement. </w:t>
      </w:r>
    </w:p>
    <w:p w14:paraId="4337FB62" w14:textId="77777777" w:rsidR="00EA6DED" w:rsidRDefault="00EA6DED">
      <w:pPr>
        <w:spacing w:line="278" w:lineRule="auto"/>
        <w:jc w:val="both"/>
        <w:rPr>
          <w:bCs/>
          <w:color w:val="000000"/>
          <w:sz w:val="13"/>
          <w:szCs w:val="13"/>
        </w:rPr>
      </w:pPr>
    </w:p>
    <w:p w14:paraId="4337FB63" w14:textId="77777777" w:rsidR="00EA6DED" w:rsidRDefault="007504AE">
      <w:pPr>
        <w:spacing w:line="278" w:lineRule="auto"/>
        <w:jc w:val="both"/>
        <w:rPr>
          <w:bCs/>
          <w:color w:val="000000"/>
        </w:rPr>
      </w:pPr>
      <w:r>
        <w:rPr>
          <w:bCs/>
          <w:color w:val="000000"/>
        </w:rPr>
        <w:t>Le SNU a appuyé l’INS à l’élaboration du profilage socioéconomique des 360 communes et 14 communautés urbaines en vue de disposer des données statistiques et des informations sur les opportunités socioéconomiques au niveau des communes</w:t>
      </w:r>
      <w:r>
        <w:rPr>
          <w:rStyle w:val="Appelnotedebasdep"/>
          <w:rFonts w:eastAsia="SimSun"/>
          <w:bCs/>
          <w:color w:val="000000"/>
        </w:rPr>
        <w:footnoteReference w:id="94"/>
      </w:r>
      <w:r>
        <w:rPr>
          <w:bCs/>
          <w:color w:val="000000"/>
        </w:rPr>
        <w:t>. 374 représentants des communes et communautés urbaines ont été formés sur les statistiques locales, des données ont été collectées auprès de 4 900 ménages pour éclairer les programmes et politiques visant à protéger et à assister de manière inclusive les réfugiés et les communautés d'accueil</w:t>
      </w:r>
      <w:r>
        <w:rPr>
          <w:rStyle w:val="Appelnotedebasdep"/>
          <w:rFonts w:eastAsia="SimSun"/>
          <w:bCs/>
          <w:color w:val="000000"/>
        </w:rPr>
        <w:footnoteReference w:id="95"/>
      </w:r>
      <w:r>
        <w:rPr>
          <w:bCs/>
          <w:color w:val="000000"/>
        </w:rPr>
        <w:t xml:space="preserve">. </w:t>
      </w:r>
    </w:p>
    <w:p w14:paraId="4337FB64" w14:textId="77777777" w:rsidR="00EA6DED" w:rsidRDefault="00EA6DED">
      <w:pPr>
        <w:rPr>
          <w:sz w:val="22"/>
          <w:szCs w:val="22"/>
        </w:rPr>
      </w:pPr>
    </w:p>
    <w:p w14:paraId="4337FB65" w14:textId="77777777" w:rsidR="00EA6DED" w:rsidRDefault="007504AE">
      <w:pPr>
        <w:shd w:val="clear" w:color="auto" w:fill="A8D08D"/>
        <w:contextualSpacing/>
        <w:jc w:val="both"/>
        <w:rPr>
          <w:sz w:val="22"/>
          <w:szCs w:val="22"/>
        </w:rPr>
      </w:pPr>
      <w:r>
        <w:rPr>
          <w:b/>
          <w:bCs/>
          <w:szCs w:val="22"/>
        </w:rPr>
        <w:t xml:space="preserve">Priorité Stratégique 4 : Durabilité environnementale , Gestion des risques climatiques et des catastrophes </w:t>
      </w:r>
    </w:p>
    <w:p w14:paraId="4337FB66" w14:textId="77777777" w:rsidR="00EA6DED" w:rsidRDefault="00EA6DED">
      <w:pPr>
        <w:pStyle w:val="NormalWeb"/>
        <w:shd w:val="clear" w:color="auto" w:fill="FFF2CC"/>
        <w:spacing w:before="0" w:beforeAutospacing="0" w:after="0" w:afterAutospacing="0"/>
        <w:contextualSpacing/>
        <w:jc w:val="both"/>
        <w:rPr>
          <w:rFonts w:eastAsia="Verdana"/>
          <w:color w:val="000000"/>
        </w:rPr>
      </w:pPr>
    </w:p>
    <w:p w14:paraId="4337FB67" w14:textId="77777777" w:rsidR="00EA6DED" w:rsidRDefault="007504AE">
      <w:pPr>
        <w:pStyle w:val="NormalWeb"/>
        <w:shd w:val="clear" w:color="auto" w:fill="FFF2CC"/>
        <w:spacing w:before="0" w:beforeAutospacing="0" w:after="0" w:afterAutospacing="0"/>
        <w:contextualSpacing/>
        <w:jc w:val="both"/>
      </w:pPr>
      <w:r>
        <w:rPr>
          <w:rFonts w:eastAsia="Verdana"/>
          <w:color w:val="000000"/>
        </w:rPr>
        <w:t>Réalisation 4 (Effet 4) : </w:t>
      </w:r>
      <w:r>
        <w:t>D’ici à 2026, les populations des différentes zones agroécologiques, y compris les jeunes, les femmes et les groupes socialement vulnérables, vivent dans un environnement plus sain, gèrent de manière durable les ressources environnementales, y compris la biodiversité́, et sont plus résilientes aux chocs liés aux catastrophes et aux changements climatiques</w:t>
      </w:r>
      <w:r>
        <w:rPr>
          <w:color w:val="000000"/>
        </w:rPr>
        <w:t xml:space="preserve"> (ODD 5, 11, 13, 14, 15, 16, 17 par </w:t>
      </w:r>
      <w:r>
        <w:t>CEA, FAO, HCDH, HCR, IFAD, OCHA, OIM, ONUDC, ONU-Habitat, ONUDI, PAM, PNUD, PNUE, UNESCO, UNFPA, UNICEF, UNOPS.</w:t>
      </w:r>
      <w:r>
        <w:rPr>
          <w:color w:val="000000"/>
        </w:rPr>
        <w:t>)</w:t>
      </w:r>
    </w:p>
    <w:p w14:paraId="4337FB68" w14:textId="77777777" w:rsidR="00EA6DED" w:rsidRDefault="00EA6DED">
      <w:pPr>
        <w:pStyle w:val="Titre2"/>
        <w:keepNext w:val="0"/>
        <w:keepLines w:val="0"/>
        <w:widowControl w:val="0"/>
        <w:tabs>
          <w:tab w:val="left" w:pos="1275"/>
          <w:tab w:val="left" w:pos="1277"/>
        </w:tabs>
        <w:spacing w:line="267" w:lineRule="auto"/>
        <w:rPr>
          <w:rFonts w:ascii="Times New Roman" w:eastAsia="Times New Roman" w:hAnsi="Times New Roman"/>
          <w:bCs w:val="0"/>
          <w:color w:val="000000"/>
          <w:sz w:val="6"/>
          <w:szCs w:val="6"/>
        </w:rPr>
      </w:pPr>
    </w:p>
    <w:p w14:paraId="4337FB69" w14:textId="77777777" w:rsidR="00EA6DED" w:rsidRDefault="00EA6DED">
      <w:pPr>
        <w:pStyle w:val="Lgende"/>
      </w:pPr>
    </w:p>
    <w:p w14:paraId="4337FB6A" w14:textId="77777777" w:rsidR="00EA6DED" w:rsidRDefault="007504AE">
      <w:pPr>
        <w:pStyle w:val="Lgende"/>
        <w:rPr>
          <w:sz w:val="20"/>
          <w:szCs w:val="20"/>
        </w:rPr>
      </w:pPr>
      <w:r>
        <w:t xml:space="preserve">Tableau </w:t>
      </w:r>
      <w:fldSimple w:instr=" SEQ Tableau \* ARABIC ">
        <w:r>
          <w:t>7</w:t>
        </w:r>
      </w:fldSimple>
      <w:bookmarkStart w:id="127" w:name="_Toc25891"/>
      <w:r>
        <w:t>: État</w:t>
      </w:r>
      <w:r>
        <w:rPr>
          <w:sz w:val="20"/>
          <w:szCs w:val="20"/>
        </w:rPr>
        <w:t xml:space="preserve"> des indicateurs de Réalisation 4. </w:t>
      </w:r>
      <w:bookmarkEnd w:id="127"/>
    </w:p>
    <w:p w14:paraId="4337FB6B" w14:textId="77777777" w:rsidR="00EA6DED" w:rsidRDefault="00EA6DED"/>
    <w:tbl>
      <w:tblPr>
        <w:tblW w:w="10485" w:type="dxa"/>
        <w:tblLayout w:type="fixed"/>
        <w:tblLook w:val="04A0" w:firstRow="1" w:lastRow="0" w:firstColumn="1" w:lastColumn="0" w:noHBand="0" w:noVBand="1"/>
      </w:tblPr>
      <w:tblGrid>
        <w:gridCol w:w="2547"/>
        <w:gridCol w:w="1134"/>
        <w:gridCol w:w="992"/>
        <w:gridCol w:w="1134"/>
        <w:gridCol w:w="2835"/>
        <w:gridCol w:w="1843"/>
      </w:tblGrid>
      <w:tr w:rsidR="00EA6DED" w14:paraId="4337FB72" w14:textId="77777777">
        <w:trPr>
          <w:trHeight w:val="620"/>
        </w:trPr>
        <w:tc>
          <w:tcPr>
            <w:tcW w:w="2547" w:type="dxa"/>
            <w:tcBorders>
              <w:top w:val="single" w:sz="4" w:space="0" w:color="auto"/>
              <w:left w:val="single" w:sz="4" w:space="0" w:color="auto"/>
              <w:bottom w:val="single" w:sz="4" w:space="0" w:color="auto"/>
              <w:right w:val="single" w:sz="4" w:space="0" w:color="auto"/>
            </w:tcBorders>
            <w:shd w:val="clear" w:color="000000" w:fill="B4C6E7"/>
          </w:tcPr>
          <w:p w14:paraId="4337FB6C" w14:textId="77777777" w:rsidR="00EA6DED" w:rsidRDefault="007504AE">
            <w:pPr>
              <w:jc w:val="center"/>
              <w:rPr>
                <w:bCs/>
                <w:color w:val="231F20"/>
                <w:sz w:val="22"/>
                <w:szCs w:val="22"/>
              </w:rPr>
            </w:pPr>
            <w:r>
              <w:rPr>
                <w:bCs/>
                <w:color w:val="231F20"/>
                <w:sz w:val="22"/>
                <w:szCs w:val="22"/>
              </w:rPr>
              <w:t>Indicateurs</w:t>
            </w:r>
          </w:p>
        </w:tc>
        <w:tc>
          <w:tcPr>
            <w:tcW w:w="1134" w:type="dxa"/>
            <w:tcBorders>
              <w:top w:val="single" w:sz="4" w:space="0" w:color="auto"/>
              <w:left w:val="nil"/>
              <w:bottom w:val="single" w:sz="4" w:space="0" w:color="auto"/>
              <w:right w:val="single" w:sz="4" w:space="0" w:color="auto"/>
            </w:tcBorders>
            <w:shd w:val="clear" w:color="000000" w:fill="FFFFFF"/>
          </w:tcPr>
          <w:p w14:paraId="4337FB6D" w14:textId="77777777" w:rsidR="00EA6DED" w:rsidRDefault="007504AE">
            <w:pPr>
              <w:jc w:val="center"/>
              <w:rPr>
                <w:bCs/>
                <w:color w:val="000000"/>
                <w:sz w:val="22"/>
                <w:szCs w:val="22"/>
              </w:rPr>
            </w:pPr>
            <w:r>
              <w:rPr>
                <w:bCs/>
                <w:color w:val="000000"/>
                <w:sz w:val="22"/>
                <w:szCs w:val="22"/>
              </w:rPr>
              <w:t xml:space="preserve">Baseline </w:t>
            </w:r>
          </w:p>
        </w:tc>
        <w:tc>
          <w:tcPr>
            <w:tcW w:w="992" w:type="dxa"/>
            <w:tcBorders>
              <w:top w:val="single" w:sz="4" w:space="0" w:color="auto"/>
              <w:left w:val="nil"/>
              <w:bottom w:val="single" w:sz="4" w:space="0" w:color="auto"/>
              <w:right w:val="single" w:sz="4" w:space="0" w:color="auto"/>
            </w:tcBorders>
            <w:shd w:val="clear" w:color="000000" w:fill="FFFFFF"/>
          </w:tcPr>
          <w:p w14:paraId="4337FB6E" w14:textId="77777777" w:rsidR="00EA6DED" w:rsidRDefault="007504AE">
            <w:pPr>
              <w:jc w:val="center"/>
              <w:rPr>
                <w:bCs/>
                <w:color w:val="000000"/>
                <w:sz w:val="22"/>
                <w:szCs w:val="22"/>
              </w:rPr>
            </w:pPr>
            <w:r>
              <w:rPr>
                <w:bCs/>
                <w:color w:val="000000"/>
                <w:sz w:val="22"/>
                <w:szCs w:val="22"/>
              </w:rPr>
              <w:t>Cible 2026</w:t>
            </w:r>
          </w:p>
        </w:tc>
        <w:tc>
          <w:tcPr>
            <w:tcW w:w="1134" w:type="dxa"/>
            <w:tcBorders>
              <w:top w:val="single" w:sz="4" w:space="0" w:color="auto"/>
              <w:left w:val="nil"/>
              <w:bottom w:val="single" w:sz="4" w:space="0" w:color="auto"/>
              <w:right w:val="single" w:sz="4" w:space="0" w:color="auto"/>
            </w:tcBorders>
            <w:shd w:val="clear" w:color="000000" w:fill="FFFFFF"/>
          </w:tcPr>
          <w:p w14:paraId="4337FB6F" w14:textId="77777777" w:rsidR="00EA6DED" w:rsidRDefault="007504AE">
            <w:pPr>
              <w:jc w:val="center"/>
              <w:rPr>
                <w:bCs/>
                <w:color w:val="000000"/>
                <w:sz w:val="22"/>
                <w:szCs w:val="22"/>
              </w:rPr>
            </w:pPr>
            <w:r>
              <w:rPr>
                <w:bCs/>
                <w:color w:val="000000"/>
                <w:sz w:val="22"/>
                <w:szCs w:val="22"/>
              </w:rPr>
              <w:t xml:space="preserve">Réalisation 2024 </w:t>
            </w:r>
          </w:p>
        </w:tc>
        <w:tc>
          <w:tcPr>
            <w:tcW w:w="2835" w:type="dxa"/>
            <w:tcBorders>
              <w:top w:val="single" w:sz="4" w:space="0" w:color="auto"/>
              <w:left w:val="nil"/>
              <w:bottom w:val="single" w:sz="4" w:space="0" w:color="auto"/>
              <w:right w:val="single" w:sz="4" w:space="0" w:color="auto"/>
            </w:tcBorders>
            <w:shd w:val="clear" w:color="000000" w:fill="FFFFFF"/>
          </w:tcPr>
          <w:p w14:paraId="4337FB70" w14:textId="77777777" w:rsidR="00EA6DED" w:rsidRDefault="007504AE">
            <w:pPr>
              <w:jc w:val="center"/>
              <w:rPr>
                <w:bCs/>
                <w:color w:val="000000"/>
                <w:sz w:val="22"/>
                <w:szCs w:val="22"/>
              </w:rPr>
            </w:pPr>
            <w:r>
              <w:rPr>
                <w:bCs/>
                <w:color w:val="000000"/>
                <w:sz w:val="22"/>
                <w:szCs w:val="22"/>
              </w:rPr>
              <w:t>Commentaires</w:t>
            </w:r>
          </w:p>
        </w:tc>
        <w:tc>
          <w:tcPr>
            <w:tcW w:w="1843" w:type="dxa"/>
            <w:tcBorders>
              <w:top w:val="single" w:sz="4" w:space="0" w:color="auto"/>
              <w:left w:val="nil"/>
              <w:bottom w:val="single" w:sz="4" w:space="0" w:color="auto"/>
              <w:right w:val="single" w:sz="4" w:space="0" w:color="auto"/>
            </w:tcBorders>
            <w:shd w:val="clear" w:color="000000" w:fill="FFFFFF"/>
          </w:tcPr>
          <w:p w14:paraId="4337FB71" w14:textId="77777777" w:rsidR="00EA6DED" w:rsidRDefault="007504AE">
            <w:pPr>
              <w:rPr>
                <w:color w:val="231F20"/>
                <w:sz w:val="22"/>
                <w:szCs w:val="22"/>
              </w:rPr>
            </w:pPr>
            <w:r>
              <w:rPr>
                <w:color w:val="231F20"/>
                <w:sz w:val="22"/>
                <w:szCs w:val="22"/>
              </w:rPr>
              <w:t>Sources</w:t>
            </w:r>
          </w:p>
        </w:tc>
      </w:tr>
      <w:tr w:rsidR="00EA6DED" w14:paraId="4337FB7A" w14:textId="77777777">
        <w:trPr>
          <w:trHeight w:val="543"/>
        </w:trPr>
        <w:tc>
          <w:tcPr>
            <w:tcW w:w="2547" w:type="dxa"/>
            <w:tcBorders>
              <w:top w:val="single" w:sz="4" w:space="0" w:color="auto"/>
              <w:left w:val="single" w:sz="4" w:space="0" w:color="auto"/>
              <w:bottom w:val="single" w:sz="4" w:space="0" w:color="auto"/>
              <w:right w:val="single" w:sz="4" w:space="0" w:color="auto"/>
            </w:tcBorders>
            <w:shd w:val="clear" w:color="000000" w:fill="B4C6E7"/>
            <w:vAlign w:val="bottom"/>
          </w:tcPr>
          <w:p w14:paraId="4337FB73" w14:textId="77777777" w:rsidR="00EA6DED" w:rsidRDefault="007504AE">
            <w:pPr>
              <w:rPr>
                <w:bCs/>
                <w:color w:val="231F20"/>
                <w:sz w:val="22"/>
                <w:szCs w:val="22"/>
              </w:rPr>
            </w:pPr>
            <w:r>
              <w:rPr>
                <w:bCs/>
                <w:color w:val="231F20"/>
                <w:sz w:val="22"/>
                <w:szCs w:val="22"/>
              </w:rPr>
              <w:t xml:space="preserve">IE 4.1 : </w:t>
            </w:r>
            <w:bookmarkStart w:id="128" w:name="_Hlk205863398"/>
            <w:r>
              <w:rPr>
                <w:bCs/>
                <w:color w:val="231F20"/>
                <w:sz w:val="22"/>
                <w:szCs w:val="22"/>
              </w:rPr>
              <w:t>Superficie forestière gérée durablement</w:t>
            </w:r>
            <w:bookmarkEnd w:id="128"/>
          </w:p>
        </w:tc>
        <w:tc>
          <w:tcPr>
            <w:tcW w:w="1134" w:type="dxa"/>
            <w:tcBorders>
              <w:top w:val="single" w:sz="4" w:space="0" w:color="auto"/>
              <w:left w:val="nil"/>
              <w:bottom w:val="single" w:sz="4" w:space="0" w:color="auto"/>
              <w:right w:val="single" w:sz="4" w:space="0" w:color="auto"/>
            </w:tcBorders>
            <w:shd w:val="clear" w:color="000000" w:fill="FFFFFF"/>
            <w:vAlign w:val="center"/>
          </w:tcPr>
          <w:p w14:paraId="4337FB74" w14:textId="77777777" w:rsidR="00EA6DED" w:rsidRDefault="007504AE">
            <w:pPr>
              <w:rPr>
                <w:bCs/>
                <w:color w:val="231F20"/>
                <w:sz w:val="22"/>
                <w:szCs w:val="22"/>
              </w:rPr>
            </w:pPr>
            <w:r>
              <w:rPr>
                <w:bCs/>
                <w:color w:val="231F20"/>
                <w:sz w:val="22"/>
                <w:szCs w:val="22"/>
              </w:rPr>
              <w:t>6 530 489 ha (2020)</w:t>
            </w:r>
          </w:p>
        </w:tc>
        <w:tc>
          <w:tcPr>
            <w:tcW w:w="992" w:type="dxa"/>
            <w:tcBorders>
              <w:top w:val="single" w:sz="4" w:space="0" w:color="auto"/>
              <w:left w:val="nil"/>
              <w:bottom w:val="single" w:sz="4" w:space="0" w:color="auto"/>
              <w:right w:val="single" w:sz="4" w:space="0" w:color="auto"/>
            </w:tcBorders>
            <w:shd w:val="clear" w:color="000000" w:fill="FFFFFF"/>
            <w:vAlign w:val="center"/>
          </w:tcPr>
          <w:p w14:paraId="4337FB75" w14:textId="77777777" w:rsidR="00EA6DED" w:rsidRDefault="007504AE">
            <w:pPr>
              <w:rPr>
                <w:bCs/>
                <w:color w:val="000000"/>
                <w:sz w:val="22"/>
                <w:szCs w:val="22"/>
              </w:rPr>
            </w:pPr>
            <w:r>
              <w:rPr>
                <w:bCs/>
                <w:color w:val="000000"/>
                <w:sz w:val="22"/>
                <w:szCs w:val="22"/>
              </w:rPr>
              <w:t xml:space="preserve">7 000 000 ha </w:t>
            </w:r>
          </w:p>
        </w:tc>
        <w:tc>
          <w:tcPr>
            <w:tcW w:w="1134" w:type="dxa"/>
            <w:tcBorders>
              <w:top w:val="single" w:sz="4" w:space="0" w:color="auto"/>
              <w:left w:val="nil"/>
              <w:bottom w:val="single" w:sz="4" w:space="0" w:color="auto"/>
              <w:right w:val="single" w:sz="4" w:space="0" w:color="auto"/>
            </w:tcBorders>
            <w:shd w:val="clear" w:color="000000" w:fill="FFFFFF"/>
            <w:vAlign w:val="center"/>
          </w:tcPr>
          <w:p w14:paraId="4337FB76" w14:textId="77777777" w:rsidR="00EA6DED" w:rsidRDefault="007504AE">
            <w:pPr>
              <w:rPr>
                <w:bCs/>
                <w:color w:val="000000"/>
                <w:sz w:val="22"/>
                <w:szCs w:val="22"/>
              </w:rPr>
            </w:pPr>
            <w:r>
              <w:rPr>
                <w:bCs/>
                <w:color w:val="000000"/>
                <w:sz w:val="22"/>
                <w:szCs w:val="22"/>
              </w:rPr>
              <w:t>8 225 706 ha</w:t>
            </w:r>
          </w:p>
          <w:p w14:paraId="4337FB77" w14:textId="77777777" w:rsidR="00EA6DED" w:rsidRDefault="007504AE">
            <w:pPr>
              <w:rPr>
                <w:bCs/>
                <w:color w:val="000000"/>
                <w:sz w:val="22"/>
                <w:szCs w:val="22"/>
              </w:rPr>
            </w:pPr>
            <w:r>
              <w:rPr>
                <w:bCs/>
                <w:color w:val="000000"/>
                <w:sz w:val="22"/>
                <w:szCs w:val="22"/>
              </w:rPr>
              <w:t>(2023)</w:t>
            </w:r>
          </w:p>
        </w:tc>
        <w:tc>
          <w:tcPr>
            <w:tcW w:w="2835" w:type="dxa"/>
            <w:tcBorders>
              <w:top w:val="single" w:sz="4" w:space="0" w:color="auto"/>
              <w:left w:val="nil"/>
              <w:bottom w:val="single" w:sz="4" w:space="0" w:color="auto"/>
              <w:right w:val="single" w:sz="4" w:space="0" w:color="auto"/>
            </w:tcBorders>
            <w:shd w:val="clear" w:color="auto" w:fill="70AD47"/>
            <w:vAlign w:val="center"/>
          </w:tcPr>
          <w:p w14:paraId="4337FB78" w14:textId="77777777" w:rsidR="00EA6DED" w:rsidRDefault="007504AE">
            <w:pPr>
              <w:rPr>
                <w:bCs/>
                <w:color w:val="231F20"/>
                <w:sz w:val="22"/>
                <w:szCs w:val="22"/>
              </w:rPr>
            </w:pPr>
            <w:r>
              <w:rPr>
                <w:bCs/>
                <w:color w:val="231F20"/>
                <w:sz w:val="22"/>
                <w:szCs w:val="22"/>
              </w:rPr>
              <w:t>Une progression remarquable observ</w:t>
            </w:r>
            <w:r>
              <w:rPr>
                <w:bCs/>
                <w:color w:val="000000" w:themeColor="text1"/>
                <w:sz w:val="22"/>
                <w:szCs w:val="22"/>
              </w:rPr>
              <w:t xml:space="preserve">ée. Les contributions des NU se traduisent à la fois par le renforcement et l’outillage des capacités des acteurs clé à l’amélioration des cadres institutionnels et réglementaires (P4.1 et P4.2), y compris </w:t>
            </w:r>
            <w:r>
              <w:rPr>
                <w:color w:val="000000" w:themeColor="text1"/>
                <w:sz w:val="22"/>
                <w:szCs w:val="22"/>
              </w:rPr>
              <w:t>capacités pour la collecte, l’analyse, la gestion, l’utilisation, et la diffusion des données relatives à l’environnement</w:t>
            </w:r>
          </w:p>
        </w:tc>
        <w:tc>
          <w:tcPr>
            <w:tcW w:w="1843" w:type="dxa"/>
            <w:tcBorders>
              <w:top w:val="single" w:sz="4" w:space="0" w:color="auto"/>
              <w:left w:val="nil"/>
              <w:bottom w:val="single" w:sz="4" w:space="0" w:color="auto"/>
              <w:right w:val="single" w:sz="4" w:space="0" w:color="auto"/>
            </w:tcBorders>
            <w:shd w:val="clear" w:color="000000" w:fill="FFFFFF"/>
            <w:vAlign w:val="center"/>
          </w:tcPr>
          <w:p w14:paraId="4337FB79" w14:textId="77777777" w:rsidR="00EA6DED" w:rsidRDefault="007504AE">
            <w:pPr>
              <w:rPr>
                <w:bCs/>
                <w:color w:val="231F20"/>
                <w:sz w:val="22"/>
                <w:szCs w:val="22"/>
              </w:rPr>
            </w:pPr>
            <w:r>
              <w:rPr>
                <w:bCs/>
                <w:color w:val="231F20"/>
                <w:sz w:val="22"/>
                <w:szCs w:val="22"/>
              </w:rPr>
              <w:t>Annuaire statistique MINFOF 2023 (non publié)</w:t>
            </w:r>
          </w:p>
        </w:tc>
      </w:tr>
      <w:tr w:rsidR="00EA6DED" w14:paraId="4337FB82" w14:textId="77777777">
        <w:trPr>
          <w:trHeight w:val="816"/>
        </w:trPr>
        <w:tc>
          <w:tcPr>
            <w:tcW w:w="2547" w:type="dxa"/>
            <w:tcBorders>
              <w:top w:val="single" w:sz="4" w:space="0" w:color="auto"/>
              <w:left w:val="single" w:sz="4" w:space="0" w:color="auto"/>
              <w:bottom w:val="single" w:sz="4" w:space="0" w:color="auto"/>
              <w:right w:val="single" w:sz="4" w:space="0" w:color="auto"/>
            </w:tcBorders>
            <w:shd w:val="clear" w:color="000000" w:fill="B4C6E7"/>
            <w:vAlign w:val="bottom"/>
          </w:tcPr>
          <w:p w14:paraId="4337FB7B" w14:textId="77777777" w:rsidR="00EA6DED" w:rsidRDefault="007504AE">
            <w:pPr>
              <w:rPr>
                <w:bCs/>
                <w:color w:val="231F20"/>
                <w:sz w:val="22"/>
                <w:szCs w:val="22"/>
              </w:rPr>
            </w:pPr>
            <w:bookmarkStart w:id="129" w:name="_Hlk206242815"/>
            <w:r>
              <w:rPr>
                <w:bCs/>
                <w:color w:val="231F20"/>
                <w:sz w:val="22"/>
                <w:szCs w:val="22"/>
              </w:rPr>
              <w:t xml:space="preserve">IE 4.2 : Pourcentage de </w:t>
            </w:r>
            <w:bookmarkStart w:id="130" w:name="_Hlk205863547"/>
            <w:r>
              <w:rPr>
                <w:bCs/>
                <w:color w:val="231F20"/>
                <w:sz w:val="22"/>
                <w:szCs w:val="22"/>
              </w:rPr>
              <w:t>ménages agricoles résistants aux chocs climatiques et météorologiques</w:t>
            </w:r>
            <w:bookmarkEnd w:id="129"/>
            <w:bookmarkEnd w:id="130"/>
          </w:p>
        </w:tc>
        <w:tc>
          <w:tcPr>
            <w:tcW w:w="1134" w:type="dxa"/>
            <w:tcBorders>
              <w:top w:val="nil"/>
              <w:left w:val="nil"/>
              <w:bottom w:val="single" w:sz="4" w:space="0" w:color="auto"/>
              <w:right w:val="single" w:sz="4" w:space="0" w:color="auto"/>
            </w:tcBorders>
            <w:shd w:val="clear" w:color="000000" w:fill="FFFFFF"/>
            <w:vAlign w:val="center"/>
          </w:tcPr>
          <w:p w14:paraId="4337FB7C" w14:textId="77777777" w:rsidR="00EA6DED" w:rsidRDefault="007504AE">
            <w:pPr>
              <w:rPr>
                <w:bCs/>
                <w:color w:val="231F20"/>
                <w:sz w:val="22"/>
                <w:szCs w:val="22"/>
              </w:rPr>
            </w:pPr>
            <w:r>
              <w:rPr>
                <w:bCs/>
                <w:color w:val="231F20"/>
                <w:sz w:val="22"/>
                <w:szCs w:val="22"/>
              </w:rPr>
              <w:t>5%</w:t>
            </w:r>
          </w:p>
        </w:tc>
        <w:tc>
          <w:tcPr>
            <w:tcW w:w="992" w:type="dxa"/>
            <w:tcBorders>
              <w:top w:val="nil"/>
              <w:left w:val="nil"/>
              <w:bottom w:val="single" w:sz="4" w:space="0" w:color="auto"/>
              <w:right w:val="single" w:sz="4" w:space="0" w:color="auto"/>
            </w:tcBorders>
            <w:shd w:val="clear" w:color="000000" w:fill="FFFFFF"/>
            <w:vAlign w:val="center"/>
          </w:tcPr>
          <w:p w14:paraId="4337FB7D" w14:textId="77777777" w:rsidR="00EA6DED" w:rsidRDefault="007504AE">
            <w:pPr>
              <w:rPr>
                <w:bCs/>
                <w:color w:val="231F20"/>
                <w:sz w:val="22"/>
                <w:szCs w:val="22"/>
              </w:rPr>
            </w:pPr>
            <w:r>
              <w:rPr>
                <w:bCs/>
                <w:color w:val="231F20"/>
                <w:sz w:val="22"/>
                <w:szCs w:val="22"/>
              </w:rPr>
              <w:t>15%</w:t>
            </w:r>
          </w:p>
        </w:tc>
        <w:tc>
          <w:tcPr>
            <w:tcW w:w="1134" w:type="dxa"/>
            <w:tcBorders>
              <w:top w:val="nil"/>
              <w:left w:val="nil"/>
              <w:bottom w:val="single" w:sz="4" w:space="0" w:color="auto"/>
              <w:right w:val="single" w:sz="4" w:space="0" w:color="auto"/>
            </w:tcBorders>
            <w:shd w:val="clear" w:color="000000" w:fill="FFFFFF"/>
            <w:vAlign w:val="center"/>
          </w:tcPr>
          <w:p w14:paraId="4337FB7E" w14:textId="77777777" w:rsidR="00EA6DED" w:rsidRDefault="007504AE">
            <w:pPr>
              <w:rPr>
                <w:bCs/>
                <w:color w:val="231F20"/>
                <w:sz w:val="22"/>
                <w:szCs w:val="22"/>
              </w:rPr>
            </w:pPr>
            <w:r>
              <w:rPr>
                <w:bCs/>
                <w:color w:val="231F20"/>
                <w:sz w:val="22"/>
                <w:szCs w:val="22"/>
              </w:rPr>
              <w:t> 58%</w:t>
            </w:r>
          </w:p>
          <w:p w14:paraId="4337FB7F" w14:textId="77777777" w:rsidR="00EA6DED" w:rsidRDefault="007504AE">
            <w:pPr>
              <w:rPr>
                <w:bCs/>
                <w:color w:val="231F20"/>
                <w:sz w:val="22"/>
                <w:szCs w:val="22"/>
              </w:rPr>
            </w:pPr>
            <w:r>
              <w:rPr>
                <w:bCs/>
                <w:color w:val="231F20"/>
                <w:sz w:val="22"/>
                <w:szCs w:val="22"/>
              </w:rPr>
              <w:t>(2025)</w:t>
            </w:r>
          </w:p>
        </w:tc>
        <w:tc>
          <w:tcPr>
            <w:tcW w:w="2835" w:type="dxa"/>
            <w:tcBorders>
              <w:top w:val="nil"/>
              <w:left w:val="nil"/>
              <w:bottom w:val="single" w:sz="4" w:space="0" w:color="auto"/>
              <w:right w:val="single" w:sz="4" w:space="0" w:color="auto"/>
            </w:tcBorders>
            <w:shd w:val="clear" w:color="auto" w:fill="70AD47"/>
            <w:vAlign w:val="center"/>
          </w:tcPr>
          <w:p w14:paraId="4337FB80" w14:textId="77777777" w:rsidR="00EA6DED" w:rsidRDefault="007504AE">
            <w:pPr>
              <w:rPr>
                <w:bCs/>
                <w:color w:val="231F20"/>
                <w:sz w:val="22"/>
                <w:szCs w:val="22"/>
              </w:rPr>
            </w:pPr>
            <w:r>
              <w:rPr>
                <w:bCs/>
                <w:color w:val="231F20"/>
                <w:sz w:val="22"/>
                <w:szCs w:val="22"/>
              </w:rPr>
              <w:t xml:space="preserve">L’objectif de 2026 est largement atteint avec 43 points en plus en 2024. Toutefois, 42 % des ménages ont subi une baisse d’activité ou de revenus agricoles à cause des chocs climatiques.  Les contributions du SNU ont été dans le renforcement des capacités des </w:t>
            </w:r>
            <w:r>
              <w:rPr>
                <w:color w:val="000000"/>
              </w:rPr>
              <w:t xml:space="preserve">entités décentralisées des zones à </w:t>
            </w:r>
            <w:r>
              <w:rPr>
                <w:color w:val="000000"/>
              </w:rPr>
              <w:lastRenderedPageBreak/>
              <w:t xml:space="preserve">risque à concevoir et à mettre en œuvre des réponses adaptées aux risques sanitaires et climatiques et aux catastrophes. </w:t>
            </w:r>
          </w:p>
        </w:tc>
        <w:tc>
          <w:tcPr>
            <w:tcW w:w="1843" w:type="dxa"/>
            <w:tcBorders>
              <w:top w:val="nil"/>
              <w:left w:val="nil"/>
              <w:bottom w:val="single" w:sz="4" w:space="0" w:color="auto"/>
              <w:right w:val="single" w:sz="4" w:space="0" w:color="auto"/>
            </w:tcBorders>
            <w:shd w:val="clear" w:color="000000" w:fill="FFFFFF"/>
            <w:vAlign w:val="center"/>
          </w:tcPr>
          <w:p w14:paraId="4337FB81" w14:textId="77777777" w:rsidR="00EA6DED" w:rsidRDefault="007504AE">
            <w:pPr>
              <w:rPr>
                <w:bCs/>
                <w:color w:val="231F20"/>
                <w:sz w:val="22"/>
                <w:szCs w:val="22"/>
              </w:rPr>
            </w:pPr>
            <w:r>
              <w:rPr>
                <w:bCs/>
                <w:color w:val="231F20"/>
                <w:sz w:val="22"/>
                <w:szCs w:val="22"/>
              </w:rPr>
              <w:lastRenderedPageBreak/>
              <w:t>DIEM – Données en situations d’urgence Bulletin de suivi, cycle 7. Cameroun FAO 2025</w:t>
            </w:r>
          </w:p>
        </w:tc>
      </w:tr>
    </w:tbl>
    <w:p w14:paraId="4337FB83" w14:textId="77777777" w:rsidR="00EA6DED" w:rsidRDefault="00EA6DED">
      <w:pPr>
        <w:tabs>
          <w:tab w:val="left" w:pos="5057"/>
        </w:tabs>
        <w:rPr>
          <w:color w:val="000000"/>
          <w:highlight w:val="yellow"/>
        </w:rPr>
      </w:pPr>
    </w:p>
    <w:p w14:paraId="4337FB84" w14:textId="77777777" w:rsidR="00EA6DED" w:rsidRDefault="007504AE">
      <w:pPr>
        <w:jc w:val="both"/>
        <w:rPr>
          <w:color w:val="000000"/>
        </w:rPr>
      </w:pPr>
      <w:r>
        <w:rPr>
          <w:color w:val="000000"/>
        </w:rPr>
        <w:t>Le tableau 6 montre des avancées notables sur la superficie forestière gérée durablement avec 117% de taux de réalisation, soit une progression de 30%. Pour ce qui est des  ménages agricoles résistants aux chocs climatiques et météorologiques, environ 58 % ont résisté aux chocs climatiques sans observer de baisse notable de leurs revenus agricoles en début 2025</w:t>
      </w:r>
      <w:r>
        <w:rPr>
          <w:color w:val="000000"/>
          <w:vertAlign w:val="superscript"/>
        </w:rPr>
        <w:footnoteReference w:id="96"/>
      </w:r>
      <w:r>
        <w:rPr>
          <w:color w:val="000000"/>
        </w:rPr>
        <w:t xml:space="preserve">. Globalement, la Réalisation 4 a atteint un niveau d’achèvement appréciable même si d’importants progrès sont à consentir dans le soutien aux ménages agricoles avec moins de 6/10 qui résistent aux chocs climatiques. </w:t>
      </w:r>
    </w:p>
    <w:p w14:paraId="4337FB85" w14:textId="77777777" w:rsidR="00EA6DED" w:rsidRDefault="00EA6DED">
      <w:pPr>
        <w:rPr>
          <w:rFonts w:eastAsia="Calibri"/>
        </w:rPr>
      </w:pPr>
    </w:p>
    <w:p w14:paraId="4337FB86" w14:textId="77777777" w:rsidR="00EA6DED" w:rsidRDefault="007504AE">
      <w:pPr>
        <w:jc w:val="both"/>
        <w:rPr>
          <w:b/>
          <w:color w:val="000000"/>
        </w:rPr>
      </w:pPr>
      <w:r>
        <w:rPr>
          <w:b/>
          <w:color w:val="0070C0"/>
        </w:rPr>
        <w:t>Analyse de la performance du produit 4.1</w:t>
      </w:r>
      <w:r>
        <w:rPr>
          <w:b/>
          <w:bCs/>
          <w:color w:val="000000"/>
        </w:rPr>
        <w:t>:</w:t>
      </w:r>
      <w:r>
        <w:rPr>
          <w:b/>
          <w:color w:val="000000"/>
        </w:rPr>
        <w:t xml:space="preserve"> Les capacités des acteurs-clés sont renforcées pour l’amélioration des cadres institutionnel et réglementaire, en vue de faciliter l’accès à la finance climatique aux niveaux national, régional et communal. </w:t>
      </w:r>
    </w:p>
    <w:p w14:paraId="4337FB87" w14:textId="77777777" w:rsidR="00EA6DED" w:rsidRDefault="00EA6DED">
      <w:pPr>
        <w:jc w:val="both"/>
        <w:rPr>
          <w:color w:val="000000"/>
        </w:rPr>
      </w:pPr>
    </w:p>
    <w:p w14:paraId="4337FB88" w14:textId="77777777" w:rsidR="00EA6DED" w:rsidRDefault="007504AE">
      <w:pPr>
        <w:jc w:val="both"/>
        <w:rPr>
          <w:color w:val="000000"/>
        </w:rPr>
      </w:pPr>
      <w:r>
        <w:rPr>
          <w:color w:val="000000"/>
        </w:rPr>
        <w:t xml:space="preserve">Dans le cadre de l’amélioration des cadres institutionnels et réglementaires, le SNU a contribué à l’élaboration de plusieurs documents de politiques, des lois ou des cadres normatifs pour renforcer la durabilité environnementale. En effet, en attente de la révision de la CDN (version 3.0), un plan national climat aligné sur le Cadre de Sendai et une stratégie de financement des risques de catastrophes ont été élaborés en plus de l’élaboration et de la promulgation de la Loi sur le régime forestier et de la faune (Loi n° 2024/008 du 24 juillet 2024) et du développement d’un cadre de financement durable dans le cadre du renforcement des capacités en matière de programmation et de financement climatique, le FEICOM et la Caisse autonome d’amortissement ont été capacités respectivement auprès de l’Adaptation Fund et du Fonds Vert Climat. Aussi, à travers le projet « Utilisation du modèle de financement innovant "Jangui" pour stimuler l'adoption de solutions d'action climatique afin de créer de la richesse pour les femmes et les jeunes au Cameroun »,150 groupes de base autour de 12 tontines vertes communautaires ont été créées avec 665 membres mobilisés, dont 52,6 % de sexe féminin, dans les régions de l’Adamaoua, du Centre, de l’Est, de l’Extrême- Nord, du Nord, de l’Ouest et du Sud. </w:t>
      </w:r>
    </w:p>
    <w:p w14:paraId="4337FB89" w14:textId="77777777" w:rsidR="00EA6DED" w:rsidRDefault="00EA6DED">
      <w:pPr>
        <w:jc w:val="both"/>
        <w:rPr>
          <w:color w:val="000000"/>
        </w:rPr>
      </w:pPr>
    </w:p>
    <w:p w14:paraId="4337FB8A" w14:textId="77777777" w:rsidR="00EA6DED" w:rsidRDefault="007504AE">
      <w:pPr>
        <w:jc w:val="both"/>
        <w:rPr>
          <w:color w:val="000000"/>
        </w:rPr>
      </w:pPr>
      <w:r>
        <w:rPr>
          <w:color w:val="000000"/>
        </w:rPr>
        <w:t xml:space="preserve">Globalement, l’analyse de la performance du Produit 4.1 </w:t>
      </w:r>
      <w:bookmarkStart w:id="131" w:name="_Hlk205868581"/>
      <w:r>
        <w:rPr>
          <w:color w:val="000000"/>
        </w:rPr>
        <w:t>sur l’amélioration des cadres institutionnels et réglementaires révèle un taux global de réalisation de 53,5 %, indiquant une mise en œuvre encore partielle essentiellement sur le renforcement des capacités en programmation et mobilisation de la finance climatique.</w:t>
      </w:r>
      <w:bookmarkEnd w:id="131"/>
      <w:r>
        <w:rPr>
          <w:color w:val="000000"/>
        </w:rPr>
        <w:t xml:space="preserve"> En revanche, le système d’information sur le climat opérationnel (indicateur 4.1.3) est partiellement atteint. </w:t>
      </w:r>
    </w:p>
    <w:p w14:paraId="4337FB8B" w14:textId="77777777" w:rsidR="00EA6DED" w:rsidRDefault="00EA6DED">
      <w:pPr>
        <w:jc w:val="both"/>
        <w:rPr>
          <w:color w:val="000000"/>
        </w:rPr>
      </w:pPr>
    </w:p>
    <w:p w14:paraId="4337FB8C" w14:textId="77777777" w:rsidR="00EA6DED" w:rsidRDefault="007504AE">
      <w:pPr>
        <w:jc w:val="both"/>
        <w:rPr>
          <w:b/>
          <w:color w:val="000000"/>
        </w:rPr>
      </w:pPr>
      <w:r>
        <w:rPr>
          <w:b/>
          <w:color w:val="0070C0"/>
        </w:rPr>
        <w:t>Analyse de la performance du Produit 4.2</w:t>
      </w:r>
      <w:r>
        <w:rPr>
          <w:b/>
          <w:bCs/>
          <w:color w:val="000000"/>
        </w:rPr>
        <w:t>:</w:t>
      </w:r>
      <w:r>
        <w:rPr>
          <w:b/>
          <w:color w:val="000000"/>
        </w:rPr>
        <w:t xml:space="preserve"> Les acteurs institutionnels et communautaires sont outillés pour concevoir et mettre en œuvre, de manière inclusive, des actions intégrées et innovantes pour l’amélioration de l’état de l’environnement et de la biodiversité, et pour soutenir la lutte contre les changements climatiques. </w:t>
      </w:r>
    </w:p>
    <w:p w14:paraId="4337FB8D" w14:textId="77777777" w:rsidR="00EA6DED" w:rsidRDefault="007504AE">
      <w:pPr>
        <w:jc w:val="both"/>
        <w:rPr>
          <w:color w:val="000000"/>
        </w:rPr>
      </w:pPr>
      <w:r>
        <w:rPr>
          <w:color w:val="000000"/>
        </w:rPr>
        <w:t xml:space="preserve"> </w:t>
      </w:r>
    </w:p>
    <w:p w14:paraId="4337FB8E" w14:textId="77777777" w:rsidR="00EA6DED" w:rsidRDefault="007504AE">
      <w:pPr>
        <w:jc w:val="both"/>
        <w:rPr>
          <w:color w:val="000000"/>
        </w:rPr>
      </w:pPr>
      <w:r>
        <w:rPr>
          <w:color w:val="000000"/>
        </w:rPr>
        <w:t xml:space="preserve">Dans le cadre de la matérialisation des efforts en matière de promotion des initiatives innovantes pour la protection de l’environnement, l’évaluation a relevé une intensification d’activités tant sur le plan national que régional. Sur le plan national, les parties prenantes ont adopté des solutions climatiques/environnementales innovantes et ont généré des données sur l'impact des solutions d'action climatique que sont les séchoirs solaires et les solutions fondées sur la nature, qui peuvent améliorer la sécurité alimentaire et les moyens de subsistance ainsi que les ODD. L'utilisation de séchoirs solaires a permis de réduire les pertes post récolte (PHL) de 90 % à moins de 5 % du Produit initial, tandis que la durée de conservation a augmenté d'au moins 50 %, contribuant ainsi aux ODD 2, 7 et 12.  L'utilisation d'engrais et de pesticides biologiques a permis d'augmenter la superficie consacrée aux solutions fondées sur la nature de 920 hectares, contribuant ainsi aux ODD 13 et 15. L'adoption </w:t>
      </w:r>
      <w:r>
        <w:rPr>
          <w:color w:val="000000"/>
        </w:rPr>
        <w:lastRenderedPageBreak/>
        <w:t>par la communauté de biodigesteurs pour la valorisation des déchets en biogaz et en biofertilisants, a l’exemple des réfugiés qui ont transformé la boue de vidange de latrines pour la fabrication de fumiers compost, conformément aux priorités des CDN du Cameroun, a permis d'intercepter plus de 2 000 kg de déchets organiques par mois et d'éviter l'émission de 1 700 tonnes équivalentes de méthane, contribuant ainsi à l'ODD 13</w:t>
      </w:r>
      <w:r>
        <w:rPr>
          <w:rStyle w:val="Appelnotedebasdep"/>
          <w:rFonts w:eastAsia="SimSun"/>
          <w:color w:val="000000"/>
        </w:rPr>
        <w:footnoteReference w:id="97"/>
      </w:r>
      <w:r>
        <w:rPr>
          <w:color w:val="000000"/>
        </w:rPr>
        <w:t>.</w:t>
      </w:r>
    </w:p>
    <w:p w14:paraId="4337FB8F" w14:textId="77777777" w:rsidR="00EA6DED" w:rsidRDefault="00EA6DED">
      <w:pPr>
        <w:jc w:val="both"/>
        <w:rPr>
          <w:color w:val="000000"/>
        </w:rPr>
      </w:pPr>
    </w:p>
    <w:p w14:paraId="4337FB90" w14:textId="77777777" w:rsidR="00EA6DED" w:rsidRDefault="007504AE">
      <w:pPr>
        <w:jc w:val="both"/>
        <w:rPr>
          <w:color w:val="000000"/>
        </w:rPr>
      </w:pPr>
      <w:r>
        <w:rPr>
          <w:color w:val="000000"/>
        </w:rPr>
        <w:t>Globalement, la contribution du SNU à l’amélioration de l'environnement et de la biodiversité et lutte contre le changement climatique a permis d’augmenter la proportion de Collectivités Territoriales Décentralisées (CTD) susceptible de mettre en place des initiatives innovantes pour la protection de l’environnement.</w:t>
      </w:r>
      <w:r>
        <w:t xml:space="preserve"> </w:t>
      </w:r>
      <w:r>
        <w:rPr>
          <w:color w:val="000000"/>
        </w:rPr>
        <w:t>Ces efforts montrent une intention claire de relever le niveau des CTD en matière de protection de l’environnement et de progresser vers une cible de 30% en 2026.  Des efforts restent à déployer dans l’actualisation du rapport sur l’état de l’environnement au Cameroun (REC) avec de préférence un document unique sur l’état de l’environnement et de la biodiversité, considérant par exemple les efforts et actions des réfugiés dans le reboisement de près de 900 ha.</w:t>
      </w:r>
    </w:p>
    <w:p w14:paraId="4337FB91" w14:textId="77777777" w:rsidR="00EA6DED" w:rsidRDefault="00EA6DED">
      <w:pPr>
        <w:rPr>
          <w:b/>
          <w:bCs/>
        </w:rPr>
      </w:pPr>
    </w:p>
    <w:p w14:paraId="4337FB92" w14:textId="77777777" w:rsidR="00EA6DED" w:rsidRDefault="007504AE">
      <w:pPr>
        <w:jc w:val="both"/>
        <w:rPr>
          <w:b/>
        </w:rPr>
      </w:pPr>
      <w:r>
        <w:rPr>
          <w:b/>
          <w:color w:val="0070C0"/>
        </w:rPr>
        <w:t>Analyse de la performance du produit 4.3</w:t>
      </w:r>
      <w:r>
        <w:rPr>
          <w:b/>
          <w:bCs/>
        </w:rPr>
        <w:t> :</w:t>
      </w:r>
      <w:r>
        <w:rPr>
          <w:b/>
        </w:rPr>
        <w:t xml:space="preserve"> Les acteurs institutionnels-clés sont dotés de capacités pour la collecte, l’analyse, la gestion, l’utilisation, et la diffusion des données relatives à l’environnement (Cadre de Sendai, Accord de Paris) pour influencer les politiques et stratégies de développement. </w:t>
      </w:r>
    </w:p>
    <w:p w14:paraId="4337FB93" w14:textId="77777777" w:rsidR="00EA6DED" w:rsidRDefault="00EA6DED">
      <w:pPr>
        <w:jc w:val="both"/>
      </w:pPr>
    </w:p>
    <w:p w14:paraId="4337FB94" w14:textId="77777777" w:rsidR="00EA6DED" w:rsidRDefault="007504AE">
      <w:pPr>
        <w:jc w:val="both"/>
      </w:pPr>
      <w:r>
        <w:t xml:space="preserve">Dans le cadre de l’analyse de la performance du produit 4.3, l’analyse documentaire relève des avancées considérables en matière de collecte, analyse, gestion, utilisation et diffusion des données environnementales par les acteurs intentionnels clés, surtout du point de vue de l’augmentation du nombre d’institutions-clés disposant de capacités pour l’utilisation des outils de modélisation climat (Is/p 4.3.2) (15% en 2024, soit un taux de réalisation de 60%). Cependant, la progression du nombre de « Modèles Climats » développés qui informent les politiques et stratégies de développement au niveau national, régional et local reste mitigé avec un taux de progression de 25% en 2024. </w:t>
      </w:r>
    </w:p>
    <w:p w14:paraId="4337FB95" w14:textId="77777777" w:rsidR="00EA6DED" w:rsidRDefault="00EA6DED">
      <w:pPr>
        <w:pStyle w:val="Default"/>
        <w:jc w:val="both"/>
        <w:rPr>
          <w:rFonts w:ascii="Times New Roman" w:hAnsi="Times New Roman" w:cs="Times New Roman"/>
        </w:rPr>
      </w:pPr>
    </w:p>
    <w:p w14:paraId="4337FB96" w14:textId="77777777" w:rsidR="00EA6DED" w:rsidRDefault="007504AE">
      <w:pPr>
        <w:pStyle w:val="Default"/>
        <w:jc w:val="both"/>
        <w:rPr>
          <w:rFonts w:ascii="Times New Roman" w:hAnsi="Times New Roman" w:cs="Times New Roman"/>
          <w:color w:val="auto"/>
        </w:rPr>
      </w:pPr>
      <w:r>
        <w:rPr>
          <w:rFonts w:ascii="Times New Roman" w:eastAsia="Times New Roman" w:hAnsi="Times New Roman" w:cs="Times New Roman"/>
          <w:color w:val="auto"/>
        </w:rPr>
        <w:t>En effet, l’appui du SNU a facilité le développement de plusieurs activités favorables à la réalisation du produit 4.3.</w:t>
      </w:r>
      <w:r>
        <w:rPr>
          <w:rFonts w:ascii="Times New Roman" w:hAnsi="Times New Roman" w:cs="Times New Roman"/>
          <w:color w:val="auto"/>
        </w:rPr>
        <w:t xml:space="preserve"> En 2022, les capacités des responsables du MINFOF, MINEPDED et des enseignants/chercheurs de l’Université de Maroua ont été renforcées sur l’élevage climato-intelligent et l’utilisation de l’outil GLEAM-I pour les stimulations des émissions de gaz à effet de serre issues des élevages.  En 2023, les communes de Mokolo et Fotokol dans l’Extrême Nord, ont bénéficié de l’élaboration d'outils d'aménagement du territoire, gestion environnementale intégrée, et cartographie des zones à risques dus au changement climatique. Des cartes des changements de couvert arboré au Cameroun entre 2015 et 2023, ainsi que des cartes forêt/non-forêt et d'utilisation des terres, ont été produites avec une quantification des facteurs de déforestation et de dégradation des forêts. Un outil numérique a été conçu, développé et déployé pour la diffusion des données sur les alertes aux risques climatiques. Ces activités traduisent une poursuite des progrès à atteindre dans le cadre du développement de « Modèles Climats » sensés informer les politiques et stratégies de développement au niveau national, régional et local. </w:t>
      </w:r>
    </w:p>
    <w:p w14:paraId="4337FB97" w14:textId="77777777" w:rsidR="00EA6DED" w:rsidRDefault="00EA6DED">
      <w:pPr>
        <w:pStyle w:val="Default"/>
        <w:jc w:val="both"/>
      </w:pPr>
    </w:p>
    <w:p w14:paraId="4337FB98" w14:textId="77777777" w:rsidR="00EA6DED" w:rsidRDefault="007504AE">
      <w:pPr>
        <w:jc w:val="both"/>
        <w:rPr>
          <w:color w:val="000000"/>
        </w:rPr>
      </w:pPr>
      <w:r>
        <w:rPr>
          <w:color w:val="00B0F0"/>
        </w:rPr>
        <w:t>Analyse de la performance du produit 4.4</w:t>
      </w:r>
      <w:r>
        <w:rPr>
          <w:bCs/>
          <w:color w:val="000000"/>
        </w:rPr>
        <w:t>:</w:t>
      </w:r>
      <w:r>
        <w:rPr>
          <w:color w:val="000000"/>
        </w:rPr>
        <w:t xml:space="preserve"> Les entités décentralisées des zones à risque sont aptes à concevoir et à mettre en œuvre des réponses adaptées </w:t>
      </w:r>
      <w:bookmarkStart w:id="132" w:name="_Hlk206458907"/>
      <w:r>
        <w:rPr>
          <w:color w:val="000000"/>
        </w:rPr>
        <w:t>aux risques sanitaires et climatiques et aux catastrophes</w:t>
      </w:r>
      <w:bookmarkEnd w:id="132"/>
      <w:r>
        <w:rPr>
          <w:color w:val="000000"/>
        </w:rPr>
        <w:t xml:space="preserve">. </w:t>
      </w:r>
    </w:p>
    <w:p w14:paraId="4337FB99" w14:textId="77777777" w:rsidR="00EA6DED" w:rsidRDefault="00EA6DED">
      <w:pPr>
        <w:jc w:val="both"/>
      </w:pPr>
    </w:p>
    <w:p w14:paraId="4337FB9A" w14:textId="77777777" w:rsidR="00EA6DED" w:rsidRDefault="007504AE">
      <w:pPr>
        <w:jc w:val="both"/>
      </w:pPr>
      <w:r>
        <w:t xml:space="preserve">Les interventions pour la réalisation du produit 4.4 reposent en grande partie sur la capacité des entités décentralisées à répondre aux risques sanitaires, climatiques et aux catastrophes. En 2022, les communes avec des formations en cascade sur la gestion des risques et les bonnes pratiques à adopter par les communautés, ont vu leurs capacités renforcées à travers la production des bulletins d’alerte précoce ainsi que des plans de gestion de risques. En 2023, les communes sélectionnées (Régions de l'Est et de l'Adamaoua), ont été équipées de 10 systèmes solaires d'eau (7 CTD de la région de l'Est), 07 forages équipés de pompes manuelles (1 commune, Région de l'Est), 16 blocs de latrines inclusives (1 commune, Région de l'Est), Électrification solaire de 13 </w:t>
      </w:r>
      <w:r>
        <w:lastRenderedPageBreak/>
        <w:t xml:space="preserve">établissements de santé.  Des drones ont été introduites dans trois parcs nationaux (Bénoué, Kimbi-Fungom et Waza) pour la surveillance des écosystèmes afin de mieux suivre l'impact du changement climatique. Aussi, Sept Commissions Municipales de Préparation et de Réponse aux Crises (70 membres : 45 hommes, 25 femmes) et 58 Comités Communautaires (580 membres : 377 hommes, 203 femmes) ont été mis en place pour surveiller les risques d'inondation et émettre des alertes. Un Plan d'Action Régional de Prévision des Sécheresses pour l'Extrême-Nord, développé en juin 2024, inclut une application mobile permettant aux acteurs ruraux d'accéder aux prévisions météorologiques, au calendrier agricole et de surveiller les risques d'inondation et de sécheresse. Par ailleurs, dans le cadre du Nexus HDP dans les communes de Fotokol et Mokolo dans la région de l’Extrême-Nord, il a été procédé à l’élaboration d'outils d'aménagement du territoire, gestion environnementale intégrée, cartographie des zones à risque dû au changement climatique. </w:t>
      </w:r>
    </w:p>
    <w:p w14:paraId="4337FB9B" w14:textId="77777777" w:rsidR="00EA6DED" w:rsidRDefault="00EA6DED"/>
    <w:p w14:paraId="4337FB9C" w14:textId="77777777" w:rsidR="00EA6DED" w:rsidRDefault="007504AE">
      <w:pPr>
        <w:pStyle w:val="NormalWeb"/>
        <w:shd w:val="clear" w:color="auto" w:fill="FFFFFF"/>
        <w:spacing w:before="0" w:beforeAutospacing="0" w:after="240" w:afterAutospacing="0"/>
        <w:jc w:val="both"/>
      </w:pPr>
      <w:r>
        <w:t>« Pour minimiser l'impact de la croissance sur l'environnement et préserver ses richesses naturelles, le Cameroun pourrait privilégier ses écosystèmes vulnérables et de grande valeur, passer à une économie de services basée sur la forêt, en s'appuyant sur l'écotourisme, les services médicinaux avec sa flore unique et les connaissances forestières</w:t>
      </w:r>
      <w:r>
        <w:rPr>
          <w:vertAlign w:val="superscript"/>
        </w:rPr>
        <w:footnoteReference w:id="98"/>
      </w:r>
      <w:r>
        <w:t>. Avec l'un des écosystèmes les plus singuliers d'Afrique, un secteur touristique compétitif pourrait devenir un moteur essentiel de croissance et d'emploi, en tirant parti d'un capital naturel que peu d'autres pays peuvent égaler »</w:t>
      </w:r>
      <w:r>
        <w:rPr>
          <w:rStyle w:val="Appelnotedebasdep"/>
          <w:rFonts w:eastAsia="SimSun"/>
        </w:rPr>
        <w:footnoteReference w:id="99"/>
      </w:r>
      <w:r>
        <w:t>.</w:t>
      </w:r>
    </w:p>
    <w:p w14:paraId="4337FB9D" w14:textId="77777777" w:rsidR="00EA6DED" w:rsidRDefault="00EA6DED">
      <w:pPr>
        <w:jc w:val="both"/>
        <w:rPr>
          <w:rFonts w:eastAsia="Calibri"/>
          <w:b/>
        </w:rPr>
      </w:pPr>
    </w:p>
    <w:p w14:paraId="4337FB9E" w14:textId="77777777" w:rsidR="00EA6DED" w:rsidRDefault="007504AE">
      <w:pPr>
        <w:shd w:val="clear" w:color="auto" w:fill="F7CAAC"/>
        <w:spacing w:line="276" w:lineRule="auto"/>
        <w:jc w:val="both"/>
        <w:rPr>
          <w:rFonts w:eastAsia="Arial"/>
          <w:color w:val="000000" w:themeColor="text1"/>
        </w:rPr>
      </w:pPr>
      <w:r>
        <w:rPr>
          <w:rFonts w:eastAsia="Arial"/>
          <w:b/>
          <w:color w:val="0070C0"/>
          <w:shd w:val="clear" w:color="auto" w:fill="F7CAAC" w:themeFill="accent2" w:themeFillTint="66"/>
        </w:rPr>
        <w:t>Question d’évaluation 7:</w:t>
      </w:r>
      <w:r>
        <w:rPr>
          <w:rFonts w:eastAsia="Arial"/>
          <w:b/>
          <w:color w:val="0070C0"/>
        </w:rPr>
        <w:t xml:space="preserve"> </w:t>
      </w:r>
      <w:r>
        <w:rPr>
          <w:rFonts w:eastAsia="Arial"/>
          <w:color w:val="000000" w:themeColor="text1"/>
        </w:rPr>
        <w:t xml:space="preserve">Dans quelle mesure le CC a-t-il contribué à des changements institutionnels, comportementaux et législatifs clés nécessaires pour catalyser des progrès vers l'impact souhaité du gouvernement ? Qu’en est -il de : </w:t>
      </w:r>
    </w:p>
    <w:p w14:paraId="4337FB9F" w14:textId="77777777" w:rsidR="00EA6DED" w:rsidRDefault="007504AE">
      <w:pPr>
        <w:pStyle w:val="Paragraphedeliste"/>
        <w:numPr>
          <w:ilvl w:val="0"/>
          <w:numId w:val="16"/>
        </w:numPr>
        <w:shd w:val="clear" w:color="auto" w:fill="F7CAAC"/>
        <w:spacing w:line="276" w:lineRule="auto"/>
        <w:jc w:val="both"/>
        <w:rPr>
          <w:rFonts w:eastAsia="Arial"/>
          <w:color w:val="000000" w:themeColor="text1"/>
        </w:rPr>
      </w:pPr>
      <w:r>
        <w:rPr>
          <w:rFonts w:eastAsia="Arial"/>
          <w:color w:val="000000" w:themeColor="text1"/>
        </w:rPr>
        <w:t xml:space="preserve">La durabilité environnementale ? </w:t>
      </w:r>
    </w:p>
    <w:p w14:paraId="4337FBA0" w14:textId="77777777" w:rsidR="00EA6DED" w:rsidRDefault="007504AE">
      <w:pPr>
        <w:pStyle w:val="Paragraphedeliste"/>
        <w:numPr>
          <w:ilvl w:val="0"/>
          <w:numId w:val="16"/>
        </w:numPr>
        <w:shd w:val="clear" w:color="auto" w:fill="F7CAAC"/>
        <w:spacing w:line="276" w:lineRule="auto"/>
        <w:jc w:val="both"/>
        <w:rPr>
          <w:rFonts w:eastAsia="Arial"/>
          <w:color w:val="000000" w:themeColor="text1"/>
        </w:rPr>
      </w:pPr>
      <w:r>
        <w:rPr>
          <w:rFonts w:eastAsia="Arial"/>
          <w:color w:val="000000" w:themeColor="text1"/>
        </w:rPr>
        <w:t xml:space="preserve">Du triple lien développement-paix-humanitaire, </w:t>
      </w:r>
    </w:p>
    <w:p w14:paraId="4337FBA1" w14:textId="77777777" w:rsidR="00EA6DED" w:rsidRDefault="007504AE">
      <w:pPr>
        <w:pStyle w:val="Paragraphedeliste"/>
        <w:numPr>
          <w:ilvl w:val="0"/>
          <w:numId w:val="16"/>
        </w:numPr>
        <w:shd w:val="clear" w:color="auto" w:fill="F7CAAC"/>
        <w:spacing w:line="276" w:lineRule="auto"/>
        <w:jc w:val="both"/>
        <w:rPr>
          <w:rFonts w:eastAsia="Arial"/>
          <w:color w:val="000000" w:themeColor="text1"/>
        </w:rPr>
      </w:pPr>
      <w:r>
        <w:rPr>
          <w:rFonts w:eastAsia="Arial"/>
          <w:color w:val="000000" w:themeColor="text1"/>
        </w:rPr>
        <w:t xml:space="preserve">De l’approche de résilience, </w:t>
      </w:r>
    </w:p>
    <w:p w14:paraId="4337FBA2" w14:textId="77777777" w:rsidR="00EA6DED" w:rsidRDefault="007504AE">
      <w:pPr>
        <w:pStyle w:val="Paragraphedeliste"/>
        <w:numPr>
          <w:ilvl w:val="0"/>
          <w:numId w:val="16"/>
        </w:numPr>
        <w:shd w:val="clear" w:color="auto" w:fill="F7CAAC"/>
        <w:spacing w:line="276" w:lineRule="auto"/>
        <w:jc w:val="both"/>
        <w:rPr>
          <w:rFonts w:eastAsia="Arial"/>
          <w:color w:val="000000" w:themeColor="text1"/>
        </w:rPr>
      </w:pPr>
      <w:r>
        <w:rPr>
          <w:rFonts w:eastAsia="Arial"/>
          <w:color w:val="000000" w:themeColor="text1"/>
        </w:rPr>
        <w:t>Des problèmes régionaux et transfrontaliers ?</w:t>
      </w:r>
    </w:p>
    <w:p w14:paraId="4337FBA3" w14:textId="77777777" w:rsidR="00EA6DED" w:rsidRDefault="007504AE">
      <w:pPr>
        <w:pStyle w:val="Paragraphedeliste"/>
        <w:numPr>
          <w:ilvl w:val="0"/>
          <w:numId w:val="16"/>
        </w:numPr>
        <w:shd w:val="clear" w:color="auto" w:fill="F7CAAC"/>
        <w:spacing w:line="276" w:lineRule="auto"/>
        <w:jc w:val="both"/>
        <w:rPr>
          <w:rFonts w:eastAsia="Arial"/>
          <w:color w:val="000000" w:themeColor="text1"/>
        </w:rPr>
      </w:pPr>
      <w:r>
        <w:rPr>
          <w:rFonts w:eastAsia="Arial"/>
          <w:color w:val="000000" w:themeColor="text1"/>
        </w:rPr>
        <w:t>la promotion des droits de l’homme, y compris la prise en compte des intérêts des personnes handicapées et autres groupes vulnérables?</w:t>
      </w:r>
    </w:p>
    <w:p w14:paraId="4337FBA4" w14:textId="77777777" w:rsidR="00EA6DED" w:rsidRDefault="00EA6DED">
      <w:pPr>
        <w:jc w:val="both"/>
        <w:rPr>
          <w:rFonts w:eastAsia="Calibri"/>
          <w:b/>
          <w:szCs w:val="22"/>
        </w:rPr>
      </w:pPr>
    </w:p>
    <w:p w14:paraId="4337FBA5" w14:textId="77777777" w:rsidR="00EA6DED" w:rsidRDefault="007504AE">
      <w:pPr>
        <w:pStyle w:val="Titre3"/>
        <w:rPr>
          <w:rFonts w:ascii="Times New Roman" w:eastAsia="Arial" w:hAnsi="Times New Roman"/>
          <w:i/>
          <w:iCs/>
          <w:color w:val="000000"/>
          <w:sz w:val="22"/>
          <w:szCs w:val="22"/>
        </w:rPr>
      </w:pPr>
      <w:bookmarkStart w:id="133" w:name="_Toc29827"/>
      <w:r>
        <w:rPr>
          <w:rFonts w:ascii="Times New Roman" w:eastAsia="Arial" w:hAnsi="Times New Roman"/>
          <w:i/>
          <w:iCs/>
          <w:color w:val="000000"/>
          <w:sz w:val="22"/>
          <w:szCs w:val="22"/>
        </w:rPr>
        <w:t>5.3.2 Contributions de CC à des changements institutionnels, comportementaux et législatifs clés</w:t>
      </w:r>
      <w:bookmarkEnd w:id="133"/>
    </w:p>
    <w:p w14:paraId="4337FBA6" w14:textId="77777777" w:rsidR="00EA6DED" w:rsidRDefault="007504AE">
      <w:pPr>
        <w:jc w:val="both"/>
      </w:pPr>
      <w:r>
        <w:rPr>
          <w:rFonts w:eastAsia="Calibri"/>
          <w:b/>
        </w:rPr>
        <w:t>Au niveau institutionnel et législatif</w:t>
      </w:r>
      <w:r>
        <w:rPr>
          <w:rFonts w:eastAsia="Calibri"/>
        </w:rPr>
        <w:t>, le cadre de coopération a donné une contribution assez remarquable dans le cadre de l’élaboration des lois, des politiques et autres documents stratégiques et règlementaires quelle que soit la priorité stratégique. De manière non exhaustive, on peut citer à titre illustratif, le Plan national climat de 2025, la Stratégie de financement des risques de catastrophes au Cameroun de 2025, la Stratégie nationale de gestion des déchets au Cameroun, la révision de la Contribution déterminée au niveau national (CDN) de 2021 (version 3.0 en révision), la Politique nationale de l’eau de 2024 (…)</w:t>
      </w:r>
      <w:r>
        <w:t>.</w:t>
      </w:r>
    </w:p>
    <w:p w14:paraId="4337FBA7" w14:textId="77777777" w:rsidR="00EA6DED" w:rsidRDefault="00EA6DED">
      <w:pPr>
        <w:jc w:val="both"/>
      </w:pPr>
    </w:p>
    <w:p w14:paraId="4337FBA8" w14:textId="77777777" w:rsidR="00EA6DED" w:rsidRDefault="007504AE">
      <w:pPr>
        <w:jc w:val="both"/>
      </w:pPr>
      <w:r>
        <w:rPr>
          <w:b/>
        </w:rPr>
        <w:t>Au niveau comportemental</w:t>
      </w:r>
      <w:r>
        <w:t xml:space="preserve">, le renforcement des capacités des PDI ont eu un effet sur l’amélioration de leurs affaires et de leurs attitudes à en croire ce témoignage collecté au Centre des Déplacés Internes de Dschang auprès de Clétus, 26 ans : </w:t>
      </w:r>
    </w:p>
    <w:p w14:paraId="4337FBA9" w14:textId="77777777" w:rsidR="00EA6DED" w:rsidRDefault="007504AE">
      <w:pPr>
        <w:pStyle w:val="Paragraphedeliste"/>
        <w:numPr>
          <w:ilvl w:val="0"/>
          <w:numId w:val="16"/>
        </w:numPr>
        <w:jc w:val="both"/>
      </w:pPr>
      <w:r>
        <w:t xml:space="preserve">‘’On nous a formés sur comment planifier nos affaires, comment rester en paix avec la communauté d’accueil, comment réagir face aux VBG, comment vivre avec les autres’’ ;  </w:t>
      </w:r>
    </w:p>
    <w:p w14:paraId="4337FBAA" w14:textId="77777777" w:rsidR="00EA6DED" w:rsidRDefault="007504AE">
      <w:pPr>
        <w:pStyle w:val="Paragraphedeliste"/>
        <w:numPr>
          <w:ilvl w:val="0"/>
          <w:numId w:val="16"/>
        </w:numPr>
        <w:jc w:val="both"/>
      </w:pPr>
      <w:r>
        <w:t>‘’Ils nous ont appris comment les anglophones et francophones peuvent vivre ensemble’’</w:t>
      </w:r>
    </w:p>
    <w:p w14:paraId="4337FBAB" w14:textId="77777777" w:rsidR="00EA6DED" w:rsidRDefault="007504AE">
      <w:pPr>
        <w:pStyle w:val="Paragraphedeliste"/>
        <w:numPr>
          <w:ilvl w:val="0"/>
          <w:numId w:val="16"/>
        </w:numPr>
        <w:jc w:val="both"/>
      </w:pPr>
      <w:r>
        <w:t xml:space="preserve"> ‘’Les gens font les affaires mais ne savent pas comment tenir leur livre, ici on nous a appris à tenir les livres et c’est la différence qui est avec les autres’’. </w:t>
      </w:r>
    </w:p>
    <w:p w14:paraId="4337FBAC" w14:textId="77777777" w:rsidR="00EA6DED" w:rsidRDefault="00EA6DED">
      <w:pPr>
        <w:jc w:val="both"/>
      </w:pPr>
    </w:p>
    <w:p w14:paraId="4337FBAD" w14:textId="77777777" w:rsidR="00EA6DED" w:rsidRDefault="007504AE">
      <w:pPr>
        <w:jc w:val="both"/>
      </w:pPr>
      <w:r>
        <w:lastRenderedPageBreak/>
        <w:t xml:space="preserve">D’autres progrès ont été observés, à travers des initiatives telles que les champs-écoles, la vaccination communautaire ou la plateforme numérique cassavamarketplace.com. Les formations (ex. agroécologie, GET Ahead, business coaching), la diffusion des savoirs à travers l’approche champ-école et la participation communautaire dans les projets de sécurité alimentaire suggèrent des effets comportementaux positifs au niveau local. Les témoignages de bénéficiaires évoquent des changements dans les pratiques agricoles et économiques. </w:t>
      </w:r>
    </w:p>
    <w:p w14:paraId="4337FBAE" w14:textId="77777777" w:rsidR="00EA6DED" w:rsidRDefault="00EA6DED">
      <w:pPr>
        <w:pStyle w:val="Titre3"/>
        <w:jc w:val="both"/>
        <w:rPr>
          <w:rFonts w:ascii="Times New Roman" w:hAnsi="Times New Roman"/>
          <w:bCs w:val="0"/>
          <w:color w:val="auto"/>
          <w:sz w:val="13"/>
          <w:szCs w:val="13"/>
        </w:rPr>
      </w:pPr>
    </w:p>
    <w:p w14:paraId="4337FBAF" w14:textId="77777777" w:rsidR="00EA6DED" w:rsidRDefault="007504AE">
      <w:pPr>
        <w:jc w:val="both"/>
      </w:pPr>
      <w:r>
        <w:rPr>
          <w:b/>
        </w:rPr>
        <w:t>Au niveau de la gouvernance,</w:t>
      </w:r>
      <w:r>
        <w:t xml:space="preserve"> les agences ont travaillé sur la décentralisation, aidé les communes à s’engager pour les droits des enfants, ex campagne « my name » pour les enregistrements des naissances. Le SNU a financé le CPFF de Kekem qui sera désormais la vitrine et le catalyseur d’un véritable développement et d’une émancipation de la femme de Kekem.</w:t>
      </w:r>
    </w:p>
    <w:p w14:paraId="4337FBB0" w14:textId="77777777" w:rsidR="00EA6DED" w:rsidRDefault="00EA6DED">
      <w:pPr>
        <w:jc w:val="both"/>
      </w:pPr>
    </w:p>
    <w:p w14:paraId="4337FBB1" w14:textId="77777777" w:rsidR="00EA6DED" w:rsidRDefault="007504AE">
      <w:r>
        <w:rPr>
          <w:b/>
          <w:bCs/>
        </w:rPr>
        <w:t xml:space="preserve">Au niveau du triple nexus développement – paix – humanitaire </w:t>
      </w:r>
      <w:r>
        <w:t>des efforts sont visibles dans des projets conjoints (ex. santé et paix OMS-OIM) avec l’implication des autorités locales, qui ont renforcé la mise en œuvre et le suivi. Toutefois, les structures de coordination du Nexus SDG-Humanitaire manquent de ressources et de participation effective, ce qui freine l'intégration opérationnelle du nexus. Les discussions autour de ces enjeux sont fragmentées, souvent reprises dans des espaces inadaptés (ex. UNCG), révélant un cloisonnement persistant entre les piliers.</w:t>
      </w:r>
    </w:p>
    <w:p w14:paraId="4337FBB2" w14:textId="77777777" w:rsidR="00EA6DED" w:rsidRDefault="00EA6DED"/>
    <w:p w14:paraId="4337FBB3" w14:textId="77777777" w:rsidR="00EA6DED" w:rsidRDefault="007504AE">
      <w:pPr>
        <w:jc w:val="both"/>
        <w:rPr>
          <w:rFonts w:eastAsia="SimSun"/>
        </w:rPr>
      </w:pPr>
      <w:r>
        <w:rPr>
          <w:rFonts w:eastAsia="SimSun"/>
        </w:rPr>
        <w:t>Quant à l’approche de résilience, le ciblage des groupes vulnérables (réfugiés, femmes, agriculteurs …) à travers des projets de diversification agricole, d’insertion économique et d’autonomisation illustre une volonté de renforcer la résilience locale. Des actions telles que la création de mini-fermes, la diffusion de techniques agricoles résilientes ou l'appui aux chaînes de valeur (manioc, œufs, porc) sont des vecteurs tangibles de résilience communautaire. Toutefois, l'absence d’une stratégie commune inter-agences et la non-intégration des interventions limitent l’élévation de ces effets au niveau systémique. Par ailleurs, l’utilisation systématique de la gestion basée sur la résilience (RBM) et la gestion basée sur les résultats (GAR) pourraient aider à améliorer la résilience des écosystèmes, des communautés et des systèmes socio-écologiques. </w:t>
      </w:r>
    </w:p>
    <w:p w14:paraId="4337FBB4" w14:textId="77777777" w:rsidR="00EA6DED" w:rsidRDefault="00EA6DED">
      <w:pPr>
        <w:pStyle w:val="Titre3"/>
        <w:rPr>
          <w:rFonts w:eastAsia="Times New Roman"/>
          <w:b w:val="0"/>
          <w:bCs w:val="0"/>
        </w:rPr>
      </w:pPr>
    </w:p>
    <w:p w14:paraId="4337FBB5" w14:textId="77777777" w:rsidR="00EA6DED" w:rsidRDefault="007504AE">
      <w:pPr>
        <w:jc w:val="both"/>
        <w:rPr>
          <w:rFonts w:eastAsia="SimSun"/>
        </w:rPr>
      </w:pPr>
      <w:r>
        <w:rPr>
          <w:rFonts w:eastAsia="SimSun"/>
        </w:rPr>
        <w:t>Pour ce qui est des problèmes régionaux et transfrontaliers, les actions menées en direction des migrants ou celles intégrant les réfugiés dans les systèmes de santé et d’éducation, démontrent une certaine prise en compte des problématiques transfrontalières. Cependant, le manque de cartographie des bénéficiaires et l’éparpillement des initiatives réduisent la capacité à traiter de façon cohérente les dynamiques régionales ou transfrontalières.</w:t>
      </w:r>
    </w:p>
    <w:p w14:paraId="4337FBB6" w14:textId="77777777" w:rsidR="00EA6DED" w:rsidRDefault="00EA6DED">
      <w:pPr>
        <w:rPr>
          <w:rFonts w:eastAsia="Calibri"/>
          <w:sz w:val="13"/>
          <w:szCs w:val="13"/>
        </w:rPr>
      </w:pPr>
    </w:p>
    <w:p w14:paraId="4337FBB7" w14:textId="77777777" w:rsidR="00EA6DED" w:rsidRDefault="007504AE">
      <w:pPr>
        <w:pStyle w:val="Titre2"/>
        <w:rPr>
          <w:color w:val="0000FF"/>
          <w:sz w:val="24"/>
          <w:szCs w:val="24"/>
        </w:rPr>
      </w:pPr>
      <w:bookmarkStart w:id="134" w:name="_Toc26585"/>
      <w:r>
        <w:rPr>
          <w:color w:val="0000FF"/>
          <w:sz w:val="24"/>
          <w:szCs w:val="24"/>
        </w:rPr>
        <w:t>5.4 Efficience</w:t>
      </w:r>
      <w:bookmarkEnd w:id="134"/>
      <w:r>
        <w:rPr>
          <w:color w:val="0000FF"/>
          <w:sz w:val="24"/>
          <w:szCs w:val="24"/>
        </w:rPr>
        <w:t xml:space="preserve"> </w:t>
      </w:r>
    </w:p>
    <w:p w14:paraId="4337FBB8" w14:textId="77777777" w:rsidR="00EA6DED" w:rsidRDefault="00EA6DED">
      <w:pPr>
        <w:ind w:left="1200"/>
        <w:rPr>
          <w:rFonts w:eastAsia="Calibri"/>
          <w:b/>
          <w:color w:val="000000"/>
          <w:sz w:val="22"/>
          <w:szCs w:val="22"/>
        </w:rPr>
      </w:pPr>
    </w:p>
    <w:tbl>
      <w:tblPr>
        <w:tblW w:w="10348"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CellMar>
          <w:left w:w="115" w:type="dxa"/>
          <w:right w:w="115" w:type="dxa"/>
        </w:tblCellMar>
        <w:tblLook w:val="04A0" w:firstRow="1" w:lastRow="0" w:firstColumn="1" w:lastColumn="0" w:noHBand="0" w:noVBand="1"/>
      </w:tblPr>
      <w:tblGrid>
        <w:gridCol w:w="10348"/>
      </w:tblGrid>
      <w:tr w:rsidR="00EA6DED" w14:paraId="4337FBBF" w14:textId="77777777">
        <w:tc>
          <w:tcPr>
            <w:tcW w:w="10348" w:type="dxa"/>
            <w:shd w:val="clear" w:color="auto" w:fill="D9E2F3"/>
          </w:tcPr>
          <w:p w14:paraId="4337FBB9" w14:textId="77777777" w:rsidR="00EA6DED" w:rsidRDefault="007504AE">
            <w:pPr>
              <w:widowControl w:val="0"/>
              <w:autoSpaceDE w:val="0"/>
              <w:autoSpaceDN w:val="0"/>
              <w:spacing w:line="276" w:lineRule="auto"/>
              <w:jc w:val="both"/>
              <w:rPr>
                <w:rFonts w:ascii="Calibri" w:eastAsia="Arial" w:hAnsi="Calibri"/>
                <w:color w:val="000000"/>
                <w:sz w:val="22"/>
                <w:szCs w:val="22"/>
                <w:lang w:eastAsia="en-US"/>
              </w:rPr>
            </w:pPr>
            <w:r>
              <w:rPr>
                <w:rFonts w:eastAsia="Arial"/>
                <w:b/>
                <w:color w:val="000000"/>
                <w:sz w:val="22"/>
                <w:szCs w:val="22"/>
                <w:lang w:eastAsia="en-US"/>
              </w:rPr>
              <w:t>8.</w:t>
            </w:r>
            <w:r>
              <w:rPr>
                <w:rFonts w:eastAsia="Arial"/>
                <w:color w:val="000000"/>
                <w:sz w:val="22"/>
                <w:szCs w:val="22"/>
                <w:lang w:eastAsia="en-US"/>
              </w:rPr>
              <w:t xml:space="preserve"> Dans quelle mesure les ressources (humaines, matérielles, logistiques, partenariats stratégiques, etc.) ont- elles été mobilisées et utilisées de manière optimale en s’appuyant sur la stratégie de partenariat et mobilisation des ressources, le BOS, le HACT pour atteindre les réalisations escomptées du CC ?</w:t>
            </w:r>
          </w:p>
          <w:p w14:paraId="4337FBBA" w14:textId="77777777" w:rsidR="00EA6DED" w:rsidRDefault="00EA6DED">
            <w:pPr>
              <w:widowControl w:val="0"/>
              <w:autoSpaceDE w:val="0"/>
              <w:autoSpaceDN w:val="0"/>
              <w:spacing w:line="276" w:lineRule="auto"/>
              <w:jc w:val="both"/>
              <w:rPr>
                <w:rFonts w:ascii="Calibri" w:eastAsia="Arial" w:hAnsi="Calibri"/>
                <w:color w:val="000000"/>
                <w:sz w:val="22"/>
                <w:szCs w:val="22"/>
                <w:lang w:eastAsia="en-US"/>
              </w:rPr>
            </w:pPr>
          </w:p>
          <w:p w14:paraId="4337FBBB" w14:textId="77777777" w:rsidR="00EA6DED" w:rsidRDefault="007504AE">
            <w:pPr>
              <w:widowControl w:val="0"/>
              <w:autoSpaceDE w:val="0"/>
              <w:autoSpaceDN w:val="0"/>
              <w:contextualSpacing/>
              <w:jc w:val="both"/>
              <w:rPr>
                <w:rFonts w:eastAsia="Arial"/>
                <w:color w:val="000000"/>
                <w:sz w:val="22"/>
                <w:szCs w:val="22"/>
              </w:rPr>
            </w:pPr>
            <w:r>
              <w:rPr>
                <w:rFonts w:eastAsia="Arial"/>
                <w:color w:val="000000"/>
                <w:sz w:val="22"/>
                <w:szCs w:val="22"/>
              </w:rPr>
              <w:t xml:space="preserve">9. Dans quelle mesure le CC a-t-il facilité l'identification et l'accès à de nouveaux flux de financement à grande échelle pour les partenaires nationaux ? Le Cadre de Coopération était-il soutenu par un cadre de financement intégré et par des instruments de financement adéquats ? </w:t>
            </w:r>
          </w:p>
          <w:p w14:paraId="4337FBBC" w14:textId="77777777" w:rsidR="00EA6DED" w:rsidRDefault="007504AE">
            <w:pPr>
              <w:pStyle w:val="Paragraphedeliste"/>
              <w:numPr>
                <w:ilvl w:val="0"/>
                <w:numId w:val="17"/>
              </w:numPr>
              <w:jc w:val="both"/>
              <w:rPr>
                <w:rFonts w:eastAsia="Arial"/>
                <w:color w:val="000000"/>
                <w:sz w:val="22"/>
                <w:szCs w:val="22"/>
              </w:rPr>
            </w:pPr>
            <w:r>
              <w:rPr>
                <w:rFonts w:eastAsia="Arial"/>
                <w:color w:val="000000"/>
                <w:sz w:val="22"/>
                <w:szCs w:val="22"/>
              </w:rPr>
              <w:t xml:space="preserve">Quelles étaient les forces et les lacunes, le cas échéant ? </w:t>
            </w:r>
          </w:p>
          <w:p w14:paraId="4337FBBD" w14:textId="77777777" w:rsidR="00EA6DED" w:rsidRDefault="007504AE">
            <w:pPr>
              <w:pStyle w:val="Paragraphedeliste"/>
              <w:numPr>
                <w:ilvl w:val="0"/>
                <w:numId w:val="17"/>
              </w:numPr>
              <w:jc w:val="both"/>
              <w:rPr>
                <w:rFonts w:eastAsia="Arial"/>
                <w:color w:val="000000"/>
                <w:sz w:val="22"/>
                <w:szCs w:val="22"/>
              </w:rPr>
            </w:pPr>
            <w:r>
              <w:rPr>
                <w:rFonts w:eastAsia="Arial"/>
                <w:color w:val="000000"/>
                <w:sz w:val="22"/>
                <w:szCs w:val="22"/>
              </w:rPr>
              <w:t xml:space="preserve">Les ressources sont-elles été allouées efficacement ? </w:t>
            </w:r>
          </w:p>
          <w:p w14:paraId="4337FBBE" w14:textId="77777777" w:rsidR="00EA6DED" w:rsidRDefault="007504AE">
            <w:pPr>
              <w:widowControl w:val="0"/>
              <w:autoSpaceDE w:val="0"/>
              <w:autoSpaceDN w:val="0"/>
              <w:contextualSpacing/>
              <w:jc w:val="both"/>
              <w:rPr>
                <w:rFonts w:ascii="Calibri" w:eastAsia="Arial" w:hAnsi="Calibri"/>
                <w:b/>
                <w:color w:val="0070C0"/>
                <w:lang w:eastAsia="en-US"/>
              </w:rPr>
            </w:pPr>
            <w:r>
              <w:rPr>
                <w:rFonts w:eastAsia="Arial"/>
                <w:color w:val="000000"/>
                <w:sz w:val="22"/>
                <w:szCs w:val="22"/>
              </w:rPr>
              <w:t>Comment les ressources étaient allouées aux interventions permettant des résultats touchant les femmes, les jeunes, les personnes handicapées, les déplacés internes/migrants, la durabilité environnementale ?</w:t>
            </w:r>
          </w:p>
        </w:tc>
      </w:tr>
      <w:tr w:rsidR="00EA6DED" w14:paraId="4337FBC7" w14:textId="77777777">
        <w:tc>
          <w:tcPr>
            <w:tcW w:w="10348" w:type="dxa"/>
          </w:tcPr>
          <w:p w14:paraId="4337FBC0" w14:textId="77777777" w:rsidR="00EA6DED" w:rsidRDefault="00EA6DED">
            <w:pPr>
              <w:autoSpaceDE w:val="0"/>
              <w:autoSpaceDN w:val="0"/>
              <w:rPr>
                <w:rFonts w:ascii="Calibri" w:eastAsia="Arial" w:hAnsi="Calibri"/>
                <w:b/>
                <w:color w:val="0070C0"/>
                <w:sz w:val="15"/>
                <w:szCs w:val="15"/>
                <w:lang w:eastAsia="en-US"/>
              </w:rPr>
            </w:pPr>
          </w:p>
          <w:p w14:paraId="4337FBC1" w14:textId="77777777" w:rsidR="00EA6DED" w:rsidRDefault="007504AE">
            <w:pPr>
              <w:widowControl w:val="0"/>
              <w:autoSpaceDE w:val="0"/>
              <w:autoSpaceDN w:val="0"/>
              <w:adjustRightInd w:val="0"/>
              <w:jc w:val="both"/>
              <w:rPr>
                <w:rFonts w:eastAsia="Calibri"/>
                <w:color w:val="000000"/>
                <w:lang w:eastAsia="en-US"/>
              </w:rPr>
            </w:pPr>
            <w:r>
              <w:rPr>
                <w:rFonts w:eastAsia="Arial"/>
                <w:b/>
                <w:color w:val="0070C0"/>
                <w:lang w:eastAsia="en-US"/>
              </w:rPr>
              <w:t>Résumé des constats :</w:t>
            </w:r>
            <w:r>
              <w:rPr>
                <w:rFonts w:eastAsia="Arial"/>
                <w:color w:val="0070C0"/>
                <w:lang w:eastAsia="en-US"/>
              </w:rPr>
              <w:t xml:space="preserve"> </w:t>
            </w:r>
            <w:r>
              <w:rPr>
                <w:rFonts w:eastAsia="Calibri"/>
                <w:color w:val="000000"/>
                <w:lang w:eastAsia="en-US"/>
              </w:rPr>
              <w:t xml:space="preserve">La complémentarité inter-agence à travers l’usage du Business Operations Strategy (BOS) et du Harmonized Approach to Cash Transfers (HACT) a induit des gains importants en termes financiers, logistiques et même de procédures pour chacune d’entre elles. En effet, le BOS 2.0 a été opérationnalisé pour renforcer le principe de « Delivering as One » en vue de (i) réduire les coûts de transaction ; (ii) améliorer la qualité des services des prestataires et (iii) améliorer les liens entre les Programmes et les Opérations. </w:t>
            </w:r>
          </w:p>
          <w:p w14:paraId="4337FBC2" w14:textId="77777777" w:rsidR="00EA6DED" w:rsidRDefault="00EA6DED">
            <w:pPr>
              <w:widowControl w:val="0"/>
              <w:autoSpaceDE w:val="0"/>
              <w:autoSpaceDN w:val="0"/>
              <w:adjustRightInd w:val="0"/>
              <w:jc w:val="both"/>
              <w:rPr>
                <w:rFonts w:ascii="Calibri" w:eastAsia="Calibri" w:hAnsi="Calibri"/>
                <w:color w:val="000000"/>
                <w:lang w:eastAsia="en-US"/>
              </w:rPr>
            </w:pPr>
          </w:p>
          <w:p w14:paraId="4337FBC3" w14:textId="77777777" w:rsidR="00EA6DED" w:rsidRDefault="007504AE">
            <w:pPr>
              <w:pageBreakBefore/>
              <w:widowControl w:val="0"/>
              <w:autoSpaceDE w:val="0"/>
              <w:autoSpaceDN w:val="0"/>
              <w:adjustRightInd w:val="0"/>
              <w:jc w:val="both"/>
              <w:rPr>
                <w:rFonts w:ascii="Calibri" w:eastAsia="Calibri" w:hAnsi="Calibri"/>
                <w:color w:val="000000"/>
                <w:lang w:eastAsia="en-US"/>
              </w:rPr>
            </w:pPr>
            <w:r>
              <w:rPr>
                <w:rFonts w:eastAsia="Calibri"/>
                <w:color w:val="000000"/>
                <w:lang w:eastAsia="en-US"/>
              </w:rPr>
              <w:lastRenderedPageBreak/>
              <w:t xml:space="preserve">Sur le plan des ressources humaines, il ressort des échanges avec des chefs d’agences et le BCR que des progrès considérables restent à réaliser pour assurer une capacité de coordination au niveau du Bureau du Coordonnateur Résident et des programmes. En effet, certains postes de base ne sont pas pourvus tant au niveau du BCR que de certains Agences. Il en ressort par ailleurs que les Agences ont des ressources humaines compétentes et de qualité pour accomplir les différentes missions. Cependant, la participation des Agences à l’animation des différents mécanismes de coordination du CC est parfois compromise par le manque de motivation et d’implication des chefs d’agence. En effet, le staff des Agences a tendance à « prioriser » les tâches qui relèvent de leur responsabilité en Agence au détriment de celles du CC. </w:t>
            </w:r>
          </w:p>
          <w:p w14:paraId="4337FBC4" w14:textId="77777777" w:rsidR="00EA6DED" w:rsidRDefault="00EA6DED">
            <w:pPr>
              <w:autoSpaceDE w:val="0"/>
              <w:autoSpaceDN w:val="0"/>
              <w:rPr>
                <w:rFonts w:ascii="Calibri" w:eastAsia="Calibri" w:hAnsi="Calibri"/>
                <w:color w:val="000000"/>
                <w:lang w:eastAsia="en-US"/>
              </w:rPr>
            </w:pPr>
          </w:p>
          <w:p w14:paraId="4337FBC5" w14:textId="77777777" w:rsidR="00EA6DED" w:rsidRDefault="007504AE">
            <w:pPr>
              <w:autoSpaceDE w:val="0"/>
              <w:autoSpaceDN w:val="0"/>
              <w:jc w:val="both"/>
            </w:pPr>
            <w:r>
              <w:rPr>
                <w:rFonts w:eastAsia="Calibri"/>
                <w:color w:val="000000"/>
                <w:lang w:eastAsia="en-US"/>
              </w:rPr>
              <w:t>Le SNU a développé une stratégie de partenariat et de financement du plan cadre de coopération qui a facilité l’identification et l’accès à de nouveaux flux de financement pour les partenaires nationaux. Le plan de mise en œuvre de cette stratégie est autour de 3 axes à savoir (i) la coordination des réponses aux appels à projet dans le cadre des initiatives ou programmes ciblés, (ii) le renforcement du partenariat avec le secteur privé et les institutions financières internationales basées au Cameroun, (iii) la mobilisation des acteurs pour la mise en œuvre d’un cadre de financement intégré. Plusieurs activités ont été faites dans ce cadre dont notamment l’élaboration des Procédures Standards de Gestion   pour les appels à projets, l’institutionnalisation des rencontres politiques de haut niveau entre les NU et le secteur privé au Cameroun, la réalisation d’une cartographie des partenariats par type et sources de financement.</w:t>
            </w:r>
          </w:p>
          <w:p w14:paraId="4337FBC6" w14:textId="77777777" w:rsidR="00EA6DED" w:rsidRDefault="00EA6DED">
            <w:pPr>
              <w:autoSpaceDE w:val="0"/>
              <w:autoSpaceDN w:val="0"/>
              <w:jc w:val="both"/>
              <w:rPr>
                <w:rFonts w:eastAsia="Calibri"/>
                <w:color w:val="000000"/>
                <w:lang w:eastAsia="en-US"/>
              </w:rPr>
            </w:pPr>
          </w:p>
        </w:tc>
      </w:tr>
    </w:tbl>
    <w:p w14:paraId="4337FBC8" w14:textId="77777777" w:rsidR="00EA6DED" w:rsidRDefault="00EA6DED">
      <w:pPr>
        <w:ind w:left="1200"/>
        <w:rPr>
          <w:rFonts w:eastAsia="Calibri"/>
          <w:b/>
          <w:color w:val="000000"/>
          <w:sz w:val="22"/>
          <w:szCs w:val="22"/>
        </w:rPr>
      </w:pPr>
    </w:p>
    <w:p w14:paraId="4337FBC9" w14:textId="77777777" w:rsidR="00EA6DED" w:rsidRDefault="007504AE">
      <w:pPr>
        <w:shd w:val="clear" w:color="auto" w:fill="FFE599"/>
        <w:spacing w:line="276" w:lineRule="auto"/>
        <w:ind w:right="170"/>
        <w:jc w:val="both"/>
        <w:rPr>
          <w:rFonts w:eastAsia="Arial"/>
          <w:b/>
          <w:color w:val="000000"/>
          <w:szCs w:val="22"/>
        </w:rPr>
      </w:pPr>
      <w:r>
        <w:rPr>
          <w:rFonts w:eastAsia="Arial"/>
          <w:b/>
          <w:color w:val="00B0F0"/>
          <w:sz w:val="22"/>
          <w:szCs w:val="22"/>
        </w:rPr>
        <w:t>Q</w:t>
      </w:r>
      <w:r>
        <w:rPr>
          <w:rFonts w:eastAsia="Arial"/>
          <w:b/>
          <w:color w:val="00B0F0"/>
          <w:szCs w:val="22"/>
        </w:rPr>
        <w:t>uestion d’évaluation 8 :</w:t>
      </w:r>
      <w:r>
        <w:rPr>
          <w:rFonts w:eastAsia="Arial"/>
          <w:b/>
          <w:color w:val="000000"/>
          <w:szCs w:val="22"/>
        </w:rPr>
        <w:t xml:space="preserve"> Dans quelle mesure les ressources (humaines, matérielles, logistiques, partenariats stratégiques, etc.) ont- elles été mobilisées et utilisées de manière optimale en s’appuyant sur la stratégie de partenariat et mobilisation des ressources, le BOS, le HACT pour atteindre les réalisations escomptées du CC ?</w:t>
      </w:r>
    </w:p>
    <w:p w14:paraId="4337FBCA" w14:textId="77777777" w:rsidR="00EA6DED" w:rsidRDefault="00EA6DED">
      <w:pPr>
        <w:spacing w:line="276" w:lineRule="auto"/>
        <w:ind w:right="-293"/>
        <w:jc w:val="both"/>
        <w:rPr>
          <w:rFonts w:eastAsia="Arial"/>
          <w:color w:val="000000"/>
          <w:sz w:val="13"/>
          <w:szCs w:val="13"/>
        </w:rPr>
      </w:pPr>
    </w:p>
    <w:p w14:paraId="4337FBCB" w14:textId="77777777" w:rsidR="00EA6DED" w:rsidRDefault="007504AE">
      <w:pPr>
        <w:pStyle w:val="Titre3"/>
      </w:pPr>
      <w:bookmarkStart w:id="135" w:name="_Toc18630"/>
      <w:r>
        <w:rPr>
          <w:rFonts w:ascii="Times New Roman" w:hAnsi="Times New Roman"/>
          <w:i/>
          <w:iCs/>
          <w:color w:val="000000"/>
          <w:sz w:val="22"/>
          <w:szCs w:val="22"/>
        </w:rPr>
        <w:t>5.4.1. Optimalité de l’utilisation des ressources (humaines, financières et matérielles) du CC 2022/2026</w:t>
      </w:r>
      <w:bookmarkEnd w:id="135"/>
    </w:p>
    <w:p w14:paraId="4337FBCC" w14:textId="77777777" w:rsidR="00EA6DED" w:rsidRDefault="007504AE">
      <w:pPr>
        <w:jc w:val="both"/>
      </w:pPr>
      <w:r>
        <w:t xml:space="preserve">Sur la base des informations mises à la disposition des évaluateurs, on relève que la mobilisation financière annuelle évolue decrescendo pendant la période partant de 264 996 430 $ USD en 2022 à 24 223 100 $ USD en 2024. Cependant, en l’absence des données de 2022 par Réalisation, une analyse segmentée a été faite avec les données de 2023 et 2024 pour visualiser les tendances. La configuration des ressources mobilisées et dépensées pour ces deux années par Réalisation se trouve </w:t>
      </w:r>
      <w:r>
        <w:rPr>
          <w:color w:val="000000"/>
        </w:rPr>
        <w:t>dans le tableau 7 ci-</w:t>
      </w:r>
      <w:r>
        <w:t xml:space="preserve">après : </w:t>
      </w:r>
    </w:p>
    <w:p w14:paraId="4337FBCD" w14:textId="77777777" w:rsidR="00EA6DED" w:rsidRDefault="00EA6DED">
      <w:pPr>
        <w:jc w:val="both"/>
      </w:pPr>
    </w:p>
    <w:p w14:paraId="4337FBCE" w14:textId="77777777" w:rsidR="00EA6DED" w:rsidRDefault="007504AE">
      <w:pPr>
        <w:rPr>
          <w:sz w:val="21"/>
          <w:szCs w:val="21"/>
        </w:rPr>
      </w:pPr>
      <w:r>
        <w:rPr>
          <w:sz w:val="21"/>
          <w:szCs w:val="21"/>
        </w:rPr>
        <w:br w:type="page"/>
      </w:r>
    </w:p>
    <w:p w14:paraId="4337FBCF" w14:textId="77777777" w:rsidR="00EA6DED" w:rsidRDefault="007504AE">
      <w:pPr>
        <w:pStyle w:val="Lgende"/>
        <w:jc w:val="both"/>
        <w:rPr>
          <w:sz w:val="21"/>
          <w:szCs w:val="21"/>
        </w:rPr>
      </w:pPr>
      <w:r>
        <w:rPr>
          <w:sz w:val="21"/>
          <w:szCs w:val="21"/>
        </w:rPr>
        <w:lastRenderedPageBreak/>
        <w:t xml:space="preserve">Tableau </w:t>
      </w:r>
      <w:r>
        <w:rPr>
          <w:sz w:val="21"/>
          <w:szCs w:val="21"/>
        </w:rPr>
        <w:fldChar w:fldCharType="begin"/>
      </w:r>
      <w:r>
        <w:rPr>
          <w:sz w:val="21"/>
          <w:szCs w:val="21"/>
        </w:rPr>
        <w:instrText xml:space="preserve"> SEQ Tableau \* ARABIC </w:instrText>
      </w:r>
      <w:r>
        <w:rPr>
          <w:sz w:val="21"/>
          <w:szCs w:val="21"/>
        </w:rPr>
        <w:fldChar w:fldCharType="separate"/>
      </w:r>
      <w:r>
        <w:rPr>
          <w:sz w:val="21"/>
          <w:szCs w:val="21"/>
        </w:rPr>
        <w:t>8</w:t>
      </w:r>
      <w:r>
        <w:rPr>
          <w:sz w:val="21"/>
          <w:szCs w:val="21"/>
        </w:rPr>
        <w:fldChar w:fldCharType="end"/>
      </w:r>
      <w:bookmarkStart w:id="136" w:name="_Toc26868"/>
      <w:r>
        <w:rPr>
          <w:sz w:val="21"/>
          <w:szCs w:val="21"/>
        </w:rPr>
        <w:t xml:space="preserve"> Ventilation des ressources mobilisées et dépensées en 2022 et 2024 et par Réalisation</w:t>
      </w:r>
      <w:r>
        <w:rPr>
          <w:rStyle w:val="Appelnotedebasdep"/>
          <w:rFonts w:eastAsia="SimSun"/>
          <w:sz w:val="20"/>
          <w:szCs w:val="20"/>
        </w:rPr>
        <w:footnoteReference w:id="100"/>
      </w:r>
      <w:bookmarkEnd w:id="136"/>
    </w:p>
    <w:p w14:paraId="4337FBD0" w14:textId="77777777" w:rsidR="00EA6DED" w:rsidRDefault="00EA6DED"/>
    <w:tbl>
      <w:tblPr>
        <w:tblW w:w="10348" w:type="dxa"/>
        <w:tblInd w:w="-10" w:type="dxa"/>
        <w:tblLayout w:type="fixed"/>
        <w:tblCellMar>
          <w:left w:w="70" w:type="dxa"/>
          <w:right w:w="70" w:type="dxa"/>
        </w:tblCellMar>
        <w:tblLook w:val="04A0" w:firstRow="1" w:lastRow="0" w:firstColumn="1" w:lastColumn="0" w:noHBand="0" w:noVBand="1"/>
      </w:tblPr>
      <w:tblGrid>
        <w:gridCol w:w="1418"/>
        <w:gridCol w:w="1417"/>
        <w:gridCol w:w="1560"/>
        <w:gridCol w:w="1417"/>
        <w:gridCol w:w="1559"/>
        <w:gridCol w:w="1418"/>
        <w:gridCol w:w="1559"/>
      </w:tblGrid>
      <w:tr w:rsidR="00EA6DED" w14:paraId="4337FBD8" w14:textId="77777777">
        <w:trPr>
          <w:trHeight w:val="980"/>
        </w:trPr>
        <w:tc>
          <w:tcPr>
            <w:tcW w:w="1418" w:type="dxa"/>
            <w:tcBorders>
              <w:top w:val="single" w:sz="8" w:space="0" w:color="auto"/>
              <w:left w:val="single" w:sz="8" w:space="0" w:color="auto"/>
              <w:bottom w:val="single" w:sz="8" w:space="0" w:color="auto"/>
              <w:right w:val="single" w:sz="8" w:space="0" w:color="auto"/>
            </w:tcBorders>
            <w:shd w:val="clear" w:color="D9E1F2" w:fill="D9E1F2"/>
            <w:noWrap/>
            <w:vAlign w:val="bottom"/>
          </w:tcPr>
          <w:p w14:paraId="4337FBD1" w14:textId="77777777" w:rsidR="00EA6DED" w:rsidRDefault="007504AE">
            <w:pPr>
              <w:rPr>
                <w:b/>
                <w:bCs/>
                <w:color w:val="000000"/>
                <w:sz w:val="22"/>
                <w:szCs w:val="22"/>
              </w:rPr>
            </w:pPr>
            <w:r>
              <w:rPr>
                <w:b/>
                <w:bCs/>
                <w:color w:val="000000"/>
                <w:sz w:val="22"/>
                <w:szCs w:val="22"/>
              </w:rPr>
              <w:t> </w:t>
            </w:r>
          </w:p>
        </w:tc>
        <w:tc>
          <w:tcPr>
            <w:tcW w:w="1417" w:type="dxa"/>
            <w:tcBorders>
              <w:top w:val="single" w:sz="8" w:space="0" w:color="auto"/>
              <w:left w:val="nil"/>
              <w:bottom w:val="single" w:sz="8" w:space="0" w:color="auto"/>
              <w:right w:val="single" w:sz="8" w:space="0" w:color="auto"/>
            </w:tcBorders>
            <w:shd w:val="clear" w:color="D9E1F2" w:fill="D9E1F2"/>
            <w:vAlign w:val="center"/>
          </w:tcPr>
          <w:p w14:paraId="4337FBD2" w14:textId="77777777" w:rsidR="00EA6DED" w:rsidRDefault="007504AE">
            <w:pPr>
              <w:jc w:val="center"/>
              <w:rPr>
                <w:b/>
                <w:bCs/>
                <w:color w:val="000000"/>
                <w:sz w:val="22"/>
                <w:szCs w:val="22"/>
              </w:rPr>
            </w:pPr>
            <w:r>
              <w:rPr>
                <w:b/>
                <w:bCs/>
                <w:color w:val="000000"/>
                <w:sz w:val="22"/>
                <w:szCs w:val="22"/>
              </w:rPr>
              <w:t>Mobilisation</w:t>
            </w:r>
            <w:r>
              <w:rPr>
                <w:b/>
                <w:bCs/>
                <w:color w:val="000000"/>
                <w:sz w:val="22"/>
                <w:szCs w:val="22"/>
              </w:rPr>
              <w:br/>
              <w:t>Initiale</w:t>
            </w:r>
          </w:p>
        </w:tc>
        <w:tc>
          <w:tcPr>
            <w:tcW w:w="1560" w:type="dxa"/>
            <w:tcBorders>
              <w:top w:val="single" w:sz="8" w:space="0" w:color="auto"/>
              <w:left w:val="nil"/>
              <w:bottom w:val="single" w:sz="8" w:space="0" w:color="auto"/>
              <w:right w:val="single" w:sz="8" w:space="0" w:color="auto"/>
            </w:tcBorders>
            <w:shd w:val="clear" w:color="D9E1F2" w:fill="D9E1F2"/>
            <w:vAlign w:val="center"/>
          </w:tcPr>
          <w:p w14:paraId="4337FBD3" w14:textId="77777777" w:rsidR="00EA6DED" w:rsidRDefault="007504AE">
            <w:pPr>
              <w:jc w:val="center"/>
              <w:rPr>
                <w:b/>
                <w:bCs/>
                <w:color w:val="000000"/>
                <w:sz w:val="22"/>
                <w:szCs w:val="22"/>
              </w:rPr>
            </w:pPr>
            <w:r>
              <w:rPr>
                <w:b/>
                <w:bCs/>
                <w:color w:val="000000"/>
                <w:sz w:val="22"/>
                <w:szCs w:val="22"/>
              </w:rPr>
              <w:t xml:space="preserve">Mobilisation de </w:t>
            </w:r>
            <w:r>
              <w:rPr>
                <w:b/>
                <w:bCs/>
                <w:color w:val="000000"/>
                <w:sz w:val="22"/>
                <w:szCs w:val="22"/>
              </w:rPr>
              <w:br/>
              <w:t>l'exercice</w:t>
            </w:r>
          </w:p>
        </w:tc>
        <w:tc>
          <w:tcPr>
            <w:tcW w:w="1417" w:type="dxa"/>
            <w:tcBorders>
              <w:top w:val="single" w:sz="8" w:space="0" w:color="auto"/>
              <w:left w:val="nil"/>
              <w:bottom w:val="single" w:sz="8" w:space="0" w:color="auto"/>
              <w:right w:val="single" w:sz="8" w:space="0" w:color="auto"/>
            </w:tcBorders>
            <w:shd w:val="clear" w:color="D9E1F2" w:fill="D9E1F2"/>
            <w:vAlign w:val="center"/>
          </w:tcPr>
          <w:p w14:paraId="4337FBD4" w14:textId="77777777" w:rsidR="00EA6DED" w:rsidRDefault="007504AE">
            <w:pPr>
              <w:jc w:val="center"/>
              <w:rPr>
                <w:b/>
                <w:bCs/>
                <w:color w:val="000000"/>
                <w:sz w:val="22"/>
                <w:szCs w:val="22"/>
              </w:rPr>
            </w:pPr>
            <w:r>
              <w:rPr>
                <w:b/>
                <w:bCs/>
                <w:color w:val="000000"/>
                <w:sz w:val="22"/>
                <w:szCs w:val="22"/>
              </w:rPr>
              <w:t>Total disponibilité</w:t>
            </w:r>
          </w:p>
        </w:tc>
        <w:tc>
          <w:tcPr>
            <w:tcW w:w="1559" w:type="dxa"/>
            <w:tcBorders>
              <w:top w:val="single" w:sz="8" w:space="0" w:color="auto"/>
              <w:left w:val="nil"/>
              <w:bottom w:val="single" w:sz="8" w:space="0" w:color="auto"/>
              <w:right w:val="single" w:sz="8" w:space="0" w:color="auto"/>
            </w:tcBorders>
            <w:shd w:val="clear" w:color="D9E1F2" w:fill="D9E1F2"/>
            <w:vAlign w:val="center"/>
          </w:tcPr>
          <w:p w14:paraId="4337FBD5" w14:textId="77777777" w:rsidR="00EA6DED" w:rsidRDefault="007504AE">
            <w:pPr>
              <w:jc w:val="center"/>
              <w:rPr>
                <w:b/>
                <w:bCs/>
                <w:color w:val="000000"/>
                <w:sz w:val="22"/>
                <w:szCs w:val="22"/>
              </w:rPr>
            </w:pPr>
            <w:r>
              <w:rPr>
                <w:b/>
                <w:bCs/>
                <w:color w:val="000000"/>
                <w:sz w:val="22"/>
                <w:szCs w:val="22"/>
              </w:rPr>
              <w:t xml:space="preserve">Dépenses de </w:t>
            </w:r>
            <w:r>
              <w:rPr>
                <w:b/>
                <w:bCs/>
                <w:color w:val="000000"/>
                <w:sz w:val="22"/>
                <w:szCs w:val="22"/>
              </w:rPr>
              <w:br/>
              <w:t>l'exercice</w:t>
            </w:r>
          </w:p>
        </w:tc>
        <w:tc>
          <w:tcPr>
            <w:tcW w:w="1418" w:type="dxa"/>
            <w:tcBorders>
              <w:top w:val="single" w:sz="8" w:space="0" w:color="auto"/>
              <w:left w:val="nil"/>
              <w:bottom w:val="single" w:sz="8" w:space="0" w:color="auto"/>
              <w:right w:val="single" w:sz="8" w:space="0" w:color="auto"/>
            </w:tcBorders>
            <w:shd w:val="clear" w:color="D9E1F2" w:fill="D9E1F2"/>
            <w:vAlign w:val="center"/>
          </w:tcPr>
          <w:p w14:paraId="4337FBD6" w14:textId="77777777" w:rsidR="00EA6DED" w:rsidRDefault="007504AE">
            <w:pPr>
              <w:jc w:val="center"/>
              <w:rPr>
                <w:b/>
                <w:bCs/>
                <w:color w:val="000000"/>
                <w:sz w:val="22"/>
                <w:szCs w:val="22"/>
              </w:rPr>
            </w:pPr>
            <w:r>
              <w:rPr>
                <w:b/>
                <w:bCs/>
                <w:color w:val="000000"/>
                <w:sz w:val="22"/>
                <w:szCs w:val="22"/>
              </w:rPr>
              <w:t xml:space="preserve">Solde </w:t>
            </w:r>
            <w:r>
              <w:rPr>
                <w:b/>
                <w:bCs/>
                <w:color w:val="000000"/>
                <w:sz w:val="22"/>
                <w:szCs w:val="22"/>
              </w:rPr>
              <w:br/>
              <w:t>disponibilité</w:t>
            </w:r>
          </w:p>
        </w:tc>
        <w:tc>
          <w:tcPr>
            <w:tcW w:w="1559" w:type="dxa"/>
            <w:tcBorders>
              <w:top w:val="single" w:sz="8" w:space="0" w:color="auto"/>
              <w:left w:val="nil"/>
              <w:bottom w:val="single" w:sz="8" w:space="0" w:color="auto"/>
              <w:right w:val="single" w:sz="8" w:space="0" w:color="auto"/>
            </w:tcBorders>
            <w:shd w:val="clear" w:color="D9E1F2" w:fill="D9E1F2"/>
            <w:vAlign w:val="center"/>
          </w:tcPr>
          <w:p w14:paraId="4337FBD7" w14:textId="77777777" w:rsidR="00EA6DED" w:rsidRDefault="007504AE">
            <w:pPr>
              <w:jc w:val="center"/>
              <w:rPr>
                <w:b/>
                <w:bCs/>
                <w:color w:val="000000"/>
                <w:sz w:val="22"/>
                <w:szCs w:val="22"/>
              </w:rPr>
            </w:pPr>
            <w:r>
              <w:rPr>
                <w:b/>
                <w:bCs/>
                <w:color w:val="000000"/>
                <w:sz w:val="22"/>
                <w:szCs w:val="22"/>
              </w:rPr>
              <w:t>Taux de consommation</w:t>
            </w:r>
            <w:r>
              <w:rPr>
                <w:b/>
                <w:bCs/>
                <w:color w:val="000000"/>
                <w:sz w:val="22"/>
                <w:szCs w:val="22"/>
              </w:rPr>
              <w:br/>
              <w:t>( dép/mob exercice)</w:t>
            </w:r>
          </w:p>
        </w:tc>
      </w:tr>
      <w:tr w:rsidR="00EA6DED" w14:paraId="4337FBE0" w14:textId="77777777">
        <w:trPr>
          <w:trHeight w:val="320"/>
        </w:trPr>
        <w:tc>
          <w:tcPr>
            <w:tcW w:w="1418" w:type="dxa"/>
            <w:tcBorders>
              <w:top w:val="nil"/>
              <w:left w:val="single" w:sz="8" w:space="0" w:color="auto"/>
              <w:bottom w:val="single" w:sz="8" w:space="0" w:color="auto"/>
              <w:right w:val="single" w:sz="8" w:space="0" w:color="auto"/>
            </w:tcBorders>
            <w:shd w:val="clear" w:color="D9E1F2" w:fill="FFFFFF"/>
            <w:noWrap/>
            <w:vAlign w:val="bottom"/>
          </w:tcPr>
          <w:p w14:paraId="4337FBD9" w14:textId="77777777" w:rsidR="00EA6DED" w:rsidRDefault="007504AE">
            <w:pPr>
              <w:rPr>
                <w:b/>
                <w:bCs/>
                <w:color w:val="000000"/>
                <w:sz w:val="22"/>
                <w:szCs w:val="22"/>
              </w:rPr>
            </w:pPr>
            <w:r>
              <w:rPr>
                <w:b/>
                <w:bCs/>
                <w:color w:val="000000"/>
                <w:sz w:val="22"/>
                <w:szCs w:val="22"/>
              </w:rPr>
              <w:t> </w:t>
            </w:r>
          </w:p>
        </w:tc>
        <w:tc>
          <w:tcPr>
            <w:tcW w:w="1417" w:type="dxa"/>
            <w:tcBorders>
              <w:top w:val="nil"/>
              <w:left w:val="nil"/>
              <w:bottom w:val="single" w:sz="8" w:space="0" w:color="auto"/>
              <w:right w:val="single" w:sz="8" w:space="0" w:color="auto"/>
            </w:tcBorders>
            <w:shd w:val="clear" w:color="000000" w:fill="FFFF00"/>
            <w:noWrap/>
            <w:vAlign w:val="bottom"/>
          </w:tcPr>
          <w:p w14:paraId="4337FBDA" w14:textId="77777777" w:rsidR="00EA6DED" w:rsidRDefault="007504AE">
            <w:pPr>
              <w:rPr>
                <w:b/>
                <w:bCs/>
                <w:color w:val="000000"/>
                <w:sz w:val="22"/>
                <w:szCs w:val="22"/>
              </w:rPr>
            </w:pPr>
            <w:r>
              <w:rPr>
                <w:b/>
                <w:bCs/>
                <w:color w:val="000000"/>
                <w:sz w:val="22"/>
                <w:szCs w:val="22"/>
              </w:rPr>
              <w:t xml:space="preserve">386 109 655 </w:t>
            </w:r>
          </w:p>
        </w:tc>
        <w:tc>
          <w:tcPr>
            <w:tcW w:w="1560" w:type="dxa"/>
            <w:tcBorders>
              <w:top w:val="nil"/>
              <w:left w:val="nil"/>
              <w:bottom w:val="single" w:sz="8" w:space="0" w:color="auto"/>
              <w:right w:val="single" w:sz="8" w:space="0" w:color="auto"/>
            </w:tcBorders>
            <w:shd w:val="clear" w:color="D9E1F2" w:fill="FFFFFF"/>
            <w:vAlign w:val="bottom"/>
          </w:tcPr>
          <w:p w14:paraId="4337FBDB" w14:textId="77777777" w:rsidR="00EA6DED" w:rsidRDefault="007504AE">
            <w:pPr>
              <w:rPr>
                <w:b/>
                <w:bCs/>
                <w:color w:val="000000"/>
                <w:sz w:val="22"/>
                <w:szCs w:val="22"/>
              </w:rPr>
            </w:pPr>
            <w:r>
              <w:rPr>
                <w:b/>
                <w:bCs/>
                <w:color w:val="000000"/>
                <w:sz w:val="22"/>
                <w:szCs w:val="22"/>
              </w:rPr>
              <w:t> </w:t>
            </w:r>
          </w:p>
        </w:tc>
        <w:tc>
          <w:tcPr>
            <w:tcW w:w="1417" w:type="dxa"/>
            <w:tcBorders>
              <w:top w:val="nil"/>
              <w:left w:val="nil"/>
              <w:bottom w:val="single" w:sz="8" w:space="0" w:color="auto"/>
              <w:right w:val="single" w:sz="8" w:space="0" w:color="auto"/>
            </w:tcBorders>
            <w:shd w:val="clear" w:color="D9E1F2" w:fill="FFFFFF"/>
            <w:vAlign w:val="bottom"/>
          </w:tcPr>
          <w:p w14:paraId="4337FBDC" w14:textId="77777777" w:rsidR="00EA6DED" w:rsidRDefault="007504AE">
            <w:pPr>
              <w:rPr>
                <w:b/>
                <w:bCs/>
                <w:color w:val="000000"/>
                <w:sz w:val="22"/>
                <w:szCs w:val="22"/>
              </w:rPr>
            </w:pPr>
            <w:r>
              <w:rPr>
                <w:b/>
                <w:bCs/>
                <w:color w:val="000000"/>
                <w:sz w:val="22"/>
                <w:szCs w:val="22"/>
              </w:rPr>
              <w:t> </w:t>
            </w:r>
          </w:p>
        </w:tc>
        <w:tc>
          <w:tcPr>
            <w:tcW w:w="1559" w:type="dxa"/>
            <w:tcBorders>
              <w:top w:val="nil"/>
              <w:left w:val="nil"/>
              <w:bottom w:val="single" w:sz="8" w:space="0" w:color="auto"/>
              <w:right w:val="single" w:sz="8" w:space="0" w:color="auto"/>
            </w:tcBorders>
            <w:shd w:val="clear" w:color="D9E1F2" w:fill="FFFFFF"/>
            <w:vAlign w:val="bottom"/>
          </w:tcPr>
          <w:p w14:paraId="4337FBDD" w14:textId="77777777" w:rsidR="00EA6DED" w:rsidRDefault="007504AE">
            <w:pPr>
              <w:rPr>
                <w:b/>
                <w:bCs/>
                <w:color w:val="000000"/>
                <w:sz w:val="22"/>
                <w:szCs w:val="22"/>
              </w:rPr>
            </w:pPr>
            <w:r>
              <w:rPr>
                <w:b/>
                <w:bCs/>
                <w:color w:val="000000"/>
                <w:sz w:val="22"/>
                <w:szCs w:val="22"/>
              </w:rPr>
              <w:t> </w:t>
            </w:r>
          </w:p>
        </w:tc>
        <w:tc>
          <w:tcPr>
            <w:tcW w:w="1418" w:type="dxa"/>
            <w:tcBorders>
              <w:top w:val="nil"/>
              <w:left w:val="nil"/>
              <w:bottom w:val="single" w:sz="8" w:space="0" w:color="auto"/>
              <w:right w:val="single" w:sz="8" w:space="0" w:color="auto"/>
            </w:tcBorders>
            <w:shd w:val="clear" w:color="D9E1F2" w:fill="FFFFFF"/>
            <w:vAlign w:val="bottom"/>
          </w:tcPr>
          <w:p w14:paraId="4337FBDE" w14:textId="77777777" w:rsidR="00EA6DED" w:rsidRDefault="007504AE">
            <w:pPr>
              <w:rPr>
                <w:b/>
                <w:bCs/>
                <w:color w:val="000000"/>
                <w:sz w:val="22"/>
                <w:szCs w:val="22"/>
              </w:rPr>
            </w:pPr>
            <w:r>
              <w:rPr>
                <w:b/>
                <w:bCs/>
                <w:color w:val="000000"/>
                <w:sz w:val="22"/>
                <w:szCs w:val="22"/>
              </w:rPr>
              <w:t> </w:t>
            </w:r>
          </w:p>
        </w:tc>
        <w:tc>
          <w:tcPr>
            <w:tcW w:w="1559" w:type="dxa"/>
            <w:tcBorders>
              <w:top w:val="nil"/>
              <w:left w:val="nil"/>
              <w:bottom w:val="single" w:sz="8" w:space="0" w:color="auto"/>
              <w:right w:val="single" w:sz="8" w:space="0" w:color="auto"/>
            </w:tcBorders>
            <w:shd w:val="clear" w:color="D9E1F2" w:fill="FFFFFF"/>
            <w:vAlign w:val="bottom"/>
          </w:tcPr>
          <w:p w14:paraId="4337FBDF" w14:textId="77777777" w:rsidR="00EA6DED" w:rsidRDefault="007504AE">
            <w:pPr>
              <w:rPr>
                <w:b/>
                <w:bCs/>
                <w:color w:val="000000"/>
                <w:sz w:val="22"/>
                <w:szCs w:val="22"/>
              </w:rPr>
            </w:pPr>
            <w:r>
              <w:rPr>
                <w:b/>
                <w:bCs/>
                <w:color w:val="000000"/>
                <w:sz w:val="22"/>
                <w:szCs w:val="22"/>
              </w:rPr>
              <w:t> </w:t>
            </w:r>
          </w:p>
        </w:tc>
      </w:tr>
      <w:tr w:rsidR="00EA6DED" w14:paraId="4337FBE8" w14:textId="77777777">
        <w:trPr>
          <w:trHeight w:val="320"/>
        </w:trPr>
        <w:tc>
          <w:tcPr>
            <w:tcW w:w="1418" w:type="dxa"/>
            <w:tcBorders>
              <w:top w:val="nil"/>
              <w:left w:val="single" w:sz="8" w:space="0" w:color="auto"/>
              <w:bottom w:val="single" w:sz="8" w:space="0" w:color="auto"/>
              <w:right w:val="single" w:sz="8" w:space="0" w:color="auto"/>
            </w:tcBorders>
            <w:shd w:val="clear" w:color="auto" w:fill="FFC000" w:themeFill="accent4"/>
            <w:noWrap/>
            <w:vAlign w:val="bottom"/>
          </w:tcPr>
          <w:p w14:paraId="4337FBE1" w14:textId="77777777" w:rsidR="00EA6DED" w:rsidRDefault="007504AE">
            <w:pPr>
              <w:rPr>
                <w:b/>
                <w:bCs/>
                <w:color w:val="000000"/>
                <w:sz w:val="22"/>
                <w:szCs w:val="22"/>
              </w:rPr>
            </w:pPr>
            <w:r>
              <w:rPr>
                <w:b/>
                <w:bCs/>
                <w:color w:val="000000"/>
                <w:sz w:val="22"/>
                <w:szCs w:val="22"/>
              </w:rPr>
              <w:t>2022</w:t>
            </w:r>
          </w:p>
        </w:tc>
        <w:tc>
          <w:tcPr>
            <w:tcW w:w="1417" w:type="dxa"/>
            <w:tcBorders>
              <w:top w:val="nil"/>
              <w:left w:val="nil"/>
              <w:bottom w:val="single" w:sz="8" w:space="0" w:color="auto"/>
              <w:right w:val="single" w:sz="8" w:space="0" w:color="auto"/>
            </w:tcBorders>
            <w:shd w:val="clear" w:color="auto" w:fill="FFD966" w:themeFill="accent4" w:themeFillTint="99"/>
            <w:noWrap/>
            <w:vAlign w:val="bottom"/>
          </w:tcPr>
          <w:p w14:paraId="4337FBE2" w14:textId="77777777" w:rsidR="00EA6DED" w:rsidRDefault="007504AE">
            <w:pPr>
              <w:rPr>
                <w:b/>
                <w:bCs/>
                <w:color w:val="000000"/>
                <w:sz w:val="22"/>
                <w:szCs w:val="22"/>
              </w:rPr>
            </w:pPr>
            <w:r>
              <w:rPr>
                <w:b/>
                <w:bCs/>
                <w:color w:val="000000"/>
                <w:sz w:val="22"/>
                <w:szCs w:val="22"/>
              </w:rPr>
              <w:t> </w:t>
            </w:r>
          </w:p>
        </w:tc>
        <w:tc>
          <w:tcPr>
            <w:tcW w:w="1560" w:type="dxa"/>
            <w:tcBorders>
              <w:top w:val="nil"/>
              <w:left w:val="nil"/>
              <w:bottom w:val="single" w:sz="8" w:space="0" w:color="auto"/>
              <w:right w:val="single" w:sz="8" w:space="0" w:color="auto"/>
            </w:tcBorders>
            <w:shd w:val="clear" w:color="auto" w:fill="FFD966" w:themeFill="accent4" w:themeFillTint="99"/>
            <w:noWrap/>
            <w:vAlign w:val="bottom"/>
          </w:tcPr>
          <w:p w14:paraId="4337FBE3" w14:textId="77777777" w:rsidR="00EA6DED" w:rsidRDefault="007504AE">
            <w:pPr>
              <w:rPr>
                <w:color w:val="000000"/>
                <w:sz w:val="22"/>
                <w:szCs w:val="22"/>
              </w:rPr>
            </w:pPr>
            <w:r>
              <w:rPr>
                <w:color w:val="000000"/>
                <w:sz w:val="22"/>
                <w:szCs w:val="22"/>
              </w:rPr>
              <w:t xml:space="preserve">                                       264 996 430 </w:t>
            </w:r>
          </w:p>
        </w:tc>
        <w:tc>
          <w:tcPr>
            <w:tcW w:w="1417" w:type="dxa"/>
            <w:tcBorders>
              <w:top w:val="nil"/>
              <w:left w:val="nil"/>
              <w:bottom w:val="single" w:sz="8" w:space="0" w:color="auto"/>
              <w:right w:val="single" w:sz="8" w:space="0" w:color="auto"/>
            </w:tcBorders>
            <w:shd w:val="clear" w:color="auto" w:fill="FFD966" w:themeFill="accent4" w:themeFillTint="99"/>
            <w:noWrap/>
            <w:vAlign w:val="bottom"/>
          </w:tcPr>
          <w:p w14:paraId="4337FBE4" w14:textId="77777777" w:rsidR="00EA6DED" w:rsidRDefault="007504AE">
            <w:pPr>
              <w:rPr>
                <w:color w:val="000000"/>
                <w:sz w:val="22"/>
                <w:szCs w:val="22"/>
              </w:rPr>
            </w:pPr>
            <w:r>
              <w:rPr>
                <w:color w:val="000000"/>
                <w:sz w:val="22"/>
                <w:szCs w:val="22"/>
              </w:rPr>
              <w:t xml:space="preserve">                                        651 106 085 </w:t>
            </w:r>
          </w:p>
        </w:tc>
        <w:tc>
          <w:tcPr>
            <w:tcW w:w="1559" w:type="dxa"/>
            <w:tcBorders>
              <w:top w:val="nil"/>
              <w:left w:val="nil"/>
              <w:bottom w:val="single" w:sz="8" w:space="0" w:color="auto"/>
              <w:right w:val="single" w:sz="8" w:space="0" w:color="auto"/>
            </w:tcBorders>
            <w:shd w:val="clear" w:color="auto" w:fill="FFD966" w:themeFill="accent4" w:themeFillTint="99"/>
            <w:noWrap/>
            <w:vAlign w:val="bottom"/>
          </w:tcPr>
          <w:p w14:paraId="4337FBE5" w14:textId="77777777" w:rsidR="00EA6DED" w:rsidRDefault="007504AE">
            <w:pPr>
              <w:rPr>
                <w:color w:val="000000"/>
                <w:sz w:val="22"/>
                <w:szCs w:val="22"/>
              </w:rPr>
            </w:pPr>
            <w:r>
              <w:rPr>
                <w:color w:val="000000"/>
                <w:sz w:val="22"/>
                <w:szCs w:val="22"/>
              </w:rPr>
              <w:t xml:space="preserve">  264 996 430 </w:t>
            </w:r>
          </w:p>
        </w:tc>
        <w:tc>
          <w:tcPr>
            <w:tcW w:w="1418" w:type="dxa"/>
            <w:tcBorders>
              <w:top w:val="nil"/>
              <w:left w:val="nil"/>
              <w:bottom w:val="single" w:sz="8" w:space="0" w:color="auto"/>
              <w:right w:val="single" w:sz="8" w:space="0" w:color="auto"/>
            </w:tcBorders>
            <w:shd w:val="clear" w:color="auto" w:fill="FFC000" w:themeFill="accent4"/>
            <w:noWrap/>
            <w:vAlign w:val="bottom"/>
          </w:tcPr>
          <w:p w14:paraId="4337FBE6" w14:textId="77777777" w:rsidR="00EA6DED" w:rsidRDefault="007504AE">
            <w:pPr>
              <w:rPr>
                <w:color w:val="000000"/>
                <w:sz w:val="22"/>
                <w:szCs w:val="22"/>
              </w:rPr>
            </w:pPr>
            <w:r>
              <w:rPr>
                <w:color w:val="000000"/>
                <w:sz w:val="22"/>
                <w:szCs w:val="22"/>
              </w:rPr>
              <w:t xml:space="preserve"> 386 109 655 </w:t>
            </w:r>
          </w:p>
        </w:tc>
        <w:tc>
          <w:tcPr>
            <w:tcW w:w="1559" w:type="dxa"/>
            <w:tcBorders>
              <w:top w:val="nil"/>
              <w:left w:val="nil"/>
              <w:bottom w:val="single" w:sz="8" w:space="0" w:color="auto"/>
              <w:right w:val="single" w:sz="8" w:space="0" w:color="auto"/>
            </w:tcBorders>
            <w:shd w:val="clear" w:color="auto" w:fill="FFC000" w:themeFill="accent4"/>
            <w:noWrap/>
            <w:vAlign w:val="bottom"/>
          </w:tcPr>
          <w:p w14:paraId="4337FBE7" w14:textId="77777777" w:rsidR="00EA6DED" w:rsidRDefault="007504AE">
            <w:pPr>
              <w:jc w:val="right"/>
              <w:rPr>
                <w:color w:val="000000"/>
                <w:sz w:val="22"/>
                <w:szCs w:val="22"/>
              </w:rPr>
            </w:pPr>
            <w:r>
              <w:rPr>
                <w:color w:val="000000"/>
                <w:sz w:val="22"/>
                <w:szCs w:val="22"/>
              </w:rPr>
              <w:t>100%</w:t>
            </w:r>
          </w:p>
        </w:tc>
      </w:tr>
      <w:tr w:rsidR="00EA6DED" w14:paraId="4337FBEA" w14:textId="77777777">
        <w:trPr>
          <w:trHeight w:val="320"/>
        </w:trPr>
        <w:tc>
          <w:tcPr>
            <w:tcW w:w="10348" w:type="dxa"/>
            <w:gridSpan w:val="7"/>
            <w:tcBorders>
              <w:top w:val="nil"/>
              <w:left w:val="single" w:sz="8" w:space="0" w:color="auto"/>
              <w:bottom w:val="single" w:sz="8" w:space="0" w:color="auto"/>
              <w:right w:val="single" w:sz="8" w:space="0" w:color="auto"/>
            </w:tcBorders>
            <w:shd w:val="clear" w:color="auto" w:fill="FFD966" w:themeFill="accent4" w:themeFillTint="99"/>
            <w:noWrap/>
            <w:vAlign w:val="bottom"/>
          </w:tcPr>
          <w:p w14:paraId="4337FBE9" w14:textId="77777777" w:rsidR="00EA6DED" w:rsidRDefault="007504AE">
            <w:pPr>
              <w:rPr>
                <w:color w:val="000000"/>
                <w:sz w:val="22"/>
                <w:szCs w:val="22"/>
              </w:rPr>
            </w:pPr>
            <w:r>
              <w:rPr>
                <w:color w:val="000000"/>
                <w:sz w:val="22"/>
                <w:szCs w:val="22"/>
              </w:rPr>
              <w:t xml:space="preserve">NB : Les données de 2022 n’ont pas été présentées par Réalisation. </w:t>
            </w:r>
          </w:p>
        </w:tc>
      </w:tr>
      <w:tr w:rsidR="00EA6DED" w14:paraId="4337FBF2" w14:textId="77777777">
        <w:trPr>
          <w:trHeight w:val="320"/>
        </w:trPr>
        <w:tc>
          <w:tcPr>
            <w:tcW w:w="1418" w:type="dxa"/>
            <w:tcBorders>
              <w:top w:val="nil"/>
              <w:left w:val="single" w:sz="8" w:space="0" w:color="auto"/>
              <w:bottom w:val="single" w:sz="8" w:space="0" w:color="auto"/>
              <w:right w:val="single" w:sz="8" w:space="0" w:color="auto"/>
            </w:tcBorders>
            <w:shd w:val="clear" w:color="auto" w:fill="C5E0B3" w:themeFill="accent6" w:themeFillTint="66"/>
            <w:noWrap/>
            <w:vAlign w:val="bottom"/>
          </w:tcPr>
          <w:p w14:paraId="4337FBEB" w14:textId="77777777" w:rsidR="00EA6DED" w:rsidRDefault="007504AE">
            <w:pPr>
              <w:rPr>
                <w:b/>
                <w:bCs/>
                <w:color w:val="000000"/>
                <w:sz w:val="22"/>
                <w:szCs w:val="22"/>
              </w:rPr>
            </w:pPr>
            <w:r>
              <w:rPr>
                <w:b/>
                <w:bCs/>
                <w:color w:val="000000"/>
                <w:sz w:val="22"/>
                <w:szCs w:val="22"/>
              </w:rPr>
              <w:t>2023</w:t>
            </w:r>
          </w:p>
        </w:tc>
        <w:tc>
          <w:tcPr>
            <w:tcW w:w="1417" w:type="dxa"/>
            <w:tcBorders>
              <w:top w:val="nil"/>
              <w:left w:val="nil"/>
              <w:bottom w:val="single" w:sz="8" w:space="0" w:color="auto"/>
              <w:right w:val="single" w:sz="8" w:space="0" w:color="auto"/>
            </w:tcBorders>
            <w:shd w:val="clear" w:color="auto" w:fill="C5E0B3" w:themeFill="accent6" w:themeFillTint="66"/>
            <w:noWrap/>
            <w:vAlign w:val="bottom"/>
          </w:tcPr>
          <w:p w14:paraId="4337FBEC" w14:textId="77777777" w:rsidR="00EA6DED" w:rsidRDefault="007504AE">
            <w:pPr>
              <w:rPr>
                <w:b/>
                <w:bCs/>
                <w:color w:val="000000"/>
                <w:sz w:val="22"/>
                <w:szCs w:val="22"/>
              </w:rPr>
            </w:pPr>
            <w:r>
              <w:rPr>
                <w:b/>
                <w:bCs/>
                <w:color w:val="000000"/>
                <w:sz w:val="22"/>
                <w:szCs w:val="22"/>
              </w:rPr>
              <w:t> </w:t>
            </w:r>
          </w:p>
        </w:tc>
        <w:tc>
          <w:tcPr>
            <w:tcW w:w="1560" w:type="dxa"/>
            <w:tcBorders>
              <w:top w:val="nil"/>
              <w:left w:val="nil"/>
              <w:bottom w:val="single" w:sz="8" w:space="0" w:color="auto"/>
              <w:right w:val="single" w:sz="8" w:space="0" w:color="auto"/>
            </w:tcBorders>
            <w:shd w:val="clear" w:color="auto" w:fill="C5E0B3" w:themeFill="accent6" w:themeFillTint="66"/>
            <w:noWrap/>
            <w:vAlign w:val="bottom"/>
          </w:tcPr>
          <w:p w14:paraId="4337FBED" w14:textId="77777777" w:rsidR="00EA6DED" w:rsidRDefault="007504AE">
            <w:pPr>
              <w:rPr>
                <w:b/>
                <w:bCs/>
                <w:color w:val="000000"/>
                <w:sz w:val="22"/>
                <w:szCs w:val="22"/>
              </w:rPr>
            </w:pPr>
            <w:r>
              <w:rPr>
                <w:b/>
                <w:bCs/>
                <w:color w:val="000000"/>
                <w:sz w:val="22"/>
                <w:szCs w:val="22"/>
              </w:rPr>
              <w:t xml:space="preserve">                                           95 003 570 </w:t>
            </w:r>
          </w:p>
        </w:tc>
        <w:tc>
          <w:tcPr>
            <w:tcW w:w="1417" w:type="dxa"/>
            <w:tcBorders>
              <w:top w:val="nil"/>
              <w:left w:val="nil"/>
              <w:bottom w:val="single" w:sz="8" w:space="0" w:color="auto"/>
              <w:right w:val="single" w:sz="8" w:space="0" w:color="auto"/>
            </w:tcBorders>
            <w:shd w:val="clear" w:color="auto" w:fill="C5E0B3" w:themeFill="accent6" w:themeFillTint="66"/>
            <w:noWrap/>
            <w:vAlign w:val="bottom"/>
          </w:tcPr>
          <w:p w14:paraId="4337FBEE" w14:textId="77777777" w:rsidR="00EA6DED" w:rsidRDefault="007504AE">
            <w:pPr>
              <w:rPr>
                <w:color w:val="000000"/>
                <w:sz w:val="22"/>
                <w:szCs w:val="22"/>
              </w:rPr>
            </w:pPr>
            <w:r>
              <w:rPr>
                <w:color w:val="000000"/>
                <w:sz w:val="22"/>
                <w:szCs w:val="22"/>
              </w:rPr>
              <w:t xml:space="preserve">                                        481 113 225 </w:t>
            </w:r>
          </w:p>
        </w:tc>
        <w:tc>
          <w:tcPr>
            <w:tcW w:w="1559" w:type="dxa"/>
            <w:tcBorders>
              <w:top w:val="nil"/>
              <w:left w:val="nil"/>
              <w:bottom w:val="single" w:sz="8" w:space="0" w:color="auto"/>
              <w:right w:val="single" w:sz="8" w:space="0" w:color="auto"/>
            </w:tcBorders>
            <w:shd w:val="clear" w:color="auto" w:fill="C5E0B3" w:themeFill="accent6" w:themeFillTint="66"/>
            <w:noWrap/>
            <w:vAlign w:val="bottom"/>
          </w:tcPr>
          <w:p w14:paraId="4337FBEF" w14:textId="77777777" w:rsidR="00EA6DED" w:rsidRDefault="007504AE">
            <w:pPr>
              <w:rPr>
                <w:color w:val="000000"/>
                <w:sz w:val="22"/>
                <w:szCs w:val="22"/>
              </w:rPr>
            </w:pPr>
            <w:r>
              <w:rPr>
                <w:color w:val="000000"/>
                <w:sz w:val="22"/>
                <w:szCs w:val="22"/>
              </w:rPr>
              <w:t xml:space="preserve">54 474 205 </w:t>
            </w:r>
          </w:p>
        </w:tc>
        <w:tc>
          <w:tcPr>
            <w:tcW w:w="1418" w:type="dxa"/>
            <w:tcBorders>
              <w:top w:val="nil"/>
              <w:left w:val="nil"/>
              <w:bottom w:val="single" w:sz="8" w:space="0" w:color="auto"/>
              <w:right w:val="single" w:sz="8" w:space="0" w:color="auto"/>
            </w:tcBorders>
            <w:shd w:val="clear" w:color="auto" w:fill="C5E0B3" w:themeFill="accent6" w:themeFillTint="66"/>
            <w:noWrap/>
            <w:vAlign w:val="bottom"/>
          </w:tcPr>
          <w:p w14:paraId="4337FBF0" w14:textId="77777777" w:rsidR="00EA6DED" w:rsidRDefault="007504AE">
            <w:pPr>
              <w:rPr>
                <w:color w:val="000000"/>
                <w:sz w:val="22"/>
                <w:szCs w:val="22"/>
              </w:rPr>
            </w:pPr>
            <w:r>
              <w:rPr>
                <w:color w:val="000000"/>
                <w:sz w:val="22"/>
                <w:szCs w:val="22"/>
              </w:rPr>
              <w:t xml:space="preserve">426 639 020 </w:t>
            </w:r>
          </w:p>
        </w:tc>
        <w:tc>
          <w:tcPr>
            <w:tcW w:w="1559" w:type="dxa"/>
            <w:tcBorders>
              <w:top w:val="nil"/>
              <w:left w:val="nil"/>
              <w:bottom w:val="single" w:sz="8" w:space="0" w:color="auto"/>
              <w:right w:val="single" w:sz="8" w:space="0" w:color="auto"/>
            </w:tcBorders>
            <w:shd w:val="clear" w:color="auto" w:fill="C5E0B3" w:themeFill="accent6" w:themeFillTint="66"/>
            <w:noWrap/>
            <w:vAlign w:val="bottom"/>
          </w:tcPr>
          <w:p w14:paraId="4337FBF1" w14:textId="77777777" w:rsidR="00EA6DED" w:rsidRDefault="007504AE">
            <w:pPr>
              <w:jc w:val="both"/>
              <w:rPr>
                <w:color w:val="000000"/>
                <w:sz w:val="22"/>
                <w:szCs w:val="22"/>
              </w:rPr>
            </w:pPr>
            <w:r>
              <w:rPr>
                <w:color w:val="000000"/>
                <w:sz w:val="22"/>
                <w:szCs w:val="22"/>
              </w:rPr>
              <w:t>57%</w:t>
            </w:r>
          </w:p>
        </w:tc>
      </w:tr>
      <w:tr w:rsidR="00EA6DED" w14:paraId="4337FBFA" w14:textId="77777777">
        <w:trPr>
          <w:trHeight w:val="320"/>
        </w:trPr>
        <w:tc>
          <w:tcPr>
            <w:tcW w:w="1418" w:type="dxa"/>
            <w:tcBorders>
              <w:top w:val="nil"/>
              <w:left w:val="single" w:sz="8" w:space="0" w:color="auto"/>
              <w:bottom w:val="single" w:sz="8" w:space="0" w:color="auto"/>
              <w:right w:val="single" w:sz="8" w:space="0" w:color="auto"/>
            </w:tcBorders>
            <w:noWrap/>
            <w:vAlign w:val="bottom"/>
          </w:tcPr>
          <w:p w14:paraId="4337FBF3" w14:textId="77777777" w:rsidR="00EA6DED" w:rsidRDefault="007504AE">
            <w:pPr>
              <w:rPr>
                <w:color w:val="000000"/>
                <w:sz w:val="22"/>
                <w:szCs w:val="22"/>
              </w:rPr>
            </w:pPr>
            <w:r>
              <w:rPr>
                <w:color w:val="000000"/>
                <w:sz w:val="22"/>
                <w:szCs w:val="22"/>
              </w:rPr>
              <w:t>Réalisation 1</w:t>
            </w:r>
          </w:p>
        </w:tc>
        <w:tc>
          <w:tcPr>
            <w:tcW w:w="1417" w:type="dxa"/>
            <w:tcBorders>
              <w:top w:val="nil"/>
              <w:left w:val="nil"/>
              <w:bottom w:val="single" w:sz="8" w:space="0" w:color="auto"/>
              <w:right w:val="single" w:sz="8" w:space="0" w:color="auto"/>
            </w:tcBorders>
            <w:noWrap/>
            <w:vAlign w:val="bottom"/>
          </w:tcPr>
          <w:p w14:paraId="4337FBF4" w14:textId="77777777" w:rsidR="00EA6DED" w:rsidRDefault="007504AE">
            <w:pPr>
              <w:ind w:firstLineChars="100" w:firstLine="220"/>
              <w:rPr>
                <w:color w:val="000000"/>
                <w:sz w:val="22"/>
                <w:szCs w:val="22"/>
              </w:rPr>
            </w:pPr>
            <w:r>
              <w:rPr>
                <w:color w:val="000000"/>
                <w:sz w:val="22"/>
                <w:szCs w:val="22"/>
              </w:rPr>
              <w:t> </w:t>
            </w:r>
          </w:p>
        </w:tc>
        <w:tc>
          <w:tcPr>
            <w:tcW w:w="1560" w:type="dxa"/>
            <w:tcBorders>
              <w:top w:val="nil"/>
              <w:left w:val="nil"/>
              <w:bottom w:val="single" w:sz="8" w:space="0" w:color="auto"/>
              <w:right w:val="single" w:sz="8" w:space="0" w:color="auto"/>
            </w:tcBorders>
            <w:noWrap/>
            <w:vAlign w:val="bottom"/>
          </w:tcPr>
          <w:p w14:paraId="4337FBF5" w14:textId="77777777" w:rsidR="00EA6DED" w:rsidRDefault="007504AE">
            <w:pPr>
              <w:rPr>
                <w:color w:val="000000"/>
                <w:sz w:val="22"/>
                <w:szCs w:val="22"/>
              </w:rPr>
            </w:pPr>
            <w:r>
              <w:rPr>
                <w:color w:val="000000"/>
                <w:sz w:val="22"/>
                <w:szCs w:val="22"/>
              </w:rPr>
              <w:t xml:space="preserve">                                              1 536 761 </w:t>
            </w:r>
          </w:p>
        </w:tc>
        <w:tc>
          <w:tcPr>
            <w:tcW w:w="1417" w:type="dxa"/>
            <w:tcBorders>
              <w:top w:val="nil"/>
              <w:left w:val="nil"/>
              <w:bottom w:val="single" w:sz="8" w:space="0" w:color="auto"/>
              <w:right w:val="single" w:sz="8" w:space="0" w:color="auto"/>
            </w:tcBorders>
            <w:noWrap/>
            <w:vAlign w:val="bottom"/>
          </w:tcPr>
          <w:p w14:paraId="4337FBF6"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BF7" w14:textId="77777777" w:rsidR="00EA6DED" w:rsidRDefault="007504AE">
            <w:pPr>
              <w:rPr>
                <w:color w:val="000000"/>
                <w:sz w:val="22"/>
                <w:szCs w:val="22"/>
              </w:rPr>
            </w:pPr>
            <w:r>
              <w:rPr>
                <w:color w:val="000000"/>
                <w:sz w:val="22"/>
                <w:szCs w:val="22"/>
              </w:rPr>
              <w:t xml:space="preserve"> 6 362 119 </w:t>
            </w:r>
          </w:p>
        </w:tc>
        <w:tc>
          <w:tcPr>
            <w:tcW w:w="1418" w:type="dxa"/>
            <w:tcBorders>
              <w:top w:val="nil"/>
              <w:left w:val="nil"/>
              <w:bottom w:val="single" w:sz="8" w:space="0" w:color="auto"/>
              <w:right w:val="single" w:sz="8" w:space="0" w:color="auto"/>
            </w:tcBorders>
            <w:noWrap/>
            <w:vAlign w:val="bottom"/>
          </w:tcPr>
          <w:p w14:paraId="4337FBF8"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BF9" w14:textId="77777777" w:rsidR="00EA6DED" w:rsidRDefault="007504AE">
            <w:pPr>
              <w:rPr>
                <w:color w:val="000000"/>
                <w:sz w:val="22"/>
                <w:szCs w:val="22"/>
              </w:rPr>
            </w:pPr>
            <w:r>
              <w:rPr>
                <w:color w:val="000000"/>
                <w:sz w:val="22"/>
                <w:szCs w:val="22"/>
              </w:rPr>
              <w:t> </w:t>
            </w:r>
          </w:p>
        </w:tc>
      </w:tr>
      <w:tr w:rsidR="00EA6DED" w14:paraId="4337FC02" w14:textId="77777777">
        <w:trPr>
          <w:trHeight w:val="320"/>
        </w:trPr>
        <w:tc>
          <w:tcPr>
            <w:tcW w:w="1418" w:type="dxa"/>
            <w:tcBorders>
              <w:top w:val="nil"/>
              <w:left w:val="single" w:sz="8" w:space="0" w:color="auto"/>
              <w:bottom w:val="single" w:sz="8" w:space="0" w:color="auto"/>
              <w:right w:val="single" w:sz="8" w:space="0" w:color="auto"/>
            </w:tcBorders>
            <w:noWrap/>
            <w:vAlign w:val="bottom"/>
          </w:tcPr>
          <w:p w14:paraId="4337FBFB" w14:textId="77777777" w:rsidR="00EA6DED" w:rsidRDefault="007504AE">
            <w:pPr>
              <w:rPr>
                <w:color w:val="000000"/>
                <w:sz w:val="22"/>
                <w:szCs w:val="22"/>
              </w:rPr>
            </w:pPr>
            <w:r>
              <w:rPr>
                <w:color w:val="000000"/>
                <w:sz w:val="22"/>
                <w:szCs w:val="22"/>
              </w:rPr>
              <w:t>Réalisation 2.1</w:t>
            </w:r>
          </w:p>
        </w:tc>
        <w:tc>
          <w:tcPr>
            <w:tcW w:w="1417" w:type="dxa"/>
            <w:tcBorders>
              <w:top w:val="nil"/>
              <w:left w:val="nil"/>
              <w:bottom w:val="single" w:sz="8" w:space="0" w:color="auto"/>
              <w:right w:val="single" w:sz="8" w:space="0" w:color="auto"/>
            </w:tcBorders>
            <w:noWrap/>
            <w:vAlign w:val="bottom"/>
          </w:tcPr>
          <w:p w14:paraId="4337FBFC" w14:textId="77777777" w:rsidR="00EA6DED" w:rsidRDefault="007504AE">
            <w:pPr>
              <w:ind w:firstLineChars="100" w:firstLine="220"/>
              <w:rPr>
                <w:color w:val="000000"/>
                <w:sz w:val="22"/>
                <w:szCs w:val="22"/>
              </w:rPr>
            </w:pPr>
            <w:r>
              <w:rPr>
                <w:color w:val="000000"/>
                <w:sz w:val="22"/>
                <w:szCs w:val="22"/>
              </w:rPr>
              <w:t> </w:t>
            </w:r>
          </w:p>
        </w:tc>
        <w:tc>
          <w:tcPr>
            <w:tcW w:w="1560" w:type="dxa"/>
            <w:tcBorders>
              <w:top w:val="nil"/>
              <w:left w:val="nil"/>
              <w:bottom w:val="single" w:sz="8" w:space="0" w:color="auto"/>
              <w:right w:val="single" w:sz="8" w:space="0" w:color="auto"/>
            </w:tcBorders>
            <w:noWrap/>
            <w:vAlign w:val="bottom"/>
          </w:tcPr>
          <w:p w14:paraId="4337FBFD" w14:textId="77777777" w:rsidR="00EA6DED" w:rsidRDefault="007504AE">
            <w:pPr>
              <w:rPr>
                <w:color w:val="000000"/>
                <w:sz w:val="22"/>
                <w:szCs w:val="22"/>
              </w:rPr>
            </w:pPr>
            <w:r>
              <w:rPr>
                <w:color w:val="000000"/>
                <w:sz w:val="22"/>
                <w:szCs w:val="22"/>
              </w:rPr>
              <w:t xml:space="preserve">                                           55 175 948 </w:t>
            </w:r>
          </w:p>
        </w:tc>
        <w:tc>
          <w:tcPr>
            <w:tcW w:w="1417" w:type="dxa"/>
            <w:tcBorders>
              <w:top w:val="nil"/>
              <w:left w:val="nil"/>
              <w:bottom w:val="single" w:sz="8" w:space="0" w:color="auto"/>
              <w:right w:val="single" w:sz="8" w:space="0" w:color="auto"/>
            </w:tcBorders>
            <w:noWrap/>
            <w:vAlign w:val="bottom"/>
          </w:tcPr>
          <w:p w14:paraId="4337FBFE"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BFF" w14:textId="77777777" w:rsidR="00EA6DED" w:rsidRDefault="007504AE">
            <w:pPr>
              <w:rPr>
                <w:color w:val="000000"/>
                <w:sz w:val="22"/>
                <w:szCs w:val="22"/>
              </w:rPr>
            </w:pPr>
            <w:r>
              <w:rPr>
                <w:color w:val="000000"/>
                <w:sz w:val="22"/>
                <w:szCs w:val="22"/>
              </w:rPr>
              <w:t xml:space="preserve">35 288 365 </w:t>
            </w:r>
          </w:p>
        </w:tc>
        <w:tc>
          <w:tcPr>
            <w:tcW w:w="1418" w:type="dxa"/>
            <w:tcBorders>
              <w:top w:val="nil"/>
              <w:left w:val="nil"/>
              <w:bottom w:val="single" w:sz="8" w:space="0" w:color="auto"/>
              <w:right w:val="single" w:sz="8" w:space="0" w:color="auto"/>
            </w:tcBorders>
            <w:noWrap/>
            <w:vAlign w:val="bottom"/>
          </w:tcPr>
          <w:p w14:paraId="4337FC00"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01" w14:textId="77777777" w:rsidR="00EA6DED" w:rsidRDefault="007504AE">
            <w:pPr>
              <w:rPr>
                <w:color w:val="000000"/>
                <w:sz w:val="22"/>
                <w:szCs w:val="22"/>
              </w:rPr>
            </w:pPr>
            <w:r>
              <w:rPr>
                <w:color w:val="000000"/>
                <w:sz w:val="22"/>
                <w:szCs w:val="22"/>
              </w:rPr>
              <w:t> </w:t>
            </w:r>
          </w:p>
        </w:tc>
      </w:tr>
      <w:tr w:rsidR="00EA6DED" w14:paraId="4337FC0A" w14:textId="77777777">
        <w:trPr>
          <w:trHeight w:val="320"/>
        </w:trPr>
        <w:tc>
          <w:tcPr>
            <w:tcW w:w="1418" w:type="dxa"/>
            <w:tcBorders>
              <w:top w:val="nil"/>
              <w:left w:val="single" w:sz="8" w:space="0" w:color="auto"/>
              <w:bottom w:val="single" w:sz="8" w:space="0" w:color="auto"/>
              <w:right w:val="single" w:sz="8" w:space="0" w:color="auto"/>
            </w:tcBorders>
            <w:noWrap/>
            <w:vAlign w:val="bottom"/>
          </w:tcPr>
          <w:p w14:paraId="4337FC03" w14:textId="77777777" w:rsidR="00EA6DED" w:rsidRDefault="007504AE">
            <w:pPr>
              <w:rPr>
                <w:color w:val="000000"/>
                <w:sz w:val="22"/>
                <w:szCs w:val="22"/>
              </w:rPr>
            </w:pPr>
            <w:r>
              <w:rPr>
                <w:color w:val="000000"/>
                <w:sz w:val="22"/>
                <w:szCs w:val="22"/>
              </w:rPr>
              <w:t>Réalisation 2.2</w:t>
            </w:r>
          </w:p>
        </w:tc>
        <w:tc>
          <w:tcPr>
            <w:tcW w:w="1417" w:type="dxa"/>
            <w:tcBorders>
              <w:top w:val="nil"/>
              <w:left w:val="nil"/>
              <w:bottom w:val="single" w:sz="8" w:space="0" w:color="auto"/>
              <w:right w:val="single" w:sz="8" w:space="0" w:color="auto"/>
            </w:tcBorders>
            <w:noWrap/>
            <w:vAlign w:val="bottom"/>
          </w:tcPr>
          <w:p w14:paraId="4337FC04" w14:textId="77777777" w:rsidR="00EA6DED" w:rsidRDefault="007504AE">
            <w:pPr>
              <w:ind w:firstLineChars="100" w:firstLine="220"/>
              <w:rPr>
                <w:color w:val="000000"/>
                <w:sz w:val="22"/>
                <w:szCs w:val="22"/>
              </w:rPr>
            </w:pPr>
            <w:r>
              <w:rPr>
                <w:color w:val="000000"/>
                <w:sz w:val="22"/>
                <w:szCs w:val="22"/>
              </w:rPr>
              <w:t> </w:t>
            </w:r>
          </w:p>
        </w:tc>
        <w:tc>
          <w:tcPr>
            <w:tcW w:w="1560" w:type="dxa"/>
            <w:tcBorders>
              <w:top w:val="nil"/>
              <w:left w:val="nil"/>
              <w:bottom w:val="single" w:sz="8" w:space="0" w:color="auto"/>
              <w:right w:val="single" w:sz="8" w:space="0" w:color="auto"/>
            </w:tcBorders>
            <w:noWrap/>
            <w:vAlign w:val="bottom"/>
          </w:tcPr>
          <w:p w14:paraId="4337FC05" w14:textId="77777777" w:rsidR="00EA6DED" w:rsidRDefault="007504AE">
            <w:pPr>
              <w:rPr>
                <w:color w:val="000000"/>
                <w:sz w:val="22"/>
                <w:szCs w:val="22"/>
              </w:rPr>
            </w:pPr>
            <w:r>
              <w:rPr>
                <w:color w:val="000000"/>
                <w:sz w:val="22"/>
                <w:szCs w:val="22"/>
              </w:rPr>
              <w:t xml:space="preserve">                                                                 -   </w:t>
            </w:r>
          </w:p>
        </w:tc>
        <w:tc>
          <w:tcPr>
            <w:tcW w:w="1417" w:type="dxa"/>
            <w:tcBorders>
              <w:top w:val="nil"/>
              <w:left w:val="nil"/>
              <w:bottom w:val="single" w:sz="8" w:space="0" w:color="auto"/>
              <w:right w:val="single" w:sz="8" w:space="0" w:color="auto"/>
            </w:tcBorders>
            <w:noWrap/>
            <w:vAlign w:val="bottom"/>
          </w:tcPr>
          <w:p w14:paraId="4337FC06"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07" w14:textId="77777777" w:rsidR="00EA6DED" w:rsidRDefault="007504AE">
            <w:pPr>
              <w:rPr>
                <w:color w:val="000000"/>
                <w:sz w:val="22"/>
                <w:szCs w:val="22"/>
              </w:rPr>
            </w:pPr>
            <w:r>
              <w:rPr>
                <w:color w:val="000000"/>
                <w:sz w:val="22"/>
                <w:szCs w:val="22"/>
              </w:rPr>
              <w:t xml:space="preserve">                     400 137 </w:t>
            </w:r>
          </w:p>
        </w:tc>
        <w:tc>
          <w:tcPr>
            <w:tcW w:w="1418" w:type="dxa"/>
            <w:tcBorders>
              <w:top w:val="nil"/>
              <w:left w:val="nil"/>
              <w:bottom w:val="single" w:sz="8" w:space="0" w:color="auto"/>
              <w:right w:val="single" w:sz="8" w:space="0" w:color="auto"/>
            </w:tcBorders>
            <w:noWrap/>
            <w:vAlign w:val="bottom"/>
          </w:tcPr>
          <w:p w14:paraId="4337FC08"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09" w14:textId="77777777" w:rsidR="00EA6DED" w:rsidRDefault="007504AE">
            <w:pPr>
              <w:rPr>
                <w:color w:val="000000"/>
                <w:sz w:val="22"/>
                <w:szCs w:val="22"/>
              </w:rPr>
            </w:pPr>
            <w:r>
              <w:rPr>
                <w:color w:val="000000"/>
                <w:sz w:val="22"/>
                <w:szCs w:val="22"/>
              </w:rPr>
              <w:t> </w:t>
            </w:r>
          </w:p>
        </w:tc>
      </w:tr>
      <w:tr w:rsidR="00EA6DED" w14:paraId="4337FC12" w14:textId="77777777">
        <w:trPr>
          <w:trHeight w:val="320"/>
        </w:trPr>
        <w:tc>
          <w:tcPr>
            <w:tcW w:w="1418" w:type="dxa"/>
            <w:tcBorders>
              <w:top w:val="nil"/>
              <w:left w:val="single" w:sz="8" w:space="0" w:color="auto"/>
              <w:bottom w:val="single" w:sz="8" w:space="0" w:color="auto"/>
              <w:right w:val="single" w:sz="8" w:space="0" w:color="auto"/>
            </w:tcBorders>
            <w:noWrap/>
            <w:vAlign w:val="bottom"/>
          </w:tcPr>
          <w:p w14:paraId="4337FC0B" w14:textId="77777777" w:rsidR="00EA6DED" w:rsidRDefault="007504AE">
            <w:pPr>
              <w:rPr>
                <w:color w:val="000000"/>
                <w:sz w:val="22"/>
                <w:szCs w:val="22"/>
              </w:rPr>
            </w:pPr>
            <w:r>
              <w:rPr>
                <w:color w:val="000000"/>
                <w:sz w:val="22"/>
                <w:szCs w:val="22"/>
              </w:rPr>
              <w:t>Réalisation 3</w:t>
            </w:r>
          </w:p>
        </w:tc>
        <w:tc>
          <w:tcPr>
            <w:tcW w:w="1417" w:type="dxa"/>
            <w:tcBorders>
              <w:top w:val="nil"/>
              <w:left w:val="nil"/>
              <w:bottom w:val="single" w:sz="8" w:space="0" w:color="auto"/>
              <w:right w:val="single" w:sz="8" w:space="0" w:color="auto"/>
            </w:tcBorders>
            <w:noWrap/>
            <w:vAlign w:val="bottom"/>
          </w:tcPr>
          <w:p w14:paraId="4337FC0C" w14:textId="77777777" w:rsidR="00EA6DED" w:rsidRDefault="007504AE">
            <w:pPr>
              <w:ind w:firstLineChars="100" w:firstLine="220"/>
              <w:rPr>
                <w:color w:val="000000"/>
                <w:sz w:val="22"/>
                <w:szCs w:val="22"/>
              </w:rPr>
            </w:pPr>
            <w:r>
              <w:rPr>
                <w:color w:val="000000"/>
                <w:sz w:val="22"/>
                <w:szCs w:val="22"/>
              </w:rPr>
              <w:t> </w:t>
            </w:r>
          </w:p>
        </w:tc>
        <w:tc>
          <w:tcPr>
            <w:tcW w:w="1560" w:type="dxa"/>
            <w:tcBorders>
              <w:top w:val="nil"/>
              <w:left w:val="nil"/>
              <w:bottom w:val="single" w:sz="8" w:space="0" w:color="auto"/>
              <w:right w:val="single" w:sz="8" w:space="0" w:color="auto"/>
            </w:tcBorders>
            <w:noWrap/>
            <w:vAlign w:val="bottom"/>
          </w:tcPr>
          <w:p w14:paraId="4337FC0D" w14:textId="77777777" w:rsidR="00EA6DED" w:rsidRDefault="007504AE">
            <w:pPr>
              <w:rPr>
                <w:color w:val="000000"/>
                <w:sz w:val="22"/>
                <w:szCs w:val="22"/>
              </w:rPr>
            </w:pPr>
            <w:r>
              <w:rPr>
                <w:color w:val="000000"/>
                <w:sz w:val="22"/>
                <w:szCs w:val="22"/>
              </w:rPr>
              <w:t xml:space="preserve">                                              1 540 661 </w:t>
            </w:r>
          </w:p>
        </w:tc>
        <w:tc>
          <w:tcPr>
            <w:tcW w:w="1417" w:type="dxa"/>
            <w:tcBorders>
              <w:top w:val="nil"/>
              <w:left w:val="nil"/>
              <w:bottom w:val="single" w:sz="8" w:space="0" w:color="auto"/>
              <w:right w:val="single" w:sz="8" w:space="0" w:color="auto"/>
            </w:tcBorders>
            <w:noWrap/>
            <w:vAlign w:val="bottom"/>
          </w:tcPr>
          <w:p w14:paraId="4337FC0E"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0F" w14:textId="77777777" w:rsidR="00EA6DED" w:rsidRDefault="007504AE">
            <w:pPr>
              <w:rPr>
                <w:color w:val="000000"/>
                <w:sz w:val="22"/>
                <w:szCs w:val="22"/>
              </w:rPr>
            </w:pPr>
            <w:r>
              <w:rPr>
                <w:color w:val="000000"/>
                <w:sz w:val="22"/>
                <w:szCs w:val="22"/>
              </w:rPr>
              <w:t xml:space="preserve">7 657 544 </w:t>
            </w:r>
          </w:p>
        </w:tc>
        <w:tc>
          <w:tcPr>
            <w:tcW w:w="1418" w:type="dxa"/>
            <w:tcBorders>
              <w:top w:val="nil"/>
              <w:left w:val="nil"/>
              <w:bottom w:val="single" w:sz="8" w:space="0" w:color="auto"/>
              <w:right w:val="single" w:sz="8" w:space="0" w:color="auto"/>
            </w:tcBorders>
            <w:noWrap/>
            <w:vAlign w:val="bottom"/>
          </w:tcPr>
          <w:p w14:paraId="4337FC10"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11" w14:textId="77777777" w:rsidR="00EA6DED" w:rsidRDefault="007504AE">
            <w:pPr>
              <w:rPr>
                <w:color w:val="000000"/>
                <w:sz w:val="22"/>
                <w:szCs w:val="22"/>
              </w:rPr>
            </w:pPr>
            <w:r>
              <w:rPr>
                <w:color w:val="000000"/>
                <w:sz w:val="22"/>
                <w:szCs w:val="22"/>
              </w:rPr>
              <w:t> </w:t>
            </w:r>
          </w:p>
        </w:tc>
      </w:tr>
      <w:tr w:rsidR="00EA6DED" w14:paraId="4337FC1A" w14:textId="77777777">
        <w:trPr>
          <w:trHeight w:val="320"/>
        </w:trPr>
        <w:tc>
          <w:tcPr>
            <w:tcW w:w="1418" w:type="dxa"/>
            <w:tcBorders>
              <w:top w:val="nil"/>
              <w:left w:val="single" w:sz="8" w:space="0" w:color="auto"/>
              <w:bottom w:val="single" w:sz="8" w:space="0" w:color="auto"/>
              <w:right w:val="single" w:sz="8" w:space="0" w:color="auto"/>
            </w:tcBorders>
            <w:noWrap/>
            <w:vAlign w:val="bottom"/>
          </w:tcPr>
          <w:p w14:paraId="4337FC13" w14:textId="77777777" w:rsidR="00EA6DED" w:rsidRDefault="007504AE">
            <w:pPr>
              <w:rPr>
                <w:color w:val="000000"/>
                <w:sz w:val="22"/>
                <w:szCs w:val="22"/>
              </w:rPr>
            </w:pPr>
            <w:r>
              <w:rPr>
                <w:color w:val="000000"/>
                <w:sz w:val="22"/>
                <w:szCs w:val="22"/>
              </w:rPr>
              <w:t>Réalisation 4</w:t>
            </w:r>
          </w:p>
        </w:tc>
        <w:tc>
          <w:tcPr>
            <w:tcW w:w="1417" w:type="dxa"/>
            <w:tcBorders>
              <w:top w:val="nil"/>
              <w:left w:val="nil"/>
              <w:bottom w:val="single" w:sz="8" w:space="0" w:color="auto"/>
              <w:right w:val="single" w:sz="8" w:space="0" w:color="auto"/>
            </w:tcBorders>
            <w:noWrap/>
            <w:vAlign w:val="bottom"/>
          </w:tcPr>
          <w:p w14:paraId="4337FC14" w14:textId="77777777" w:rsidR="00EA6DED" w:rsidRDefault="007504AE">
            <w:pPr>
              <w:ind w:firstLineChars="100" w:firstLine="220"/>
              <w:rPr>
                <w:color w:val="000000"/>
                <w:sz w:val="22"/>
                <w:szCs w:val="22"/>
              </w:rPr>
            </w:pPr>
            <w:r>
              <w:rPr>
                <w:color w:val="000000"/>
                <w:sz w:val="22"/>
                <w:szCs w:val="22"/>
              </w:rPr>
              <w:t> </w:t>
            </w:r>
          </w:p>
        </w:tc>
        <w:tc>
          <w:tcPr>
            <w:tcW w:w="1560" w:type="dxa"/>
            <w:tcBorders>
              <w:top w:val="nil"/>
              <w:left w:val="nil"/>
              <w:bottom w:val="single" w:sz="8" w:space="0" w:color="auto"/>
              <w:right w:val="single" w:sz="8" w:space="0" w:color="auto"/>
            </w:tcBorders>
            <w:noWrap/>
            <w:vAlign w:val="bottom"/>
          </w:tcPr>
          <w:p w14:paraId="4337FC15" w14:textId="77777777" w:rsidR="00EA6DED" w:rsidRDefault="007504AE">
            <w:pPr>
              <w:rPr>
                <w:color w:val="000000"/>
                <w:sz w:val="22"/>
                <w:szCs w:val="22"/>
              </w:rPr>
            </w:pPr>
            <w:r>
              <w:rPr>
                <w:color w:val="000000"/>
                <w:sz w:val="22"/>
                <w:szCs w:val="22"/>
              </w:rPr>
              <w:t xml:space="preserve">                                           36 750 200 </w:t>
            </w:r>
          </w:p>
        </w:tc>
        <w:tc>
          <w:tcPr>
            <w:tcW w:w="1417" w:type="dxa"/>
            <w:tcBorders>
              <w:top w:val="nil"/>
              <w:left w:val="nil"/>
              <w:bottom w:val="single" w:sz="8" w:space="0" w:color="auto"/>
              <w:right w:val="single" w:sz="8" w:space="0" w:color="auto"/>
            </w:tcBorders>
            <w:noWrap/>
            <w:vAlign w:val="bottom"/>
          </w:tcPr>
          <w:p w14:paraId="4337FC16"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17" w14:textId="77777777" w:rsidR="00EA6DED" w:rsidRDefault="007504AE">
            <w:pPr>
              <w:rPr>
                <w:color w:val="000000"/>
                <w:sz w:val="22"/>
                <w:szCs w:val="22"/>
              </w:rPr>
            </w:pPr>
            <w:r>
              <w:rPr>
                <w:color w:val="000000"/>
                <w:sz w:val="22"/>
                <w:szCs w:val="22"/>
              </w:rPr>
              <w:t xml:space="preserve">4 766 040 </w:t>
            </w:r>
          </w:p>
        </w:tc>
        <w:tc>
          <w:tcPr>
            <w:tcW w:w="1418" w:type="dxa"/>
            <w:tcBorders>
              <w:top w:val="nil"/>
              <w:left w:val="nil"/>
              <w:bottom w:val="single" w:sz="8" w:space="0" w:color="auto"/>
              <w:right w:val="single" w:sz="8" w:space="0" w:color="auto"/>
            </w:tcBorders>
            <w:noWrap/>
            <w:vAlign w:val="bottom"/>
          </w:tcPr>
          <w:p w14:paraId="4337FC18"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19" w14:textId="77777777" w:rsidR="00EA6DED" w:rsidRDefault="007504AE">
            <w:pPr>
              <w:rPr>
                <w:color w:val="000000"/>
                <w:sz w:val="22"/>
                <w:szCs w:val="22"/>
              </w:rPr>
            </w:pPr>
            <w:r>
              <w:rPr>
                <w:color w:val="000000"/>
                <w:sz w:val="22"/>
                <w:szCs w:val="22"/>
              </w:rPr>
              <w:t> </w:t>
            </w:r>
          </w:p>
        </w:tc>
      </w:tr>
      <w:tr w:rsidR="00EA6DED" w14:paraId="4337FC22" w14:textId="77777777">
        <w:trPr>
          <w:trHeight w:val="320"/>
        </w:trPr>
        <w:tc>
          <w:tcPr>
            <w:tcW w:w="1418" w:type="dxa"/>
            <w:tcBorders>
              <w:top w:val="nil"/>
              <w:left w:val="single" w:sz="8" w:space="0" w:color="auto"/>
              <w:bottom w:val="single" w:sz="8" w:space="0" w:color="auto"/>
              <w:right w:val="single" w:sz="8" w:space="0" w:color="auto"/>
            </w:tcBorders>
            <w:shd w:val="clear" w:color="auto" w:fill="8EAADB" w:themeFill="accent1" w:themeFillTint="99"/>
            <w:noWrap/>
            <w:vAlign w:val="bottom"/>
          </w:tcPr>
          <w:p w14:paraId="4337FC1B" w14:textId="77777777" w:rsidR="00EA6DED" w:rsidRDefault="007504AE">
            <w:pPr>
              <w:rPr>
                <w:b/>
                <w:bCs/>
                <w:color w:val="000000"/>
                <w:sz w:val="22"/>
                <w:szCs w:val="22"/>
              </w:rPr>
            </w:pPr>
            <w:r>
              <w:rPr>
                <w:b/>
                <w:bCs/>
                <w:color w:val="000000"/>
                <w:sz w:val="22"/>
                <w:szCs w:val="22"/>
              </w:rPr>
              <w:t>2024</w:t>
            </w:r>
          </w:p>
        </w:tc>
        <w:tc>
          <w:tcPr>
            <w:tcW w:w="1417" w:type="dxa"/>
            <w:tcBorders>
              <w:top w:val="nil"/>
              <w:left w:val="nil"/>
              <w:bottom w:val="single" w:sz="8" w:space="0" w:color="auto"/>
              <w:right w:val="single" w:sz="8" w:space="0" w:color="auto"/>
            </w:tcBorders>
            <w:shd w:val="clear" w:color="auto" w:fill="8EAADB" w:themeFill="accent1" w:themeFillTint="99"/>
            <w:noWrap/>
            <w:vAlign w:val="bottom"/>
          </w:tcPr>
          <w:p w14:paraId="4337FC1C" w14:textId="77777777" w:rsidR="00EA6DED" w:rsidRDefault="007504AE">
            <w:pPr>
              <w:rPr>
                <w:b/>
                <w:bCs/>
                <w:color w:val="000000"/>
                <w:sz w:val="22"/>
                <w:szCs w:val="22"/>
              </w:rPr>
            </w:pPr>
            <w:r>
              <w:rPr>
                <w:b/>
                <w:bCs/>
                <w:color w:val="000000"/>
                <w:sz w:val="22"/>
                <w:szCs w:val="22"/>
              </w:rPr>
              <w:t> </w:t>
            </w:r>
          </w:p>
        </w:tc>
        <w:tc>
          <w:tcPr>
            <w:tcW w:w="1560" w:type="dxa"/>
            <w:tcBorders>
              <w:top w:val="nil"/>
              <w:left w:val="nil"/>
              <w:bottom w:val="single" w:sz="8" w:space="0" w:color="auto"/>
              <w:right w:val="single" w:sz="8" w:space="0" w:color="auto"/>
            </w:tcBorders>
            <w:shd w:val="clear" w:color="auto" w:fill="8EAADB" w:themeFill="accent1" w:themeFillTint="99"/>
            <w:noWrap/>
            <w:vAlign w:val="bottom"/>
          </w:tcPr>
          <w:p w14:paraId="4337FC1D" w14:textId="77777777" w:rsidR="00EA6DED" w:rsidRDefault="007504AE">
            <w:pPr>
              <w:rPr>
                <w:b/>
                <w:bCs/>
                <w:color w:val="000000"/>
                <w:sz w:val="22"/>
                <w:szCs w:val="22"/>
              </w:rPr>
            </w:pPr>
            <w:r>
              <w:rPr>
                <w:b/>
                <w:bCs/>
                <w:color w:val="000000"/>
                <w:sz w:val="22"/>
                <w:szCs w:val="22"/>
              </w:rPr>
              <w:t xml:space="preserve">                                           24 223 100 </w:t>
            </w:r>
          </w:p>
        </w:tc>
        <w:tc>
          <w:tcPr>
            <w:tcW w:w="1417" w:type="dxa"/>
            <w:tcBorders>
              <w:top w:val="nil"/>
              <w:left w:val="nil"/>
              <w:bottom w:val="single" w:sz="8" w:space="0" w:color="auto"/>
              <w:right w:val="single" w:sz="8" w:space="0" w:color="auto"/>
            </w:tcBorders>
            <w:shd w:val="clear" w:color="auto" w:fill="8EAADB" w:themeFill="accent1" w:themeFillTint="99"/>
            <w:noWrap/>
            <w:vAlign w:val="bottom"/>
          </w:tcPr>
          <w:p w14:paraId="4337FC1E" w14:textId="77777777" w:rsidR="00EA6DED" w:rsidRDefault="007504AE">
            <w:pPr>
              <w:rPr>
                <w:b/>
                <w:bCs/>
                <w:color w:val="000000"/>
                <w:sz w:val="22"/>
                <w:szCs w:val="22"/>
              </w:rPr>
            </w:pPr>
            <w:r>
              <w:rPr>
                <w:b/>
                <w:bCs/>
                <w:color w:val="000000"/>
                <w:sz w:val="22"/>
                <w:szCs w:val="22"/>
              </w:rPr>
              <w:t xml:space="preserve">                                        450 862 120 </w:t>
            </w:r>
          </w:p>
        </w:tc>
        <w:tc>
          <w:tcPr>
            <w:tcW w:w="1559" w:type="dxa"/>
            <w:tcBorders>
              <w:top w:val="nil"/>
              <w:left w:val="nil"/>
              <w:bottom w:val="single" w:sz="8" w:space="0" w:color="auto"/>
              <w:right w:val="single" w:sz="8" w:space="0" w:color="auto"/>
            </w:tcBorders>
            <w:shd w:val="clear" w:color="auto" w:fill="8EAADB" w:themeFill="accent1" w:themeFillTint="99"/>
            <w:noWrap/>
            <w:vAlign w:val="bottom"/>
          </w:tcPr>
          <w:p w14:paraId="4337FC1F" w14:textId="77777777" w:rsidR="00EA6DED" w:rsidRDefault="007504AE">
            <w:pPr>
              <w:rPr>
                <w:b/>
                <w:bCs/>
                <w:color w:val="000000"/>
                <w:sz w:val="22"/>
                <w:szCs w:val="22"/>
              </w:rPr>
            </w:pPr>
            <w:r>
              <w:rPr>
                <w:b/>
                <w:bCs/>
                <w:color w:val="000000"/>
                <w:sz w:val="22"/>
                <w:szCs w:val="22"/>
              </w:rPr>
              <w:t xml:space="preserve">23 498 285 </w:t>
            </w:r>
          </w:p>
        </w:tc>
        <w:tc>
          <w:tcPr>
            <w:tcW w:w="1418" w:type="dxa"/>
            <w:tcBorders>
              <w:top w:val="nil"/>
              <w:left w:val="nil"/>
              <w:bottom w:val="single" w:sz="8" w:space="0" w:color="auto"/>
              <w:right w:val="single" w:sz="8" w:space="0" w:color="auto"/>
            </w:tcBorders>
            <w:shd w:val="clear" w:color="auto" w:fill="8EAADB" w:themeFill="accent1" w:themeFillTint="99"/>
            <w:noWrap/>
            <w:vAlign w:val="bottom"/>
          </w:tcPr>
          <w:p w14:paraId="4337FC20" w14:textId="77777777" w:rsidR="00EA6DED" w:rsidRDefault="007504AE">
            <w:pPr>
              <w:rPr>
                <w:b/>
                <w:bCs/>
                <w:color w:val="000000"/>
                <w:sz w:val="22"/>
                <w:szCs w:val="22"/>
              </w:rPr>
            </w:pPr>
            <w:r>
              <w:rPr>
                <w:b/>
                <w:bCs/>
                <w:color w:val="000000"/>
                <w:sz w:val="22"/>
                <w:szCs w:val="22"/>
              </w:rPr>
              <w:t xml:space="preserve">427 363 835 </w:t>
            </w:r>
          </w:p>
        </w:tc>
        <w:tc>
          <w:tcPr>
            <w:tcW w:w="1559" w:type="dxa"/>
            <w:tcBorders>
              <w:top w:val="nil"/>
              <w:left w:val="nil"/>
              <w:bottom w:val="single" w:sz="8" w:space="0" w:color="auto"/>
              <w:right w:val="single" w:sz="8" w:space="0" w:color="auto"/>
            </w:tcBorders>
            <w:shd w:val="clear" w:color="auto" w:fill="8EAADB" w:themeFill="accent1" w:themeFillTint="99"/>
            <w:noWrap/>
            <w:vAlign w:val="bottom"/>
          </w:tcPr>
          <w:p w14:paraId="4337FC21" w14:textId="77777777" w:rsidR="00EA6DED" w:rsidRDefault="007504AE">
            <w:pPr>
              <w:jc w:val="both"/>
              <w:rPr>
                <w:color w:val="000000"/>
                <w:sz w:val="22"/>
                <w:szCs w:val="22"/>
              </w:rPr>
            </w:pPr>
            <w:r>
              <w:rPr>
                <w:color w:val="000000"/>
                <w:sz w:val="22"/>
                <w:szCs w:val="22"/>
              </w:rPr>
              <w:t>97%</w:t>
            </w:r>
          </w:p>
        </w:tc>
      </w:tr>
      <w:tr w:rsidR="00EA6DED" w14:paraId="4337FC2A" w14:textId="77777777">
        <w:trPr>
          <w:trHeight w:val="320"/>
        </w:trPr>
        <w:tc>
          <w:tcPr>
            <w:tcW w:w="1418" w:type="dxa"/>
            <w:tcBorders>
              <w:top w:val="nil"/>
              <w:left w:val="single" w:sz="8" w:space="0" w:color="auto"/>
              <w:bottom w:val="single" w:sz="8" w:space="0" w:color="auto"/>
              <w:right w:val="single" w:sz="8" w:space="0" w:color="auto"/>
            </w:tcBorders>
            <w:noWrap/>
            <w:vAlign w:val="bottom"/>
          </w:tcPr>
          <w:p w14:paraId="4337FC23" w14:textId="77777777" w:rsidR="00EA6DED" w:rsidRDefault="007504AE">
            <w:pPr>
              <w:rPr>
                <w:color w:val="000000"/>
                <w:sz w:val="22"/>
                <w:szCs w:val="22"/>
              </w:rPr>
            </w:pPr>
            <w:r>
              <w:rPr>
                <w:color w:val="000000"/>
                <w:sz w:val="22"/>
                <w:szCs w:val="22"/>
              </w:rPr>
              <w:t>Réalisation 1</w:t>
            </w:r>
          </w:p>
        </w:tc>
        <w:tc>
          <w:tcPr>
            <w:tcW w:w="1417" w:type="dxa"/>
            <w:tcBorders>
              <w:top w:val="nil"/>
              <w:left w:val="nil"/>
              <w:bottom w:val="single" w:sz="8" w:space="0" w:color="auto"/>
              <w:right w:val="single" w:sz="8" w:space="0" w:color="auto"/>
            </w:tcBorders>
            <w:noWrap/>
            <w:vAlign w:val="bottom"/>
          </w:tcPr>
          <w:p w14:paraId="4337FC24" w14:textId="77777777" w:rsidR="00EA6DED" w:rsidRDefault="007504AE">
            <w:pPr>
              <w:ind w:firstLineChars="100" w:firstLine="220"/>
              <w:rPr>
                <w:color w:val="000000"/>
                <w:sz w:val="22"/>
                <w:szCs w:val="22"/>
              </w:rPr>
            </w:pPr>
            <w:r>
              <w:rPr>
                <w:color w:val="000000"/>
                <w:sz w:val="22"/>
                <w:szCs w:val="22"/>
              </w:rPr>
              <w:t> </w:t>
            </w:r>
          </w:p>
        </w:tc>
        <w:tc>
          <w:tcPr>
            <w:tcW w:w="1560" w:type="dxa"/>
            <w:tcBorders>
              <w:top w:val="nil"/>
              <w:left w:val="nil"/>
              <w:bottom w:val="single" w:sz="8" w:space="0" w:color="auto"/>
              <w:right w:val="single" w:sz="8" w:space="0" w:color="auto"/>
            </w:tcBorders>
            <w:noWrap/>
            <w:vAlign w:val="bottom"/>
          </w:tcPr>
          <w:p w14:paraId="4337FC25" w14:textId="77777777" w:rsidR="00EA6DED" w:rsidRDefault="007504AE">
            <w:pPr>
              <w:rPr>
                <w:color w:val="000000"/>
                <w:sz w:val="22"/>
                <w:szCs w:val="22"/>
              </w:rPr>
            </w:pPr>
            <w:r>
              <w:rPr>
                <w:color w:val="000000"/>
                <w:sz w:val="22"/>
                <w:szCs w:val="22"/>
              </w:rPr>
              <w:t xml:space="preserve">                                              7 460 250 </w:t>
            </w:r>
          </w:p>
        </w:tc>
        <w:tc>
          <w:tcPr>
            <w:tcW w:w="1417" w:type="dxa"/>
            <w:tcBorders>
              <w:top w:val="nil"/>
              <w:left w:val="nil"/>
              <w:bottom w:val="single" w:sz="8" w:space="0" w:color="auto"/>
              <w:right w:val="single" w:sz="8" w:space="0" w:color="auto"/>
            </w:tcBorders>
            <w:noWrap/>
            <w:vAlign w:val="bottom"/>
          </w:tcPr>
          <w:p w14:paraId="4337FC26"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27" w14:textId="77777777" w:rsidR="00EA6DED" w:rsidRDefault="007504AE">
            <w:pPr>
              <w:rPr>
                <w:color w:val="000000"/>
                <w:sz w:val="22"/>
                <w:szCs w:val="22"/>
              </w:rPr>
            </w:pPr>
            <w:r>
              <w:rPr>
                <w:color w:val="000000"/>
                <w:sz w:val="22"/>
                <w:szCs w:val="22"/>
              </w:rPr>
              <w:t xml:space="preserve">7 460 250 </w:t>
            </w:r>
          </w:p>
        </w:tc>
        <w:tc>
          <w:tcPr>
            <w:tcW w:w="1418" w:type="dxa"/>
            <w:tcBorders>
              <w:top w:val="nil"/>
              <w:left w:val="nil"/>
              <w:bottom w:val="single" w:sz="8" w:space="0" w:color="auto"/>
              <w:right w:val="single" w:sz="8" w:space="0" w:color="auto"/>
            </w:tcBorders>
            <w:noWrap/>
            <w:vAlign w:val="bottom"/>
          </w:tcPr>
          <w:p w14:paraId="4337FC28"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29" w14:textId="77777777" w:rsidR="00EA6DED" w:rsidRDefault="007504AE">
            <w:pPr>
              <w:rPr>
                <w:color w:val="000000"/>
                <w:sz w:val="22"/>
                <w:szCs w:val="22"/>
              </w:rPr>
            </w:pPr>
            <w:r>
              <w:rPr>
                <w:color w:val="000000"/>
                <w:sz w:val="22"/>
                <w:szCs w:val="22"/>
              </w:rPr>
              <w:t> </w:t>
            </w:r>
          </w:p>
        </w:tc>
      </w:tr>
      <w:tr w:rsidR="00EA6DED" w14:paraId="4337FC32" w14:textId="77777777">
        <w:trPr>
          <w:trHeight w:val="320"/>
        </w:trPr>
        <w:tc>
          <w:tcPr>
            <w:tcW w:w="1418" w:type="dxa"/>
            <w:tcBorders>
              <w:top w:val="nil"/>
              <w:left w:val="single" w:sz="8" w:space="0" w:color="auto"/>
              <w:bottom w:val="single" w:sz="8" w:space="0" w:color="auto"/>
              <w:right w:val="single" w:sz="8" w:space="0" w:color="auto"/>
            </w:tcBorders>
            <w:noWrap/>
            <w:vAlign w:val="bottom"/>
          </w:tcPr>
          <w:p w14:paraId="4337FC2B" w14:textId="77777777" w:rsidR="00EA6DED" w:rsidRDefault="007504AE">
            <w:pPr>
              <w:rPr>
                <w:color w:val="000000"/>
                <w:sz w:val="22"/>
                <w:szCs w:val="22"/>
              </w:rPr>
            </w:pPr>
            <w:r>
              <w:rPr>
                <w:color w:val="000000"/>
                <w:sz w:val="22"/>
                <w:szCs w:val="22"/>
              </w:rPr>
              <w:t>Réalisation 2.1</w:t>
            </w:r>
          </w:p>
        </w:tc>
        <w:tc>
          <w:tcPr>
            <w:tcW w:w="1417" w:type="dxa"/>
            <w:tcBorders>
              <w:top w:val="nil"/>
              <w:left w:val="nil"/>
              <w:bottom w:val="single" w:sz="8" w:space="0" w:color="auto"/>
              <w:right w:val="single" w:sz="8" w:space="0" w:color="auto"/>
            </w:tcBorders>
            <w:noWrap/>
            <w:vAlign w:val="bottom"/>
          </w:tcPr>
          <w:p w14:paraId="4337FC2C" w14:textId="77777777" w:rsidR="00EA6DED" w:rsidRDefault="007504AE">
            <w:pPr>
              <w:ind w:firstLineChars="100" w:firstLine="220"/>
              <w:rPr>
                <w:color w:val="000000"/>
                <w:sz w:val="22"/>
                <w:szCs w:val="22"/>
              </w:rPr>
            </w:pPr>
            <w:r>
              <w:rPr>
                <w:color w:val="000000"/>
                <w:sz w:val="22"/>
                <w:szCs w:val="22"/>
              </w:rPr>
              <w:t> </w:t>
            </w:r>
          </w:p>
        </w:tc>
        <w:tc>
          <w:tcPr>
            <w:tcW w:w="1560" w:type="dxa"/>
            <w:tcBorders>
              <w:top w:val="nil"/>
              <w:left w:val="nil"/>
              <w:bottom w:val="single" w:sz="8" w:space="0" w:color="auto"/>
              <w:right w:val="single" w:sz="8" w:space="0" w:color="auto"/>
            </w:tcBorders>
            <w:noWrap/>
            <w:vAlign w:val="bottom"/>
          </w:tcPr>
          <w:p w14:paraId="4337FC2D" w14:textId="77777777" w:rsidR="00EA6DED" w:rsidRDefault="007504AE">
            <w:pPr>
              <w:rPr>
                <w:color w:val="000000"/>
                <w:sz w:val="22"/>
                <w:szCs w:val="22"/>
              </w:rPr>
            </w:pPr>
            <w:r>
              <w:rPr>
                <w:color w:val="000000"/>
                <w:sz w:val="22"/>
                <w:szCs w:val="22"/>
              </w:rPr>
              <w:t xml:space="preserve">                                              7 510 000 </w:t>
            </w:r>
          </w:p>
        </w:tc>
        <w:tc>
          <w:tcPr>
            <w:tcW w:w="1417" w:type="dxa"/>
            <w:tcBorders>
              <w:top w:val="nil"/>
              <w:left w:val="nil"/>
              <w:bottom w:val="single" w:sz="8" w:space="0" w:color="auto"/>
              <w:right w:val="single" w:sz="8" w:space="0" w:color="auto"/>
            </w:tcBorders>
            <w:noWrap/>
            <w:vAlign w:val="bottom"/>
          </w:tcPr>
          <w:p w14:paraId="4337FC2E"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2F" w14:textId="77777777" w:rsidR="00EA6DED" w:rsidRDefault="007504AE">
            <w:pPr>
              <w:rPr>
                <w:color w:val="000000"/>
                <w:sz w:val="22"/>
                <w:szCs w:val="22"/>
              </w:rPr>
            </w:pPr>
            <w:r>
              <w:rPr>
                <w:color w:val="000000"/>
                <w:sz w:val="22"/>
                <w:szCs w:val="22"/>
              </w:rPr>
              <w:t xml:space="preserve">6 785 185 </w:t>
            </w:r>
          </w:p>
        </w:tc>
        <w:tc>
          <w:tcPr>
            <w:tcW w:w="1418" w:type="dxa"/>
            <w:tcBorders>
              <w:top w:val="nil"/>
              <w:left w:val="nil"/>
              <w:bottom w:val="single" w:sz="8" w:space="0" w:color="auto"/>
              <w:right w:val="single" w:sz="8" w:space="0" w:color="auto"/>
            </w:tcBorders>
            <w:noWrap/>
            <w:vAlign w:val="bottom"/>
          </w:tcPr>
          <w:p w14:paraId="4337FC30"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31" w14:textId="77777777" w:rsidR="00EA6DED" w:rsidRDefault="007504AE">
            <w:pPr>
              <w:rPr>
                <w:color w:val="000000"/>
                <w:sz w:val="22"/>
                <w:szCs w:val="22"/>
              </w:rPr>
            </w:pPr>
            <w:r>
              <w:rPr>
                <w:color w:val="000000"/>
                <w:sz w:val="22"/>
                <w:szCs w:val="22"/>
              </w:rPr>
              <w:t> </w:t>
            </w:r>
          </w:p>
        </w:tc>
      </w:tr>
      <w:tr w:rsidR="00EA6DED" w14:paraId="4337FC3A" w14:textId="77777777">
        <w:trPr>
          <w:trHeight w:val="320"/>
        </w:trPr>
        <w:tc>
          <w:tcPr>
            <w:tcW w:w="1418" w:type="dxa"/>
            <w:tcBorders>
              <w:top w:val="nil"/>
              <w:left w:val="single" w:sz="8" w:space="0" w:color="auto"/>
              <w:bottom w:val="single" w:sz="8" w:space="0" w:color="auto"/>
              <w:right w:val="single" w:sz="8" w:space="0" w:color="auto"/>
            </w:tcBorders>
            <w:noWrap/>
            <w:vAlign w:val="bottom"/>
          </w:tcPr>
          <w:p w14:paraId="4337FC33" w14:textId="77777777" w:rsidR="00EA6DED" w:rsidRDefault="007504AE">
            <w:pPr>
              <w:rPr>
                <w:color w:val="000000"/>
                <w:sz w:val="22"/>
                <w:szCs w:val="22"/>
              </w:rPr>
            </w:pPr>
            <w:r>
              <w:rPr>
                <w:color w:val="000000"/>
                <w:sz w:val="22"/>
                <w:szCs w:val="22"/>
              </w:rPr>
              <w:t>Réalisation 2</w:t>
            </w:r>
          </w:p>
        </w:tc>
        <w:tc>
          <w:tcPr>
            <w:tcW w:w="1417" w:type="dxa"/>
            <w:tcBorders>
              <w:top w:val="nil"/>
              <w:left w:val="nil"/>
              <w:bottom w:val="single" w:sz="8" w:space="0" w:color="auto"/>
              <w:right w:val="single" w:sz="8" w:space="0" w:color="auto"/>
            </w:tcBorders>
            <w:noWrap/>
            <w:vAlign w:val="bottom"/>
          </w:tcPr>
          <w:p w14:paraId="4337FC34" w14:textId="77777777" w:rsidR="00EA6DED" w:rsidRDefault="007504AE">
            <w:pPr>
              <w:ind w:firstLineChars="100" w:firstLine="220"/>
              <w:rPr>
                <w:color w:val="000000"/>
                <w:sz w:val="22"/>
                <w:szCs w:val="22"/>
              </w:rPr>
            </w:pPr>
            <w:r>
              <w:rPr>
                <w:color w:val="000000"/>
                <w:sz w:val="22"/>
                <w:szCs w:val="22"/>
              </w:rPr>
              <w:t> </w:t>
            </w:r>
          </w:p>
        </w:tc>
        <w:tc>
          <w:tcPr>
            <w:tcW w:w="1560" w:type="dxa"/>
            <w:tcBorders>
              <w:top w:val="nil"/>
              <w:left w:val="nil"/>
              <w:bottom w:val="single" w:sz="8" w:space="0" w:color="auto"/>
              <w:right w:val="single" w:sz="8" w:space="0" w:color="auto"/>
            </w:tcBorders>
            <w:noWrap/>
            <w:vAlign w:val="bottom"/>
          </w:tcPr>
          <w:p w14:paraId="4337FC35" w14:textId="77777777" w:rsidR="00EA6DED" w:rsidRDefault="007504AE">
            <w:pPr>
              <w:rPr>
                <w:color w:val="000000"/>
                <w:sz w:val="22"/>
                <w:szCs w:val="22"/>
              </w:rPr>
            </w:pPr>
            <w:r>
              <w:rPr>
                <w:color w:val="000000"/>
                <w:sz w:val="22"/>
                <w:szCs w:val="22"/>
              </w:rPr>
              <w:t xml:space="preserve">                                              5 700 000 </w:t>
            </w:r>
          </w:p>
        </w:tc>
        <w:tc>
          <w:tcPr>
            <w:tcW w:w="1417" w:type="dxa"/>
            <w:tcBorders>
              <w:top w:val="nil"/>
              <w:left w:val="nil"/>
              <w:bottom w:val="single" w:sz="8" w:space="0" w:color="auto"/>
              <w:right w:val="single" w:sz="8" w:space="0" w:color="auto"/>
            </w:tcBorders>
            <w:noWrap/>
            <w:vAlign w:val="bottom"/>
          </w:tcPr>
          <w:p w14:paraId="4337FC36"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37" w14:textId="77777777" w:rsidR="00EA6DED" w:rsidRDefault="007504AE">
            <w:pPr>
              <w:rPr>
                <w:color w:val="000000"/>
                <w:sz w:val="22"/>
                <w:szCs w:val="22"/>
              </w:rPr>
            </w:pPr>
            <w:r>
              <w:rPr>
                <w:color w:val="000000"/>
                <w:sz w:val="22"/>
                <w:szCs w:val="22"/>
              </w:rPr>
              <w:t xml:space="preserve">5 700 000 </w:t>
            </w:r>
          </w:p>
        </w:tc>
        <w:tc>
          <w:tcPr>
            <w:tcW w:w="1418" w:type="dxa"/>
            <w:tcBorders>
              <w:top w:val="nil"/>
              <w:left w:val="nil"/>
              <w:bottom w:val="single" w:sz="8" w:space="0" w:color="auto"/>
              <w:right w:val="single" w:sz="8" w:space="0" w:color="auto"/>
            </w:tcBorders>
            <w:noWrap/>
            <w:vAlign w:val="bottom"/>
          </w:tcPr>
          <w:p w14:paraId="4337FC38"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39" w14:textId="77777777" w:rsidR="00EA6DED" w:rsidRDefault="007504AE">
            <w:pPr>
              <w:rPr>
                <w:color w:val="000000"/>
                <w:sz w:val="22"/>
                <w:szCs w:val="22"/>
              </w:rPr>
            </w:pPr>
            <w:r>
              <w:rPr>
                <w:color w:val="000000"/>
                <w:sz w:val="22"/>
                <w:szCs w:val="22"/>
              </w:rPr>
              <w:t> </w:t>
            </w:r>
          </w:p>
        </w:tc>
      </w:tr>
      <w:tr w:rsidR="00EA6DED" w14:paraId="4337FC42" w14:textId="77777777">
        <w:trPr>
          <w:trHeight w:val="320"/>
        </w:trPr>
        <w:tc>
          <w:tcPr>
            <w:tcW w:w="1418" w:type="dxa"/>
            <w:tcBorders>
              <w:top w:val="nil"/>
              <w:left w:val="single" w:sz="8" w:space="0" w:color="auto"/>
              <w:bottom w:val="single" w:sz="8" w:space="0" w:color="auto"/>
              <w:right w:val="single" w:sz="8" w:space="0" w:color="auto"/>
            </w:tcBorders>
            <w:noWrap/>
            <w:vAlign w:val="bottom"/>
          </w:tcPr>
          <w:p w14:paraId="4337FC3B" w14:textId="77777777" w:rsidR="00EA6DED" w:rsidRDefault="007504AE">
            <w:pPr>
              <w:rPr>
                <w:color w:val="000000"/>
                <w:sz w:val="22"/>
                <w:szCs w:val="22"/>
              </w:rPr>
            </w:pPr>
            <w:r>
              <w:rPr>
                <w:color w:val="000000"/>
                <w:sz w:val="22"/>
                <w:szCs w:val="22"/>
              </w:rPr>
              <w:t>Réalisation 3</w:t>
            </w:r>
          </w:p>
        </w:tc>
        <w:tc>
          <w:tcPr>
            <w:tcW w:w="1417" w:type="dxa"/>
            <w:tcBorders>
              <w:top w:val="nil"/>
              <w:left w:val="nil"/>
              <w:bottom w:val="single" w:sz="8" w:space="0" w:color="auto"/>
              <w:right w:val="single" w:sz="8" w:space="0" w:color="auto"/>
            </w:tcBorders>
            <w:noWrap/>
            <w:vAlign w:val="bottom"/>
          </w:tcPr>
          <w:p w14:paraId="4337FC3C" w14:textId="77777777" w:rsidR="00EA6DED" w:rsidRDefault="007504AE">
            <w:pPr>
              <w:ind w:firstLineChars="100" w:firstLine="220"/>
              <w:rPr>
                <w:color w:val="000000"/>
                <w:sz w:val="22"/>
                <w:szCs w:val="22"/>
              </w:rPr>
            </w:pPr>
            <w:r>
              <w:rPr>
                <w:color w:val="000000"/>
                <w:sz w:val="22"/>
                <w:szCs w:val="22"/>
              </w:rPr>
              <w:t> </w:t>
            </w:r>
          </w:p>
        </w:tc>
        <w:tc>
          <w:tcPr>
            <w:tcW w:w="1560" w:type="dxa"/>
            <w:tcBorders>
              <w:top w:val="nil"/>
              <w:left w:val="nil"/>
              <w:bottom w:val="single" w:sz="8" w:space="0" w:color="auto"/>
              <w:right w:val="single" w:sz="8" w:space="0" w:color="auto"/>
            </w:tcBorders>
            <w:noWrap/>
            <w:vAlign w:val="bottom"/>
          </w:tcPr>
          <w:p w14:paraId="4337FC3D" w14:textId="77777777" w:rsidR="00EA6DED" w:rsidRDefault="007504AE">
            <w:pPr>
              <w:rPr>
                <w:color w:val="000000"/>
                <w:sz w:val="22"/>
                <w:szCs w:val="22"/>
              </w:rPr>
            </w:pPr>
            <w:r>
              <w:rPr>
                <w:color w:val="000000"/>
                <w:sz w:val="22"/>
                <w:szCs w:val="22"/>
              </w:rPr>
              <w:t xml:space="preserve">                                              2 400 000 </w:t>
            </w:r>
          </w:p>
        </w:tc>
        <w:tc>
          <w:tcPr>
            <w:tcW w:w="1417" w:type="dxa"/>
            <w:tcBorders>
              <w:top w:val="nil"/>
              <w:left w:val="nil"/>
              <w:bottom w:val="single" w:sz="8" w:space="0" w:color="auto"/>
              <w:right w:val="single" w:sz="8" w:space="0" w:color="auto"/>
            </w:tcBorders>
            <w:noWrap/>
            <w:vAlign w:val="bottom"/>
          </w:tcPr>
          <w:p w14:paraId="4337FC3E"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3F" w14:textId="77777777" w:rsidR="00EA6DED" w:rsidRDefault="007504AE">
            <w:pPr>
              <w:rPr>
                <w:color w:val="000000"/>
                <w:sz w:val="22"/>
                <w:szCs w:val="22"/>
              </w:rPr>
            </w:pPr>
            <w:r>
              <w:rPr>
                <w:color w:val="000000"/>
                <w:sz w:val="22"/>
                <w:szCs w:val="22"/>
              </w:rPr>
              <w:t xml:space="preserve">2 400 000 </w:t>
            </w:r>
          </w:p>
        </w:tc>
        <w:tc>
          <w:tcPr>
            <w:tcW w:w="1418" w:type="dxa"/>
            <w:tcBorders>
              <w:top w:val="nil"/>
              <w:left w:val="nil"/>
              <w:bottom w:val="single" w:sz="8" w:space="0" w:color="auto"/>
              <w:right w:val="single" w:sz="8" w:space="0" w:color="auto"/>
            </w:tcBorders>
            <w:noWrap/>
            <w:vAlign w:val="bottom"/>
          </w:tcPr>
          <w:p w14:paraId="4337FC40"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41" w14:textId="77777777" w:rsidR="00EA6DED" w:rsidRDefault="007504AE">
            <w:pPr>
              <w:rPr>
                <w:color w:val="000000"/>
                <w:sz w:val="22"/>
                <w:szCs w:val="22"/>
              </w:rPr>
            </w:pPr>
            <w:r>
              <w:rPr>
                <w:color w:val="000000"/>
                <w:sz w:val="22"/>
                <w:szCs w:val="22"/>
              </w:rPr>
              <w:t> </w:t>
            </w:r>
          </w:p>
        </w:tc>
      </w:tr>
      <w:tr w:rsidR="00EA6DED" w14:paraId="4337FC4A" w14:textId="77777777">
        <w:trPr>
          <w:trHeight w:val="320"/>
        </w:trPr>
        <w:tc>
          <w:tcPr>
            <w:tcW w:w="1418" w:type="dxa"/>
            <w:tcBorders>
              <w:top w:val="nil"/>
              <w:left w:val="single" w:sz="8" w:space="0" w:color="auto"/>
              <w:bottom w:val="single" w:sz="8" w:space="0" w:color="auto"/>
              <w:right w:val="single" w:sz="8" w:space="0" w:color="auto"/>
            </w:tcBorders>
            <w:noWrap/>
            <w:vAlign w:val="bottom"/>
          </w:tcPr>
          <w:p w14:paraId="4337FC43" w14:textId="77777777" w:rsidR="00EA6DED" w:rsidRDefault="007504AE">
            <w:pPr>
              <w:rPr>
                <w:color w:val="000000"/>
                <w:sz w:val="22"/>
                <w:szCs w:val="22"/>
              </w:rPr>
            </w:pPr>
            <w:r>
              <w:rPr>
                <w:color w:val="000000"/>
                <w:sz w:val="22"/>
                <w:szCs w:val="22"/>
              </w:rPr>
              <w:t>Réalisation 4</w:t>
            </w:r>
          </w:p>
        </w:tc>
        <w:tc>
          <w:tcPr>
            <w:tcW w:w="1417" w:type="dxa"/>
            <w:tcBorders>
              <w:top w:val="nil"/>
              <w:left w:val="nil"/>
              <w:bottom w:val="single" w:sz="8" w:space="0" w:color="auto"/>
              <w:right w:val="single" w:sz="8" w:space="0" w:color="auto"/>
            </w:tcBorders>
            <w:noWrap/>
            <w:vAlign w:val="bottom"/>
          </w:tcPr>
          <w:p w14:paraId="4337FC44" w14:textId="77777777" w:rsidR="00EA6DED" w:rsidRDefault="007504AE">
            <w:pPr>
              <w:ind w:firstLineChars="100" w:firstLine="220"/>
              <w:rPr>
                <w:color w:val="000000"/>
                <w:sz w:val="22"/>
                <w:szCs w:val="22"/>
              </w:rPr>
            </w:pPr>
            <w:r>
              <w:rPr>
                <w:color w:val="000000"/>
                <w:sz w:val="22"/>
                <w:szCs w:val="22"/>
              </w:rPr>
              <w:t> </w:t>
            </w:r>
          </w:p>
        </w:tc>
        <w:tc>
          <w:tcPr>
            <w:tcW w:w="1560" w:type="dxa"/>
            <w:tcBorders>
              <w:top w:val="nil"/>
              <w:left w:val="nil"/>
              <w:bottom w:val="single" w:sz="8" w:space="0" w:color="auto"/>
              <w:right w:val="single" w:sz="8" w:space="0" w:color="auto"/>
            </w:tcBorders>
            <w:noWrap/>
            <w:vAlign w:val="bottom"/>
          </w:tcPr>
          <w:p w14:paraId="4337FC45" w14:textId="77777777" w:rsidR="00EA6DED" w:rsidRDefault="007504AE">
            <w:pPr>
              <w:rPr>
                <w:color w:val="000000"/>
                <w:sz w:val="22"/>
                <w:szCs w:val="22"/>
              </w:rPr>
            </w:pPr>
            <w:r>
              <w:rPr>
                <w:color w:val="000000"/>
                <w:sz w:val="22"/>
                <w:szCs w:val="22"/>
              </w:rPr>
              <w:t xml:space="preserve">                                              1 152 850 </w:t>
            </w:r>
          </w:p>
        </w:tc>
        <w:tc>
          <w:tcPr>
            <w:tcW w:w="1417" w:type="dxa"/>
            <w:tcBorders>
              <w:top w:val="nil"/>
              <w:left w:val="nil"/>
              <w:bottom w:val="single" w:sz="8" w:space="0" w:color="auto"/>
              <w:right w:val="single" w:sz="8" w:space="0" w:color="auto"/>
            </w:tcBorders>
            <w:noWrap/>
            <w:vAlign w:val="bottom"/>
          </w:tcPr>
          <w:p w14:paraId="4337FC46"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47" w14:textId="77777777" w:rsidR="00EA6DED" w:rsidRDefault="007504AE">
            <w:pPr>
              <w:rPr>
                <w:color w:val="000000"/>
                <w:sz w:val="22"/>
                <w:szCs w:val="22"/>
              </w:rPr>
            </w:pPr>
            <w:r>
              <w:rPr>
                <w:color w:val="000000"/>
                <w:sz w:val="22"/>
                <w:szCs w:val="22"/>
              </w:rPr>
              <w:t xml:space="preserve">1 152 850 </w:t>
            </w:r>
          </w:p>
        </w:tc>
        <w:tc>
          <w:tcPr>
            <w:tcW w:w="1418" w:type="dxa"/>
            <w:tcBorders>
              <w:top w:val="nil"/>
              <w:left w:val="nil"/>
              <w:bottom w:val="single" w:sz="8" w:space="0" w:color="auto"/>
              <w:right w:val="single" w:sz="8" w:space="0" w:color="auto"/>
            </w:tcBorders>
            <w:noWrap/>
            <w:vAlign w:val="bottom"/>
          </w:tcPr>
          <w:p w14:paraId="4337FC48" w14:textId="77777777" w:rsidR="00EA6DED" w:rsidRDefault="007504AE">
            <w:pPr>
              <w:rPr>
                <w:color w:val="000000"/>
                <w:sz w:val="22"/>
                <w:szCs w:val="22"/>
              </w:rPr>
            </w:pPr>
            <w:r>
              <w:rPr>
                <w:color w:val="000000"/>
                <w:sz w:val="22"/>
                <w:szCs w:val="22"/>
              </w:rPr>
              <w:t> </w:t>
            </w:r>
          </w:p>
        </w:tc>
        <w:tc>
          <w:tcPr>
            <w:tcW w:w="1559" w:type="dxa"/>
            <w:tcBorders>
              <w:top w:val="nil"/>
              <w:left w:val="nil"/>
              <w:bottom w:val="single" w:sz="8" w:space="0" w:color="auto"/>
              <w:right w:val="single" w:sz="8" w:space="0" w:color="auto"/>
            </w:tcBorders>
            <w:noWrap/>
            <w:vAlign w:val="bottom"/>
          </w:tcPr>
          <w:p w14:paraId="4337FC49" w14:textId="77777777" w:rsidR="00EA6DED" w:rsidRDefault="007504AE">
            <w:pPr>
              <w:rPr>
                <w:color w:val="000000"/>
                <w:sz w:val="22"/>
                <w:szCs w:val="22"/>
              </w:rPr>
            </w:pPr>
            <w:r>
              <w:rPr>
                <w:color w:val="000000"/>
                <w:sz w:val="22"/>
                <w:szCs w:val="22"/>
              </w:rPr>
              <w:t> </w:t>
            </w:r>
          </w:p>
        </w:tc>
      </w:tr>
    </w:tbl>
    <w:p w14:paraId="4337FC4B" w14:textId="77777777" w:rsidR="00EA6DED" w:rsidRDefault="00EA6DED">
      <w:pPr>
        <w:jc w:val="both"/>
        <w:rPr>
          <w:rFonts w:cs="Calibri"/>
          <w:color w:val="000000"/>
        </w:rPr>
      </w:pPr>
    </w:p>
    <w:p w14:paraId="4337FC4C" w14:textId="77777777" w:rsidR="00EA6DED" w:rsidRDefault="007504AE">
      <w:pPr>
        <w:jc w:val="both"/>
      </w:pPr>
      <w:r>
        <w:rPr>
          <w:rFonts w:cs="Calibri"/>
          <w:color w:val="000000"/>
        </w:rPr>
        <w:t xml:space="preserve">Pour ces deux exercices, les effets 1, 2.2 et 3 ont les taux de mobilisation les plus faibles (confère tableau), toutefois leurs dépenses sont au-delà du budget mobilisé au cours de l’année puisant donc dans la mobilisation initiale. </w:t>
      </w:r>
      <w:r>
        <w:t xml:space="preserve">L’effet 2.1 </w:t>
      </w:r>
      <w:r>
        <w:rPr>
          <w:rFonts w:cs="Calibri"/>
          <w:color w:val="000000"/>
        </w:rPr>
        <w:t>sur le développement humain et social de qualité, inclusif et équitable (relatif aux ODD 1,2, 3, 4, 5 ,10, 17) détient la palme d’or avec</w:t>
      </w:r>
      <w:r>
        <w:t xml:space="preserve"> 53% du budget total mobilisé au cours des deux années et 54% de dépenses ce qui s’aligne bien à l’importance donnée à cette priorité dans le plan cadre qui par ailleurs représente 56,54% du budget prévisionnel global du plan cadre de coopération 2022-2026. L’effet 4 quant à lui présente le taux de dépense le plus faible par rapport à la mobilisation effectuée (8% contre 32%).</w:t>
      </w:r>
    </w:p>
    <w:p w14:paraId="4337FC4D" w14:textId="77777777" w:rsidR="00EA6DED" w:rsidRDefault="007504AE">
      <w:pPr>
        <w:pStyle w:val="NormalWeb"/>
        <w:jc w:val="both"/>
      </w:pPr>
      <w:r>
        <w:t xml:space="preserve">Du point de vue de l’efficience ces constats isolés ne sont pas positifs, d’autant plus que seul 65,39% du budget mobilisé au cours de ces deux années et donc seulement 15,42% du budget disponible a été dépensé. Pour approfondir l’analyse, il faudrait disposer de suffisamment d’informations sur les raisons de ces différences entre le poids relatif des Effets dans les prévisions et leurs exécutions réelles. Une explication possible pourrait être l'indisponibilité ou l'incomplétude de certaines données, notamment celles relatives aux effets de 2022, qui est par ailleurs l'année ayant mobilisé la plus grande valeur pendant les 3 années. De plus, la redéfinition des besoins réels peut ne pas être en adéquation avec les priorités du plan cadre, ou bien la stratégie de déploiement </w:t>
      </w:r>
      <w:r>
        <w:lastRenderedPageBreak/>
        <w:t xml:space="preserve">peut ne pas favoriser une utilisation optimale du budget. </w:t>
      </w:r>
      <w:bookmarkStart w:id="137" w:name="_heading=h.4h042r0" w:colFirst="0" w:colLast="0"/>
      <w:bookmarkEnd w:id="137"/>
      <w:r>
        <w:rPr>
          <w:rFonts w:eastAsia="Times New Roman"/>
          <w:bCs/>
        </w:rPr>
        <w:t xml:space="preserve">Toutefois, malgré la « modicité » des ressources du SNU, des grands résultats ont été obtenus grâce aux efforts de mise en œuvre de l’approche de DaO qui a permis d’éviter dans une certaine mesure des doublons, des chevauchements et des dispersions des efforts. Il en est de même de </w:t>
      </w:r>
      <w:r>
        <w:t>la mutualisation de certaines ressources logistiques (comme à Maroua l’utilisation d’un bâtiment unique SNU), financières dans le cadre de l’application effective du BOS et la mise en œuvre du HACT qui ont facilité une utilisation optimale des ressources.</w:t>
      </w:r>
      <w:r>
        <w:rPr>
          <w:rFonts w:ascii="Calibri" w:hAnsi="Calibri"/>
          <w:lang w:eastAsia="en-US"/>
        </w:rPr>
        <w:t xml:space="preserve"> </w:t>
      </w:r>
      <w:r>
        <w:rPr>
          <w:rFonts w:eastAsia="Times New Roman"/>
          <w:bCs/>
        </w:rPr>
        <w:t xml:space="preserve">A titre d’exemples, </w:t>
      </w:r>
      <w:r>
        <w:rPr>
          <w:lang w:eastAsia="en-US"/>
        </w:rPr>
        <w:t>la revue annuelle du BOS en 2024, a relevé des gains générés par la mise en place des accords à long terme (LTA), le ‘’pooling’’ de recrutement des staffs et consultants, les bureaux conjoints/communs, la facilitation des moyens de paiements et transferts, les services administratifs et logistiques communs à hauteur de 1 868 197$US</w:t>
      </w:r>
      <w:r>
        <w:rPr>
          <w:rStyle w:val="Appelnotedebasdep"/>
          <w:rFonts w:eastAsia="Calibri"/>
          <w:color w:val="000000"/>
          <w:lang w:val="en-US"/>
        </w:rPr>
        <w:footnoteReference w:id="101"/>
      </w:r>
      <w:r>
        <w:rPr>
          <w:lang w:eastAsia="en-US"/>
        </w:rPr>
        <w:t xml:space="preserve"> environ.  On peut également relever des gains programmatiques à travers </w:t>
      </w:r>
      <w:r>
        <w:t>la formulation et la mise en œuvre conjointe des programmes/projets et notes conceptuels (DaO, bien qu’encore faible), sans compter les effets complémentaires cumulés des groupes techniques (PMT, GT/SE etc ...).</w:t>
      </w:r>
    </w:p>
    <w:p w14:paraId="4337FC4E" w14:textId="77777777" w:rsidR="00EA6DED" w:rsidRDefault="007504AE">
      <w:pPr>
        <w:pStyle w:val="Titre3"/>
        <w:ind w:left="240"/>
        <w:rPr>
          <w:rFonts w:ascii="Times New Roman" w:hAnsi="Times New Roman"/>
          <w:i/>
          <w:iCs/>
          <w:color w:val="000000"/>
          <w:sz w:val="22"/>
          <w:szCs w:val="22"/>
        </w:rPr>
      </w:pPr>
      <w:bookmarkStart w:id="138" w:name="_Toc22948"/>
      <w:r>
        <w:rPr>
          <w:rFonts w:ascii="Times New Roman" w:eastAsia="Times New Roman" w:hAnsi="Times New Roman"/>
          <w:b w:val="0"/>
          <w:bCs w:val="0"/>
          <w:color w:val="auto"/>
          <w:sz w:val="24"/>
        </w:rPr>
        <w:t>5</w:t>
      </w:r>
      <w:r>
        <w:rPr>
          <w:rFonts w:ascii="Times New Roman" w:hAnsi="Times New Roman"/>
          <w:i/>
          <w:iCs/>
          <w:color w:val="000000"/>
          <w:sz w:val="22"/>
          <w:szCs w:val="22"/>
        </w:rPr>
        <w:t>.4.2. Adéquation entre les besoins et disponibilité des ressources humaines, financières et matérielles</w:t>
      </w:r>
      <w:bookmarkEnd w:id="138"/>
    </w:p>
    <w:p w14:paraId="4337FC4F" w14:textId="77777777" w:rsidR="00EA6DED" w:rsidRDefault="00EA6DED">
      <w:pPr>
        <w:rPr>
          <w:rFonts w:eastAsia="Calibri"/>
          <w:sz w:val="22"/>
          <w:szCs w:val="22"/>
        </w:rPr>
      </w:pPr>
    </w:p>
    <w:p w14:paraId="4337FC50" w14:textId="77777777" w:rsidR="00EA6DED" w:rsidRDefault="007504AE">
      <w:pPr>
        <w:jc w:val="both"/>
      </w:pPr>
      <w:r>
        <w:t xml:space="preserve">Sur le plan des ressources humaines, le cadre de coopération avait prévu pour sa bonne mise en œuvre une équipe de pays soutenue par le COPIL, BCR et les organes de gestion dont, l’équipe de gestion des programmes, le groupe suivi-évaluation, les groupes de résultats, l’équipe de gestion des opérations, le groupe des chargés de la communication et les autres groupes thématiques. En dehors du COPIL qui a eu une seule réunion, tous ces organes ont été mis en place et sont fonctionnels même si leur encadrement est parfois handicapé sur le plan organisationnel par l’irrégularité de certaines réunions, l’insuffisance des ressources financières, le faible profilage des membres ou les velléités identitaires des agences. Par ailleurs, le BOS est utilisé comme cadre de référence en termes d'Opérations, incluant le module ‘’WG RH’’ qui collecte les données sur les statistiques pour apprécier les besoins en RH par agence selon les activités. En outre, les besoins en ressources humaines liés aux services communs comme UN Clinic sont appréciés par l'ensemble des agences et validés par l'UNCT. Toutefois, l’absence d’une cartographie succincte et claire des ressources humaines n’a pas permis de faire une analyse par agence et par catégorie. </w:t>
      </w:r>
    </w:p>
    <w:p w14:paraId="4337FC51" w14:textId="77777777" w:rsidR="00EA6DED" w:rsidRDefault="00EA6DED">
      <w:pPr>
        <w:jc w:val="both"/>
        <w:rPr>
          <w:sz w:val="18"/>
          <w:szCs w:val="18"/>
        </w:rPr>
      </w:pPr>
    </w:p>
    <w:p w14:paraId="4337FC52" w14:textId="77777777" w:rsidR="00EA6DED" w:rsidRDefault="007504AE">
      <w:pPr>
        <w:spacing w:after="120"/>
        <w:jc w:val="both"/>
      </w:pPr>
      <w:r>
        <w:t xml:space="preserve">Les données budgétaires disponibles sur UNINFO et les rapports mis à disposition des évaluateurs par le BCR n’ont pas permis de mener une analyse des montants par effet de la première année du CC. Pour les besoins de l’analyse, les évaluateurs ont assumé que le montant mobilisé en 2022 a été entièrement consommé. </w:t>
      </w:r>
      <w:r>
        <w:rPr>
          <w:rFonts w:cs="Calibri"/>
          <w:color w:val="000000"/>
        </w:rPr>
        <w:t xml:space="preserve">L’exécution budgétaire est donc non satisfaisante, car pour 60 % du temps écoulé (3/5ans), seul 29,76% (total dépenses/total budget) du budget prévisionnel a été dépensé au cours de la période sous revue (2022-2024), représentant par ailleurs seulement 44,52% (total budget dépensé/total budget disponible) des fonds disponibles. Comme le montre la figure 3 ci-après, </w:t>
      </w:r>
      <w:r>
        <w:t>l’année ayant le taux d’exécution des ressources mobilisées le plus faible étant 2023 avec 56,84% (54/95-Global 2023).</w:t>
      </w:r>
    </w:p>
    <w:p w14:paraId="4337FC53" w14:textId="77777777" w:rsidR="00EA6DED" w:rsidRDefault="007504AE">
      <w:pPr>
        <w:rPr>
          <w:b/>
          <w:bCs/>
          <w:i/>
          <w:iCs/>
          <w:color w:val="0000FF"/>
        </w:rPr>
      </w:pPr>
      <w:r>
        <w:rPr>
          <w:b/>
          <w:bCs/>
          <w:i/>
          <w:iCs/>
          <w:color w:val="0000FF"/>
        </w:rPr>
        <w:t xml:space="preserve">Graphique </w:t>
      </w:r>
      <w:r>
        <w:rPr>
          <w:b/>
          <w:bCs/>
          <w:i/>
          <w:iCs/>
          <w:color w:val="0000FF"/>
        </w:rPr>
        <w:fldChar w:fldCharType="begin"/>
      </w:r>
      <w:r>
        <w:rPr>
          <w:b/>
          <w:bCs/>
          <w:i/>
          <w:iCs/>
          <w:color w:val="0000FF"/>
        </w:rPr>
        <w:instrText xml:space="preserve"> SEQ Graphique \* ARABIC </w:instrText>
      </w:r>
      <w:r>
        <w:rPr>
          <w:b/>
          <w:bCs/>
          <w:i/>
          <w:iCs/>
          <w:color w:val="0000FF"/>
        </w:rPr>
        <w:fldChar w:fldCharType="separate"/>
      </w:r>
      <w:r>
        <w:rPr>
          <w:b/>
          <w:bCs/>
          <w:i/>
          <w:iCs/>
          <w:color w:val="0000FF"/>
        </w:rPr>
        <w:t>3</w:t>
      </w:r>
      <w:r>
        <w:rPr>
          <w:b/>
          <w:bCs/>
          <w:i/>
          <w:iCs/>
          <w:color w:val="0000FF"/>
        </w:rPr>
        <w:fldChar w:fldCharType="end"/>
      </w:r>
      <w:bookmarkStart w:id="139" w:name="_Toc10257"/>
      <w:r>
        <w:rPr>
          <w:b/>
          <w:bCs/>
          <w:i/>
          <w:iCs/>
          <w:color w:val="0000FF"/>
        </w:rPr>
        <w:t>: Ventilation des budgets mobilisées et dépensés par Effet et par année</w:t>
      </w:r>
      <w:bookmarkEnd w:id="139"/>
    </w:p>
    <w:p w14:paraId="4337FC54" w14:textId="77777777" w:rsidR="00EA6DED" w:rsidRDefault="007504AE">
      <w:pPr>
        <w:pStyle w:val="Lgende"/>
      </w:pPr>
      <w:r>
        <w:rPr>
          <w:color w:val="000000"/>
        </w:rPr>
        <w:lastRenderedPageBreak/>
        <w:t xml:space="preserve"> </w:t>
      </w:r>
      <w:r>
        <w:rPr>
          <w:noProof/>
        </w:rPr>
        <w:drawing>
          <wp:inline distT="0" distB="0" distL="0" distR="0" wp14:anchorId="4337FEA5" wp14:editId="4337FEA6">
            <wp:extent cx="6584950" cy="3375025"/>
            <wp:effectExtent l="0" t="0" r="0" b="0"/>
            <wp:docPr id="1009182299"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182299" name="Imag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a:xfrm>
                      <a:off x="0" y="0"/>
                      <a:ext cx="6584950" cy="3375025"/>
                    </a:xfrm>
                    <a:prstGeom prst="rect">
                      <a:avLst/>
                    </a:prstGeom>
                    <a:noFill/>
                    <a:ln>
                      <a:noFill/>
                    </a:ln>
                  </pic:spPr>
                </pic:pic>
              </a:graphicData>
            </a:graphic>
          </wp:inline>
        </w:drawing>
      </w:r>
    </w:p>
    <w:p w14:paraId="4337FC55" w14:textId="77777777" w:rsidR="00EA6DED" w:rsidRDefault="00EA6DED">
      <w:pPr>
        <w:spacing w:line="276" w:lineRule="auto"/>
        <w:ind w:right="-293"/>
        <w:jc w:val="both"/>
        <w:rPr>
          <w:rFonts w:eastAsia="Arial"/>
          <w:b/>
          <w:color w:val="000000"/>
          <w:szCs w:val="22"/>
        </w:rPr>
      </w:pPr>
    </w:p>
    <w:p w14:paraId="4337FC56" w14:textId="77777777" w:rsidR="004F65CF" w:rsidRDefault="004F65CF">
      <w:pPr>
        <w:spacing w:line="276" w:lineRule="auto"/>
        <w:ind w:right="-293"/>
        <w:jc w:val="both"/>
        <w:rPr>
          <w:rFonts w:eastAsia="Arial"/>
          <w:b/>
          <w:color w:val="000000"/>
          <w:szCs w:val="22"/>
        </w:rPr>
      </w:pPr>
    </w:p>
    <w:p w14:paraId="4337FC57" w14:textId="77777777" w:rsidR="00EA6DED" w:rsidRDefault="007504AE">
      <w:pPr>
        <w:shd w:val="clear" w:color="auto" w:fill="F4B083" w:themeFill="accent2" w:themeFillTint="99"/>
        <w:jc w:val="both"/>
        <w:rPr>
          <w:rFonts w:eastAsia="Arial"/>
          <w:color w:val="000000"/>
          <w:sz w:val="22"/>
          <w:szCs w:val="22"/>
        </w:rPr>
      </w:pPr>
      <w:r>
        <w:rPr>
          <w:rFonts w:eastAsia="Arial"/>
          <w:b/>
          <w:color w:val="00B0F0"/>
          <w:szCs w:val="22"/>
        </w:rPr>
        <w:t xml:space="preserve">Question </w:t>
      </w:r>
      <w:r>
        <w:rPr>
          <w:rFonts w:eastAsia="Arial"/>
          <w:color w:val="00B0F0"/>
          <w:sz w:val="22"/>
          <w:szCs w:val="22"/>
        </w:rPr>
        <w:t>d’évaluation 9 </w:t>
      </w:r>
      <w:r>
        <w:rPr>
          <w:rFonts w:eastAsia="Arial"/>
          <w:color w:val="000000"/>
          <w:sz w:val="22"/>
          <w:szCs w:val="22"/>
        </w:rPr>
        <w:t xml:space="preserve">:  Dans quelle mesure le CC a-t-il facilité l'identification et l'accès à de nouveaux flux de financement à grande échelle pour les partenaires nationaux ? Le Cadre de Coopération était-il soutenu par un cadre de financement intégré et par des instruments de financement adéquats ? </w:t>
      </w:r>
    </w:p>
    <w:p w14:paraId="4337FC58" w14:textId="77777777" w:rsidR="00EA6DED" w:rsidRDefault="007504AE">
      <w:pPr>
        <w:pStyle w:val="Paragraphedeliste"/>
        <w:numPr>
          <w:ilvl w:val="0"/>
          <w:numId w:val="18"/>
        </w:numPr>
        <w:shd w:val="clear" w:color="auto" w:fill="F4B083" w:themeFill="accent2" w:themeFillTint="99"/>
        <w:jc w:val="both"/>
        <w:rPr>
          <w:rFonts w:eastAsia="Arial"/>
          <w:color w:val="000000"/>
          <w:sz w:val="22"/>
          <w:szCs w:val="22"/>
        </w:rPr>
      </w:pPr>
      <w:r>
        <w:rPr>
          <w:rFonts w:eastAsia="Arial"/>
          <w:color w:val="000000"/>
          <w:sz w:val="22"/>
          <w:szCs w:val="22"/>
        </w:rPr>
        <w:t xml:space="preserve">Quelles étaient les forces et les lacunes, le cas échéant ? </w:t>
      </w:r>
    </w:p>
    <w:p w14:paraId="4337FC59" w14:textId="77777777" w:rsidR="00EA6DED" w:rsidRDefault="007504AE">
      <w:pPr>
        <w:pStyle w:val="Paragraphedeliste"/>
        <w:numPr>
          <w:ilvl w:val="0"/>
          <w:numId w:val="18"/>
        </w:numPr>
        <w:shd w:val="clear" w:color="auto" w:fill="F4B083" w:themeFill="accent2" w:themeFillTint="99"/>
        <w:jc w:val="both"/>
        <w:rPr>
          <w:rFonts w:eastAsia="Arial"/>
          <w:color w:val="000000"/>
          <w:sz w:val="22"/>
          <w:szCs w:val="22"/>
        </w:rPr>
      </w:pPr>
      <w:r>
        <w:rPr>
          <w:rFonts w:eastAsia="Arial"/>
          <w:color w:val="000000"/>
          <w:sz w:val="22"/>
          <w:szCs w:val="22"/>
        </w:rPr>
        <w:t xml:space="preserve">Les ressources sont-elles été allouées efficacement ? </w:t>
      </w:r>
    </w:p>
    <w:p w14:paraId="4337FC5A" w14:textId="77777777" w:rsidR="00EA6DED" w:rsidRDefault="007504AE">
      <w:pPr>
        <w:pStyle w:val="Paragraphedeliste"/>
        <w:numPr>
          <w:ilvl w:val="0"/>
          <w:numId w:val="18"/>
        </w:numPr>
        <w:shd w:val="clear" w:color="auto" w:fill="F4B083" w:themeFill="accent2" w:themeFillTint="99"/>
        <w:jc w:val="both"/>
        <w:rPr>
          <w:rFonts w:eastAsia="Arial"/>
          <w:color w:val="000000"/>
          <w:sz w:val="22"/>
          <w:szCs w:val="22"/>
        </w:rPr>
      </w:pPr>
      <w:r>
        <w:rPr>
          <w:rFonts w:eastAsia="Arial"/>
          <w:color w:val="000000"/>
          <w:sz w:val="22"/>
          <w:szCs w:val="22"/>
        </w:rPr>
        <w:t>Comment les ressources étaient allouées aux interventions permettant des résultats touchant les femmes, les jeunes, les personnes handicapées, les déplacés internes/migrants, la durabilité environnementale ?</w:t>
      </w:r>
    </w:p>
    <w:p w14:paraId="4337FC5B" w14:textId="77777777" w:rsidR="00EA6DED" w:rsidRDefault="007504AE">
      <w:pPr>
        <w:shd w:val="clear" w:color="auto" w:fill="F4B083" w:themeFill="accent2" w:themeFillTint="99"/>
        <w:rPr>
          <w:rFonts w:eastAsia="Arial"/>
          <w:color w:val="000000"/>
          <w:sz w:val="22"/>
          <w:szCs w:val="22"/>
        </w:rPr>
      </w:pPr>
      <w:r>
        <w:rPr>
          <w:rFonts w:eastAsia="Arial"/>
          <w:color w:val="000000"/>
          <w:sz w:val="22"/>
          <w:szCs w:val="22"/>
        </w:rPr>
        <w:t xml:space="preserve"> </w:t>
      </w:r>
    </w:p>
    <w:p w14:paraId="4337FC5C" w14:textId="77777777" w:rsidR="00EA6DED" w:rsidRDefault="007504AE">
      <w:pPr>
        <w:pStyle w:val="Titre3"/>
        <w:ind w:left="240"/>
        <w:rPr>
          <w:rFonts w:ascii="Times New Roman" w:hAnsi="Times New Roman"/>
          <w:i/>
          <w:iCs/>
          <w:color w:val="000000"/>
          <w:sz w:val="22"/>
          <w:szCs w:val="22"/>
        </w:rPr>
      </w:pPr>
      <w:bookmarkStart w:id="140" w:name="_Toc7883"/>
      <w:r>
        <w:rPr>
          <w:rFonts w:ascii="Times New Roman" w:hAnsi="Times New Roman"/>
          <w:i/>
          <w:iCs/>
          <w:color w:val="000000"/>
          <w:sz w:val="22"/>
          <w:szCs w:val="22"/>
        </w:rPr>
        <w:t>5.4.3.  Promotion d’un cadre de financement intégré</w:t>
      </w:r>
      <w:bookmarkEnd w:id="140"/>
      <w:r>
        <w:rPr>
          <w:rFonts w:ascii="Times New Roman" w:hAnsi="Times New Roman"/>
          <w:i/>
          <w:iCs/>
          <w:color w:val="000000"/>
          <w:sz w:val="22"/>
          <w:szCs w:val="22"/>
        </w:rPr>
        <w:t xml:space="preserve"> </w:t>
      </w:r>
    </w:p>
    <w:p w14:paraId="4337FC5D" w14:textId="77777777" w:rsidR="00EA6DED" w:rsidRDefault="00EA6DED">
      <w:pPr>
        <w:pStyle w:val="Titre3"/>
        <w:ind w:left="240"/>
        <w:rPr>
          <w:rFonts w:ascii="Times New Roman" w:hAnsi="Times New Roman"/>
          <w:i/>
          <w:iCs/>
          <w:color w:val="000000"/>
          <w:sz w:val="22"/>
          <w:szCs w:val="22"/>
        </w:rPr>
      </w:pPr>
    </w:p>
    <w:p w14:paraId="4337FC5E" w14:textId="77777777" w:rsidR="00EA6DED" w:rsidRDefault="007504AE">
      <w:pPr>
        <w:jc w:val="both"/>
      </w:pPr>
      <w:r>
        <w:t xml:space="preserve">Le SNU a contribué à l’élaboration de la stratégie nationale de financement intégré (SNFI) pour faciliter une bonne collecte des ressources financières afin d’atteindre les objectifs de la SND30. Cette stratégie de financement est assorti d’un dispositif de suivi-évaluation incluant tous les agents économiques et favorisant une plus grande rationalisation des ressources financières et une redevabilité plus accrue. Un accent a été mis sur la valorisation de l’épargne domestique pour le financement à long terme des PME et la mise sur pied des mécanismes incitatifs pour accroitre la participation de la diaspora au financement du développement. Elle encourage une meilleure coordination entre l’État, les institutions financières internationales, le secteur privé et les partenaires techniques pour rendre le financement du développement plus inclusif, durable et aligné sur les priorités nationales. Cependant, la mise en œuvre de cette stratégie dans l’approche de One UN budget est toujours dans sa phase d’expérimentation. </w:t>
      </w:r>
    </w:p>
    <w:p w14:paraId="4337FC5F" w14:textId="77777777" w:rsidR="00EA6DED" w:rsidRDefault="00EA6DED">
      <w:pPr>
        <w:jc w:val="both"/>
      </w:pPr>
    </w:p>
    <w:p w14:paraId="4337FC60" w14:textId="77777777" w:rsidR="00EA6DED" w:rsidRDefault="007504AE">
      <w:pPr>
        <w:jc w:val="both"/>
        <w:rPr>
          <w:color w:val="000000"/>
        </w:rPr>
      </w:pPr>
      <w:r>
        <w:rPr>
          <w:color w:val="000000"/>
        </w:rPr>
        <w:t xml:space="preserve">En outre, une stratégie commune de mobilisation des ressources dans la perspective de la réalisation des ODD et la mise en œuvre des Transitions clés a été élaborée avec une forte implication des partenaires techniques et financiers (les coopérations bi et multilatérales, les institutions financières internationales, les fonds spéciaux verticaux et thématiques, les fondations), les secteurs privés, les acteurs de développement et le Gouvernement. Sous la coordination du BCR, des dialogues de niveau stratégique ont eu lieu entre UNCT (réunions régulières et retraite) ou PMT avec la BEI, la BAD, la BM, la Délégation de l’UE, les pays bilatéraux membres de l’UE, KFW, AFD, GIZ (….). Des dialogues sur le financement des Très petites et moyennes entreprises, les modèles de partenariats actuels et propositions d’amélioration avec le MINPMEESA, le MINEPAT, la BEI, la BM, la BID, l’AFD, le secteur privé (GECAM, Fédération des femmes entrepreneures TPMEs) dans le cadre du dispositif d’appui à la compétitivité du Cameroun ont également eu lieu. </w:t>
      </w:r>
    </w:p>
    <w:p w14:paraId="4337FC61" w14:textId="77777777" w:rsidR="00EA6DED" w:rsidRDefault="00EA6DED">
      <w:pPr>
        <w:widowControl w:val="0"/>
        <w:autoSpaceDE w:val="0"/>
        <w:autoSpaceDN w:val="0"/>
        <w:adjustRightInd w:val="0"/>
        <w:jc w:val="both"/>
        <w:rPr>
          <w:rFonts w:ascii="Calibri" w:eastAsia="Calibri" w:hAnsi="Calibri"/>
          <w:color w:val="000000"/>
          <w:lang w:eastAsia="en-US"/>
        </w:rPr>
      </w:pPr>
    </w:p>
    <w:p w14:paraId="4337FC62" w14:textId="77777777" w:rsidR="00EA6DED" w:rsidRDefault="007504AE">
      <w:pPr>
        <w:widowControl w:val="0"/>
        <w:autoSpaceDE w:val="0"/>
        <w:autoSpaceDN w:val="0"/>
        <w:adjustRightInd w:val="0"/>
        <w:jc w:val="both"/>
        <w:rPr>
          <w:rFonts w:eastAsia="Calibri"/>
          <w:color w:val="000000"/>
          <w:lang w:eastAsia="en-US"/>
        </w:rPr>
      </w:pPr>
      <w:r>
        <w:rPr>
          <w:rFonts w:eastAsia="Calibri"/>
          <w:color w:val="000000"/>
          <w:lang w:eastAsia="en-US"/>
        </w:rPr>
        <w:t>A l’actif du SNU, on peut relever dans le cadre du CC 2022-2026:</w:t>
      </w:r>
    </w:p>
    <w:p w14:paraId="4337FC63" w14:textId="77777777" w:rsidR="00EA6DED" w:rsidRDefault="007504AE">
      <w:pPr>
        <w:pStyle w:val="Paragraphedeliste"/>
        <w:widowControl w:val="0"/>
        <w:numPr>
          <w:ilvl w:val="0"/>
          <w:numId w:val="16"/>
        </w:numPr>
        <w:autoSpaceDE w:val="0"/>
        <w:autoSpaceDN w:val="0"/>
        <w:adjustRightInd w:val="0"/>
        <w:jc w:val="both"/>
        <w:rPr>
          <w:rFonts w:eastAsia="Calibri"/>
          <w:color w:val="000000"/>
          <w:lang w:eastAsia="en-US"/>
        </w:rPr>
      </w:pPr>
      <w:r>
        <w:rPr>
          <w:rFonts w:eastAsia="Calibri"/>
          <w:color w:val="000000"/>
          <w:lang w:eastAsia="en-US"/>
        </w:rPr>
        <w:t>La disposition d’un cadre stratégique unifié avec des priorisations sectorielles (l’UNSDCC est aligné sur la SND 30 à travers ses priorités stratégiques),</w:t>
      </w:r>
    </w:p>
    <w:p w14:paraId="4337FC64" w14:textId="77777777" w:rsidR="00EA6DED" w:rsidRDefault="007504AE">
      <w:pPr>
        <w:pStyle w:val="Paragraphedeliste"/>
        <w:widowControl w:val="0"/>
        <w:numPr>
          <w:ilvl w:val="0"/>
          <w:numId w:val="16"/>
        </w:numPr>
        <w:autoSpaceDE w:val="0"/>
        <w:autoSpaceDN w:val="0"/>
        <w:adjustRightInd w:val="0"/>
        <w:jc w:val="both"/>
        <w:rPr>
          <w:rFonts w:eastAsia="Calibri"/>
          <w:color w:val="000000"/>
          <w:lang w:eastAsia="en-US"/>
        </w:rPr>
      </w:pPr>
      <w:r>
        <w:rPr>
          <w:rFonts w:eastAsia="Calibri"/>
          <w:color w:val="000000"/>
          <w:lang w:eastAsia="en-US"/>
        </w:rPr>
        <w:t>L’appui technique grâce à l’INFF « Integrated National Financing Framework » du Cameroun, outil essentiel pour cartographier les gaps financiers, prioriser les leviers (taxes, marchés de capitaux, diaspora, blended finance) et orienter des financements structurés,</w:t>
      </w:r>
    </w:p>
    <w:p w14:paraId="4337FC65" w14:textId="77777777" w:rsidR="00EA6DED" w:rsidRDefault="007504AE">
      <w:pPr>
        <w:pStyle w:val="Paragraphedeliste"/>
        <w:widowControl w:val="0"/>
        <w:numPr>
          <w:ilvl w:val="0"/>
          <w:numId w:val="16"/>
        </w:numPr>
        <w:autoSpaceDE w:val="0"/>
        <w:autoSpaceDN w:val="0"/>
        <w:adjustRightInd w:val="0"/>
        <w:jc w:val="both"/>
        <w:rPr>
          <w:rFonts w:eastAsia="Calibri"/>
          <w:color w:val="000000"/>
          <w:lang w:eastAsia="en-US"/>
        </w:rPr>
      </w:pPr>
      <w:r>
        <w:rPr>
          <w:rFonts w:eastAsia="Calibri"/>
          <w:color w:val="000000"/>
          <w:lang w:eastAsia="en-US"/>
        </w:rPr>
        <w:t xml:space="preserve">La contribution à la mise en place de la stratégie de développement conjointe qui propose des mécanismes conjoints et des financements catalyseurs (Joint SDG Fund, fonds communs, MPTF) et le co-financement des phases préparatoires (design, études de faisabilité, packaging) pour rendre les projets bancables et attractifs pour la BAD, la BM ou les investisseurs privés. </w:t>
      </w:r>
    </w:p>
    <w:p w14:paraId="4337FC66" w14:textId="77777777" w:rsidR="00EA6DED" w:rsidRDefault="007504AE">
      <w:pPr>
        <w:pStyle w:val="Paragraphedeliste"/>
        <w:widowControl w:val="0"/>
        <w:numPr>
          <w:ilvl w:val="0"/>
          <w:numId w:val="16"/>
        </w:numPr>
        <w:autoSpaceDE w:val="0"/>
        <w:autoSpaceDN w:val="0"/>
        <w:adjustRightInd w:val="0"/>
        <w:jc w:val="both"/>
        <w:rPr>
          <w:rFonts w:eastAsia="Calibri"/>
          <w:color w:val="000000"/>
          <w:lang w:eastAsia="en-US"/>
        </w:rPr>
      </w:pPr>
      <w:r>
        <w:rPr>
          <w:rFonts w:eastAsia="Calibri"/>
          <w:color w:val="000000"/>
          <w:lang w:eastAsia="en-US"/>
        </w:rPr>
        <w:t>Mise en avant du principe LNOB avec ciblage des femmes, jeunes, personnes handicapées, déplacés internes /migrants, et des priorités thématiques qui intègrent explicitement l’équité, la protection sociale, l’intégration des groupes vulnérables et la durabilité environnementale</w:t>
      </w:r>
      <w:r>
        <w:rPr>
          <w:rStyle w:val="Appelnotedebasdep"/>
          <w:rFonts w:eastAsia="SimSun"/>
          <w:color w:val="000000"/>
        </w:rPr>
        <w:footnoteReference w:id="102"/>
      </w:r>
      <w:r>
        <w:rPr>
          <w:rFonts w:eastAsia="Calibri"/>
          <w:color w:val="000000"/>
          <w:lang w:eastAsia="en-US"/>
        </w:rPr>
        <w:t>.</w:t>
      </w:r>
    </w:p>
    <w:p w14:paraId="4337FC67" w14:textId="77777777" w:rsidR="00EA6DED" w:rsidRDefault="00EA6DED">
      <w:pPr>
        <w:widowControl w:val="0"/>
        <w:autoSpaceDE w:val="0"/>
        <w:autoSpaceDN w:val="0"/>
        <w:adjustRightInd w:val="0"/>
        <w:jc w:val="both"/>
        <w:rPr>
          <w:rFonts w:eastAsia="Calibri"/>
          <w:color w:val="000000"/>
          <w:lang w:eastAsia="en-US"/>
        </w:rPr>
      </w:pPr>
    </w:p>
    <w:p w14:paraId="4337FC68" w14:textId="77777777" w:rsidR="00EA6DED" w:rsidRDefault="007504AE">
      <w:pPr>
        <w:widowControl w:val="0"/>
        <w:autoSpaceDE w:val="0"/>
        <w:autoSpaceDN w:val="0"/>
        <w:adjustRightInd w:val="0"/>
        <w:jc w:val="both"/>
        <w:rPr>
          <w:rFonts w:eastAsia="Calibri"/>
          <w:color w:val="000000"/>
          <w:lang w:eastAsia="en-US"/>
        </w:rPr>
      </w:pPr>
      <w:r>
        <w:rPr>
          <w:rFonts w:eastAsia="Calibri"/>
          <w:color w:val="000000"/>
          <w:lang w:eastAsia="en-US"/>
        </w:rPr>
        <w:t xml:space="preserve">Sont aussi relevés, quelques limites dont : </w:t>
      </w:r>
    </w:p>
    <w:p w14:paraId="4337FC69" w14:textId="77777777" w:rsidR="00EA6DED" w:rsidRDefault="007504AE">
      <w:pPr>
        <w:pStyle w:val="Paragraphedeliste"/>
        <w:widowControl w:val="0"/>
        <w:numPr>
          <w:ilvl w:val="0"/>
          <w:numId w:val="16"/>
        </w:numPr>
        <w:autoSpaceDE w:val="0"/>
        <w:autoSpaceDN w:val="0"/>
        <w:adjustRightInd w:val="0"/>
        <w:jc w:val="both"/>
        <w:rPr>
          <w:rFonts w:eastAsia="Calibri"/>
          <w:color w:val="000000"/>
          <w:lang w:eastAsia="en-US"/>
        </w:rPr>
      </w:pPr>
      <w:r>
        <w:rPr>
          <w:rFonts w:eastAsia="Calibri"/>
          <w:color w:val="000000"/>
          <w:lang w:eastAsia="en-US"/>
        </w:rPr>
        <w:t>La faible mobilisation des ressources par rapport aux besoins et aux prévisions ;</w:t>
      </w:r>
    </w:p>
    <w:p w14:paraId="4337FC6A" w14:textId="77777777" w:rsidR="00EA6DED" w:rsidRDefault="007504AE">
      <w:pPr>
        <w:pStyle w:val="Paragraphedeliste"/>
        <w:widowControl w:val="0"/>
        <w:numPr>
          <w:ilvl w:val="0"/>
          <w:numId w:val="16"/>
        </w:numPr>
        <w:autoSpaceDE w:val="0"/>
        <w:autoSpaceDN w:val="0"/>
        <w:adjustRightInd w:val="0"/>
        <w:jc w:val="both"/>
        <w:rPr>
          <w:rFonts w:eastAsia="Calibri"/>
          <w:color w:val="000000"/>
          <w:lang w:eastAsia="en-US"/>
        </w:rPr>
      </w:pPr>
      <w:r>
        <w:rPr>
          <w:rFonts w:eastAsia="Calibri"/>
          <w:color w:val="000000"/>
          <w:lang w:eastAsia="en-US"/>
        </w:rPr>
        <w:t>Faibles capacités techniques au niveau national pour la préparation de projets bancables, la passation des marchés ou la gouvernance ;</w:t>
      </w:r>
    </w:p>
    <w:p w14:paraId="4337FC6B" w14:textId="77777777" w:rsidR="00EA6DED" w:rsidRDefault="007504AE">
      <w:pPr>
        <w:pStyle w:val="Paragraphedeliste"/>
        <w:widowControl w:val="0"/>
        <w:numPr>
          <w:ilvl w:val="0"/>
          <w:numId w:val="16"/>
        </w:numPr>
        <w:autoSpaceDE w:val="0"/>
        <w:autoSpaceDN w:val="0"/>
        <w:adjustRightInd w:val="0"/>
        <w:jc w:val="both"/>
        <w:rPr>
          <w:rFonts w:eastAsia="Calibri"/>
          <w:color w:val="000000"/>
          <w:lang w:eastAsia="en-US"/>
        </w:rPr>
      </w:pPr>
      <w:r>
        <w:rPr>
          <w:rFonts w:eastAsia="Calibri"/>
          <w:color w:val="000000"/>
          <w:lang w:eastAsia="en-US"/>
        </w:rPr>
        <w:t>La fragmentation des acteurs qui réduit l’efficacité de la mise en œuvre, ce qui décourage certains investisseurs ;</w:t>
      </w:r>
    </w:p>
    <w:p w14:paraId="4337FC6C" w14:textId="77777777" w:rsidR="00EA6DED" w:rsidRDefault="007504AE">
      <w:pPr>
        <w:pStyle w:val="Paragraphedeliste"/>
        <w:widowControl w:val="0"/>
        <w:numPr>
          <w:ilvl w:val="0"/>
          <w:numId w:val="16"/>
        </w:numPr>
        <w:autoSpaceDE w:val="0"/>
        <w:autoSpaceDN w:val="0"/>
        <w:adjustRightInd w:val="0"/>
        <w:jc w:val="both"/>
        <w:rPr>
          <w:rFonts w:eastAsia="Calibri"/>
          <w:color w:val="000000"/>
          <w:lang w:eastAsia="en-US"/>
        </w:rPr>
      </w:pPr>
      <w:r>
        <w:rPr>
          <w:rFonts w:eastAsia="Calibri"/>
          <w:color w:val="000000"/>
          <w:lang w:eastAsia="en-US"/>
        </w:rPr>
        <w:t>Inadéquation entre les besoins qui sont immédiats (préparation des instruments, cadres juridiques, unités d’ingénierie financière …) et les financements majeurs qui requièrent des montages longs (blended finance, garanties) ;</w:t>
      </w:r>
    </w:p>
    <w:p w14:paraId="4337FC6D" w14:textId="77777777" w:rsidR="00EA6DED" w:rsidRDefault="007504AE">
      <w:pPr>
        <w:pStyle w:val="Paragraphedeliste"/>
        <w:widowControl w:val="0"/>
        <w:numPr>
          <w:ilvl w:val="0"/>
          <w:numId w:val="16"/>
        </w:numPr>
        <w:autoSpaceDE w:val="0"/>
        <w:autoSpaceDN w:val="0"/>
        <w:adjustRightInd w:val="0"/>
        <w:jc w:val="both"/>
        <w:rPr>
          <w:rFonts w:ascii="Calibri" w:eastAsia="Calibri" w:hAnsi="Calibri"/>
          <w:color w:val="000000"/>
          <w:lang w:eastAsia="en-US"/>
        </w:rPr>
      </w:pPr>
      <w:r>
        <w:rPr>
          <w:rFonts w:eastAsia="Calibri"/>
          <w:color w:val="000000"/>
          <w:lang w:eastAsia="en-US"/>
        </w:rPr>
        <w:t>Dotation faible des financements alloués via budgets gouvernementaux. Une partie des ressources UN reste sous forme de projets gérés par agences avec des frais de gestions et des coûts d’opération, ce qui peut réduire l’alignement aux procédures nationales, l’appropriation nationale, la durabilité et l’efficacité selon les principes de la Déclaration de Paris</w:t>
      </w:r>
      <w:r>
        <w:rPr>
          <w:rFonts w:ascii="Calibri" w:eastAsia="Calibri" w:hAnsi="Calibri"/>
          <w:color w:val="000000"/>
          <w:lang w:eastAsia="en-US"/>
        </w:rPr>
        <w:t xml:space="preserve">.  </w:t>
      </w:r>
    </w:p>
    <w:p w14:paraId="4337FC6E" w14:textId="77777777" w:rsidR="00EA6DED" w:rsidRDefault="00EA6DED">
      <w:pPr>
        <w:jc w:val="both"/>
      </w:pPr>
    </w:p>
    <w:p w14:paraId="4337FC6F" w14:textId="77777777" w:rsidR="00EA6DED" w:rsidRDefault="007504AE">
      <w:pPr>
        <w:jc w:val="both"/>
      </w:pPr>
      <w:r>
        <w:t xml:space="preserve">Il convient de relever que ces différentes stratégies ont permis de développer et de consolider plusieurs programmes conjoints sur les thématiques variées comme le genre, la jeunesse, les infrastructures, le renforcement des chaines de valeur, les systèmes alimentaires, la résilience climatique et économique, l’inclusion sociale ou l’Education dans la perspective de couvrir les Transitions clés et les niches stratégiques des Objectifs pour le Développement Durable. </w:t>
      </w:r>
    </w:p>
    <w:p w14:paraId="4337FC70" w14:textId="77777777" w:rsidR="00EA6DED" w:rsidRDefault="00EA6DED">
      <w:pPr>
        <w:jc w:val="both"/>
      </w:pPr>
    </w:p>
    <w:p w14:paraId="4337FC71" w14:textId="77777777" w:rsidR="00EA6DED" w:rsidRDefault="007504AE">
      <w:pPr>
        <w:jc w:val="both"/>
      </w:pPr>
      <w:r>
        <w:t>Toutefois, le reportage irrégulier des données dans UNinfo et l’absence d’un cadre harmonisé de suivi financier, avec ventilation annuelle et par réalisation, ne facilite pas l’appréciation de la transparence et l’analyse structurée des fonds mobilisés, des engagements en cours et des dépenses par agence et par année.  En outre, la rareté des financements et la dépendance aux financements fléchés, favorisent la compétition entre agences et freinent la coopération et la planification intégrée.</w:t>
      </w:r>
    </w:p>
    <w:p w14:paraId="4337FC72" w14:textId="77777777" w:rsidR="00EA6DED" w:rsidRDefault="00EA6DED">
      <w:pPr>
        <w:jc w:val="both"/>
      </w:pPr>
    </w:p>
    <w:p w14:paraId="4337FC73" w14:textId="77777777" w:rsidR="00EA6DED" w:rsidRDefault="00EA6DED">
      <w:pPr>
        <w:jc w:val="both"/>
      </w:pPr>
    </w:p>
    <w:p w14:paraId="4337FC74" w14:textId="77777777" w:rsidR="00EA6DED" w:rsidRDefault="007504AE">
      <w:pPr>
        <w:pStyle w:val="Titre3"/>
        <w:rPr>
          <w:rFonts w:ascii="Times New Roman" w:hAnsi="Times New Roman"/>
          <w:i/>
          <w:iCs/>
          <w:color w:val="000000"/>
          <w:sz w:val="22"/>
          <w:szCs w:val="22"/>
        </w:rPr>
      </w:pPr>
      <w:bookmarkStart w:id="141" w:name="_Toc28675"/>
      <w:r>
        <w:rPr>
          <w:rFonts w:ascii="Times New Roman" w:hAnsi="Times New Roman"/>
          <w:i/>
          <w:iCs/>
          <w:color w:val="000000"/>
          <w:sz w:val="22"/>
          <w:szCs w:val="22"/>
        </w:rPr>
        <w:t>5.4.4. Mise en place des partenariats et d’alliances stratégiques</w:t>
      </w:r>
      <w:bookmarkEnd w:id="141"/>
    </w:p>
    <w:p w14:paraId="4337FC75" w14:textId="77777777" w:rsidR="00EA6DED" w:rsidRDefault="00EA6DED">
      <w:pPr>
        <w:spacing w:after="120"/>
        <w:jc w:val="both"/>
      </w:pPr>
    </w:p>
    <w:p w14:paraId="4337FC76" w14:textId="77777777" w:rsidR="00EA6DED" w:rsidRDefault="007504AE">
      <w:pPr>
        <w:spacing w:after="120"/>
        <w:jc w:val="both"/>
      </w:pPr>
      <w:r>
        <w:t xml:space="preserve">Le SNU a appuyé la mise en œuvre de la stratégie de partenariat et de financement 2022-2026 du Cameroun, qui a facilité la mobilisation conjointe de ressources, le renforcement des partenariats avec le secteur privé et les institutions financières, ainsi que l’exploration de financements innovants tels que le fonds Nexus, les obligations vertes/bleues et les diaspora bonds.Il a contribué à l’opérationnalisation de la Stratégie nationale de financement intégré (SNFI) en vue de mieux coordonner les ressources, valoriser l’épargne domestique, accroître l’implication de la diaspora et assurer une gestion transparente et alignée sur les priorités de la SND30. </w:t>
      </w:r>
      <w:r>
        <w:lastRenderedPageBreak/>
        <w:t>Il a également accompagné l’élaboration du plan stratégique de mobilisation des financements innovants et fonds verts, en introduisant de nouveaux instruments (obligations thématiques, financements mixtes, joint-ventures, garanties d’IFI, mécanismes de partage des risques).Enfin, le SNU a initié une étude sur la contribution du secteur privé aux ODD afin d’accroître son implication dans le financement du développement durable.</w:t>
      </w:r>
    </w:p>
    <w:p w14:paraId="4337FC77" w14:textId="77777777" w:rsidR="00EA6DED" w:rsidRDefault="007504AE">
      <w:pPr>
        <w:spacing w:after="120"/>
        <w:jc w:val="both"/>
      </w:pPr>
      <w:r>
        <w:t>Enfin, le SNU a initié une étude sur la contribution du secteur privé aux ODD afin d’accroître son implication dans le financement du développement durable. Le SNU a travaillé avec plusieurs partenaires au développement pour établir des partenariats d’alliances à travers des financements directs de projets sur la base de sollicitations de financement des agences des Nations Unies (cas de l’UE, de l’Ambassade du Japon ou de UK Aid pour ne citer que ceux-là), soit à travers une collaboration directe sur le terrain dans la mise en œuvre de projets appuyés conjointement par les agences des Nations Unies et les agences de coopération.</w:t>
      </w:r>
    </w:p>
    <w:p w14:paraId="4337FC78" w14:textId="77777777" w:rsidR="00EA6DED" w:rsidRDefault="007504AE">
      <w:pPr>
        <w:adjustRightInd w:val="0"/>
        <w:jc w:val="both"/>
        <w:rPr>
          <w:color w:val="000000"/>
        </w:rPr>
      </w:pPr>
      <w:r>
        <w:rPr>
          <w:color w:val="000000"/>
        </w:rPr>
        <w:t>En 2023 une rencontre avec tous les groupements du secteur privé afin d’évaluer les partenariats déjà existants et les défis rencontrés, cerner les besoins du secteur privé et les approches qui les conviennent a été organisée par le SNU. Des réunions du comité multipartenaires ont été tenues en 2022, 2023 et 2024. Sous le lead d’une agence des NU, le groupe secteur rural a tenu une réunion de coordination en 2024 pour partager de nouvelles opportunités de financement telles que le Guichet de financement climatique de l’UE basé au FEICOM.</w:t>
      </w:r>
      <w:r>
        <w:rPr>
          <w:color w:val="000000"/>
          <w:sz w:val="23"/>
          <w:szCs w:val="23"/>
        </w:rPr>
        <w:t xml:space="preserve"> </w:t>
      </w:r>
      <w:r>
        <w:rPr>
          <w:color w:val="000000"/>
        </w:rPr>
        <w:t>Le SNU a également tenu des dialogues stratégiques ayant permis le lancement de travaux techniques avec le Gouvernement pour l’amélioration des mécanismes de coordination au niveau sectoriel, ceci en collaboration avec la Délégation de l’Union Européenne et la GIZ.</w:t>
      </w:r>
      <w:r>
        <w:rPr>
          <w:color w:val="000000"/>
          <w:sz w:val="23"/>
          <w:szCs w:val="23"/>
        </w:rPr>
        <w:t xml:space="preserve"> </w:t>
      </w:r>
    </w:p>
    <w:p w14:paraId="4337FC79" w14:textId="77777777" w:rsidR="00EA6DED" w:rsidRDefault="00EA6DED">
      <w:pPr>
        <w:adjustRightInd w:val="0"/>
        <w:jc w:val="both"/>
        <w:rPr>
          <w:color w:val="000000"/>
        </w:rPr>
      </w:pPr>
    </w:p>
    <w:p w14:paraId="4337FC7A" w14:textId="77777777" w:rsidR="00EA6DED" w:rsidRDefault="007504AE">
      <w:pPr>
        <w:adjustRightInd w:val="0"/>
        <w:jc w:val="both"/>
        <w:rPr>
          <w:color w:val="000000"/>
        </w:rPr>
      </w:pPr>
      <w:r>
        <w:rPr>
          <w:color w:val="000000"/>
        </w:rPr>
        <w:t>Le SNU a également contribué à la mise en place de la stratégie nationale de développement du cadre des obligations durables et le renforcement des capacités en matière de finances durables, vertes et du marché carbone, dans la mise en place de la Plateforme de la dette verte et durable afin de tirer parti des obligations vertes, résilientes et bleues, dans l’élaboration d’une proposition de projet pour soutenir l'accréditation du FEICOM au Fonds Vert Climat.</w:t>
      </w:r>
      <w:r>
        <w:rPr>
          <w:color w:val="000000"/>
          <w:sz w:val="23"/>
          <w:szCs w:val="23"/>
        </w:rPr>
        <w:t xml:space="preserve"> </w:t>
      </w:r>
      <w:r>
        <w:rPr>
          <w:color w:val="000000"/>
        </w:rPr>
        <w:t>Le SNU a également soutenu la réalisation du suivi de l’efficacité du partenariat au Cameroun, des dialogues sur le financement climatique, l’implication des collectivités décentralisées dans les négociations d’accès au financement pour le développement local.</w:t>
      </w:r>
    </w:p>
    <w:p w14:paraId="4337FC7B" w14:textId="77777777" w:rsidR="00EA6DED" w:rsidRDefault="00EA6DED">
      <w:pPr>
        <w:adjustRightInd w:val="0"/>
        <w:jc w:val="both"/>
        <w:rPr>
          <w:rFonts w:eastAsia="Calibri"/>
          <w:b/>
          <w:sz w:val="22"/>
          <w:szCs w:val="22"/>
        </w:rPr>
      </w:pPr>
    </w:p>
    <w:p w14:paraId="4337FC7C" w14:textId="77777777" w:rsidR="00EA6DED" w:rsidRDefault="007504AE">
      <w:pPr>
        <w:jc w:val="both"/>
      </w:pPr>
      <w:r>
        <w:rPr>
          <w:rFonts w:eastAsia="Arial"/>
        </w:rPr>
        <w:t xml:space="preserve">Comme lacunes, </w:t>
      </w:r>
      <w:r>
        <w:t>les partenaires ont exprimé plusieurs préoccupations concernant la collaboration avec les agences des Nations Unies, notamment les coûts opérationnels jugés trop élevés, bien que ces agences soulignent les bénéfices apportés aux populations vulnérables. Le manque de personnel dédié pour piloter les initiatives partenariales, ainsi que l'absence de certains ministères clés, ont entravé la mise en œuvre efficace de certaines initiatives. La faible implication des autorités nationales dès la phase de conception des projets a également été critiquée. Enfin, les ONGs ont déploré la lenteur dans la validation des dépenses, ce qui a retardé plusieurs activités.</w:t>
      </w:r>
    </w:p>
    <w:p w14:paraId="4337FC7D" w14:textId="77777777" w:rsidR="00EA6DED" w:rsidRDefault="00EA6DED">
      <w:pPr>
        <w:rPr>
          <w:rFonts w:eastAsia="Calibri"/>
          <w:b/>
          <w:sz w:val="22"/>
          <w:szCs w:val="22"/>
        </w:rPr>
      </w:pPr>
    </w:p>
    <w:p w14:paraId="4337FC7E" w14:textId="77777777" w:rsidR="00EA6DED" w:rsidRDefault="00EA6DED">
      <w:pPr>
        <w:rPr>
          <w:rFonts w:eastAsia="Calibri"/>
          <w:b/>
          <w:sz w:val="22"/>
          <w:szCs w:val="22"/>
        </w:rPr>
      </w:pPr>
    </w:p>
    <w:p w14:paraId="4337FC7F" w14:textId="77777777" w:rsidR="00EA6DED" w:rsidRDefault="007504AE">
      <w:pPr>
        <w:pStyle w:val="Titre2"/>
        <w:rPr>
          <w:color w:val="0000FF"/>
          <w:sz w:val="24"/>
          <w:szCs w:val="24"/>
        </w:rPr>
      </w:pPr>
      <w:bookmarkStart w:id="142" w:name="_Toc17030"/>
      <w:r>
        <w:rPr>
          <w:color w:val="0000FF"/>
          <w:sz w:val="24"/>
          <w:szCs w:val="24"/>
        </w:rPr>
        <w:t>5.5 Orientations vers l’impact</w:t>
      </w:r>
      <w:bookmarkEnd w:id="142"/>
    </w:p>
    <w:p w14:paraId="4337FC80" w14:textId="77777777" w:rsidR="00EA6DED" w:rsidRDefault="00EA6DED">
      <w:pPr>
        <w:ind w:left="1200"/>
        <w:jc w:val="both"/>
        <w:rPr>
          <w:rFonts w:eastAsia="Calibri"/>
          <w:b/>
          <w:color w:val="000000"/>
          <w:sz w:val="22"/>
          <w:szCs w:val="22"/>
        </w:rPr>
      </w:pPr>
    </w:p>
    <w:tbl>
      <w:tblPr>
        <w:tblW w:w="10065"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CellMar>
          <w:left w:w="115" w:type="dxa"/>
          <w:right w:w="115" w:type="dxa"/>
        </w:tblCellMar>
        <w:tblLook w:val="04A0" w:firstRow="1" w:lastRow="0" w:firstColumn="1" w:lastColumn="0" w:noHBand="0" w:noVBand="1"/>
      </w:tblPr>
      <w:tblGrid>
        <w:gridCol w:w="10065"/>
      </w:tblGrid>
      <w:tr w:rsidR="00EA6DED" w14:paraId="4337FC82" w14:textId="77777777">
        <w:tc>
          <w:tcPr>
            <w:tcW w:w="10065" w:type="dxa"/>
            <w:shd w:val="clear" w:color="auto" w:fill="D9E2F3"/>
          </w:tcPr>
          <w:p w14:paraId="4337FC81" w14:textId="77777777" w:rsidR="00EA6DED" w:rsidRDefault="007504AE">
            <w:pPr>
              <w:autoSpaceDE w:val="0"/>
              <w:autoSpaceDN w:val="0"/>
              <w:jc w:val="both"/>
              <w:rPr>
                <w:rFonts w:ascii="Calibri" w:eastAsia="Arial" w:hAnsi="Calibri"/>
                <w:b/>
                <w:color w:val="0070C0"/>
                <w:u w:val="single"/>
                <w:lang w:eastAsia="en-US"/>
              </w:rPr>
            </w:pPr>
            <w:r>
              <w:rPr>
                <w:rFonts w:eastAsia="Arial"/>
                <w:b/>
                <w:color w:val="000000"/>
                <w:sz w:val="22"/>
                <w:szCs w:val="22"/>
                <w:lang w:eastAsia="en-US"/>
              </w:rPr>
              <w:t>10.</w:t>
            </w:r>
            <w:r>
              <w:rPr>
                <w:rFonts w:eastAsia="Arial"/>
                <w:color w:val="000000"/>
                <w:sz w:val="22"/>
                <w:szCs w:val="22"/>
                <w:lang w:eastAsia="en-US"/>
              </w:rPr>
              <w:t xml:space="preserve"> Dans quelle mesure le CC a-t-il contribué à des progrès mesurables en matière de  résilience économique, de réduction de la vulnérabilité aux crises, d’égalité des genres, de durabilité environnementale, de réformes institutionnelles et de renforcement du capital humain ?</w:t>
            </w:r>
          </w:p>
        </w:tc>
      </w:tr>
      <w:tr w:rsidR="00EA6DED" w14:paraId="4337FC8A" w14:textId="77777777">
        <w:tc>
          <w:tcPr>
            <w:tcW w:w="10065" w:type="dxa"/>
          </w:tcPr>
          <w:p w14:paraId="4337FC83" w14:textId="77777777" w:rsidR="00EA6DED" w:rsidRDefault="007504AE">
            <w:pPr>
              <w:pStyle w:val="NormalWeb"/>
              <w:rPr>
                <w:rFonts w:ascii="Calibri" w:eastAsia="Segoe UI" w:hAnsi="Calibri"/>
                <w:color w:val="404040"/>
                <w:kern w:val="2"/>
                <w:sz w:val="22"/>
                <w:szCs w:val="22"/>
                <w:shd w:val="clear" w:color="auto" w:fill="FFFFFF"/>
                <w:lang w:eastAsia="en-US"/>
              </w:rPr>
            </w:pPr>
            <w:r>
              <w:rPr>
                <w:rFonts w:eastAsia="Segoe UI"/>
                <w:color w:val="000000"/>
                <w:kern w:val="2"/>
                <w:shd w:val="clear" w:color="auto" w:fill="FFFFFF"/>
                <w:lang w:eastAsia="zh-CN"/>
              </w:rPr>
              <w:t xml:space="preserve">Résumé des constats : </w:t>
            </w:r>
          </w:p>
          <w:p w14:paraId="4337FC84" w14:textId="77777777" w:rsidR="00EA6DED" w:rsidRDefault="007504AE">
            <w:pPr>
              <w:pStyle w:val="NormalWeb"/>
              <w:jc w:val="both"/>
            </w:pPr>
            <w:r>
              <w:rPr>
                <w:rFonts w:eastAsia="Segoe UI"/>
                <w:color w:val="000000"/>
                <w:kern w:val="2"/>
                <w:shd w:val="clear" w:color="auto" w:fill="FFFFFF"/>
                <w:lang w:eastAsia="zh-CN"/>
              </w:rPr>
              <w:t xml:space="preserve">Les données documentaires indiquent que la période 2022-2024 a marqué une rupture significative avec un taux d’inflation de 6,3 % en 2022, 7,4 % en 2023, avant de reculer à 4,5 % en 2024. En effet, </w:t>
            </w:r>
            <w:r>
              <w:t xml:space="preserve">la diminution progressive des subventions sur les carburants a directement affecté les coûts de transport et de production. De plus, les perturbations climatiques et les problèmes de sécurité, en particulier dans les régions du Nord-Ouest et du Sud-Ouest, des régions du septentrion et de l’Est, ont également joué un rôle dans la flambée de l’inflation. À l'échelle internationale, les effets du conflit russo-ukrainien, </w:t>
            </w:r>
            <w:r>
              <w:lastRenderedPageBreak/>
              <w:t>les conséquences de la pandémie de COVID-19 et les variations du FCCA par rapport au dollar américain ont été des facteurs perturbateurs exogènes.</w:t>
            </w:r>
          </w:p>
          <w:p w14:paraId="4337FC85" w14:textId="77777777" w:rsidR="00EA6DED" w:rsidRDefault="007504AE">
            <w:pPr>
              <w:pStyle w:val="Default"/>
              <w:jc w:val="both"/>
              <w:rPr>
                <w:rFonts w:ascii="Times New Roman" w:eastAsia="Segoe UI" w:hAnsi="Times New Roman" w:cs="Times New Roman"/>
                <w:kern w:val="2"/>
                <w:shd w:val="clear" w:color="auto" w:fill="FFFFFF"/>
                <w:lang w:eastAsia="en-US"/>
              </w:rPr>
            </w:pPr>
            <w:r>
              <w:rPr>
                <w:rFonts w:ascii="Times New Roman" w:eastAsia="Segoe UI" w:hAnsi="Times New Roman" w:cs="Times New Roman"/>
                <w:kern w:val="2"/>
                <w:shd w:val="clear" w:color="auto" w:fill="FFFFFF"/>
                <w:lang w:eastAsia="zh-CN"/>
              </w:rPr>
              <w:t xml:space="preserve">L’appui du Cadre de Coopération dans sa Réalisation 1, a mis le focus sur la promotion des chaines de valeurs dans les secteurs productifs, </w:t>
            </w:r>
            <w:r>
              <w:rPr>
                <w:rFonts w:ascii="Times New Roman" w:hAnsi="Times New Roman" w:cs="Times New Roman"/>
              </w:rPr>
              <w:t xml:space="preserve">renforcer les capacités des TPE, PME, PMI, startup, GIC, sociétés coopératives et organisations rurales à base communautaire, développer un système d'information pour un accès accru aux opportunités économiques sur les marchés et assurer la promotion du libre-échange continental à travers la ZLECAF. Dans ses réalisations 2.1 et 2.2, des efforts ont été faits pour la protection sociale et le renforcement des capacités du système national de surveillance et de coordination de la sécurité alimentaire et nutritionnelle. </w:t>
            </w:r>
            <w:r>
              <w:rPr>
                <w:rFonts w:ascii="Times New Roman" w:eastAsia="Segoe UI" w:hAnsi="Times New Roman" w:cs="Times New Roman"/>
                <w:kern w:val="2"/>
                <w:shd w:val="clear" w:color="auto" w:fill="FFFFFF"/>
                <w:lang w:eastAsia="zh-CN"/>
              </w:rPr>
              <w:t>Dans le domaine des réformes institutionnelles (Réalisation 3), l</w:t>
            </w:r>
            <w:r>
              <w:rPr>
                <w:rFonts w:ascii="Times New Roman" w:eastAsia="Segoe UI" w:hAnsi="Times New Roman" w:cs="Times New Roman"/>
                <w:kern w:val="2"/>
                <w:shd w:val="clear" w:color="auto" w:fill="FFFFFF"/>
                <w:lang w:eastAsia="en-US"/>
              </w:rPr>
              <w:t>a contribution à l</w:t>
            </w:r>
            <w:r>
              <w:rPr>
                <w:rFonts w:ascii="Times New Roman" w:eastAsia="Segoe UI" w:hAnsi="Times New Roman" w:cs="Times New Roman"/>
                <w:kern w:val="2"/>
                <w:shd w:val="clear" w:color="auto" w:fill="FFFFFF"/>
                <w:lang w:eastAsia="zh-CN"/>
              </w:rPr>
              <w:t xml:space="preserve">’adoption </w:t>
            </w:r>
            <w:r>
              <w:rPr>
                <w:rFonts w:ascii="Times New Roman" w:eastAsia="Segoe UI" w:hAnsi="Times New Roman" w:cs="Times New Roman"/>
                <w:kern w:val="2"/>
                <w:shd w:val="clear" w:color="auto" w:fill="FFFFFF"/>
                <w:lang w:eastAsia="en-US"/>
              </w:rPr>
              <w:t>des</w:t>
            </w:r>
            <w:r>
              <w:rPr>
                <w:rFonts w:ascii="Times New Roman" w:eastAsia="Segoe UI" w:hAnsi="Times New Roman" w:cs="Times New Roman"/>
                <w:kern w:val="2"/>
                <w:shd w:val="clear" w:color="auto" w:fill="FFFFFF"/>
                <w:lang w:eastAsia="zh-CN"/>
              </w:rPr>
              <w:t xml:space="preserve"> textes réglementaires</w:t>
            </w:r>
            <w:r>
              <w:rPr>
                <w:rFonts w:ascii="Times New Roman" w:eastAsia="Segoe UI" w:hAnsi="Times New Roman" w:cs="Times New Roman"/>
                <w:kern w:val="2"/>
                <w:shd w:val="clear" w:color="auto" w:fill="FFFFFF"/>
                <w:lang w:eastAsia="en-US"/>
              </w:rPr>
              <w:t xml:space="preserve"> dans les différents secteurs de la vie nationale</w:t>
            </w:r>
            <w:r>
              <w:rPr>
                <w:rFonts w:ascii="Times New Roman" w:eastAsia="Segoe UI" w:hAnsi="Times New Roman" w:cs="Times New Roman"/>
                <w:kern w:val="2"/>
                <w:shd w:val="clear" w:color="auto" w:fill="FFFFFF"/>
                <w:lang w:eastAsia="zh-CN"/>
              </w:rPr>
              <w:t xml:space="preserve">, </w:t>
            </w:r>
            <w:r>
              <w:rPr>
                <w:rFonts w:ascii="Times New Roman" w:eastAsia="Segoe UI" w:hAnsi="Times New Roman" w:cs="Times New Roman"/>
                <w:kern w:val="2"/>
                <w:shd w:val="clear" w:color="auto" w:fill="FFFFFF"/>
                <w:lang w:eastAsia="en-US"/>
              </w:rPr>
              <w:t xml:space="preserve">est un résultat qualitatif très significatif dans la transformation du pays même. </w:t>
            </w:r>
          </w:p>
          <w:p w14:paraId="4337FC86" w14:textId="77777777" w:rsidR="00EA6DED" w:rsidRDefault="00EA6DED">
            <w:pPr>
              <w:pStyle w:val="Default"/>
              <w:jc w:val="both"/>
              <w:rPr>
                <w:rFonts w:eastAsia="Segoe UI"/>
                <w:kern w:val="2"/>
                <w:shd w:val="clear" w:color="auto" w:fill="FFFFFF"/>
                <w:lang w:eastAsia="zh-CN"/>
              </w:rPr>
            </w:pPr>
          </w:p>
          <w:p w14:paraId="4337FC87" w14:textId="77777777" w:rsidR="00EA6DED" w:rsidRDefault="007504AE">
            <w:pPr>
              <w:pStyle w:val="NormalWeb"/>
              <w:widowControl w:val="0"/>
              <w:autoSpaceDE w:val="0"/>
              <w:autoSpaceDN w:val="0"/>
              <w:spacing w:before="0" w:beforeAutospacing="0" w:after="0" w:afterAutospacing="0"/>
              <w:contextualSpacing/>
              <w:jc w:val="both"/>
              <w:rPr>
                <w:rFonts w:eastAsia="Segoe UI"/>
                <w:color w:val="000000"/>
                <w:kern w:val="2"/>
                <w:shd w:val="clear" w:color="auto" w:fill="FFFFFF"/>
                <w:lang w:eastAsia="zh-CN"/>
              </w:rPr>
            </w:pPr>
            <w:r>
              <w:rPr>
                <w:rFonts w:eastAsia="Segoe UI"/>
                <w:color w:val="000000"/>
                <w:kern w:val="2"/>
                <w:shd w:val="clear" w:color="auto" w:fill="FFFFFF"/>
                <w:lang w:eastAsia="en-US"/>
              </w:rPr>
              <w:t>Au niveau de la durabilité environnementale</w:t>
            </w:r>
            <w:r>
              <w:rPr>
                <w:rFonts w:eastAsia="Segoe UI"/>
                <w:kern w:val="2"/>
                <w:shd w:val="clear" w:color="auto" w:fill="FFFFFF"/>
                <w:lang w:eastAsia="en-US"/>
              </w:rPr>
              <w:t xml:space="preserve"> (Réalisation 4)</w:t>
            </w:r>
            <w:r>
              <w:rPr>
                <w:rFonts w:eastAsia="Segoe UI"/>
                <w:color w:val="000000"/>
                <w:kern w:val="2"/>
                <w:shd w:val="clear" w:color="auto" w:fill="FFFFFF"/>
                <w:lang w:eastAsia="en-US"/>
              </w:rPr>
              <w:t>, les démarches transformatrices sur le plan normatif et règlementaire, partenarial et financier adoptées par le SNU, augure de très bonnes perspectives en termes changements positifs</w:t>
            </w:r>
            <w:r>
              <w:rPr>
                <w:rFonts w:eastAsia="Segoe UI"/>
                <w:kern w:val="2"/>
                <w:shd w:val="clear" w:color="auto" w:fill="FFFFFF"/>
                <w:lang w:eastAsia="en-US"/>
              </w:rPr>
              <w:t xml:space="preserve">. Par ailleurs, </w:t>
            </w:r>
            <w:r>
              <w:rPr>
                <w:rFonts w:eastAsia="Times New Roman"/>
              </w:rPr>
              <w:t xml:space="preserve">les </w:t>
            </w:r>
            <w:r>
              <w:rPr>
                <w:color w:val="000000"/>
              </w:rPr>
              <w:t>capacités de coordination, d’anticipation et de réponse aux chocs des institutions et des populations (conception et diffusion de plusieurs programmes d’information et des stratégies de prévention et gestion des catastrophes)</w:t>
            </w:r>
            <w:r>
              <w:t xml:space="preserve"> ont été renforcées.</w:t>
            </w:r>
            <w:r>
              <w:rPr>
                <w:rFonts w:eastAsia="Segoe UI"/>
                <w:color w:val="000000"/>
                <w:kern w:val="2"/>
                <w:shd w:val="clear" w:color="auto" w:fill="FFFFFF"/>
                <w:lang w:eastAsia="en-US"/>
              </w:rPr>
              <w:t xml:space="preserve"> </w:t>
            </w:r>
          </w:p>
          <w:p w14:paraId="4337FC88" w14:textId="77777777" w:rsidR="00EA6DED" w:rsidRDefault="00EA6DED">
            <w:pPr>
              <w:autoSpaceDE w:val="0"/>
              <w:autoSpaceDN w:val="0"/>
              <w:jc w:val="both"/>
              <w:rPr>
                <w:rFonts w:eastAsia="Segoe UI"/>
                <w:color w:val="000000"/>
                <w:kern w:val="2"/>
                <w:shd w:val="clear" w:color="auto" w:fill="FFFFFF"/>
                <w:lang w:eastAsia="en-US"/>
              </w:rPr>
            </w:pPr>
          </w:p>
          <w:p w14:paraId="4337FC89" w14:textId="77777777" w:rsidR="00EA6DED" w:rsidRDefault="007504AE">
            <w:pPr>
              <w:jc w:val="both"/>
              <w:rPr>
                <w:rFonts w:eastAsia="Segoe UI"/>
                <w:shd w:val="clear" w:color="auto" w:fill="FFFFFF"/>
                <w:lang w:eastAsia="en-US"/>
              </w:rPr>
            </w:pPr>
            <w:r>
              <w:rPr>
                <w:rFonts w:eastAsia="Segoe UI"/>
                <w:color w:val="000000"/>
                <w:kern w:val="2"/>
                <w:shd w:val="clear" w:color="auto" w:fill="FFFFFF"/>
                <w:lang w:eastAsia="en-US"/>
              </w:rPr>
              <w:t>La grosse contrainte de l’orientation des interventions des NU vers l’impact n’est pas nécessairement liée à l’impact lui-même mais plutôt aux mécanismes de mesure et de validation de l’impact et de la valeur contributive des Nations Unies.  Dans cette perspective, l</w:t>
            </w:r>
            <w:r>
              <w:rPr>
                <w:rFonts w:eastAsia="Segoe UI"/>
                <w:color w:val="000000"/>
                <w:kern w:val="2"/>
                <w:shd w:val="clear" w:color="auto" w:fill="FFFFFF"/>
              </w:rPr>
              <w:t>es institutions nationales en charge de la gestion des données et les approches et outils de collecte, d’analyse et d’assurance qualité des données à l’intérieur des Nations, ont besoin d’être évalués en vue de déterminer le modèle d’appui efficace pour la fourniture des données de qualité.</w:t>
            </w:r>
            <w:r>
              <w:rPr>
                <w:rFonts w:ascii="Calibri" w:eastAsia="Segoe UI" w:hAnsi="Calibri"/>
                <w:color w:val="000000"/>
                <w:kern w:val="2"/>
                <w:sz w:val="22"/>
                <w:szCs w:val="22"/>
                <w:shd w:val="clear" w:color="auto" w:fill="FFFFFF"/>
                <w:lang w:eastAsia="en-US"/>
              </w:rPr>
              <w:t xml:space="preserve">    </w:t>
            </w:r>
            <w:r>
              <w:rPr>
                <w:rFonts w:ascii="Calibri" w:eastAsia="Segoe UI" w:hAnsi="Calibri"/>
                <w:color w:val="404040"/>
                <w:kern w:val="2"/>
                <w:sz w:val="22"/>
                <w:szCs w:val="22"/>
                <w:shd w:val="clear" w:color="auto" w:fill="FFFFFF"/>
                <w:lang w:eastAsia="en-US"/>
              </w:rPr>
              <w:t xml:space="preserve">   </w:t>
            </w:r>
          </w:p>
        </w:tc>
      </w:tr>
    </w:tbl>
    <w:p w14:paraId="4337FC8B" w14:textId="77777777" w:rsidR="00EA6DED" w:rsidRDefault="00EA6DED">
      <w:pPr>
        <w:pStyle w:val="Paragraphedeliste"/>
        <w:ind w:left="0"/>
      </w:pPr>
    </w:p>
    <w:p w14:paraId="4337FC8C" w14:textId="77777777" w:rsidR="00EA6DED" w:rsidRDefault="007504AE">
      <w:pPr>
        <w:pStyle w:val="Paragraphedeliste"/>
        <w:shd w:val="clear" w:color="auto" w:fill="FFE599"/>
        <w:ind w:left="0"/>
        <w:jc w:val="both"/>
        <w:rPr>
          <w:rFonts w:eastAsia="Arial"/>
          <w:b/>
          <w:color w:val="000000"/>
          <w:sz w:val="22"/>
          <w:szCs w:val="22"/>
        </w:rPr>
      </w:pPr>
      <w:r>
        <w:rPr>
          <w:rFonts w:eastAsia="Arial"/>
          <w:b/>
          <w:color w:val="00B0F0"/>
          <w:sz w:val="22"/>
          <w:szCs w:val="22"/>
        </w:rPr>
        <w:t>Question d’évaluation 10.</w:t>
      </w:r>
      <w:r>
        <w:rPr>
          <w:rFonts w:eastAsia="Arial"/>
          <w:b/>
          <w:color w:val="000000"/>
          <w:sz w:val="22"/>
          <w:szCs w:val="22"/>
        </w:rPr>
        <w:t xml:space="preserve"> Dans quelle mesure le CC a-t-il contribué à des progrès mesurables dans la résilience économique, la réduction de la vulnérabilité aux crises, l’égalité des genres, la durabilité environnementale, les réformes institutionnelles et le renforcement du capital humain ?</w:t>
      </w:r>
    </w:p>
    <w:p w14:paraId="4337FC8D" w14:textId="77777777" w:rsidR="00EA6DED" w:rsidRDefault="00EA6DED">
      <w:pPr>
        <w:pStyle w:val="Paragraphedeliste"/>
        <w:ind w:left="0"/>
      </w:pPr>
    </w:p>
    <w:p w14:paraId="4337FC8E" w14:textId="77777777" w:rsidR="00EA6DED" w:rsidRDefault="007504AE">
      <w:pPr>
        <w:pStyle w:val="Titre3"/>
        <w:rPr>
          <w:rFonts w:ascii="Times New Roman" w:hAnsi="Times New Roman"/>
          <w:i/>
          <w:iCs/>
          <w:color w:val="000000"/>
          <w:sz w:val="22"/>
          <w:szCs w:val="22"/>
        </w:rPr>
      </w:pPr>
      <w:bookmarkStart w:id="143" w:name="_Toc16363"/>
      <w:r>
        <w:rPr>
          <w:rFonts w:ascii="Times New Roman" w:hAnsi="Times New Roman"/>
          <w:i/>
          <w:iCs/>
          <w:color w:val="000000"/>
          <w:sz w:val="22"/>
          <w:szCs w:val="22"/>
          <w:lang w:eastAsia="zh-CN"/>
        </w:rPr>
        <w:t>5.5.1. Renforcement de la résilience économique et individuelle</w:t>
      </w:r>
      <w:bookmarkEnd w:id="143"/>
    </w:p>
    <w:p w14:paraId="4337FC8F" w14:textId="77777777" w:rsidR="00EA6DED" w:rsidRDefault="007504AE">
      <w:pPr>
        <w:pStyle w:val="NormalWeb"/>
        <w:shd w:val="clear" w:color="auto" w:fill="FFFFFF"/>
        <w:spacing w:before="156" w:beforeAutospacing="0" w:after="156" w:afterAutospacing="0"/>
        <w:jc w:val="both"/>
        <w:rPr>
          <w:color w:val="000000"/>
        </w:rPr>
      </w:pPr>
      <w:r>
        <w:rPr>
          <w:color w:val="000000"/>
        </w:rPr>
        <w:t>Le Cadre de Coopération (CC) a joué un rôle majeur dans le renforcement de la résilience économique et individuelle des populations camerounaises face aux chocs multiples, grâce à des interventions ciblées. Sa contribution directe réside dans le soutien aux filets de sécurité sociale avec 2,4 millions de personnes touchées (représentant 385 500 ménages) entre 2013 et 2022. Cette action s'est poursuivie et intensifiée en 2023 avec le nouveau Projet Filets Sociaux Adaptatifs, qui a bénéficié à 98 500 ménages supplémentaires au premier semestre seulement, via des transferts monétaires et des programmes "Travaux à Haute Intensité de Main d'Œuvre" (HIMO), pour un montant total distribué de 3,1 milliards FCCA. Au-delà de l'assistance directe, le CC a soutenu la relance productive en accompagnant l'élaboration et le démarrage de stratégies d'import-substitution, comme le Plan Intégré d'Import-Substitution Agropastoral et Halieutique (PIISAH) adopté en 2023, visant à réduire la vulnérabilité aux fluctuations des marchés internationaux. Néanmoins, la couverture de ces programmes reste partielle face à l'ampleur des besoins, et leur pérennité est encore tributaire des financements externes, soulignant la nécessité de mécanismes de financement internes plus robustes.</w:t>
      </w:r>
    </w:p>
    <w:p w14:paraId="4337FC90" w14:textId="77777777" w:rsidR="00EA6DED" w:rsidRDefault="007504AE">
      <w:pPr>
        <w:pStyle w:val="NormalWeb"/>
        <w:shd w:val="clear" w:color="auto" w:fill="FFFFFF"/>
        <w:spacing w:before="156" w:beforeAutospacing="0" w:after="156" w:afterAutospacing="0"/>
        <w:jc w:val="both"/>
        <w:rPr>
          <w:rFonts w:eastAsia="Segoe UI"/>
          <w:color w:val="000000"/>
          <w:shd w:val="clear" w:color="auto" w:fill="FFFFFF"/>
        </w:rPr>
      </w:pPr>
      <w:r>
        <w:rPr>
          <w:color w:val="000000"/>
        </w:rPr>
        <w:t>L’appui du CC a permis d’améliorer la résilience de 85 000 ménages vulnérables, générant une hausse de productivité agricole de 12 % dans les zones concernées. Cependant, la croissance nationale de 3,4 % en 2023 reste inférieure aux projections de la SND30 (8 %). L’incidence du CC pourrait se traduire donc par des effets microéconomiques positifs mais limités en termes de transformation macroéconomique.</w:t>
      </w:r>
    </w:p>
    <w:p w14:paraId="4337FC91" w14:textId="77777777" w:rsidR="00EA6DED" w:rsidRDefault="00EA6DED">
      <w:pPr>
        <w:pStyle w:val="Paragraphedeliste"/>
        <w:ind w:left="0"/>
      </w:pPr>
    </w:p>
    <w:p w14:paraId="4337FC92" w14:textId="77777777" w:rsidR="00EA6DED" w:rsidRDefault="007504AE">
      <w:pPr>
        <w:pStyle w:val="Titre3"/>
        <w:rPr>
          <w:rFonts w:ascii="Times New Roman" w:hAnsi="Times New Roman"/>
          <w:i/>
          <w:iCs/>
          <w:color w:val="000000"/>
          <w:sz w:val="22"/>
          <w:szCs w:val="22"/>
        </w:rPr>
      </w:pPr>
      <w:bookmarkStart w:id="144" w:name="_Toc21152"/>
      <w:r>
        <w:rPr>
          <w:rFonts w:ascii="Times New Roman" w:hAnsi="Times New Roman"/>
          <w:i/>
          <w:iCs/>
          <w:color w:val="000000"/>
          <w:sz w:val="22"/>
          <w:szCs w:val="22"/>
        </w:rPr>
        <w:lastRenderedPageBreak/>
        <w:t>5.5.2.  Incidence sur l’inégalité entre les sexes et l’équité</w:t>
      </w:r>
      <w:bookmarkEnd w:id="144"/>
    </w:p>
    <w:p w14:paraId="4337FC93" w14:textId="77777777" w:rsidR="00EA6DED" w:rsidRDefault="00EA6DED">
      <w:pPr>
        <w:rPr>
          <w:highlight w:val="yellow"/>
        </w:rPr>
      </w:pPr>
    </w:p>
    <w:p w14:paraId="4337FC94" w14:textId="77777777" w:rsidR="00EA6DED" w:rsidRDefault="007504AE">
      <w:pPr>
        <w:jc w:val="both"/>
      </w:pPr>
      <w:r>
        <w:t xml:space="preserve">L’évaluation SND30 de 2023 confirme que les inégalités de genre persistent, en particulier sur le marché du travail avec taux de participation de la main-d’œuvre </w:t>
      </w:r>
      <w:r>
        <w:rPr>
          <w:rFonts w:hint="eastAsia"/>
        </w:rPr>
        <w:t>é</w:t>
      </w:r>
      <w:r>
        <w:t>levée chez les hommes (61,4%) que chez les femmes (47,3%)</w:t>
      </w:r>
      <w:r>
        <w:rPr>
          <w:rStyle w:val="Appelnotedebasdep"/>
          <w:i/>
          <w:iCs/>
        </w:rPr>
        <w:footnoteReference w:id="103"/>
      </w:r>
      <w:r>
        <w:t>.</w:t>
      </w:r>
      <w:r>
        <w:rPr>
          <w:sz w:val="22"/>
          <w:szCs w:val="22"/>
        </w:rPr>
        <w:t xml:space="preserve"> </w:t>
      </w:r>
      <w:r>
        <w:t xml:space="preserve">Cette participation inégalitaire de 15 points d’écart entre les hommes et les femmes au marché du travail est observée dans le pays, </w:t>
      </w:r>
      <w:r>
        <w:rPr>
          <w:rFonts w:hint="eastAsia"/>
        </w:rPr>
        <w:t>« </w:t>
      </w:r>
      <w:r>
        <w:t>quel que soit le niveau (d’instruction)</w:t>
      </w:r>
      <w:r>
        <w:rPr>
          <w:rFonts w:hint="eastAsia"/>
        </w:rPr>
        <w:t> </w:t>
      </w:r>
      <w:r>
        <w:t xml:space="preserve">considéré », souligne l’INS. Si la représentation politique des femmes a progressé à 33% au Parlement en 2023, leur accès aux emplois formels reste limité (36%). Le CC a apporté une contribution tangible à travers la mise en œuvre de 25 programmes conjoints sur le genre et la lutte contre les violences basées sur le genre, touchant environ 120 000 bénéficiaires.  </w:t>
      </w:r>
    </w:p>
    <w:p w14:paraId="4337FC95" w14:textId="77777777" w:rsidR="00EA6DED" w:rsidRDefault="00EA6DED">
      <w:pPr>
        <w:pStyle w:val="Titre3"/>
        <w:rPr>
          <w:rFonts w:ascii="Times New Roman" w:hAnsi="Times New Roman"/>
          <w:b w:val="0"/>
          <w:iCs/>
          <w:color w:val="000000"/>
          <w:sz w:val="24"/>
        </w:rPr>
      </w:pPr>
    </w:p>
    <w:p w14:paraId="4337FC96" w14:textId="77777777" w:rsidR="00EA6DED" w:rsidRDefault="007504AE">
      <w:pPr>
        <w:pStyle w:val="Corpsdetexte"/>
        <w:spacing w:line="240" w:lineRule="auto"/>
        <w:ind w:right="28"/>
        <w:contextualSpacing/>
        <w:jc w:val="both"/>
        <w:rPr>
          <w:rFonts w:ascii="Times New Roman" w:eastAsia="Segoe UI" w:hAnsi="Times New Roman"/>
          <w:color w:val="000000" w:themeColor="text1"/>
          <w:shd w:val="clear" w:color="auto" w:fill="FFFFFF"/>
        </w:rPr>
      </w:pPr>
      <w:r>
        <w:rPr>
          <w:rFonts w:ascii="Times New Roman" w:eastAsia="Segoe UI" w:hAnsi="Times New Roman"/>
          <w:color w:val="000000" w:themeColor="text1"/>
          <w:shd w:val="clear" w:color="auto" w:fill="FFFFFF"/>
        </w:rPr>
        <w:t>Le CC a contribué à la transformation de l'environnement budgétaire national par la systématisation de la budgétisation sensible au genre et l'engagement effectif de toutes les parties prenantes en faveur de la budgétisation sensible au genre a été renforcé. Son action s'est concrétisée principalement par un appui à l'autonomisation économique des femmes, avec la formation et l'intégration de </w:t>
      </w:r>
      <w:r>
        <w:rPr>
          <w:rFonts w:ascii="Times New Roman" w:hAnsi="Times New Roman"/>
          <w:color w:val="000000" w:themeColor="text1"/>
        </w:rPr>
        <w:t>30 femmes entrepreneures</w:t>
      </w:r>
      <w:r>
        <w:rPr>
          <w:rFonts w:ascii="Times New Roman" w:eastAsia="Segoe UI" w:hAnsi="Times New Roman"/>
          <w:color w:val="000000" w:themeColor="text1"/>
          <w:shd w:val="clear" w:color="auto" w:fill="FFFFFF"/>
        </w:rPr>
        <w:t xml:space="preserve"> sur une plateforme de commerce électronique pour promouvoir les produits locaux "Made in Cameroon" </w:t>
      </w:r>
      <w:r>
        <w:rPr>
          <w:rFonts w:ascii="Times New Roman" w:hAnsi="Times New Roman"/>
          <w:color w:val="000000" w:themeColor="text1"/>
        </w:rPr>
        <w:footnoteReference w:id="104"/>
      </w:r>
      <w:r>
        <w:rPr>
          <w:rFonts w:ascii="Times New Roman" w:eastAsia="Segoe UI" w:hAnsi="Times New Roman"/>
          <w:color w:val="000000" w:themeColor="text1"/>
          <w:shd w:val="clear" w:color="auto" w:fill="FFFFFF"/>
        </w:rPr>
        <w:t xml:space="preserve">. Dans le domaine de la protection sociale, les programmes de filets sociaux soutenus par le CC ont ciblé une majorité de ménages dirigés par des femmes, atteignant </w:t>
      </w:r>
      <w:r>
        <w:rPr>
          <w:rFonts w:ascii="Times New Roman" w:hAnsi="Times New Roman"/>
          <w:color w:val="000000" w:themeColor="text1"/>
        </w:rPr>
        <w:t>385 500 ménages</w:t>
      </w:r>
      <w:r>
        <w:rPr>
          <w:rFonts w:ascii="Times New Roman" w:eastAsia="Segoe UI" w:hAnsi="Times New Roman"/>
          <w:color w:val="000000" w:themeColor="text1"/>
          <w:shd w:val="clear" w:color="auto" w:fill="FFFFFF"/>
        </w:rPr>
        <w:t xml:space="preserve"> entre 2013 et 2022 et </w:t>
      </w:r>
      <w:r>
        <w:rPr>
          <w:rFonts w:ascii="Times New Roman" w:hAnsi="Times New Roman"/>
          <w:color w:val="000000" w:themeColor="text1"/>
        </w:rPr>
        <w:t>47 000 ménages</w:t>
      </w:r>
      <w:r>
        <w:rPr>
          <w:rFonts w:ascii="Times New Roman" w:eastAsia="Segoe UI" w:hAnsi="Times New Roman"/>
          <w:color w:val="000000" w:themeColor="text1"/>
          <w:shd w:val="clear" w:color="auto" w:fill="FFFFFF"/>
        </w:rPr>
        <w:t> supplémentaires en 2023 via des transferts monétaires ordinaires</w:t>
      </w:r>
      <w:r>
        <w:rPr>
          <w:rFonts w:ascii="Times New Roman" w:hAnsi="Times New Roman"/>
          <w:color w:val="000000" w:themeColor="text1"/>
          <w:vertAlign w:val="superscript"/>
        </w:rPr>
        <w:footnoteReference w:id="105"/>
      </w:r>
      <w:r>
        <w:rPr>
          <w:rFonts w:ascii="Times New Roman" w:eastAsia="Segoe UI" w:hAnsi="Times New Roman"/>
          <w:color w:val="000000" w:themeColor="text1"/>
          <w:shd w:val="clear" w:color="auto" w:fill="FFFFFF"/>
          <w:vertAlign w:val="superscript"/>
        </w:rPr>
        <w:t>.</w:t>
      </w:r>
      <w:r>
        <w:rPr>
          <w:rFonts w:ascii="Times New Roman" w:eastAsia="Segoe UI" w:hAnsi="Times New Roman"/>
          <w:color w:val="000000" w:themeColor="text1"/>
          <w:shd w:val="clear" w:color="auto" w:fill="FFFFFF"/>
        </w:rPr>
        <w:t xml:space="preserve"> Ces initiatives visaient explicitement à alléger la charge économique pesant sur les femmes. Cependant, l'impact global reste modeste face à l'ampleur des défis structurels. Une limite importante réside dans l'absence de données désagrégées par sexe dans le suivi d'indicateurs clés de la SND30, tels que l'emploi ou la productivité agricole, ce qui rend difficile une évaluation précise et systématique des progrès en matière d'égalité des genres et obscurcit les disparités persistantes dans l'accès aux ressources et aux opportunités économiques. En effet, le Cameroun est encore classé comme pays de niveau Tier 2 sur le plan international, c’est-à-dire un pays où la collecte de données et la production des statistiques sensibles au genre est irrégulière. Très souvent les données sur le genre ne sont pas disponibles dans de nombreux secteurs. Par exemple, sur les 52 indicateurs de genre pour le suivi des ODD, il n’y a que 35 pour lesquels les normes de mesure internationalement reconnues existent et dont les données sont régulièrement collectées. Pour le reste, la collecte des données au niveau du pays est irrégulière ou inexistante</w:t>
      </w:r>
      <w:r>
        <w:rPr>
          <w:rStyle w:val="Appelnotedebasdep"/>
          <w:rFonts w:eastAsia="Calibri"/>
          <w:color w:val="000000" w:themeColor="text1"/>
          <w:shd w:val="clear" w:color="auto" w:fill="FFFFFF"/>
        </w:rPr>
        <w:footnoteReference w:id="106"/>
      </w:r>
      <w:r>
        <w:rPr>
          <w:rFonts w:ascii="Times New Roman" w:eastAsia="Segoe UI" w:hAnsi="Times New Roman"/>
          <w:color w:val="000000" w:themeColor="text1"/>
          <w:shd w:val="clear" w:color="auto" w:fill="FFFFFF"/>
        </w:rPr>
        <w:t>.</w:t>
      </w:r>
    </w:p>
    <w:p w14:paraId="4337FC97" w14:textId="77777777" w:rsidR="00EA6DED" w:rsidRDefault="00EA6DED"/>
    <w:p w14:paraId="4337FC98" w14:textId="77777777" w:rsidR="00EA6DED" w:rsidRDefault="007504AE">
      <w:pPr>
        <w:pStyle w:val="Titre3"/>
        <w:rPr>
          <w:highlight w:val="yellow"/>
        </w:rPr>
      </w:pPr>
      <w:bookmarkStart w:id="145" w:name="_Toc31941"/>
      <w:r>
        <w:rPr>
          <w:rFonts w:ascii="Times New Roman" w:hAnsi="Times New Roman"/>
          <w:i/>
          <w:iCs/>
          <w:color w:val="000000"/>
          <w:sz w:val="22"/>
          <w:szCs w:val="22"/>
        </w:rPr>
        <w:t>5.5.3.</w:t>
      </w:r>
      <w:r>
        <w:t xml:space="preserve"> </w:t>
      </w:r>
      <w:r>
        <w:rPr>
          <w:rFonts w:ascii="Times New Roman" w:hAnsi="Times New Roman"/>
          <w:i/>
          <w:iCs/>
          <w:color w:val="000000"/>
          <w:sz w:val="22"/>
          <w:szCs w:val="22"/>
        </w:rPr>
        <w:t>Incidence sur la gouvernance et le cadre institutionnel</w:t>
      </w:r>
      <w:bookmarkEnd w:id="145"/>
      <w:r>
        <w:rPr>
          <w:rFonts w:ascii="Times New Roman" w:hAnsi="Times New Roman"/>
          <w:i/>
          <w:iCs/>
          <w:color w:val="000000"/>
          <w:sz w:val="22"/>
          <w:szCs w:val="22"/>
        </w:rPr>
        <w:t xml:space="preserve"> </w:t>
      </w:r>
    </w:p>
    <w:p w14:paraId="4337FC99" w14:textId="77777777" w:rsidR="00EA6DED" w:rsidRDefault="007504AE">
      <w:pPr>
        <w:jc w:val="both"/>
        <w:rPr>
          <w:color w:val="000000" w:themeColor="text1"/>
        </w:rPr>
      </w:pPr>
      <w:r>
        <w:rPr>
          <w:rFonts w:eastAsia="Segoe UI"/>
          <w:color w:val="000000" w:themeColor="text1"/>
          <w:kern w:val="2"/>
          <w:shd w:val="clear" w:color="auto" w:fill="FFFFFF"/>
          <w:lang w:eastAsia="zh-CN"/>
        </w:rPr>
        <w:t xml:space="preserve">Les réformes institutionnelles appuyées par </w:t>
      </w:r>
      <w:r>
        <w:rPr>
          <w:rFonts w:eastAsia="Segoe UI"/>
          <w:color w:val="000000" w:themeColor="text1"/>
          <w:shd w:val="clear" w:color="auto" w:fill="FFFFFF"/>
        </w:rPr>
        <w:t>le CC</w:t>
      </w:r>
      <w:r>
        <w:rPr>
          <w:rFonts w:eastAsia="Segoe UI"/>
          <w:color w:val="000000" w:themeColor="text1"/>
          <w:kern w:val="2"/>
          <w:shd w:val="clear" w:color="auto" w:fill="FFFFFF"/>
          <w:lang w:eastAsia="zh-CN"/>
        </w:rPr>
        <w:t xml:space="preserve"> ont permis de mettre à jour le cadre normatif, notamment en matière de décentralisation et de gestion publique. </w:t>
      </w:r>
      <w:r>
        <w:rPr>
          <w:rFonts w:eastAsia="Segoe UI"/>
          <w:color w:val="000000" w:themeColor="text1"/>
          <w:shd w:val="clear" w:color="auto" w:fill="FFFFFF"/>
        </w:rPr>
        <w:t>Il a apporté une contribution significative et mesurable au renforcement de la gouvernance et du cadre institutionnel camerounais avec des résultats tangibles dans la décentralisation et la transparence financière. Son action s'est concrétisée par un soutien technique et financier au processus de décentralisation, se traduisant par une augmentation substantielle des ressources transférées aux Collectivités Territoriales Décentralisées (CTD), passées de </w:t>
      </w:r>
      <w:r>
        <w:rPr>
          <w:rFonts w:eastAsia="Segoe UI"/>
          <w:color w:val="000000" w:themeColor="text1"/>
        </w:rPr>
        <w:t>10 milliards FCCA en 2018 à 252,57 milliards FCCA en 2023</w:t>
      </w:r>
      <w:r>
        <w:rPr>
          <w:rFonts w:eastAsia="Segoe UI"/>
          <w:color w:val="000000" w:themeColor="text1"/>
          <w:shd w:val="clear" w:color="auto" w:fill="FFFFFF"/>
        </w:rPr>
        <w:t>, représentant ainsi près de </w:t>
      </w:r>
      <w:r>
        <w:rPr>
          <w:rFonts w:eastAsia="Segoe UI"/>
          <w:color w:val="000000" w:themeColor="text1"/>
        </w:rPr>
        <w:t>4% du budget de l'État</w:t>
      </w:r>
      <w:r>
        <w:rPr>
          <w:rFonts w:eastAsia="Segoe UI"/>
          <w:color w:val="000000" w:themeColor="text1"/>
          <w:shd w:val="clear" w:color="auto" w:fill="FFFFFF"/>
        </w:rPr>
        <w:t>. Parallèlement, le CC a appuyé des réformes pour améliorer la transparence dans la gestion des finances publiques, contribuant à une maîtrise des procédures exceptionnelles de passation des marchés, qui ont été contenues à </w:t>
      </w:r>
      <w:r>
        <w:rPr>
          <w:rFonts w:eastAsia="Segoe UI"/>
          <w:color w:val="000000" w:themeColor="text1"/>
        </w:rPr>
        <w:t>8,4%</w:t>
      </w:r>
      <w:r>
        <w:rPr>
          <w:rFonts w:eastAsia="Segoe UI"/>
          <w:color w:val="000000" w:themeColor="text1"/>
          <w:shd w:val="clear" w:color="auto" w:fill="FFFFFF"/>
        </w:rPr>
        <w:t> en 2023 10%</w:t>
      </w:r>
      <w:r>
        <w:rPr>
          <w:rFonts w:eastAsia="Segoe UI"/>
          <w:color w:val="000000" w:themeColor="text1"/>
          <w:vertAlign w:val="superscript"/>
        </w:rPr>
        <w:footnoteReference w:id="107"/>
      </w:r>
      <w:r>
        <w:rPr>
          <w:rFonts w:eastAsia="Segoe UI"/>
          <w:color w:val="000000" w:themeColor="text1"/>
          <w:shd w:val="clear" w:color="auto" w:fill="FFFFFF"/>
          <w:vertAlign w:val="superscript"/>
        </w:rPr>
        <w:t>.</w:t>
      </w:r>
      <w:r>
        <w:rPr>
          <w:rFonts w:eastAsia="Segoe UI"/>
          <w:color w:val="000000" w:themeColor="text1"/>
          <w:shd w:val="clear" w:color="auto" w:fill="FFFFFF"/>
        </w:rPr>
        <w:t xml:space="preserve"> </w:t>
      </w:r>
    </w:p>
    <w:p w14:paraId="4337FC9A" w14:textId="77777777" w:rsidR="00EA6DED" w:rsidRDefault="00EA6DED">
      <w:pPr>
        <w:jc w:val="both"/>
      </w:pPr>
    </w:p>
    <w:p w14:paraId="4337FC9B" w14:textId="77777777" w:rsidR="00EA6DED" w:rsidRDefault="007504AE">
      <w:pPr>
        <w:jc w:val="both"/>
      </w:pPr>
      <w:r>
        <w:t xml:space="preserve">En outre, le SNU est parmi les pionniers dans les expériences de digitalisation des faits d’état civil avec un plaidoyer actif pour l’élaboration et l’adoption de la loi Loi n° 2024/016 du 23 décembre 2024, portant organisation du système d’enregistrement des faits d’État Civil au Cameroun ». Malgré ces progrès, des défis importants demeurent. En effet, l'application effective des lois adoptées, telles que celle sur le Partenariat Public-Privé (PPP), ainsi que l'amélioration des délais de traitement dans le système judiciaire, restent des domaines nécessitant un soutien renforcé. Le faible taux d'exécution des décisions de justice souligne cette nécessité pour consolider les acquis et assurer une gouvernance efficace et responsable. L'impact du CCCC se </w:t>
      </w:r>
      <w:r>
        <w:lastRenderedPageBreak/>
        <w:t>manifeste davantage dans l'accompagnement des administrations pour élaborer des stratégies et des lois que dans une amélioration tangible de la qualité de la gouvernance. Selon la World Justice Project, l’indice de l’état de droit au Cameroun reste faible en 2024 (à,36) avec un rang de 133 sur 142 pays évaluées</w:t>
      </w:r>
      <w:r>
        <w:rPr>
          <w:vertAlign w:val="superscript"/>
        </w:rPr>
        <w:footnoteReference w:id="108"/>
      </w:r>
      <w:r>
        <w:t>. Il en est de même de la corruption selon la Fondation Mô Ibrahim avec un score de 42,9/100 en Gouvernance globale et un classement de 39e sur 54 pays en Afrique.</w:t>
      </w:r>
    </w:p>
    <w:p w14:paraId="4337FC9C" w14:textId="77777777" w:rsidR="00EA6DED" w:rsidRDefault="00EA6DED">
      <w:pPr>
        <w:pStyle w:val="Titre3"/>
        <w:rPr>
          <w:rFonts w:ascii="Times New Roman" w:hAnsi="Times New Roman"/>
          <w:i/>
          <w:iCs/>
          <w:color w:val="000000"/>
          <w:sz w:val="22"/>
          <w:szCs w:val="22"/>
        </w:rPr>
      </w:pPr>
    </w:p>
    <w:p w14:paraId="4337FC9D" w14:textId="77777777" w:rsidR="00EA6DED" w:rsidRDefault="007504AE">
      <w:pPr>
        <w:pStyle w:val="Titre3"/>
        <w:rPr>
          <w:rFonts w:ascii="Times New Roman" w:hAnsi="Times New Roman"/>
          <w:i/>
          <w:iCs/>
          <w:color w:val="000000"/>
          <w:sz w:val="22"/>
          <w:szCs w:val="22"/>
        </w:rPr>
      </w:pPr>
      <w:bookmarkStart w:id="146" w:name="_Toc3768"/>
      <w:r>
        <w:rPr>
          <w:rFonts w:ascii="Times New Roman" w:hAnsi="Times New Roman"/>
          <w:i/>
          <w:iCs/>
          <w:color w:val="000000"/>
          <w:sz w:val="22"/>
          <w:szCs w:val="22"/>
        </w:rPr>
        <w:t>5.5.4. Incidence sur le capital humain</w:t>
      </w:r>
      <w:bookmarkEnd w:id="146"/>
    </w:p>
    <w:p w14:paraId="4337FC9E" w14:textId="77777777" w:rsidR="00EA6DED" w:rsidRDefault="007504AE">
      <w:pPr>
        <w:contextualSpacing/>
        <w:jc w:val="both"/>
        <w:rPr>
          <w:rFonts w:eastAsia="Segoe UI"/>
          <w:color w:val="000000"/>
          <w:shd w:val="clear" w:color="auto" w:fill="FFFFFF"/>
        </w:rPr>
      </w:pPr>
      <w:r>
        <w:rPr>
          <w:rFonts w:eastAsia="Segoe UI"/>
          <w:color w:val="000000"/>
          <w:shd w:val="clear" w:color="auto" w:fill="FFFFFF"/>
        </w:rPr>
        <w:t xml:space="preserve">Le Cadre de Coopération (CC) a fortement contribué au renforcement du capital humain au Cameroun, avec des progrès quantifiables dans les secteurs de l'éducation et de la santé, prioritaires pour la SND30. </w:t>
      </w:r>
      <w:r>
        <w:rPr>
          <w:color w:val="000000"/>
        </w:rPr>
        <w:t>Les investissements conjoints dans l’éducation et la santé ont eu un impact direct sur certains indicateurs. Le taux net de scolarisation primaire s’élève à 93 % en 2023, et la couverture vaccinale a été améliorée par la vaccination de plus de 1,5 million d’enfants entre 2022 et 2024.</w:t>
      </w:r>
    </w:p>
    <w:p w14:paraId="4337FC9F" w14:textId="77777777" w:rsidR="00EA6DED" w:rsidRDefault="00EA6DED">
      <w:pPr>
        <w:contextualSpacing/>
        <w:rPr>
          <w:rFonts w:eastAsia="Segoe UI"/>
          <w:color w:val="000000"/>
          <w:shd w:val="clear" w:color="auto" w:fill="FFFFFF"/>
        </w:rPr>
      </w:pPr>
    </w:p>
    <w:p w14:paraId="4337FCA0" w14:textId="77777777" w:rsidR="00EA6DED" w:rsidRDefault="007504AE">
      <w:pPr>
        <w:contextualSpacing/>
        <w:jc w:val="both"/>
        <w:rPr>
          <w:rFonts w:eastAsia="Segoe UI"/>
          <w:color w:val="000000"/>
          <w:shd w:val="clear" w:color="auto" w:fill="FFFFFF"/>
        </w:rPr>
      </w:pPr>
      <w:r>
        <w:rPr>
          <w:rFonts w:eastAsia="Segoe UI"/>
          <w:color w:val="000000"/>
          <w:shd w:val="clear" w:color="auto" w:fill="FFFFFF"/>
        </w:rPr>
        <w:t>Dans le domaine éducatif, son appui à la densification de l'offre de formation a permis une augmentation notable du nombre de centres de formation professionnelle (CCP), passant de </w:t>
      </w:r>
      <w:r>
        <w:rPr>
          <w:rStyle w:val="lev"/>
          <w:rFonts w:eastAsia="Segoe UI"/>
          <w:b w:val="0"/>
          <w:color w:val="000000"/>
          <w:shd w:val="clear" w:color="auto" w:fill="FFFFFF"/>
        </w:rPr>
        <w:t>1472 en 2020/2021 à 1822 en 2022/2023</w:t>
      </w:r>
      <w:r>
        <w:rPr>
          <w:rFonts w:eastAsia="Segoe UI"/>
          <w:color w:val="000000"/>
          <w:shd w:val="clear" w:color="auto" w:fill="FFFFFF"/>
        </w:rPr>
        <w:t>, et une hausse de </w:t>
      </w:r>
      <w:r>
        <w:rPr>
          <w:rStyle w:val="lev"/>
          <w:rFonts w:eastAsia="Segoe UI"/>
          <w:b w:val="0"/>
          <w:color w:val="000000"/>
          <w:shd w:val="clear" w:color="auto" w:fill="FFFFFF"/>
        </w:rPr>
        <w:t>12,8%</w:t>
      </w:r>
      <w:r>
        <w:rPr>
          <w:rFonts w:eastAsia="Segoe UI"/>
          <w:color w:val="000000"/>
          <w:shd w:val="clear" w:color="auto" w:fill="FFFFFF"/>
        </w:rPr>
        <w:t> du nombre d'apprenants, pour atteindre </w:t>
      </w:r>
      <w:r>
        <w:rPr>
          <w:rStyle w:val="lev"/>
          <w:rFonts w:eastAsia="Segoe UI"/>
          <w:b w:val="0"/>
          <w:color w:val="000000"/>
          <w:shd w:val="clear" w:color="auto" w:fill="FFFFFF"/>
        </w:rPr>
        <w:t>59</w:t>
      </w:r>
      <w:r>
        <w:rPr>
          <w:rStyle w:val="Appelnotedebasdep"/>
          <w:rFonts w:eastAsia="Segoe UI"/>
          <w:color w:val="000000"/>
          <w:shd w:val="clear" w:color="auto" w:fill="FFFFFF"/>
        </w:rPr>
        <w:footnoteReference w:id="109"/>
      </w:r>
      <w:r>
        <w:rPr>
          <w:rFonts w:eastAsia="Segoe UI"/>
          <w:color w:val="000000"/>
          <w:shd w:val="clear" w:color="auto" w:fill="FFFFFF"/>
        </w:rPr>
        <w:t>. Dans le secteur de la santé, l</w:t>
      </w:r>
      <w:r>
        <w:rPr>
          <w:color w:val="000000"/>
        </w:rPr>
        <w:t xml:space="preserve">e </w:t>
      </w:r>
      <w:r>
        <w:rPr>
          <w:rFonts w:eastAsia="Segoe UI"/>
          <w:color w:val="000000"/>
          <w:shd w:val="clear" w:color="auto" w:fill="FFFFFF"/>
        </w:rPr>
        <w:t>soutien du CC a été crucial pour le lancement opérationnel de la Couverture Santé Universelle (CSU) en </w:t>
      </w:r>
      <w:r>
        <w:rPr>
          <w:rStyle w:val="lev"/>
          <w:rFonts w:eastAsia="Segoe UI"/>
          <w:b w:val="0"/>
          <w:color w:val="000000"/>
          <w:shd w:val="clear" w:color="auto" w:fill="FFFFFF"/>
        </w:rPr>
        <w:t>avril 2023</w:t>
      </w:r>
      <w:r>
        <w:rPr>
          <w:rFonts w:eastAsia="Segoe UI"/>
          <w:color w:val="000000"/>
          <w:shd w:val="clear" w:color="auto" w:fill="FFFFFF"/>
        </w:rPr>
        <w:t>, déployée dans une phase pilote couvrant </w:t>
      </w:r>
      <w:r>
        <w:rPr>
          <w:rStyle w:val="lev"/>
          <w:rFonts w:eastAsia="Segoe UI"/>
          <w:b w:val="0"/>
          <w:color w:val="000000"/>
          <w:shd w:val="clear" w:color="auto" w:fill="FFFFFF"/>
        </w:rPr>
        <w:t>5 régions</w:t>
      </w:r>
      <w:r>
        <w:rPr>
          <w:rFonts w:eastAsia="Segoe UI"/>
          <w:color w:val="000000"/>
          <w:shd w:val="clear" w:color="auto" w:fill="FFFFFF"/>
        </w:rPr>
        <w:t> (Adamaoua, Est, Extrême-Nord, Nord, Sud)</w:t>
      </w:r>
      <w:r>
        <w:rPr>
          <w:rStyle w:val="Appelnotedebasdep"/>
          <w:rFonts w:eastAsia="Segoe UI"/>
          <w:color w:val="000000"/>
          <w:shd w:val="clear" w:color="auto" w:fill="FFFFFF"/>
        </w:rPr>
        <w:footnoteReference w:id="110"/>
      </w:r>
      <w:r>
        <w:rPr>
          <w:rFonts w:eastAsia="Segoe UI"/>
          <w:color w:val="000000"/>
          <w:shd w:val="clear" w:color="auto" w:fill="FFFFFF"/>
        </w:rPr>
        <w:t>. De plus, des indicateurs clés se sont améliorées, tels que le pourcentage de nouveau-nés recevant des soins postnatals dans les 48 heures, passé de </w:t>
      </w:r>
      <w:r>
        <w:rPr>
          <w:rStyle w:val="lev"/>
          <w:rFonts w:eastAsia="Segoe UI"/>
          <w:b w:val="0"/>
          <w:color w:val="000000"/>
          <w:shd w:val="clear" w:color="auto" w:fill="FFFFFF"/>
        </w:rPr>
        <w:t>68% en 2020 à 79,3% en 2022</w:t>
      </w:r>
      <w:r>
        <w:rPr>
          <w:rFonts w:eastAsia="Segoe UI"/>
          <w:color w:val="000000"/>
          <w:shd w:val="clear" w:color="auto" w:fill="FFFFFF"/>
        </w:rPr>
        <w:t xml:space="preserve">. </w:t>
      </w:r>
    </w:p>
    <w:p w14:paraId="4337FCA1" w14:textId="77777777" w:rsidR="00EA6DED" w:rsidRDefault="00EA6DED">
      <w:pPr>
        <w:contextualSpacing/>
        <w:jc w:val="both"/>
      </w:pPr>
    </w:p>
    <w:p w14:paraId="4337FCA2" w14:textId="77777777" w:rsidR="00EA6DED" w:rsidRDefault="007504AE">
      <w:pPr>
        <w:contextualSpacing/>
        <w:jc w:val="both"/>
      </w:pPr>
      <w:r>
        <w:t>Dans l’ensemble, des lacunes importantes subsistent, notamment un taux de transition du primaire au secondaire de 60,7%, d’où la nécessité d'intensifier les efforts pour garantir un accès universel à une éducation et à des services de santé de qualité. Les disparités régionales persistent, avec un taux de scolarisation inférieur à 70 % dans l’Extrême-Nord, et la mortalité maternelle reste préoccupante à 406/100 000. Bien que le soutien du CC soit essentiel pour les services sociaux de base, il est insuffisant pour accélérer l'atteinte des cibles de la SND30.</w:t>
      </w:r>
    </w:p>
    <w:p w14:paraId="4337FCA3" w14:textId="77777777" w:rsidR="00EA6DED" w:rsidRDefault="007504AE">
      <w:pPr>
        <w:pStyle w:val="Titre3"/>
        <w:rPr>
          <w:rFonts w:ascii="Times New Roman" w:hAnsi="Times New Roman"/>
          <w:i/>
          <w:iCs/>
          <w:color w:val="000000"/>
          <w:sz w:val="22"/>
          <w:szCs w:val="22"/>
        </w:rPr>
      </w:pPr>
      <w:bookmarkStart w:id="147" w:name="_Toc16932"/>
      <w:r>
        <w:rPr>
          <w:rFonts w:ascii="Times New Roman" w:hAnsi="Times New Roman"/>
          <w:i/>
          <w:iCs/>
          <w:color w:val="000000"/>
          <w:sz w:val="22"/>
          <w:szCs w:val="22"/>
        </w:rPr>
        <w:t>5.5.5. Contribution à la durabilité environnementale et réduction de la vulnérabilité</w:t>
      </w:r>
      <w:bookmarkEnd w:id="147"/>
    </w:p>
    <w:p w14:paraId="4337FCA4" w14:textId="77777777" w:rsidR="00EA6DED" w:rsidRDefault="007504AE">
      <w:pPr>
        <w:pStyle w:val="NormalWeb"/>
        <w:shd w:val="clear" w:color="auto" w:fill="FFFFFF"/>
        <w:spacing w:before="156" w:beforeAutospacing="0" w:after="156" w:afterAutospacing="0"/>
        <w:jc w:val="both"/>
        <w:rPr>
          <w:color w:val="000000"/>
        </w:rPr>
      </w:pPr>
      <w:r>
        <w:rPr>
          <w:color w:val="000000"/>
        </w:rPr>
        <w:t xml:space="preserve">A travers les données collectées, on constate que la durabilité environnementale demeure un défi majeur. La SND30 souligne une perte annuelle moyenne de 1 % de la couverture forestière, en contradiction avec l’objectif de stabilisation nette d’ici 2030. Dans ce contexte, les actions du CC telles que la restauration de 52 000 hectares de forêts communautaires et la mise en œuvre de 60 projets d’énergie renouvelable touchant environ 300 000 personnes, apparaissent comme des contributions concrètes et mesurables. </w:t>
      </w:r>
    </w:p>
    <w:p w14:paraId="4337FCA5" w14:textId="77777777" w:rsidR="00EA6DED" w:rsidRDefault="007504AE">
      <w:pPr>
        <w:pStyle w:val="Paragraphedeliste"/>
        <w:ind w:left="0"/>
        <w:jc w:val="both"/>
        <w:rPr>
          <w:highlight w:val="yellow"/>
        </w:rPr>
      </w:pPr>
      <w:r>
        <w:rPr>
          <w:color w:val="000000"/>
          <w:lang w:eastAsia="zh-CN"/>
        </w:rPr>
        <w:t>Son appui au développement des énergies renouvelables a porté ses fruits, comme en témoigne l'augmentation significative de leur part dans le mix-énergétique national, passée de 8,0% en 2020 à 18,0% en 2023</w:t>
      </w:r>
      <w:r>
        <w:rPr>
          <w:rStyle w:val="Appelnotedebasdep"/>
          <w:rFonts w:eastAsia="SimSun"/>
          <w:color w:val="000000"/>
          <w:lang w:val="en-US" w:eastAsia="zh-CN"/>
        </w:rPr>
        <w:footnoteReference w:id="111"/>
      </w:r>
      <w:r>
        <w:rPr>
          <w:color w:val="000000"/>
          <w:lang w:eastAsia="zh-CN"/>
        </w:rPr>
        <w:t>. Le CC a également soutenu des initiatives concrètes de gestion durable des ressources naturelles et d'adaptation au climat, notamment par le financement de projets communautaires d'hydraulique pastorale et de maraîchage résilient dans les régions vulnérables comme l'Extrême-Nord. Cependant, l'impact de ces actions reste localisé et souvent contrecarré par des politiques sectorielle</w:t>
      </w:r>
      <w:r>
        <w:rPr>
          <w:color w:val="000000"/>
        </w:rPr>
        <w:t>s</w:t>
      </w:r>
      <w:r>
        <w:rPr>
          <w:color w:val="000000"/>
          <w:lang w:eastAsia="zh-CN"/>
        </w:rPr>
        <w:t xml:space="preserve"> contradictoires. La décision de reporter l'interdiction d'exporter du bois en grumes à 2028 constitue un revers important pour la promotion d'une transformation locale durable des ressources forestières et illustre les limites de l'influence du CC face à des intérêts économiques établis. Ainsi, si des progrès technologiques et des actions pilotes sont visibles, la transformation structurelle vers un modèle de développement résilient et low-carbon nécessite un engagement politique et des réformes bien plus ambitieux</w:t>
      </w:r>
    </w:p>
    <w:p w14:paraId="4337FCA6" w14:textId="77777777" w:rsidR="00EA6DED" w:rsidRDefault="007504AE">
      <w:pPr>
        <w:tabs>
          <w:tab w:val="left" w:pos="1985"/>
        </w:tabs>
        <w:spacing w:before="100" w:beforeAutospacing="1" w:after="100" w:afterAutospacing="1"/>
        <w:jc w:val="both"/>
      </w:pPr>
      <w:r>
        <w:rPr>
          <w:rFonts w:eastAsia="Calibri"/>
        </w:rPr>
        <w:lastRenderedPageBreak/>
        <w:t>Globalement</w:t>
      </w:r>
      <w:r>
        <w:rPr>
          <w:rFonts w:eastAsia="Calibri"/>
          <w:sz w:val="22"/>
          <w:szCs w:val="22"/>
        </w:rPr>
        <w:t xml:space="preserve">, </w:t>
      </w:r>
      <w:r>
        <w:t>il a été difficile de mesurer la contribution des interventions du SNU aux résultats globaux et à la SND30, ainsi qu'aux résultats nationaux à travers les indicateurs du cadre de résultats de CC 2022-2026, En effet, la plupart des indicateurs d'impact sont liés aux produits et traduisent des résultats à long terme, rendant leur évaluation dans le court et moyen terme complexe. De plus, l'indisponibilité ou la qualité limitée des données financières, ainsi que l'insuffisance de certains rapports pertinents, notamment les rapports annuels des groupes de résultats, ont restreint la capacité d'analyser et de rendre compte de manière exhaustive de la contribution de CC 2022-2026.</w:t>
      </w:r>
    </w:p>
    <w:p w14:paraId="4337FCA7" w14:textId="77777777" w:rsidR="00EA6DED" w:rsidRDefault="00EA6DED">
      <w:pPr>
        <w:spacing w:after="120"/>
        <w:jc w:val="both"/>
        <w:rPr>
          <w:rFonts w:eastAsia="Calibri"/>
          <w:sz w:val="8"/>
          <w:szCs w:val="8"/>
        </w:rPr>
      </w:pPr>
    </w:p>
    <w:p w14:paraId="4337FCA8" w14:textId="77777777" w:rsidR="00EA6DED" w:rsidRDefault="007504AE">
      <w:pPr>
        <w:pStyle w:val="Titre2"/>
        <w:rPr>
          <w:rFonts w:eastAsia="Calibri"/>
          <w:sz w:val="32"/>
          <w:szCs w:val="32"/>
        </w:rPr>
      </w:pPr>
      <w:bookmarkStart w:id="148" w:name="_Toc23747"/>
      <w:r>
        <w:rPr>
          <w:color w:val="0000FF"/>
          <w:sz w:val="24"/>
          <w:szCs w:val="24"/>
        </w:rPr>
        <w:t>5.</w:t>
      </w:r>
      <w:r>
        <w:rPr>
          <w:color w:val="0000FF"/>
          <w:sz w:val="24"/>
          <w:szCs w:val="24"/>
          <w:lang w:val="en-US"/>
        </w:rPr>
        <w:t>6</w:t>
      </w:r>
      <w:r>
        <w:rPr>
          <w:color w:val="0000FF"/>
          <w:sz w:val="24"/>
          <w:szCs w:val="24"/>
        </w:rPr>
        <w:t xml:space="preserve"> Durabilité</w:t>
      </w:r>
      <w:bookmarkEnd w:id="148"/>
      <w:r>
        <w:rPr>
          <w:color w:val="0000FF"/>
          <w:sz w:val="24"/>
          <w:szCs w:val="24"/>
        </w:rPr>
        <w:t xml:space="preserve"> </w:t>
      </w:r>
      <w:r>
        <w:rPr>
          <w:color w:val="00B050"/>
          <w:sz w:val="24"/>
          <w:szCs w:val="24"/>
        </w:rPr>
        <w:tab/>
      </w:r>
      <w:r>
        <w:rPr>
          <w:rFonts w:eastAsia="Calibri"/>
          <w:sz w:val="32"/>
          <w:szCs w:val="32"/>
        </w:rPr>
        <w:t xml:space="preserve"> </w:t>
      </w:r>
    </w:p>
    <w:p w14:paraId="4337FCA9" w14:textId="77777777" w:rsidR="00EA6DED" w:rsidRDefault="00EA6DED">
      <w:pPr>
        <w:rPr>
          <w:rFonts w:eastAsia="Calibri"/>
          <w:sz w:val="22"/>
          <w:szCs w:val="22"/>
        </w:rPr>
      </w:pPr>
    </w:p>
    <w:tbl>
      <w:tblPr>
        <w:tblW w:w="10490"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CellMar>
          <w:left w:w="115" w:type="dxa"/>
          <w:right w:w="115" w:type="dxa"/>
        </w:tblCellMar>
        <w:tblLook w:val="04A0" w:firstRow="1" w:lastRow="0" w:firstColumn="1" w:lastColumn="0" w:noHBand="0" w:noVBand="1"/>
      </w:tblPr>
      <w:tblGrid>
        <w:gridCol w:w="10490"/>
      </w:tblGrid>
      <w:tr w:rsidR="00EA6DED" w14:paraId="4337FCAE" w14:textId="77777777">
        <w:tc>
          <w:tcPr>
            <w:tcW w:w="10490" w:type="dxa"/>
            <w:shd w:val="clear" w:color="auto" w:fill="D9E2F3"/>
          </w:tcPr>
          <w:p w14:paraId="4337FCAA" w14:textId="77777777" w:rsidR="00EA6DED" w:rsidRDefault="007504AE">
            <w:pPr>
              <w:widowControl w:val="0"/>
              <w:autoSpaceDE w:val="0"/>
              <w:autoSpaceDN w:val="0"/>
              <w:spacing w:line="276" w:lineRule="auto"/>
              <w:jc w:val="both"/>
              <w:rPr>
                <w:rFonts w:ascii="Calibri" w:eastAsia="Arial" w:hAnsi="Calibri"/>
                <w:color w:val="000000"/>
                <w:sz w:val="22"/>
                <w:szCs w:val="22"/>
                <w:lang w:eastAsia="en-US"/>
              </w:rPr>
            </w:pPr>
            <w:r>
              <w:rPr>
                <w:rFonts w:eastAsia="Arial"/>
                <w:b/>
                <w:color w:val="000000"/>
                <w:sz w:val="22"/>
                <w:szCs w:val="22"/>
                <w:lang w:eastAsia="en-US"/>
              </w:rPr>
              <w:t>11.</w:t>
            </w:r>
            <w:r>
              <w:rPr>
                <w:rFonts w:eastAsia="Arial"/>
                <w:color w:val="000000"/>
                <w:sz w:val="22"/>
                <w:szCs w:val="22"/>
                <w:lang w:eastAsia="en-US"/>
              </w:rPr>
              <w:t xml:space="preserve">  Quels mécanismes, le cas échéant, le CC a-t-il mis en place pour garantir la durabilité socio-politique, institutionnelle, financière et environnementale ?</w:t>
            </w:r>
          </w:p>
          <w:p w14:paraId="4337FCAB" w14:textId="77777777" w:rsidR="00EA6DED" w:rsidRDefault="00EA6DED">
            <w:pPr>
              <w:widowControl w:val="0"/>
              <w:autoSpaceDE w:val="0"/>
              <w:autoSpaceDN w:val="0"/>
              <w:spacing w:line="276" w:lineRule="auto"/>
              <w:jc w:val="both"/>
              <w:rPr>
                <w:rFonts w:ascii="Calibri" w:eastAsia="Arial" w:hAnsi="Calibri"/>
                <w:color w:val="000000"/>
                <w:sz w:val="22"/>
                <w:szCs w:val="22"/>
                <w:lang w:eastAsia="en-US"/>
              </w:rPr>
            </w:pPr>
          </w:p>
          <w:p w14:paraId="4337FCAC" w14:textId="77777777" w:rsidR="00EA6DED" w:rsidRDefault="007504AE">
            <w:pPr>
              <w:widowControl w:val="0"/>
              <w:autoSpaceDE w:val="0"/>
              <w:autoSpaceDN w:val="0"/>
              <w:spacing w:line="276" w:lineRule="auto"/>
              <w:jc w:val="both"/>
              <w:rPr>
                <w:rFonts w:ascii="Calibri" w:eastAsia="Arial" w:hAnsi="Calibri"/>
                <w:color w:val="000000"/>
                <w:sz w:val="22"/>
                <w:szCs w:val="22"/>
                <w:lang w:eastAsia="en-US"/>
              </w:rPr>
            </w:pPr>
            <w:r>
              <w:rPr>
                <w:rFonts w:eastAsia="Arial"/>
                <w:b/>
                <w:color w:val="000000"/>
                <w:sz w:val="22"/>
                <w:szCs w:val="22"/>
                <w:lang w:eastAsia="en-US"/>
              </w:rPr>
              <w:t>12.</w:t>
            </w:r>
            <w:r>
              <w:rPr>
                <w:rFonts w:eastAsia="Arial"/>
                <w:color w:val="000000"/>
                <w:sz w:val="22"/>
                <w:szCs w:val="22"/>
                <w:lang w:eastAsia="en-US"/>
              </w:rPr>
              <w:t xml:space="preserve"> Dans quelle mesure le CC a-t-il investi et concentré ses efforts sur le développement des capacités nationales de façon à soutenir les partenaires et parties prenantes nationaux au fil du temps ?</w:t>
            </w:r>
          </w:p>
          <w:p w14:paraId="4337FCAD" w14:textId="77777777" w:rsidR="00EA6DED" w:rsidRDefault="00EA6DED">
            <w:pPr>
              <w:autoSpaceDE w:val="0"/>
              <w:autoSpaceDN w:val="0"/>
              <w:jc w:val="both"/>
              <w:rPr>
                <w:rFonts w:ascii="Calibri" w:eastAsia="Arial" w:hAnsi="Calibri"/>
                <w:color w:val="0070C0"/>
                <w:lang w:eastAsia="en-US"/>
              </w:rPr>
            </w:pPr>
          </w:p>
        </w:tc>
      </w:tr>
      <w:tr w:rsidR="00EA6DED" w14:paraId="4337FCB5" w14:textId="77777777">
        <w:tc>
          <w:tcPr>
            <w:tcW w:w="10490" w:type="dxa"/>
          </w:tcPr>
          <w:p w14:paraId="4337FCAF" w14:textId="77777777" w:rsidR="00EA6DED" w:rsidRDefault="007504AE">
            <w:pPr>
              <w:pStyle w:val="NormalWeb"/>
              <w:widowControl w:val="0"/>
              <w:autoSpaceDE w:val="0"/>
              <w:autoSpaceDN w:val="0"/>
              <w:jc w:val="both"/>
              <w:rPr>
                <w:rFonts w:ascii="Calibri" w:eastAsia="Calibri" w:hAnsi="Calibri"/>
                <w:color w:val="000000"/>
                <w:szCs w:val="20"/>
                <w:lang w:eastAsia="en-US"/>
              </w:rPr>
            </w:pPr>
            <w:r>
              <w:rPr>
                <w:rFonts w:eastAsia="Arial"/>
                <w:b/>
                <w:color w:val="0070C0"/>
                <w:lang w:eastAsia="en-US"/>
              </w:rPr>
              <w:t>Résumé des constats :</w:t>
            </w:r>
            <w:r>
              <w:rPr>
                <w:rFonts w:eastAsia="Arial"/>
                <w:color w:val="0070C0"/>
                <w:lang w:eastAsia="en-US"/>
              </w:rPr>
              <w:t xml:space="preserve">  </w:t>
            </w:r>
            <w:r>
              <w:rPr>
                <w:rFonts w:eastAsia="Calibri"/>
                <w:color w:val="000000"/>
                <w:szCs w:val="20"/>
                <w:lang w:eastAsia="en-US"/>
              </w:rPr>
              <w:t>Dans le cadre de la mise en œuvre du Cadre de Coopération, un ensemble structuré de mécanismes a été progressivement établi pour garantir la pérennité des acquis sur les plans socio-politique, institutionnel, financier et environnemental. Cette dynamique repose sur une architecture intégrée qui combine planification stratégique, suivi décentralisé et renforcement des capacités.</w:t>
            </w:r>
          </w:p>
          <w:p w14:paraId="4337FCB0" w14:textId="77777777" w:rsidR="00EA6DED" w:rsidRDefault="007504AE">
            <w:pPr>
              <w:pStyle w:val="NormalWeb"/>
              <w:widowControl w:val="0"/>
              <w:autoSpaceDE w:val="0"/>
              <w:autoSpaceDN w:val="0"/>
              <w:jc w:val="both"/>
              <w:rPr>
                <w:rFonts w:ascii="Calibri" w:eastAsia="Calibri" w:hAnsi="Calibri"/>
                <w:color w:val="000000"/>
                <w:szCs w:val="20"/>
                <w:lang w:eastAsia="en-US"/>
              </w:rPr>
            </w:pPr>
            <w:r>
              <w:rPr>
                <w:rFonts w:eastAsia="Calibri"/>
                <w:color w:val="000000"/>
                <w:szCs w:val="20"/>
                <w:lang w:eastAsia="en-US"/>
              </w:rPr>
              <w:t>Sur le plan financier, des mécanismes de planification et d'intégration budgétaire ont été mis en place pour améliorer la prévision des besoins et assurer une gestion durable des ressources, notamment à travers des programmes conjoints et un soutien budgétaire. Ce dispositif est accompagné de systèmes de suivi rigoureux intégrés dans les ministères et programmes partenaires, afin d'assurer la continuité de l'action publique et la transparence dans l'allocation des ressources.</w:t>
            </w:r>
          </w:p>
          <w:p w14:paraId="4337FCB1" w14:textId="77777777" w:rsidR="00EA6DED" w:rsidRDefault="007504AE">
            <w:pPr>
              <w:pStyle w:val="NormalWeb"/>
              <w:widowControl w:val="0"/>
              <w:autoSpaceDE w:val="0"/>
              <w:autoSpaceDN w:val="0"/>
              <w:jc w:val="both"/>
              <w:rPr>
                <w:rFonts w:ascii="Calibri" w:eastAsia="Calibri" w:hAnsi="Calibri"/>
                <w:color w:val="000000"/>
                <w:szCs w:val="20"/>
                <w:lang w:eastAsia="en-US"/>
              </w:rPr>
            </w:pPr>
            <w:r>
              <w:rPr>
                <w:rFonts w:eastAsia="Calibri"/>
                <w:color w:val="000000"/>
                <w:szCs w:val="20"/>
                <w:lang w:eastAsia="en-US"/>
              </w:rPr>
              <w:t>De plus, la durabilité des investissements, tant physiques qu'humains, est renforcée par des mécanismes de rétrocession des infrastructures et des équipements, ainsi que par un transfert progressif des compétences aux autorités locales. Par exemple, le Programme des Nations Unies pour le Développement (PNUD) a lancé ce processus dans les zones NOSO dans le cadre du PPRD, tandis que le PNUD et ONU Femmes l'ont initié à Kekem avec la construction du CPFF et le soutien à la formation des sages-femmes pour ancrer localement les acquis.</w:t>
            </w:r>
          </w:p>
          <w:p w14:paraId="4337FCB2" w14:textId="77777777" w:rsidR="00EA6DED" w:rsidRDefault="007504AE">
            <w:pPr>
              <w:pStyle w:val="NormalWeb"/>
              <w:widowControl w:val="0"/>
              <w:autoSpaceDE w:val="0"/>
              <w:autoSpaceDN w:val="0"/>
              <w:jc w:val="both"/>
              <w:rPr>
                <w:rFonts w:ascii="Calibri" w:eastAsia="Calibri" w:hAnsi="Calibri"/>
                <w:color w:val="000000"/>
                <w:szCs w:val="20"/>
                <w:lang w:eastAsia="en-US"/>
              </w:rPr>
            </w:pPr>
            <w:r>
              <w:rPr>
                <w:rFonts w:eastAsia="Calibri"/>
                <w:color w:val="000000"/>
                <w:szCs w:val="20"/>
                <w:lang w:eastAsia="en-US"/>
              </w:rPr>
              <w:t>L'engagement des parties prenantes est un pilier essentiel de cette stratégie. Grâce à leur participation active aux clusters humanitaires, aux cadres de concertation sectoriels et à la co-création des programmes, les acteurs locaux et les collectivités territoriales décentralisées voient leurs capacités renforcées et leur rôle dans la gouvernance du développement accru. Cet engagement se manifeste également par une implication croissante des bénéficiaires et des administrations nationales dans la mise en œuvre des activités conjointes, ainsi que par la production régulière de rapports d'activités et de comptes rendus de réunions ou de consultations avec la partie nationale.</w:t>
            </w:r>
          </w:p>
          <w:p w14:paraId="4337FCB3" w14:textId="77777777" w:rsidR="00EA6DED" w:rsidRDefault="007504AE">
            <w:pPr>
              <w:pStyle w:val="NormalWeb"/>
              <w:widowControl w:val="0"/>
              <w:autoSpaceDE w:val="0"/>
              <w:autoSpaceDN w:val="0"/>
              <w:jc w:val="both"/>
              <w:rPr>
                <w:rFonts w:ascii="Calibri" w:eastAsia="Calibri" w:hAnsi="Calibri"/>
                <w:color w:val="000000"/>
                <w:szCs w:val="20"/>
                <w:lang w:eastAsia="en-US"/>
              </w:rPr>
            </w:pPr>
            <w:r>
              <w:rPr>
                <w:rFonts w:eastAsia="Calibri"/>
                <w:color w:val="000000"/>
                <w:szCs w:val="20"/>
                <w:lang w:eastAsia="en-US"/>
              </w:rPr>
              <w:t>Le passage à l'échelle pour atteindre les ODD rencontre des obstacles structurels majeurs, notamment une dépendance financière excessive qui freine l'État dans sa prise de relais, particulièrement dans le secteur de la santé (ODD 3, le cas du VIH avec près de 95% des fonds). De plus, un ciblage inadéquat des bénéficiaires compromet les efforts de renforcement des capacités et contredit le principe de ne laisser personne de côté. Les règles des agences onusiennes ne s'alignent pas toujours sur celles de l'administration camerounaise, ce qui entraîne des frictions opérationnelles.</w:t>
            </w:r>
          </w:p>
          <w:p w14:paraId="4337FCB4" w14:textId="77777777" w:rsidR="00EA6DED" w:rsidRDefault="007504AE">
            <w:pPr>
              <w:autoSpaceDE w:val="0"/>
              <w:autoSpaceDN w:val="0"/>
              <w:spacing w:line="276" w:lineRule="auto"/>
              <w:ind w:right="-113"/>
              <w:jc w:val="both"/>
              <w:rPr>
                <w:rFonts w:ascii="Calibri" w:eastAsia="Arial" w:hAnsi="Calibri"/>
                <w:color w:val="000000"/>
                <w:lang w:eastAsia="en-US"/>
              </w:rPr>
            </w:pPr>
            <w:r>
              <w:rPr>
                <w:rFonts w:eastAsia="Calibri"/>
                <w:color w:val="000000"/>
                <w:szCs w:val="20"/>
                <w:lang w:eastAsia="en-US"/>
              </w:rPr>
              <w:lastRenderedPageBreak/>
              <w:t xml:space="preserve">En outre, la durée limitée des projets, souvent moins de 5 ans, ne permet pas de changements sociaux durables, sans compter les crises sécuritaires et climatiques qui exacerbent la vulnérabilité des initiatives. Il manque par ailleurs une feuille de route claire pour assurer la continuité des services essentiels après le retrait des agences. En effet, les actions restent trop sectorielles et manquent de coordination, nécessitant une approche intégrée et un plaidoyer pour un engagement financier accru de l'État, dans un contexte où la structuration des projets ne présente pas toujours un mécanisme dévolution spécifique.  </w:t>
            </w:r>
          </w:p>
        </w:tc>
      </w:tr>
    </w:tbl>
    <w:p w14:paraId="4337FCB6" w14:textId="77777777" w:rsidR="00EA6DED" w:rsidRDefault="00EA6DED">
      <w:pPr>
        <w:ind w:left="1416"/>
        <w:rPr>
          <w:rFonts w:eastAsia="Calibri"/>
          <w:sz w:val="22"/>
          <w:szCs w:val="22"/>
        </w:rPr>
      </w:pPr>
    </w:p>
    <w:p w14:paraId="4337FCB7" w14:textId="77777777" w:rsidR="00EA6DED" w:rsidRDefault="00EA6DED">
      <w:pPr>
        <w:rPr>
          <w:rFonts w:eastAsia="Calibri"/>
          <w:sz w:val="8"/>
          <w:szCs w:val="8"/>
        </w:rPr>
      </w:pPr>
    </w:p>
    <w:p w14:paraId="4337FCB8" w14:textId="77777777" w:rsidR="00EA6DED" w:rsidRDefault="007504AE">
      <w:pPr>
        <w:shd w:val="clear" w:color="auto" w:fill="F7CAAC"/>
        <w:spacing w:line="276" w:lineRule="auto"/>
        <w:jc w:val="both"/>
        <w:rPr>
          <w:b/>
          <w:bCs/>
        </w:rPr>
      </w:pPr>
      <w:r>
        <w:rPr>
          <w:b/>
          <w:bCs/>
          <w:color w:val="0070C0"/>
        </w:rPr>
        <w:t>Question d’évaluation 11</w:t>
      </w:r>
      <w:r>
        <w:rPr>
          <w:b/>
          <w:bCs/>
        </w:rPr>
        <w:t>.  Quels mécanismes, le cas échéant, le CC a-t-il mis en place pour garantir la durabilité socio-politique, institutionnelle, financière et environnementale ?</w:t>
      </w:r>
    </w:p>
    <w:p w14:paraId="4337FCB9" w14:textId="77777777" w:rsidR="00EA6DED" w:rsidRDefault="00EA6DED">
      <w:pPr>
        <w:rPr>
          <w:rFonts w:eastAsia="Calibri"/>
          <w:sz w:val="22"/>
          <w:szCs w:val="22"/>
        </w:rPr>
      </w:pPr>
    </w:p>
    <w:p w14:paraId="4337FCBA" w14:textId="77777777" w:rsidR="00EA6DED" w:rsidRDefault="007504AE">
      <w:pPr>
        <w:pStyle w:val="Titre3"/>
        <w:rPr>
          <w:rFonts w:ascii="Times New Roman" w:hAnsi="Times New Roman"/>
          <w:i/>
          <w:iCs/>
          <w:color w:val="000000"/>
          <w:sz w:val="22"/>
          <w:szCs w:val="22"/>
        </w:rPr>
      </w:pPr>
      <w:bookmarkStart w:id="149" w:name="_Toc23599"/>
      <w:r>
        <w:rPr>
          <w:rFonts w:ascii="Times New Roman" w:hAnsi="Times New Roman"/>
          <w:i/>
          <w:iCs/>
          <w:color w:val="000000"/>
          <w:sz w:val="22"/>
          <w:szCs w:val="22"/>
        </w:rPr>
        <w:t xml:space="preserve">5.6.1. </w:t>
      </w:r>
      <w:r>
        <w:rPr>
          <w:rFonts w:ascii="Times New Roman" w:hAnsi="Times New Roman"/>
          <w:i/>
          <w:iCs/>
          <w:color w:val="000000"/>
          <w:sz w:val="22"/>
          <w:szCs w:val="22"/>
        </w:rPr>
        <w:tab/>
        <w:t>Mise à l’échelle par l’État ou d’autres parties prenantes des résultats des programmes et Projets</w:t>
      </w:r>
      <w:bookmarkEnd w:id="149"/>
      <w:r>
        <w:rPr>
          <w:rFonts w:ascii="Times New Roman" w:hAnsi="Times New Roman"/>
          <w:i/>
          <w:iCs/>
          <w:color w:val="000000"/>
          <w:sz w:val="22"/>
          <w:szCs w:val="22"/>
        </w:rPr>
        <w:t xml:space="preserve"> </w:t>
      </w:r>
    </w:p>
    <w:p w14:paraId="4337FCBB" w14:textId="77777777" w:rsidR="00EA6DED" w:rsidRDefault="007504AE">
      <w:pPr>
        <w:pStyle w:val="Commentaire"/>
        <w:jc w:val="both"/>
        <w:rPr>
          <w:rFonts w:ascii="Times New Roman" w:eastAsia="SimSun" w:hAnsi="Times New Roman"/>
          <w:sz w:val="24"/>
          <w:szCs w:val="24"/>
        </w:rPr>
      </w:pPr>
      <w:r>
        <w:rPr>
          <w:rFonts w:ascii="Times New Roman" w:hAnsi="Times New Roman"/>
          <w:sz w:val="24"/>
          <w:szCs w:val="24"/>
        </w:rPr>
        <w:t>Lors de l’élaboration de CC, l’accent a été mis sur la durabilité avec des interventions et des stratégies reposant sur le</w:t>
      </w:r>
      <w:r>
        <w:t xml:space="preserve"> </w:t>
      </w:r>
      <w:r>
        <w:rPr>
          <w:rFonts w:ascii="Times New Roman" w:eastAsia="SimSun" w:hAnsi="Times New Roman"/>
          <w:sz w:val="24"/>
          <w:szCs w:val="24"/>
        </w:rPr>
        <w:t xml:space="preserve">renforcement des capacités humaines et institutionnelle dans les domaines divers comme la santé, l’éducation, la formation professionnelle, la protection de l’environnement, l’élaboration des lois ou la production des documents normatifs (normes et guides, des plans et documents stratégiques en SR, PF, plan stratégique VBG (….). Par ailleurs il y a eu le plaidoyer multiforme pour l’Implication et l’engagement des CTD et des communautés dans les interventions du SNU Ou la prise en compte de certaines interventions du CC dans le budget national à travers les fonds de contrepartie. </w:t>
      </w:r>
    </w:p>
    <w:p w14:paraId="4337FCBC" w14:textId="77777777" w:rsidR="00EA6DED" w:rsidRDefault="007504AE">
      <w:pPr>
        <w:pStyle w:val="NormalWeb"/>
        <w:jc w:val="both"/>
      </w:pPr>
      <w:r>
        <w:t>Par conséquent, le CC s'inscrit dans les priorités de la SND30 et vise à renforcer les capacités nationales pour leur mise en œuvre. Cela se traduit par des mécanismes comme l'approche « faire-faire » qui aide les partenaires locaux à devenir autonomes et l'implication des services techniques décentralisés dans les différentes initiatives ou l’appui logistique et matériel (voir l’action du CC dans le PPRD). Des innovations, telles que les « Country Compacts », formalisent le partage des coûts, avec un exemple dans la santé où l'État contribue à hauteur de 7%, amorçant une transition vers un financement domestique pour les ODD 3 et 17.</w:t>
      </w:r>
    </w:p>
    <w:p w14:paraId="4337FCBD" w14:textId="77777777" w:rsidR="00EA6DED" w:rsidRDefault="007504AE">
      <w:pPr>
        <w:pStyle w:val="NormalWeb"/>
        <w:jc w:val="both"/>
      </w:pPr>
      <w:r>
        <w:t>Cependant, des obstacles structurels entravent cette appropriation, notamment une dépendance financière qui affecte particulièrement le secteur de la santé. De plus, le ciblage inadéquat des bénéficiaires compromet les efforts de renforcement des capacités, tout comme les incompatibilités procédurales entre les agences onusiennes et l'administration camerounaise. Malgré ces défis, des initiatives réussies montrent qu’une mise à l’échelle est possible. Par exemple, l'accord innovant du HCR pour les réfugiés, avec un partage des coûts de 70/30, et l'initiative « Communes Amies des Enfants » de l'UNICEF, qui intègre les CTD dans le financement, illustrent des modèles durables. Le soutien au Plan Présidentiel pour la Reconstruction et le Développement, ainsi que les projets de transition écologique, démontrent que des interventions alignées sur les stratégies nationales peuvent poser des bases solides pour une expansion à grande échelle.</w:t>
      </w:r>
      <w:r>
        <w:rPr>
          <w:rFonts w:eastAsia="Calibri"/>
          <w:sz w:val="22"/>
          <w:szCs w:val="22"/>
        </w:rPr>
        <w:tab/>
      </w:r>
    </w:p>
    <w:p w14:paraId="4337FCBE" w14:textId="77777777" w:rsidR="00EA6DED" w:rsidRDefault="00EA6DED">
      <w:pPr>
        <w:rPr>
          <w:rFonts w:eastAsia="Calibri"/>
          <w:sz w:val="6"/>
          <w:szCs w:val="6"/>
        </w:rPr>
      </w:pPr>
    </w:p>
    <w:p w14:paraId="4337FCBF" w14:textId="77777777" w:rsidR="00EA6DED" w:rsidRDefault="007504AE">
      <w:pPr>
        <w:shd w:val="clear" w:color="auto" w:fill="F7CAAC"/>
        <w:spacing w:line="276" w:lineRule="auto"/>
        <w:jc w:val="both"/>
        <w:rPr>
          <w:b/>
          <w:bCs/>
        </w:rPr>
      </w:pPr>
      <w:r>
        <w:rPr>
          <w:b/>
          <w:bCs/>
          <w:color w:val="0070C0"/>
        </w:rPr>
        <w:t>Question d’évaluation 12 </w:t>
      </w:r>
      <w:r>
        <w:rPr>
          <w:b/>
          <w:bCs/>
        </w:rPr>
        <w:t>: Dans quelle mesure le CC a-t-il investi et concentré ses efforts sur le développement des capacités nationales de façon à soutenir les partenaires et parties prenantes nationaux au fil du temps ?</w:t>
      </w:r>
    </w:p>
    <w:p w14:paraId="4337FCC0" w14:textId="77777777" w:rsidR="00EA6DED" w:rsidRDefault="00EA6DED">
      <w:pPr>
        <w:rPr>
          <w:rFonts w:eastAsia="Calibri"/>
          <w:sz w:val="22"/>
          <w:szCs w:val="22"/>
        </w:rPr>
      </w:pPr>
    </w:p>
    <w:p w14:paraId="4337FCC1" w14:textId="77777777" w:rsidR="00EA6DED" w:rsidRDefault="007504AE">
      <w:pPr>
        <w:pStyle w:val="Titre3"/>
        <w:rPr>
          <w:rFonts w:ascii="Times New Roman" w:hAnsi="Times New Roman"/>
          <w:i/>
          <w:iCs/>
          <w:color w:val="000000"/>
          <w:sz w:val="22"/>
          <w:szCs w:val="22"/>
        </w:rPr>
      </w:pPr>
      <w:bookmarkStart w:id="150" w:name="_Toc26180"/>
      <w:r>
        <w:rPr>
          <w:rFonts w:ascii="Times New Roman" w:hAnsi="Times New Roman"/>
          <w:i/>
          <w:iCs/>
          <w:color w:val="000000"/>
          <w:sz w:val="22"/>
          <w:szCs w:val="22"/>
        </w:rPr>
        <w:t xml:space="preserve">5.6.2. </w:t>
      </w:r>
      <w:r>
        <w:rPr>
          <w:rFonts w:ascii="Times New Roman" w:hAnsi="Times New Roman"/>
          <w:i/>
          <w:iCs/>
          <w:color w:val="000000"/>
          <w:sz w:val="22"/>
          <w:szCs w:val="22"/>
        </w:rPr>
        <w:tab/>
        <w:t>Degré d’appropriation de chaque priorité stratégique du CC par les institutions de l’Etat</w:t>
      </w:r>
      <w:bookmarkEnd w:id="150"/>
    </w:p>
    <w:p w14:paraId="4337FCC2" w14:textId="77777777" w:rsidR="00EA6DED" w:rsidRDefault="007504AE">
      <w:pPr>
        <w:jc w:val="both"/>
      </w:pPr>
      <w:r>
        <w:t>L'appropriation des priorités du CC par l'État camerounais est contrastée, plus affirmée sur le plan stratégique que dans la pratique opérationnelle. D'un côté, le dialogue politique est bien réel et structuré, la formulation conjointe du CC 2022-2026 et les réunions régulières des comités de coordination montrent</w:t>
      </w:r>
      <w:r>
        <w:rPr>
          <w:rFonts w:eastAsia="Calibri"/>
          <w:sz w:val="22"/>
          <w:szCs w:val="22"/>
        </w:rPr>
        <w:t xml:space="preserve"> </w:t>
      </w:r>
      <w:r>
        <w:t xml:space="preserve">un alignement de haut niveau avec les objectifs nationaux. Les agences s'efforcent également de caler leurs interventions sur l'évolution des politiques sectorielles comme la Stratégie Nationale de Développement Durable, la nouvelle politique forestière ou le plan d'action de la stratégie nationale de protection de la biodiversité.  Pourtant, cette appropriation stratégique peine à se concrétiser de manière tangible et engagée dans le quotidien des institutions, laissant un fossé entre la vision des ODD et leur matérialisation. Un signe flagrant de cette limite est le manque de formalisation des instances de gouvernances du CC ou la désignation informelle des points focaux </w:t>
      </w:r>
      <w:r>
        <w:lastRenderedPageBreak/>
        <w:t>gouvernementaux dans les groupes de résultats. Cette faiblesse se répercute aussi sur le terrain, où l'on observe parfois un décalage entre les actions des agences et les attentes réelles des services déconcentrés de l'État, creusant un fossé entre la stratégie et sa mise en œuvre.</w:t>
      </w:r>
    </w:p>
    <w:p w14:paraId="4337FCC3" w14:textId="77777777" w:rsidR="00EA6DED" w:rsidRDefault="00EA6DED">
      <w:pPr>
        <w:jc w:val="both"/>
      </w:pPr>
    </w:p>
    <w:p w14:paraId="4337FCC4" w14:textId="77777777" w:rsidR="00EA6DED" w:rsidRDefault="007504AE">
      <w:pPr>
        <w:jc w:val="both"/>
      </w:pPr>
      <w:r>
        <w:t xml:space="preserve">Au-delà de la volonté politique, le test ultime de l'appropriation réside dans l'engagement financier et la planification à long terme, deux domaines où le bilan est mitigé et qui sont déterminants pour la réalisation des ODD. La modeste contrepartie budgétaire de l'État aux projets co-financés avec les NU, irrégulièrement engagée ou décaissée, traduit la dépendance assumée de l’Etat vis-à-vis de l'aide extérieure et met à l’épreuve le principe d'appropriation nationale de l'Agenda 2030. Pour une appropriation réelle, il serait fondamental que ces activités soient progressivement intégrées dans les plans de travail et budgets annuels des ministères, devenant ainsi une ligne à part entière et non un appendice financé sur fonds des partenaires. </w:t>
      </w:r>
    </w:p>
    <w:p w14:paraId="4337FCC5" w14:textId="77777777" w:rsidR="00EA6DED" w:rsidRDefault="00EA6DED">
      <w:pPr>
        <w:rPr>
          <w:rFonts w:eastAsia="Calibri"/>
          <w:sz w:val="22"/>
          <w:szCs w:val="22"/>
        </w:rPr>
      </w:pPr>
    </w:p>
    <w:p w14:paraId="4337FCC6" w14:textId="77777777" w:rsidR="00EA6DED" w:rsidRDefault="007504AE">
      <w:pPr>
        <w:pStyle w:val="Titre3"/>
        <w:rPr>
          <w:rFonts w:ascii="Times New Roman" w:hAnsi="Times New Roman"/>
          <w:i/>
          <w:iCs/>
          <w:color w:val="000000"/>
          <w:sz w:val="22"/>
          <w:szCs w:val="22"/>
        </w:rPr>
      </w:pPr>
      <w:bookmarkStart w:id="151" w:name="_Toc3177"/>
      <w:r>
        <w:rPr>
          <w:rFonts w:ascii="Times New Roman" w:hAnsi="Times New Roman"/>
          <w:i/>
          <w:iCs/>
          <w:color w:val="000000"/>
          <w:sz w:val="22"/>
          <w:szCs w:val="22"/>
        </w:rPr>
        <w:t>5.6.3. Facteurs positifs ou négatifs d’adhésion des bénéficiaires ou d’autres parties prenantes</w:t>
      </w:r>
      <w:bookmarkEnd w:id="151"/>
    </w:p>
    <w:p w14:paraId="4337FCC7" w14:textId="77777777" w:rsidR="00EA6DED" w:rsidRDefault="007504AE">
      <w:pPr>
        <w:jc w:val="both"/>
      </w:pPr>
      <w:r>
        <w:t>L'adhésion des communautés et des institutions locales est le vecteur sans lequel aucun projet ne peut avancer ni durer.  En effet, l'implication réelle des bénéficiaires dès la phase de conception, en identifiant avec eux leurs besoins prioritaires en phase avec les cibles des ODD, crée un sentiment immédiat de pertinence et d’appropriation. Lorsque les projets délivrent des bénéfices visibles et tangibles, par exemple un accès à l'eau potable (ODD 6), une formation qui débouche sur un revenu décent (ODD 8), une clinique mobile qui améliore la santé des femmes (ODD 3), l'adhésion est naturellement au rendez-vous. De même, l'engagement des leaders locaux et des Collectivités Territoriales Décentralisées (CTD), identifiées comme acteurs prépondérants du développement dans la SND30, sert de catalyseur puissant pour légitimer l'initiative et faciliter son acceptation par la population.</w:t>
      </w:r>
    </w:p>
    <w:p w14:paraId="4337FCC8" w14:textId="77777777" w:rsidR="00EA6DED" w:rsidRDefault="00EA6DED">
      <w:pPr>
        <w:jc w:val="both"/>
      </w:pPr>
    </w:p>
    <w:p w14:paraId="4337FCC9" w14:textId="77777777" w:rsidR="00EA6DED" w:rsidRDefault="007504AE">
      <w:pPr>
        <w:jc w:val="both"/>
      </w:pPr>
      <w:r>
        <w:t>À l'inverse, plusieurs facteurs peuvent anéantir cette adhésion et parfois même générer de la défiance, sapant les fondements de l'appropriation nationale d’une initiative. Une erreur de ciblage est souvent fatale : former des personnes qui n'ont ni l'intention ni la vision de rester dans le secteur, comme cet exemple cité du jeune qui part en ville faire la moto, après sa formation, est perçu comme un gaspillage et discrédite l'intervention. La forte mobilité des ressources humaines dans les administrations affaiblit et réduit l’effet induit par le renforcement des capacités dans certains ministères. Le manque de suivi après le départ des équipes projet laisse un goût d'inachevé et d'abandon, et peut conduire à l'arrêt pur et simple des activités. Pire encore, des cas de mauvaise gestion, où du matériel coûteux est détourné ou vendu, portent un coup à la crédibilité de tous les acteurs et hypothèquent l'adhésion pour de futures interventions, et entravent la construction de partenariats efficaces (ODD 17).</w:t>
      </w:r>
    </w:p>
    <w:p w14:paraId="4337FCCA" w14:textId="77777777" w:rsidR="00EA6DED" w:rsidRDefault="00EA6DED">
      <w:pPr>
        <w:jc w:val="both"/>
      </w:pPr>
    </w:p>
    <w:p w14:paraId="4337FCCB" w14:textId="77777777" w:rsidR="00EA6DED" w:rsidRDefault="007504AE">
      <w:pPr>
        <w:jc w:val="both"/>
      </w:pPr>
      <w:r>
        <w:t>Enfin, au-delà des actions individuelles, c'est souvent la logique globale d'intervention qui influence l'adhésion, surtout dans un contexte où les ressources se raréfient et où une redéfinition des priorités thématiques et géographiques est évoquée. Une communication floue ou insuffisante sur les objectifs à long terme des ODD et sur la vision partagée de la SND30 empêche les parties prenantes de comprendre leur rôle dans la durée, limitant leur engagement à la période de distribution de l'aide. À cela s'ajoute le problème récurrent du manque de coordination intersectorielle. En effet, une adhésion durable se construit sur la transparence, le respect et un partenariat authentique où chacun se sent écouté, valorisé et responsable des résultats sur le long terme.</w:t>
      </w:r>
    </w:p>
    <w:p w14:paraId="4337FCCC" w14:textId="77777777" w:rsidR="00EA6DED" w:rsidRDefault="00EA6DED">
      <w:pPr>
        <w:rPr>
          <w:rFonts w:eastAsia="Calibri"/>
          <w:color w:val="FF0000"/>
          <w:sz w:val="22"/>
          <w:szCs w:val="22"/>
          <w:highlight w:val="yellow"/>
        </w:rPr>
      </w:pPr>
    </w:p>
    <w:p w14:paraId="4337FCCD" w14:textId="77777777" w:rsidR="00EA6DED" w:rsidRDefault="007504AE">
      <w:pPr>
        <w:jc w:val="both"/>
      </w:pPr>
      <w:r>
        <w:t>Globalement, on relève que la durabilité fait partie des engagements stratégiques du CC avec des produits et des mécanismes spécifiques dans les différentes réalisations sur l’appui institutionnel ou le renforcement des capacités.  Cependant ces mécanismes sont souvent épars et ne sont pas structurés dans un document de stratégie ou développés de manière systématique dans les programmes et projets mis en œuvre.  Le focus sectoriel et la faible implication du gouvernement dans la planification des groupes de Résultat limitent l’intégration des interventions et réduisent l’appropriation nationale. Il n’existe pas de de manière systématique les stratégies de sorties pour chaque programme/projet</w:t>
      </w:r>
    </w:p>
    <w:p w14:paraId="4337FCCE" w14:textId="77777777" w:rsidR="00EA6DED" w:rsidRDefault="00EA6DED">
      <w:pPr>
        <w:pStyle w:val="Commentaire"/>
        <w:jc w:val="both"/>
      </w:pPr>
    </w:p>
    <w:p w14:paraId="4337FCCF" w14:textId="77777777" w:rsidR="00EA6DED" w:rsidRDefault="00EA6DED">
      <w:pPr>
        <w:rPr>
          <w:rFonts w:eastAsia="Calibri"/>
          <w:sz w:val="22"/>
          <w:szCs w:val="22"/>
        </w:rPr>
      </w:pPr>
    </w:p>
    <w:p w14:paraId="4337FCD0" w14:textId="77777777" w:rsidR="00EA6DED" w:rsidRDefault="007504AE">
      <w:pPr>
        <w:numPr>
          <w:ilvl w:val="0"/>
          <w:numId w:val="3"/>
        </w:numPr>
        <w:ind w:right="550"/>
        <w:rPr>
          <w:rStyle w:val="Titre1Car"/>
          <w:rFonts w:ascii="Times New Roman" w:hAnsi="Times New Roman"/>
          <w:sz w:val="28"/>
          <w:shd w:val="clear" w:color="auto" w:fill="FFFFFF"/>
          <w:lang w:val="en-US"/>
        </w:rPr>
      </w:pPr>
      <w:bookmarkStart w:id="152" w:name="_Toc29815"/>
      <w:r>
        <w:rPr>
          <w:rStyle w:val="Titre1Car"/>
          <w:rFonts w:ascii="Times New Roman" w:hAnsi="Times New Roman"/>
          <w:sz w:val="28"/>
          <w:shd w:val="clear" w:color="auto" w:fill="FFFFFF"/>
          <w:lang w:val="en-US"/>
        </w:rPr>
        <w:t xml:space="preserve">Conclusions </w:t>
      </w:r>
    </w:p>
    <w:bookmarkEnd w:id="152"/>
    <w:p w14:paraId="4337FCD1" w14:textId="77777777" w:rsidR="00EA6DED" w:rsidRDefault="00EA6DED">
      <w:pPr>
        <w:rPr>
          <w:b/>
          <w:i/>
        </w:rPr>
      </w:pPr>
    </w:p>
    <w:p w14:paraId="4337FCD2" w14:textId="77777777" w:rsidR="00EA6DED" w:rsidRDefault="007504AE">
      <w:pPr>
        <w:rPr>
          <w:b/>
          <w:color w:val="00B0F0"/>
        </w:rPr>
      </w:pPr>
      <w:r>
        <w:rPr>
          <w:b/>
          <w:color w:val="00B0F0"/>
        </w:rPr>
        <w:t>Pertinence et adaptabilité </w:t>
      </w:r>
    </w:p>
    <w:p w14:paraId="4337FCD3" w14:textId="77777777" w:rsidR="00EA6DED" w:rsidRDefault="007504AE">
      <w:pPr>
        <w:jc w:val="both"/>
        <w:rPr>
          <w:rFonts w:eastAsia="Arial"/>
          <w:bCs/>
          <w:color w:val="000000"/>
        </w:rPr>
      </w:pPr>
      <w:r>
        <w:rPr>
          <w:rFonts w:eastAsia="Arial"/>
          <w:bCs/>
          <w:color w:val="000000"/>
          <w:u w:val="single"/>
        </w:rPr>
        <w:t>Conclusion No1 (</w:t>
      </w:r>
      <w:r>
        <w:rPr>
          <w:rFonts w:eastAsia="Arial"/>
          <w:color w:val="000000"/>
          <w:u w:val="single"/>
        </w:rPr>
        <w:t>QE1)</w:t>
      </w:r>
      <w:r>
        <w:rPr>
          <w:rStyle w:val="Appelnotedebasdep"/>
          <w:color w:val="000000"/>
          <w:u w:val="single"/>
        </w:rPr>
        <w:footnoteReference w:id="112"/>
      </w:r>
      <w:r>
        <w:rPr>
          <w:rFonts w:eastAsia="Arial"/>
          <w:bCs/>
          <w:color w:val="000000"/>
          <w:u w:val="single"/>
        </w:rPr>
        <w:t>:</w:t>
      </w:r>
      <w:r>
        <w:rPr>
          <w:rFonts w:eastAsia="Arial"/>
          <w:bCs/>
          <w:color w:val="000000"/>
        </w:rPr>
        <w:t xml:space="preserve"> Le CC est assez pertinent à travers sa forte capacité à prendre en compte dans sa conception et sa mise en œuvre les principales priorités nationales, communautaires (CEMAC), régionales et internationales (Agenda 2063 de UA et Agenda 2030). Cependant :</w:t>
      </w:r>
    </w:p>
    <w:p w14:paraId="4337FCD4" w14:textId="77777777" w:rsidR="00EA6DED" w:rsidRDefault="007504AE">
      <w:pPr>
        <w:pStyle w:val="Paragraphedeliste"/>
        <w:numPr>
          <w:ilvl w:val="0"/>
          <w:numId w:val="19"/>
        </w:numPr>
        <w:jc w:val="both"/>
        <w:rPr>
          <w:rFonts w:eastAsia="Arial"/>
          <w:bCs/>
          <w:color w:val="000000"/>
        </w:rPr>
      </w:pPr>
      <w:r>
        <w:t>Le fait que le cadre de résultats de CF 2022-2026 est descendu jusqu’au niveau des produits et les PTC au niveau de sous-produits a posé un défi pour la cohérence, la coordination et la redevabilité programmatique, et traduit une maîtrise approximative de la Gestion Axée sur les Résultats (GAR).  </w:t>
      </w:r>
    </w:p>
    <w:p w14:paraId="4337FCD5" w14:textId="77777777" w:rsidR="00EA6DED" w:rsidRDefault="007504AE">
      <w:pPr>
        <w:pStyle w:val="Paragraphedeliste"/>
        <w:numPr>
          <w:ilvl w:val="0"/>
          <w:numId w:val="19"/>
        </w:numPr>
        <w:jc w:val="both"/>
        <w:rPr>
          <w:rFonts w:eastAsia="Arial"/>
          <w:bCs/>
          <w:color w:val="000000"/>
        </w:rPr>
      </w:pPr>
      <w:r>
        <w:rPr>
          <w:rFonts w:eastAsia="Arial"/>
          <w:bCs/>
          <w:color w:val="000000"/>
        </w:rPr>
        <w:t xml:space="preserve">Les questions </w:t>
      </w:r>
      <w:r>
        <w:rPr>
          <w:bCs/>
        </w:rPr>
        <w:t>de compétitivité et d’attractivité économique, le ciblage des niches thématiques en lien avec l’agenda 2030</w:t>
      </w:r>
      <w:r>
        <w:t xml:space="preserve">, </w:t>
      </w:r>
      <w:r>
        <w:rPr>
          <w:bCs/>
        </w:rPr>
        <w:t>la promotion et la localisation des Transitions clés et du Pacte mondial, le ciblage du secteur privé et de la diaspora, ne semblent pas suffisamment avoir été pris en compte.</w:t>
      </w:r>
      <w:r>
        <w:rPr>
          <w:rFonts w:eastAsia="Arial"/>
          <w:bCs/>
          <w:color w:val="000000"/>
        </w:rPr>
        <w:t xml:space="preserve">  </w:t>
      </w:r>
      <w:r>
        <w:t> </w:t>
      </w:r>
    </w:p>
    <w:p w14:paraId="4337FCD6" w14:textId="77777777" w:rsidR="00EA6DED" w:rsidRDefault="00EA6DED">
      <w:pPr>
        <w:pStyle w:val="Paragraphedeliste"/>
        <w:jc w:val="both"/>
        <w:rPr>
          <w:rFonts w:eastAsia="Arial"/>
          <w:bCs/>
          <w:color w:val="000000"/>
        </w:rPr>
      </w:pPr>
    </w:p>
    <w:p w14:paraId="4337FCD7" w14:textId="77777777" w:rsidR="00EA6DED" w:rsidRDefault="007504AE">
      <w:pPr>
        <w:jc w:val="both"/>
        <w:rPr>
          <w:rFonts w:eastAsia="Arial"/>
          <w:bCs/>
          <w:color w:val="000000"/>
          <w:u w:val="single"/>
        </w:rPr>
      </w:pPr>
      <w:r>
        <w:rPr>
          <w:rFonts w:eastAsia="Arial"/>
          <w:bCs/>
          <w:color w:val="000000"/>
          <w:u w:val="single"/>
        </w:rPr>
        <w:t>Conclusion No 2 (QE2)</w:t>
      </w:r>
      <w:r>
        <w:rPr>
          <w:rFonts w:eastAsia="Arial"/>
          <w:bCs/>
          <w:color w:val="000000"/>
        </w:rPr>
        <w:t xml:space="preserve"> : Le CC a été assez flexible pour intégrer dans son corpus thématique les principaux enjeux émergents dont la lutte contre la COVID_19, l’insécurité dans les zones fragiles des régions du septentrion et l’Est, le soutien au Programme Présidentiel pour la Reconstruction et le Développement (PPRD) des régions du Nord-Ouest et du Sud-Ouest, les effets du changement climatique et l’adoption des concepts émergents comme l’économie bleue/verte, la résilience et la durabilité environnementale (…). Les </w:t>
      </w:r>
      <w:r>
        <w:t xml:space="preserve">mécanismes d'adaptation continue du Plan Cadre de Coopération sont limités pour répondre de manière proactive aux défis et opportunités émergents. En effet, la théorie de changement, par essence dynamique est restée inerte depuis 2022.  </w:t>
      </w:r>
    </w:p>
    <w:p w14:paraId="4337FCD8" w14:textId="77777777" w:rsidR="00EA6DED" w:rsidRDefault="007504AE">
      <w:pPr>
        <w:jc w:val="both"/>
        <w:rPr>
          <w:rFonts w:eastAsia="Arial"/>
          <w:bCs/>
          <w:color w:val="000000"/>
          <w:sz w:val="22"/>
          <w:szCs w:val="22"/>
          <w:highlight w:val="yellow"/>
        </w:rPr>
      </w:pPr>
      <w:r>
        <w:rPr>
          <w:rFonts w:eastAsia="Arial"/>
          <w:bCs/>
          <w:color w:val="000000"/>
          <w:sz w:val="22"/>
          <w:szCs w:val="22"/>
          <w:highlight w:val="yellow"/>
        </w:rPr>
        <w:t xml:space="preserve"> </w:t>
      </w:r>
    </w:p>
    <w:p w14:paraId="4337FCD9" w14:textId="77777777" w:rsidR="00EA6DED" w:rsidRDefault="007504AE">
      <w:pPr>
        <w:rPr>
          <w:b/>
          <w:color w:val="00B0F0"/>
        </w:rPr>
      </w:pPr>
      <w:r>
        <w:rPr>
          <w:b/>
          <w:color w:val="00B0F0"/>
        </w:rPr>
        <w:t>Coordination et cohérence</w:t>
      </w:r>
    </w:p>
    <w:p w14:paraId="4337FCDA" w14:textId="77777777" w:rsidR="00EA6DED" w:rsidRDefault="007504AE">
      <w:pPr>
        <w:jc w:val="both"/>
        <w:rPr>
          <w:rFonts w:eastAsia="Arial"/>
          <w:color w:val="000000"/>
        </w:rPr>
      </w:pPr>
      <w:r>
        <w:rPr>
          <w:rFonts w:eastAsia="Arial"/>
          <w:bCs/>
          <w:color w:val="000000"/>
          <w:u w:val="single"/>
        </w:rPr>
        <w:t>Conclusion 3 (QE3):</w:t>
      </w:r>
      <w:r>
        <w:rPr>
          <w:rFonts w:eastAsia="Arial"/>
          <w:bCs/>
          <w:color w:val="000000"/>
        </w:rPr>
        <w:t xml:space="preserve"> Le SNU a</w:t>
      </w:r>
      <w:r>
        <w:rPr>
          <w:rFonts w:eastAsia="Arial"/>
          <w:b/>
          <w:bCs/>
          <w:color w:val="000000"/>
        </w:rPr>
        <w:t xml:space="preserve"> </w:t>
      </w:r>
      <w:r>
        <w:rPr>
          <w:rFonts w:eastAsia="Arial"/>
          <w:color w:val="000000"/>
        </w:rPr>
        <w:t xml:space="preserve">promu la complémentarité, l’harmonisation et la coordination avec d’autres partenaires clés du développement pour maximiser l’obtention des résultats au regard des résultats obtenus dans les différentes Priorités Stratégiques du CC 2022-2026. Toutefois </w:t>
      </w:r>
      <w:r>
        <w:t>la participation et l’implication de la partie nationale dans les réunions/organes de coordination du CC sont faibles et limitent l’harmonisation, la complémentarité des programmes</w:t>
      </w:r>
    </w:p>
    <w:p w14:paraId="4337FCDB" w14:textId="77777777" w:rsidR="00EA6DED" w:rsidRDefault="00EA6DED">
      <w:pPr>
        <w:jc w:val="both"/>
        <w:rPr>
          <w:rFonts w:eastAsia="Arial"/>
          <w:color w:val="000000"/>
          <w:u w:val="single"/>
        </w:rPr>
      </w:pPr>
    </w:p>
    <w:p w14:paraId="4337FCDC" w14:textId="77777777" w:rsidR="00EA6DED" w:rsidRDefault="007504AE">
      <w:pPr>
        <w:jc w:val="both"/>
        <w:rPr>
          <w:rFonts w:eastAsia="Arial"/>
          <w:color w:val="000000"/>
          <w:u w:val="single"/>
        </w:rPr>
      </w:pPr>
      <w:r>
        <w:rPr>
          <w:rFonts w:eastAsia="Arial"/>
          <w:color w:val="000000"/>
          <w:u w:val="single"/>
        </w:rPr>
        <w:t>Conclusion 4 (QE4)</w:t>
      </w:r>
      <w:r>
        <w:rPr>
          <w:rFonts w:eastAsia="Arial"/>
          <w:color w:val="000000"/>
        </w:rPr>
        <w:t xml:space="preserve"> : L’analyse comparée de la structure des programmes pays et des plans d’action des agences, montre une bonne dérivation des différentes Priorités stratégiques et des Réalisations, et sont endossés à la fois par le Coordonnateur Résident et les ministères sectoriels en reconnaissance de leur alignement aux priorités nationales ou sectorielles et aux attentes du Cadre de Coopération. </w:t>
      </w:r>
    </w:p>
    <w:p w14:paraId="4337FCDD" w14:textId="77777777" w:rsidR="00EA6DED" w:rsidRDefault="00EA6DED">
      <w:pPr>
        <w:rPr>
          <w:rFonts w:eastAsia="Arial"/>
          <w:color w:val="000000"/>
        </w:rPr>
      </w:pPr>
    </w:p>
    <w:p w14:paraId="4337FCDE" w14:textId="77777777" w:rsidR="00EA6DED" w:rsidRDefault="007504AE">
      <w:pPr>
        <w:jc w:val="both"/>
        <w:rPr>
          <w:color w:val="000000"/>
        </w:rPr>
      </w:pPr>
      <w:r>
        <w:rPr>
          <w:rFonts w:eastAsia="Arial"/>
          <w:color w:val="000000"/>
          <w:u w:val="single"/>
        </w:rPr>
        <w:t>Conclusion 5 (QE5)</w:t>
      </w:r>
      <w:r>
        <w:rPr>
          <w:rFonts w:eastAsia="Arial"/>
          <w:color w:val="000000"/>
        </w:rPr>
        <w:t xml:space="preserve">: L’équipe de pays, avec le soutien stratégique du Bureau du Coordonnateur Résident, a mis en place et animé les </w:t>
      </w:r>
      <w:r>
        <w:rPr>
          <w:color w:val="000000"/>
        </w:rPr>
        <w:t xml:space="preserve"> organes de gestion, pour assurer la cohérence et la coordination des programmes du SNU à travers le développement des programmes conjoints, la mobilisation des ressources et des partenariats, et l’assurance de la cohérence entre les agences en interne et les acteurs au développement en externe. Cependant </w:t>
      </w:r>
      <w:r>
        <w:rPr>
          <w:color w:val="00B0F0"/>
        </w:rPr>
        <w:t xml:space="preserve">(a) </w:t>
      </w:r>
      <w:r>
        <w:rPr>
          <w:color w:val="000000"/>
        </w:rPr>
        <w:t xml:space="preserve">la faible motivation </w:t>
      </w:r>
      <w:r>
        <w:t xml:space="preserve">des agences dans les activités conjointes, le non-respect des engagements mutuels vis-à-vis du MAF, </w:t>
      </w:r>
      <w:r>
        <w:rPr>
          <w:color w:val="00B0F0"/>
        </w:rPr>
        <w:t xml:space="preserve">(b) </w:t>
      </w:r>
      <w:r>
        <w:t xml:space="preserve">la faible valorisation des avantages comparatifs et stratégiques des entités, et </w:t>
      </w:r>
      <w:r>
        <w:rPr>
          <w:color w:val="00B0F0"/>
        </w:rPr>
        <w:t xml:space="preserve">(c) </w:t>
      </w:r>
      <w:r>
        <w:t>l’absence de formalisation et le faible fonctionnement du COPIL n’ont pas facilité l’</w:t>
      </w:r>
      <w:r>
        <w:rPr>
          <w:color w:val="000000"/>
        </w:rPr>
        <w:t>optimisation du fonctionnement et des résultats des organes de coordination, et renforcer le Delivery as One (DaO).</w:t>
      </w:r>
      <w:r>
        <w:t xml:space="preserve">.. </w:t>
      </w:r>
    </w:p>
    <w:p w14:paraId="4337FCDF" w14:textId="77777777" w:rsidR="00EA6DED" w:rsidRDefault="00EA6DED">
      <w:pPr>
        <w:jc w:val="both"/>
        <w:rPr>
          <w:color w:val="000000"/>
        </w:rPr>
      </w:pPr>
    </w:p>
    <w:p w14:paraId="4337FCE0" w14:textId="77777777" w:rsidR="00EA6DED" w:rsidRDefault="007504AE">
      <w:pPr>
        <w:rPr>
          <w:b/>
          <w:color w:val="00B0F0"/>
        </w:rPr>
      </w:pPr>
      <w:r>
        <w:rPr>
          <w:b/>
          <w:color w:val="00B0F0"/>
        </w:rPr>
        <w:t>Efficacité</w:t>
      </w:r>
    </w:p>
    <w:p w14:paraId="4337FCE1" w14:textId="77777777" w:rsidR="00EA6DED" w:rsidRDefault="007504AE">
      <w:pPr>
        <w:jc w:val="both"/>
      </w:pPr>
      <w:r>
        <w:rPr>
          <w:rFonts w:eastAsia="Arial"/>
          <w:bCs/>
          <w:color w:val="000000"/>
          <w:u w:val="single"/>
        </w:rPr>
        <w:t>Conclusion 6 (QE6)</w:t>
      </w:r>
      <w:r>
        <w:rPr>
          <w:rFonts w:eastAsia="Arial"/>
          <w:b/>
          <w:bCs/>
          <w:color w:val="000000"/>
        </w:rPr>
        <w:t xml:space="preserve"> : </w:t>
      </w:r>
      <w:r>
        <w:rPr>
          <w:rFonts w:eastAsia="Arial"/>
          <w:color w:val="000000"/>
        </w:rPr>
        <w:t>Sur la base de la tendance optimiste des indicateurs d’Effet et la densité des activités menées au niveau des produits, les évaluateurs ont trouvé le CC assez efficace</w:t>
      </w:r>
      <w:r>
        <w:rPr>
          <w:rFonts w:eastAsia="Arial"/>
          <w:color w:val="000000"/>
          <w:sz w:val="22"/>
          <w:szCs w:val="22"/>
        </w:rPr>
        <w:t xml:space="preserve"> </w:t>
      </w:r>
      <w:r>
        <w:rPr>
          <w:rFonts w:eastAsia="Arial"/>
          <w:color w:val="000000"/>
        </w:rPr>
        <w:t>dans l'atteinte des réalisations définies dans le cadre des résultats tout en promouvant l’égalité de genres, les droits humains, la durabilité environnementale et le « ne laisser personne de côté »</w:t>
      </w:r>
      <w:r>
        <w:rPr>
          <w:rFonts w:eastAsia="Arial"/>
          <w:color w:val="000000"/>
          <w:sz w:val="22"/>
          <w:szCs w:val="22"/>
        </w:rPr>
        <w:t xml:space="preserve"> </w:t>
      </w:r>
      <w:r>
        <w:rPr>
          <w:rFonts w:eastAsia="Arial"/>
          <w:color w:val="000000"/>
        </w:rPr>
        <w:t>malgré la fragmentation et la faible intégration des programmes</w:t>
      </w:r>
    </w:p>
    <w:p w14:paraId="4337FCE2" w14:textId="77777777" w:rsidR="00EA6DED" w:rsidRDefault="00EA6DED">
      <w:pPr>
        <w:jc w:val="both"/>
      </w:pPr>
    </w:p>
    <w:p w14:paraId="4337FCE3" w14:textId="77777777" w:rsidR="00EA6DED" w:rsidRDefault="007504AE">
      <w:pPr>
        <w:jc w:val="both"/>
      </w:pPr>
      <w:r>
        <w:rPr>
          <w:u w:val="single"/>
        </w:rPr>
        <w:lastRenderedPageBreak/>
        <w:t>Conclusion 7 (QE7) :</w:t>
      </w:r>
      <w:r>
        <w:t xml:space="preserve"> De manière globale, le CC </w:t>
      </w:r>
      <w:r>
        <w:rPr>
          <w:rFonts w:eastAsia="Arial"/>
          <w:color w:val="000000" w:themeColor="text1"/>
        </w:rPr>
        <w:t xml:space="preserve">contribué à des changements institutionnels, comportementaux et législatifs nécessaires pour catalyser des progrès vers l'impact souhaité du gouvernement. Ces progrès portent essentiellement sur la mobilisation des ressources et le partenariat stratégique, et l’appui-conseil dans l’élaboration et la mise en œuvre des lois, des politiques, des cadres normatifs tant au niveau sectoriel que national, en faveur de la durabilité environnementale, la promotion du nexus DPH ou la résilience. </w:t>
      </w:r>
      <w:r>
        <w:t xml:space="preserve">Pour le prochain cadre de coopération, le défi pour l’équipe-pays sera de mettre le focus sur le renforcement de l’écosystème interne et externe des statistiques pour assurer une meilleure maîtrise des données, </w:t>
      </w:r>
      <w:r>
        <w:rPr>
          <w:bCs/>
        </w:rPr>
        <w:t>l’analyse de la redevabilité programmatique, la revue technique du cadre des résultats et l’analyse du système de suivi et d’évaluation</w:t>
      </w:r>
    </w:p>
    <w:p w14:paraId="4337FCE4" w14:textId="77777777" w:rsidR="00EA6DED" w:rsidRDefault="00EA6DED">
      <w:pPr>
        <w:rPr>
          <w:b/>
        </w:rPr>
      </w:pPr>
    </w:p>
    <w:p w14:paraId="4337FCE5" w14:textId="77777777" w:rsidR="00EA6DED" w:rsidRDefault="007504AE">
      <w:pPr>
        <w:rPr>
          <w:b/>
          <w:color w:val="00B0F0"/>
        </w:rPr>
      </w:pPr>
      <w:r>
        <w:rPr>
          <w:b/>
          <w:color w:val="00B0F0"/>
        </w:rPr>
        <w:t>Efficience</w:t>
      </w:r>
    </w:p>
    <w:p w14:paraId="4337FCE6" w14:textId="77777777" w:rsidR="00EA6DED" w:rsidRDefault="007504AE">
      <w:pPr>
        <w:jc w:val="both"/>
        <w:rPr>
          <w:color w:val="000000" w:themeColor="text1"/>
        </w:rPr>
      </w:pPr>
      <w:r>
        <w:rPr>
          <w:rFonts w:eastAsia="Arial"/>
          <w:color w:val="000000" w:themeColor="text1"/>
          <w:u w:val="single"/>
        </w:rPr>
        <w:t>Conclusion 8 (QE8) :</w:t>
      </w:r>
      <w:r>
        <w:rPr>
          <w:rFonts w:eastAsia="Arial"/>
          <w:b/>
          <w:color w:val="000000" w:themeColor="text1"/>
        </w:rPr>
        <w:t xml:space="preserve"> </w:t>
      </w:r>
      <w:r>
        <w:rPr>
          <w:rFonts w:eastAsia="Arial"/>
          <w:color w:val="000000" w:themeColor="text1"/>
        </w:rPr>
        <w:t xml:space="preserve">En l’absence des données pour faire une analyse soutenue des informations financières et sur les ressources humaines, les évaluateurs n’ont pas pu se prononcer sur l’efficience </w:t>
      </w:r>
      <w:r>
        <w:rPr>
          <w:color w:val="000000" w:themeColor="text1"/>
        </w:rPr>
        <w:t>CC 2022-2026. Cependant, suite aux entretiens avec les agences et OMT il faut relever qu’il dispose des mécanismes d’optimisation des coûts et des modalités de gestion basées sur le BOS et HACT pour réduire les coûts de transaction entre les agences et faciliter le décaissement et le suivi des fonds auprès des partenaires gouvernementaux. Les agences des Nations Unies mettent conjointement leurs expertises comparatives pour réduire les charges opérationnelles des projets conjoints. Toutefois, la r</w:t>
      </w:r>
      <w:r>
        <w:rPr>
          <w:rStyle w:val="lev"/>
          <w:b w:val="0"/>
          <w:color w:val="000000" w:themeColor="text1"/>
        </w:rPr>
        <w:t>otation fréquente du personnel,</w:t>
      </w:r>
      <w:r>
        <w:rPr>
          <w:color w:val="000000" w:themeColor="text1"/>
        </w:rPr>
        <w:t xml:space="preserve"> les sous-effectifs dans certaines agences y compris au BCR, la charge élevée de travail de certains agents liée au cumul de leurs responsabilités pour les activités conjointes en plus de leurs cahiers de charge dans leurs agence, les procédures </w:t>
      </w:r>
      <w:r>
        <w:rPr>
          <w:rStyle w:val="lev"/>
          <w:b w:val="0"/>
          <w:color w:val="000000" w:themeColor="text1"/>
        </w:rPr>
        <w:t>financières rigide</w:t>
      </w:r>
      <w:r>
        <w:rPr>
          <w:rStyle w:val="lev"/>
          <w:rFonts w:eastAsia="Calibri"/>
          <w:b w:val="0"/>
          <w:color w:val="000000" w:themeColor="text1"/>
        </w:rPr>
        <w:t>s des agences et</w:t>
      </w:r>
      <w:r>
        <w:rPr>
          <w:color w:val="000000" w:themeColor="text1"/>
        </w:rPr>
        <w:t xml:space="preserve"> </w:t>
      </w:r>
      <w:r>
        <w:rPr>
          <w:rStyle w:val="lev"/>
          <w:rFonts w:eastAsia="Calibri"/>
          <w:b w:val="0"/>
          <w:color w:val="000000" w:themeColor="text1"/>
        </w:rPr>
        <w:t>l’u</w:t>
      </w:r>
      <w:r>
        <w:rPr>
          <w:rStyle w:val="lev"/>
          <w:b w:val="0"/>
          <w:color w:val="000000" w:themeColor="text1"/>
        </w:rPr>
        <w:t>tilisation irrégulière d</w:t>
      </w:r>
      <w:r>
        <w:rPr>
          <w:rStyle w:val="lev"/>
          <w:rFonts w:eastAsia="Calibri"/>
          <w:b w:val="0"/>
          <w:color w:val="000000" w:themeColor="text1"/>
        </w:rPr>
        <w:t>e UNinfo,</w:t>
      </w:r>
      <w:r>
        <w:rPr>
          <w:color w:val="000000" w:themeColor="text1"/>
        </w:rPr>
        <w:t xml:space="preserve"> la capacité limitée de planification, de gestion et de suivi des programmes, limitent l’optimalité des ressources et l’efficience programmatique.</w:t>
      </w:r>
      <w:r>
        <w:rPr>
          <w:color w:val="000000" w:themeColor="text1"/>
          <w:sz w:val="22"/>
          <w:szCs w:val="22"/>
        </w:rPr>
        <w:t xml:space="preserve">  </w:t>
      </w:r>
    </w:p>
    <w:p w14:paraId="4337FCE7" w14:textId="77777777" w:rsidR="00EA6DED" w:rsidRDefault="00EA6DED">
      <w:pPr>
        <w:jc w:val="both"/>
      </w:pPr>
    </w:p>
    <w:p w14:paraId="4337FCE8" w14:textId="77777777" w:rsidR="00EA6DED" w:rsidRDefault="007504AE">
      <w:pPr>
        <w:spacing w:line="276" w:lineRule="auto"/>
        <w:jc w:val="both"/>
        <w:rPr>
          <w:color w:val="000000" w:themeColor="text1"/>
        </w:rPr>
      </w:pPr>
      <w:r>
        <w:rPr>
          <w:color w:val="000000" w:themeColor="text1"/>
          <w:u w:val="single"/>
        </w:rPr>
        <w:t>Conclusion 9 (QE9)</w:t>
      </w:r>
      <w:r>
        <w:rPr>
          <w:color w:val="000000" w:themeColor="text1"/>
        </w:rPr>
        <w:t> : Il s’est doté d'un cadre de financement intégré avec une stratégie de mobilisation de ressources et des instruments adéquats. Un accent a été mis sur la valorisation de l’épargne domestique pour le financement à long terme des PME et sur la création de mécanismes incitatifs pour encourager la participation de la diaspora et du secteur privé. Il se propose aussi à améliorer la coordination entre l’État, les institutions financières internationales, le secteur privé et les partenaires techniques, afin de rendre le financement du développement plus inclusif, durable et aligné sur les priorités nationales. Cependant, la mise en œuvre de cette stratégie dans l’approche de One UN budget est toujours dans sa phase d’expérimentation et l’absence d’un cadre harmonisé de suivi financier avec ventilation annuelle et par réalisation, limitent l’optimalité des ressources et l’efficience programmatique.</w:t>
      </w:r>
    </w:p>
    <w:p w14:paraId="4337FCE9" w14:textId="77777777" w:rsidR="00EA6DED" w:rsidRDefault="00EA6DED">
      <w:pPr>
        <w:contextualSpacing/>
        <w:rPr>
          <w:b/>
          <w:color w:val="00B0F0"/>
        </w:rPr>
      </w:pPr>
    </w:p>
    <w:p w14:paraId="4337FCEA" w14:textId="77777777" w:rsidR="00EA6DED" w:rsidRDefault="007504AE">
      <w:pPr>
        <w:contextualSpacing/>
        <w:rPr>
          <w:b/>
          <w:color w:val="00B0F0"/>
        </w:rPr>
      </w:pPr>
      <w:r>
        <w:rPr>
          <w:b/>
          <w:color w:val="00B0F0"/>
        </w:rPr>
        <w:t>Orientation vers l’impact</w:t>
      </w:r>
    </w:p>
    <w:p w14:paraId="4337FCEB" w14:textId="77777777" w:rsidR="00EA6DED" w:rsidRDefault="007504AE">
      <w:pPr>
        <w:pStyle w:val="NormalWeb"/>
        <w:spacing w:before="0" w:beforeAutospacing="0" w:after="0" w:afterAutospacing="0"/>
        <w:contextualSpacing/>
        <w:jc w:val="both"/>
      </w:pPr>
      <w:r>
        <w:rPr>
          <w:u w:val="single"/>
        </w:rPr>
        <w:t>Conclusion 10 (QE10)</w:t>
      </w:r>
      <w:r>
        <w:t> : Le CC s’est investi dans l'identification et la coordination des réponses aux enjeux émergents, grâce à une capacité d'adaptation aux circonstances changeantes et à l'engagement des parties prenantes pour assurer la cohérence interne et externe. La présence d'indicateurs liés à la résilience économique, à la durabilité environnementale et au capital humain, en complément des marqueurs genre, QCPR, humanitaires et droits humains, témoigne d'une orientation vers l'impact sur la réduction des inégalités de genre, l'inclusion sociale, le capital humain, le capital naturel et les droits de l'homme. En plus d'une tendance globalement positive des indicateurs de réalisations, le soutien des Nations Unies au gouvernement, l'alignement du cadre de coopération sur les priorités nationales, régionales et internationales, ainsi que l'appui à l'élaboration de lois et de cadres normatifs, illustrent le potentiel du CC à générer un impact, en dépit de l'absence d'un cadre de mesure robuste avec des indicateurs déclinés de matrice  de résultats de la SND30 pour garantir sa robustesse et son efficacité.</w:t>
      </w:r>
    </w:p>
    <w:p w14:paraId="4337FCEC" w14:textId="77777777" w:rsidR="00EA6DED" w:rsidRDefault="00EA6DED">
      <w:pPr>
        <w:pStyle w:val="NormalWeb"/>
        <w:spacing w:before="0" w:beforeAutospacing="0" w:after="0" w:afterAutospacing="0"/>
        <w:contextualSpacing/>
        <w:jc w:val="both"/>
        <w:rPr>
          <w:highlight w:val="yellow"/>
        </w:rPr>
      </w:pPr>
    </w:p>
    <w:p w14:paraId="4337FCED" w14:textId="77777777" w:rsidR="00EA6DED" w:rsidRDefault="007504AE">
      <w:pPr>
        <w:rPr>
          <w:b/>
          <w:color w:val="00B0F0"/>
        </w:rPr>
      </w:pPr>
      <w:r>
        <w:rPr>
          <w:b/>
          <w:color w:val="00B0F0"/>
        </w:rPr>
        <w:t>Durabilité</w:t>
      </w:r>
    </w:p>
    <w:p w14:paraId="4337FCEE" w14:textId="77777777" w:rsidR="00EA6DED" w:rsidRDefault="007504AE">
      <w:pPr>
        <w:jc w:val="both"/>
      </w:pPr>
      <w:r>
        <w:rPr>
          <w:u w:val="single"/>
        </w:rPr>
        <w:t>Conclusion 11 (QE11 &amp;12)</w:t>
      </w:r>
      <w:r>
        <w:t xml:space="preserve"> : Le cadre de coopération a intégré dans sa structure des mécanismes visant à promouvoir la pérennité des acquis sur les plans socio-politique, institutionnel, financier et environnemental. Cela inclut la planification conjointe, l’assistance technique et financière, une stratégie de « faire-faire », le </w:t>
      </w:r>
      <w:r>
        <w:lastRenderedPageBreak/>
        <w:t xml:space="preserve">suivi au sein des plateformes sectorielles, ainsi que la rétrocession des infrastructures et des équipements. La mise en œuvre du Cadre de Coopération a favorisé le transfert de compétences aux parties prenantes nationales, tout en assurant une participation active des points focaux sectoriels au sein des groupes de résultats. Les principes fondamentaux de la Déclaration de Paris sur l’efficacité de l’aide, notamment l’appropriation, l’alignement, les résultats et la redevabilité mutuelle, sont relativement respectés. De nombreuses agences appliquent l'approche HACT, et des visites conjointes entre le gouvernement et les agences ont été effectuées. En outre, la durabilité environnementale constitue un marqueur transversal majeur dans le cadre des interventions. Cependant, </w:t>
      </w:r>
      <w:r>
        <w:rPr>
          <w:color w:val="00B0F0"/>
        </w:rPr>
        <w:t xml:space="preserve">(a) </w:t>
      </w:r>
      <w:r>
        <w:t xml:space="preserve">l’absence d’un plan de dévolution des programmes et </w:t>
      </w:r>
      <w:r>
        <w:rPr>
          <w:color w:val="00B0F0"/>
        </w:rPr>
        <w:t xml:space="preserve">(b) </w:t>
      </w:r>
      <w:r>
        <w:t xml:space="preserve">les faibles capacités institutionnelle/organisationnelles des partenaires nationaux et des parties prenantes locales, restent un obstacle majeur à la durabilité. </w:t>
      </w:r>
    </w:p>
    <w:p w14:paraId="4337FCEF" w14:textId="77777777" w:rsidR="00EA6DED" w:rsidRDefault="00EA6DED">
      <w:pPr>
        <w:spacing w:line="276" w:lineRule="auto"/>
        <w:jc w:val="both"/>
        <w:rPr>
          <w:rFonts w:eastAsia="Arial"/>
          <w:color w:val="000000"/>
          <w:sz w:val="13"/>
          <w:szCs w:val="13"/>
        </w:rPr>
      </w:pPr>
    </w:p>
    <w:p w14:paraId="4337FCF0" w14:textId="77777777" w:rsidR="00EA6DED" w:rsidRDefault="007504AE">
      <w:pPr>
        <w:numPr>
          <w:ilvl w:val="0"/>
          <w:numId w:val="3"/>
        </w:numPr>
        <w:ind w:right="550"/>
        <w:rPr>
          <w:rStyle w:val="Titre1Car"/>
          <w:rFonts w:ascii="Times New Roman" w:hAnsi="Times New Roman"/>
          <w:sz w:val="28"/>
          <w:shd w:val="clear" w:color="auto" w:fill="FFFFFF"/>
          <w:lang w:val="en-US"/>
        </w:rPr>
      </w:pPr>
      <w:bookmarkStart w:id="153" w:name="_Toc30149"/>
      <w:r>
        <w:rPr>
          <w:rStyle w:val="Titre1Car"/>
          <w:rFonts w:ascii="Times New Roman" w:hAnsi="Times New Roman"/>
          <w:sz w:val="28"/>
          <w:shd w:val="clear" w:color="auto" w:fill="FFFFFF"/>
          <w:lang w:val="en-US"/>
        </w:rPr>
        <w:t xml:space="preserve">Recommandations </w:t>
      </w:r>
    </w:p>
    <w:bookmarkEnd w:id="153"/>
    <w:p w14:paraId="4337FCF1" w14:textId="77777777" w:rsidR="00EA6DED" w:rsidRDefault="00EA6DED">
      <w:pPr>
        <w:rPr>
          <w:rFonts w:eastAsia="Calibri"/>
          <w:b/>
          <w:color w:val="00B0F0"/>
          <w:sz w:val="4"/>
          <w:szCs w:val="2"/>
        </w:rPr>
      </w:pPr>
    </w:p>
    <w:p w14:paraId="4337FCF2" w14:textId="77777777" w:rsidR="00EA6DED" w:rsidRDefault="007504AE">
      <w:pPr>
        <w:pStyle w:val="Titre2"/>
        <w:numPr>
          <w:ilvl w:val="1"/>
          <w:numId w:val="3"/>
        </w:numPr>
        <w:rPr>
          <w:lang w:val="fr"/>
        </w:rPr>
      </w:pPr>
      <w:bookmarkStart w:id="154" w:name="_Toc10918"/>
      <w:r>
        <w:rPr>
          <w:color w:val="0000FF"/>
          <w:sz w:val="24"/>
          <w:szCs w:val="24"/>
          <w:lang w:val="fr"/>
        </w:rPr>
        <w:t>Pertinence /Adaptabilité</w:t>
      </w:r>
      <w:bookmarkEnd w:id="154"/>
      <w:r>
        <w:rPr>
          <w:color w:val="0000FF"/>
          <w:sz w:val="24"/>
          <w:szCs w:val="24"/>
          <w:lang w:val="fr"/>
        </w:rPr>
        <w:t xml:space="preserve"> </w:t>
      </w:r>
    </w:p>
    <w:tbl>
      <w:tblPr>
        <w:tblW w:w="104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69"/>
        <w:gridCol w:w="1407"/>
        <w:gridCol w:w="2114"/>
        <w:gridCol w:w="3507"/>
      </w:tblGrid>
      <w:tr w:rsidR="00EA6DED" w14:paraId="4337FCF8" w14:textId="77777777">
        <w:trPr>
          <w:trHeight w:val="315"/>
        </w:trPr>
        <w:tc>
          <w:tcPr>
            <w:tcW w:w="993" w:type="dxa"/>
            <w:vMerge w:val="restart"/>
            <w:tcBorders>
              <w:top w:val="single" w:sz="8" w:space="0" w:color="000000"/>
              <w:left w:val="single" w:sz="8" w:space="0" w:color="000000"/>
              <w:bottom w:val="single" w:sz="4" w:space="0" w:color="auto"/>
              <w:right w:val="single" w:sz="4" w:space="0" w:color="auto"/>
            </w:tcBorders>
            <w:shd w:val="clear" w:color="auto" w:fill="E7E6E6"/>
          </w:tcPr>
          <w:p w14:paraId="4337FCF3" w14:textId="77777777" w:rsidR="00EA6DED" w:rsidRDefault="007504AE">
            <w:pPr>
              <w:spacing w:line="360" w:lineRule="auto"/>
              <w:ind w:left="115"/>
              <w:rPr>
                <w:rFonts w:eastAsia="Roboto"/>
                <w:b/>
                <w:bCs/>
                <w:color w:val="000000"/>
                <w:lang w:val="fr"/>
              </w:rPr>
            </w:pPr>
            <w:r>
              <w:rPr>
                <w:rFonts w:eastAsia="Roboto"/>
                <w:b/>
                <w:bCs/>
                <w:color w:val="000000"/>
                <w:lang w:val="fr"/>
              </w:rPr>
              <w:t>R01</w:t>
            </w:r>
          </w:p>
        </w:tc>
        <w:tc>
          <w:tcPr>
            <w:tcW w:w="2469" w:type="dxa"/>
            <w:tcBorders>
              <w:top w:val="single" w:sz="8" w:space="0" w:color="000000"/>
              <w:left w:val="single" w:sz="4" w:space="0" w:color="auto"/>
              <w:bottom w:val="single" w:sz="8" w:space="0" w:color="0399D2"/>
              <w:right w:val="single" w:sz="8" w:space="0" w:color="0399D2"/>
            </w:tcBorders>
            <w:shd w:val="clear" w:color="auto" w:fill="009ED8"/>
            <w:vAlign w:val="center"/>
          </w:tcPr>
          <w:p w14:paraId="4337FCF4" w14:textId="77777777" w:rsidR="00EA6DED" w:rsidRDefault="007504AE">
            <w:pPr>
              <w:spacing w:before="60" w:after="60" w:line="360" w:lineRule="auto"/>
              <w:ind w:right="62"/>
              <w:jc w:val="center"/>
              <w:rPr>
                <w:rFonts w:eastAsia="Roboto"/>
                <w:b/>
                <w:bCs/>
                <w:color w:val="FFFFFF"/>
                <w:lang w:val="fr"/>
              </w:rPr>
            </w:pPr>
            <w:r>
              <w:rPr>
                <w:rFonts w:eastAsia="Roboto"/>
                <w:b/>
                <w:bCs/>
                <w:color w:val="FFFFFF"/>
                <w:lang w:val="fr"/>
              </w:rPr>
              <w:t>Niveau de priorité</w:t>
            </w:r>
          </w:p>
        </w:tc>
        <w:tc>
          <w:tcPr>
            <w:tcW w:w="1407"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CF5"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Origine</w:t>
            </w:r>
          </w:p>
        </w:tc>
        <w:tc>
          <w:tcPr>
            <w:tcW w:w="2114"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CF6"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Responsable</w:t>
            </w:r>
          </w:p>
        </w:tc>
        <w:tc>
          <w:tcPr>
            <w:tcW w:w="3507" w:type="dxa"/>
            <w:tcBorders>
              <w:top w:val="single" w:sz="8" w:space="0" w:color="000000"/>
              <w:left w:val="single" w:sz="8" w:space="0" w:color="0399D2"/>
              <w:bottom w:val="single" w:sz="8" w:space="0" w:color="0399D2"/>
              <w:right w:val="single" w:sz="8" w:space="0" w:color="000000"/>
            </w:tcBorders>
            <w:shd w:val="clear" w:color="auto" w:fill="009ED8"/>
            <w:vAlign w:val="center"/>
          </w:tcPr>
          <w:p w14:paraId="4337FCF7" w14:textId="77777777" w:rsidR="00EA6DED" w:rsidRDefault="007504AE">
            <w:pPr>
              <w:spacing w:before="60" w:after="60" w:line="360" w:lineRule="auto"/>
              <w:ind w:right="4"/>
              <w:jc w:val="center"/>
              <w:rPr>
                <w:rFonts w:eastAsia="Roboto"/>
                <w:b/>
                <w:bCs/>
                <w:color w:val="FFFFFF"/>
                <w:lang w:val="fr"/>
              </w:rPr>
            </w:pPr>
            <w:r>
              <w:rPr>
                <w:rFonts w:eastAsia="Roboto"/>
                <w:b/>
                <w:bCs/>
                <w:color w:val="FFFFFF"/>
                <w:lang w:val="fr"/>
              </w:rPr>
              <w:t>Délai de mise en œuvre</w:t>
            </w:r>
          </w:p>
        </w:tc>
      </w:tr>
      <w:tr w:rsidR="00EA6DED" w14:paraId="4337FCFE" w14:textId="77777777">
        <w:trPr>
          <w:trHeight w:val="315"/>
        </w:trPr>
        <w:tc>
          <w:tcPr>
            <w:tcW w:w="993" w:type="dxa"/>
            <w:vMerge/>
            <w:vAlign w:val="center"/>
          </w:tcPr>
          <w:p w14:paraId="4337FCF9" w14:textId="77777777" w:rsidR="00EA6DED" w:rsidRDefault="00EA6DED"/>
        </w:tc>
        <w:tc>
          <w:tcPr>
            <w:tcW w:w="2469" w:type="dxa"/>
            <w:tcBorders>
              <w:top w:val="single" w:sz="8" w:space="0" w:color="0399D2"/>
              <w:left w:val="single" w:sz="4" w:space="0" w:color="auto"/>
              <w:bottom w:val="single" w:sz="8" w:space="0" w:color="0399D2"/>
              <w:right w:val="single" w:sz="8" w:space="0" w:color="0399D2"/>
            </w:tcBorders>
            <w:shd w:val="clear" w:color="auto" w:fill="009ED8"/>
            <w:vAlign w:val="center"/>
          </w:tcPr>
          <w:p w14:paraId="4337FCFA"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1</w:t>
            </w:r>
          </w:p>
        </w:tc>
        <w:tc>
          <w:tcPr>
            <w:tcW w:w="1407" w:type="dxa"/>
            <w:tcBorders>
              <w:top w:val="single" w:sz="8" w:space="0" w:color="0399D2"/>
              <w:left w:val="single" w:sz="8" w:space="0" w:color="0399D2"/>
              <w:bottom w:val="single" w:sz="8" w:space="0" w:color="0399D2"/>
              <w:right w:val="single" w:sz="8" w:space="0" w:color="0399D2"/>
            </w:tcBorders>
            <w:shd w:val="clear" w:color="auto" w:fill="009ED8"/>
            <w:vAlign w:val="center"/>
          </w:tcPr>
          <w:p w14:paraId="4337FCFB"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C1a</w:t>
            </w:r>
          </w:p>
        </w:tc>
        <w:tc>
          <w:tcPr>
            <w:tcW w:w="2114" w:type="dxa"/>
            <w:tcBorders>
              <w:top w:val="single" w:sz="8" w:space="0" w:color="0399D2"/>
              <w:left w:val="single" w:sz="8" w:space="0" w:color="0399D2"/>
              <w:bottom w:val="single" w:sz="8" w:space="0" w:color="0399D2"/>
              <w:right w:val="single" w:sz="8" w:space="0" w:color="0399D2"/>
            </w:tcBorders>
            <w:shd w:val="clear" w:color="auto" w:fill="009ED8"/>
            <w:vAlign w:val="center"/>
          </w:tcPr>
          <w:p w14:paraId="4337FCFC"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UNCT</w:t>
            </w:r>
          </w:p>
        </w:tc>
        <w:tc>
          <w:tcPr>
            <w:tcW w:w="3507" w:type="dxa"/>
            <w:tcBorders>
              <w:top w:val="single" w:sz="8" w:space="0" w:color="0399D2"/>
              <w:left w:val="single" w:sz="8" w:space="0" w:color="0399D2"/>
              <w:bottom w:val="single" w:sz="8" w:space="0" w:color="0399D2"/>
              <w:right w:val="single" w:sz="8" w:space="0" w:color="000000"/>
            </w:tcBorders>
            <w:shd w:val="clear" w:color="auto" w:fill="009ED8"/>
            <w:vAlign w:val="center"/>
          </w:tcPr>
          <w:p w14:paraId="4337FCFD"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Court terme</w:t>
            </w:r>
          </w:p>
        </w:tc>
      </w:tr>
      <w:tr w:rsidR="00EA6DED" w14:paraId="4337FD01" w14:textId="77777777">
        <w:trPr>
          <w:trHeight w:val="1380"/>
        </w:trPr>
        <w:tc>
          <w:tcPr>
            <w:tcW w:w="993" w:type="dxa"/>
            <w:vMerge/>
            <w:vAlign w:val="center"/>
          </w:tcPr>
          <w:p w14:paraId="4337FCFF" w14:textId="77777777" w:rsidR="00EA6DED" w:rsidRDefault="00EA6DED"/>
        </w:tc>
        <w:tc>
          <w:tcPr>
            <w:tcW w:w="9497" w:type="dxa"/>
            <w:gridSpan w:val="4"/>
            <w:tcBorders>
              <w:top w:val="single" w:sz="8" w:space="0" w:color="0399D2"/>
              <w:left w:val="single" w:sz="4" w:space="0" w:color="auto"/>
              <w:bottom w:val="single" w:sz="8" w:space="0" w:color="000000"/>
              <w:right w:val="single" w:sz="8" w:space="0" w:color="000000"/>
            </w:tcBorders>
          </w:tcPr>
          <w:p w14:paraId="4337FD00" w14:textId="77777777" w:rsidR="00EA6DED" w:rsidRDefault="007504AE">
            <w:pPr>
              <w:contextualSpacing/>
              <w:jc w:val="both"/>
              <w:rPr>
                <w:rFonts w:eastAsia="DengXian"/>
              </w:rPr>
            </w:pPr>
            <w:r>
              <w:t>Assurer l’efficacité et la redevabilité programmatique du prochain cadre de coopération en se basant sur les leçons tirées d’une analyse critique du cadre de résultats du Plan de coopération actuel, en renforçant les capacités du SNU et des partenaires nationaux en Gestion Axée sur les Résultats avec des indicateurs mesurables de performance et de suivi</w:t>
            </w:r>
          </w:p>
        </w:tc>
      </w:tr>
    </w:tbl>
    <w:p w14:paraId="4337FD02" w14:textId="77777777" w:rsidR="00EA6DED" w:rsidRPr="004F65CF" w:rsidRDefault="00EA6DED">
      <w:pPr>
        <w:spacing w:line="360" w:lineRule="auto"/>
        <w:ind w:left="716" w:hanging="716"/>
        <w:jc w:val="center"/>
        <w:rPr>
          <w:rFonts w:eastAsia="Roboto"/>
          <w:b/>
          <w:bCs/>
        </w:rPr>
      </w:pPr>
    </w:p>
    <w:tbl>
      <w:tblPr>
        <w:tblW w:w="104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69"/>
        <w:gridCol w:w="1407"/>
        <w:gridCol w:w="2114"/>
        <w:gridCol w:w="3507"/>
      </w:tblGrid>
      <w:tr w:rsidR="00EA6DED" w14:paraId="4337FD08" w14:textId="77777777">
        <w:trPr>
          <w:trHeight w:val="315"/>
        </w:trPr>
        <w:tc>
          <w:tcPr>
            <w:tcW w:w="993" w:type="dxa"/>
            <w:vMerge w:val="restart"/>
            <w:tcBorders>
              <w:top w:val="single" w:sz="8" w:space="0" w:color="000000"/>
              <w:left w:val="single" w:sz="8" w:space="0" w:color="000000"/>
              <w:bottom w:val="single" w:sz="4" w:space="0" w:color="auto"/>
              <w:right w:val="single" w:sz="4" w:space="0" w:color="auto"/>
            </w:tcBorders>
            <w:shd w:val="clear" w:color="auto" w:fill="E7E6E6"/>
          </w:tcPr>
          <w:p w14:paraId="4337FD03" w14:textId="77777777" w:rsidR="00EA6DED" w:rsidRDefault="007504AE">
            <w:pPr>
              <w:spacing w:line="360" w:lineRule="auto"/>
              <w:ind w:left="115"/>
              <w:rPr>
                <w:rFonts w:eastAsia="Roboto"/>
                <w:b/>
                <w:bCs/>
                <w:color w:val="000000"/>
                <w:lang w:val="fr"/>
              </w:rPr>
            </w:pPr>
            <w:r>
              <w:rPr>
                <w:rFonts w:eastAsia="Roboto"/>
                <w:b/>
                <w:bCs/>
                <w:color w:val="000000"/>
                <w:lang w:val="fr"/>
              </w:rPr>
              <w:t>R02</w:t>
            </w:r>
          </w:p>
        </w:tc>
        <w:tc>
          <w:tcPr>
            <w:tcW w:w="2469" w:type="dxa"/>
            <w:tcBorders>
              <w:top w:val="single" w:sz="8" w:space="0" w:color="000000"/>
              <w:left w:val="single" w:sz="4" w:space="0" w:color="auto"/>
              <w:bottom w:val="single" w:sz="8" w:space="0" w:color="0399D2"/>
              <w:right w:val="single" w:sz="8" w:space="0" w:color="0399D2"/>
            </w:tcBorders>
            <w:shd w:val="clear" w:color="auto" w:fill="009ED8"/>
            <w:vAlign w:val="center"/>
          </w:tcPr>
          <w:p w14:paraId="4337FD04" w14:textId="77777777" w:rsidR="00EA6DED" w:rsidRDefault="007504AE">
            <w:pPr>
              <w:spacing w:before="60" w:after="60" w:line="360" w:lineRule="auto"/>
              <w:ind w:right="62"/>
              <w:jc w:val="center"/>
              <w:rPr>
                <w:rFonts w:eastAsia="Roboto"/>
                <w:b/>
                <w:bCs/>
                <w:color w:val="FFFFFF"/>
                <w:lang w:val="fr"/>
              </w:rPr>
            </w:pPr>
            <w:r>
              <w:rPr>
                <w:rFonts w:eastAsia="Roboto"/>
                <w:b/>
                <w:bCs/>
                <w:color w:val="FFFFFF"/>
                <w:lang w:val="fr"/>
              </w:rPr>
              <w:t>Niveau de priorité</w:t>
            </w:r>
          </w:p>
        </w:tc>
        <w:tc>
          <w:tcPr>
            <w:tcW w:w="1407"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05"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Origine</w:t>
            </w:r>
          </w:p>
        </w:tc>
        <w:tc>
          <w:tcPr>
            <w:tcW w:w="2114"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06"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Responsable</w:t>
            </w:r>
          </w:p>
        </w:tc>
        <w:tc>
          <w:tcPr>
            <w:tcW w:w="3507" w:type="dxa"/>
            <w:tcBorders>
              <w:top w:val="single" w:sz="8" w:space="0" w:color="000000"/>
              <w:left w:val="single" w:sz="8" w:space="0" w:color="0399D2"/>
              <w:bottom w:val="single" w:sz="8" w:space="0" w:color="0399D2"/>
              <w:right w:val="single" w:sz="8" w:space="0" w:color="000000"/>
            </w:tcBorders>
            <w:shd w:val="clear" w:color="auto" w:fill="009ED8"/>
            <w:vAlign w:val="center"/>
          </w:tcPr>
          <w:p w14:paraId="4337FD07" w14:textId="77777777" w:rsidR="00EA6DED" w:rsidRDefault="007504AE">
            <w:pPr>
              <w:spacing w:before="60" w:after="60" w:line="360" w:lineRule="auto"/>
              <w:ind w:right="4"/>
              <w:jc w:val="center"/>
              <w:rPr>
                <w:rFonts w:eastAsia="Roboto"/>
                <w:b/>
                <w:bCs/>
                <w:color w:val="FFFFFF"/>
                <w:lang w:val="fr"/>
              </w:rPr>
            </w:pPr>
            <w:r>
              <w:rPr>
                <w:rFonts w:eastAsia="Roboto"/>
                <w:b/>
                <w:bCs/>
                <w:color w:val="FFFFFF"/>
                <w:lang w:val="fr"/>
              </w:rPr>
              <w:t>Délai de mise en œuvre</w:t>
            </w:r>
          </w:p>
        </w:tc>
      </w:tr>
      <w:tr w:rsidR="00EA6DED" w14:paraId="4337FD0E" w14:textId="77777777">
        <w:trPr>
          <w:trHeight w:val="315"/>
        </w:trPr>
        <w:tc>
          <w:tcPr>
            <w:tcW w:w="993" w:type="dxa"/>
            <w:vMerge/>
            <w:vAlign w:val="center"/>
          </w:tcPr>
          <w:p w14:paraId="4337FD09" w14:textId="77777777" w:rsidR="00EA6DED" w:rsidRDefault="00EA6DED"/>
        </w:tc>
        <w:tc>
          <w:tcPr>
            <w:tcW w:w="2469" w:type="dxa"/>
            <w:tcBorders>
              <w:top w:val="single" w:sz="8" w:space="0" w:color="0399D2"/>
              <w:left w:val="single" w:sz="4" w:space="0" w:color="auto"/>
              <w:bottom w:val="single" w:sz="8" w:space="0" w:color="0399D2"/>
              <w:right w:val="single" w:sz="8" w:space="0" w:color="0399D2"/>
            </w:tcBorders>
            <w:shd w:val="clear" w:color="auto" w:fill="009ED8"/>
            <w:vAlign w:val="center"/>
          </w:tcPr>
          <w:p w14:paraId="4337FD0A"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1</w:t>
            </w:r>
          </w:p>
        </w:tc>
        <w:tc>
          <w:tcPr>
            <w:tcW w:w="1407" w:type="dxa"/>
            <w:tcBorders>
              <w:top w:val="single" w:sz="8" w:space="0" w:color="0399D2"/>
              <w:left w:val="single" w:sz="8" w:space="0" w:color="0399D2"/>
              <w:bottom w:val="single" w:sz="8" w:space="0" w:color="0399D2"/>
              <w:right w:val="single" w:sz="8" w:space="0" w:color="0399D2"/>
            </w:tcBorders>
            <w:shd w:val="clear" w:color="auto" w:fill="009ED8"/>
            <w:vAlign w:val="center"/>
          </w:tcPr>
          <w:p w14:paraId="4337FD0B"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C1b</w:t>
            </w:r>
          </w:p>
        </w:tc>
        <w:tc>
          <w:tcPr>
            <w:tcW w:w="2114" w:type="dxa"/>
            <w:tcBorders>
              <w:top w:val="single" w:sz="8" w:space="0" w:color="0399D2"/>
              <w:left w:val="single" w:sz="8" w:space="0" w:color="0399D2"/>
              <w:bottom w:val="single" w:sz="8" w:space="0" w:color="0399D2"/>
              <w:right w:val="single" w:sz="8" w:space="0" w:color="0399D2"/>
            </w:tcBorders>
            <w:shd w:val="clear" w:color="auto" w:fill="009ED8"/>
            <w:vAlign w:val="center"/>
          </w:tcPr>
          <w:p w14:paraId="4337FD0C"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UNCT</w:t>
            </w:r>
          </w:p>
        </w:tc>
        <w:tc>
          <w:tcPr>
            <w:tcW w:w="3507" w:type="dxa"/>
            <w:tcBorders>
              <w:top w:val="single" w:sz="8" w:space="0" w:color="0399D2"/>
              <w:left w:val="single" w:sz="8" w:space="0" w:color="0399D2"/>
              <w:bottom w:val="single" w:sz="8" w:space="0" w:color="0399D2"/>
              <w:right w:val="single" w:sz="8" w:space="0" w:color="000000"/>
            </w:tcBorders>
            <w:shd w:val="clear" w:color="auto" w:fill="009ED8"/>
            <w:vAlign w:val="center"/>
          </w:tcPr>
          <w:p w14:paraId="4337FD0D"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Court terme</w:t>
            </w:r>
          </w:p>
        </w:tc>
      </w:tr>
      <w:tr w:rsidR="00EA6DED" w14:paraId="4337FD17" w14:textId="77777777">
        <w:trPr>
          <w:trHeight w:val="406"/>
        </w:trPr>
        <w:tc>
          <w:tcPr>
            <w:tcW w:w="993" w:type="dxa"/>
            <w:vMerge/>
            <w:vAlign w:val="center"/>
          </w:tcPr>
          <w:p w14:paraId="4337FD0F" w14:textId="77777777" w:rsidR="00EA6DED" w:rsidRDefault="00EA6DED"/>
        </w:tc>
        <w:tc>
          <w:tcPr>
            <w:tcW w:w="9497" w:type="dxa"/>
            <w:gridSpan w:val="4"/>
            <w:tcBorders>
              <w:top w:val="single" w:sz="8" w:space="0" w:color="0399D2"/>
              <w:left w:val="single" w:sz="4" w:space="0" w:color="auto"/>
              <w:bottom w:val="single" w:sz="8" w:space="0" w:color="000000"/>
              <w:right w:val="single" w:sz="8" w:space="0" w:color="000000"/>
            </w:tcBorders>
          </w:tcPr>
          <w:p w14:paraId="4337FD10" w14:textId="77777777" w:rsidR="00EA6DED" w:rsidRDefault="007504AE">
            <w:r>
              <w:t>Engager un dialogue politique stratégique structuré avec les partenaires nationaux pour un ancrage plus adéquat du prochain Cadre de Coopération aux priorités nationales et aux défis émergents en se concentrant sur l'intégration de solutions concrètes dans les domaines suivants :</w:t>
            </w:r>
          </w:p>
          <w:p w14:paraId="4337FD11" w14:textId="77777777" w:rsidR="00EA6DED" w:rsidRDefault="007504AE">
            <w:pPr>
              <w:pStyle w:val="Paragraphedeliste"/>
              <w:numPr>
                <w:ilvl w:val="0"/>
                <w:numId w:val="20"/>
              </w:numPr>
              <w:rPr>
                <w:rFonts w:eastAsia="Times New Roman"/>
              </w:rPr>
            </w:pPr>
            <w:r>
              <w:rPr>
                <w:rFonts w:eastAsia="Times New Roman"/>
              </w:rPr>
              <w:t>L’expertise de la diaspora et la mobilisation des ressources pour la transformation économique.</w:t>
            </w:r>
          </w:p>
          <w:p w14:paraId="4337FD12" w14:textId="77777777" w:rsidR="00EA6DED" w:rsidRDefault="007504AE">
            <w:pPr>
              <w:pStyle w:val="Paragraphedeliste"/>
              <w:numPr>
                <w:ilvl w:val="0"/>
                <w:numId w:val="20"/>
              </w:numPr>
              <w:rPr>
                <w:rFonts w:eastAsia="Times New Roman"/>
              </w:rPr>
            </w:pPr>
            <w:r>
              <w:rPr>
                <w:rFonts w:eastAsia="Times New Roman"/>
              </w:rPr>
              <w:t>L’accélération de la transition numérique et le développement de solutions technologiques innovantes</w:t>
            </w:r>
          </w:p>
          <w:p w14:paraId="4337FD13" w14:textId="77777777" w:rsidR="00EA6DED" w:rsidRDefault="007504AE">
            <w:pPr>
              <w:pStyle w:val="Paragraphedeliste"/>
              <w:numPr>
                <w:ilvl w:val="0"/>
                <w:numId w:val="20"/>
              </w:numPr>
              <w:rPr>
                <w:rFonts w:eastAsia="Times New Roman"/>
              </w:rPr>
            </w:pPr>
            <w:r>
              <w:rPr>
                <w:rFonts w:eastAsia="Times New Roman"/>
              </w:rPr>
              <w:t>Le soutien à la compétitivité et à l'attractivité du secteur privé, en vue de la création d'emplois durables.</w:t>
            </w:r>
          </w:p>
          <w:p w14:paraId="4337FD14" w14:textId="77777777" w:rsidR="00EA6DED" w:rsidRDefault="007504AE">
            <w:pPr>
              <w:pStyle w:val="Paragraphedeliste"/>
              <w:numPr>
                <w:ilvl w:val="0"/>
                <w:numId w:val="20"/>
              </w:numPr>
              <w:rPr>
                <w:rFonts w:eastAsia="Times New Roman"/>
              </w:rPr>
            </w:pPr>
            <w:r>
              <w:rPr>
                <w:rFonts w:eastAsia="Times New Roman"/>
              </w:rPr>
              <w:t>L’investissement ciblé dans les secteurs où le progrès des ODD est lent (analyse par "niche").</w:t>
            </w:r>
          </w:p>
          <w:p w14:paraId="4337FD15" w14:textId="77777777" w:rsidR="00EA6DED" w:rsidRDefault="007504AE">
            <w:pPr>
              <w:pStyle w:val="Paragraphedeliste"/>
              <w:numPr>
                <w:ilvl w:val="0"/>
                <w:numId w:val="20"/>
              </w:numPr>
              <w:rPr>
                <w:rFonts w:eastAsia="Times New Roman"/>
              </w:rPr>
            </w:pPr>
            <w:r>
              <w:rPr>
                <w:rFonts w:eastAsia="Times New Roman"/>
              </w:rPr>
              <w:t>Le développement de partenariats stratégiques et de services intégrés dans les zones de convergence ou les thématiques convergentes.</w:t>
            </w:r>
          </w:p>
          <w:p w14:paraId="4337FD16" w14:textId="77777777" w:rsidR="00EA6DED" w:rsidRDefault="007504AE">
            <w:pPr>
              <w:pStyle w:val="Paragraphedeliste"/>
              <w:numPr>
                <w:ilvl w:val="0"/>
                <w:numId w:val="20"/>
              </w:numPr>
              <w:rPr>
                <w:rFonts w:eastAsia="Times New Roman"/>
              </w:rPr>
            </w:pPr>
            <w:r>
              <w:rPr>
                <w:rFonts w:eastAsia="Times New Roman"/>
              </w:rPr>
              <w:t>La localisation des transitions clés et du Pacte mondial pour l'avenir pour les adapter au contexte camerounais.</w:t>
            </w:r>
          </w:p>
        </w:tc>
      </w:tr>
    </w:tbl>
    <w:p w14:paraId="4337FD18" w14:textId="77777777" w:rsidR="00EA6DED" w:rsidRDefault="00EA6DED">
      <w:pPr>
        <w:spacing w:line="360" w:lineRule="auto"/>
        <w:ind w:left="716" w:hanging="716"/>
        <w:rPr>
          <w:rFonts w:eastAsia="Roboto"/>
          <w:b/>
          <w:bCs/>
          <w:lang w:val="fr"/>
        </w:rPr>
      </w:pPr>
    </w:p>
    <w:tbl>
      <w:tblPr>
        <w:tblW w:w="104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69"/>
        <w:gridCol w:w="1407"/>
        <w:gridCol w:w="2114"/>
        <w:gridCol w:w="3507"/>
      </w:tblGrid>
      <w:tr w:rsidR="00EA6DED" w14:paraId="4337FD1E" w14:textId="77777777">
        <w:trPr>
          <w:trHeight w:val="315"/>
        </w:trPr>
        <w:tc>
          <w:tcPr>
            <w:tcW w:w="993" w:type="dxa"/>
            <w:vMerge w:val="restart"/>
            <w:tcBorders>
              <w:top w:val="single" w:sz="8" w:space="0" w:color="000000"/>
              <w:left w:val="single" w:sz="8" w:space="0" w:color="000000"/>
              <w:bottom w:val="single" w:sz="8" w:space="0" w:color="000000"/>
              <w:right w:val="single" w:sz="8" w:space="0" w:color="000000"/>
            </w:tcBorders>
            <w:shd w:val="clear" w:color="auto" w:fill="E7E6E6"/>
          </w:tcPr>
          <w:p w14:paraId="4337FD19" w14:textId="77777777" w:rsidR="00EA6DED" w:rsidRDefault="007504AE">
            <w:pPr>
              <w:spacing w:line="360" w:lineRule="auto"/>
              <w:ind w:left="115"/>
              <w:rPr>
                <w:rFonts w:eastAsia="Roboto"/>
                <w:b/>
                <w:bCs/>
                <w:color w:val="000000"/>
                <w:lang w:val="fr"/>
              </w:rPr>
            </w:pPr>
            <w:r>
              <w:rPr>
                <w:rFonts w:eastAsia="Roboto"/>
                <w:b/>
                <w:bCs/>
                <w:color w:val="000000"/>
                <w:lang w:val="fr"/>
              </w:rPr>
              <w:t>R03</w:t>
            </w:r>
          </w:p>
        </w:tc>
        <w:tc>
          <w:tcPr>
            <w:tcW w:w="2469" w:type="dxa"/>
            <w:tcBorders>
              <w:top w:val="single" w:sz="8" w:space="0" w:color="000000"/>
              <w:left w:val="single" w:sz="8" w:space="0" w:color="000000"/>
              <w:bottom w:val="nil"/>
              <w:right w:val="nil"/>
            </w:tcBorders>
            <w:shd w:val="clear" w:color="auto" w:fill="009ED8"/>
            <w:vAlign w:val="center"/>
          </w:tcPr>
          <w:p w14:paraId="4337FD1A" w14:textId="77777777" w:rsidR="00EA6DED" w:rsidRDefault="007504AE">
            <w:pPr>
              <w:spacing w:before="60" w:after="60" w:line="360" w:lineRule="auto"/>
              <w:ind w:right="62"/>
              <w:jc w:val="center"/>
              <w:rPr>
                <w:rFonts w:eastAsia="Roboto"/>
                <w:b/>
                <w:bCs/>
                <w:color w:val="FFFFFF"/>
                <w:lang w:val="fr"/>
              </w:rPr>
            </w:pPr>
            <w:r>
              <w:rPr>
                <w:rFonts w:eastAsia="Roboto"/>
                <w:b/>
                <w:bCs/>
                <w:color w:val="FFFFFF"/>
                <w:lang w:val="fr"/>
              </w:rPr>
              <w:t>Niveau de priorité</w:t>
            </w:r>
          </w:p>
        </w:tc>
        <w:tc>
          <w:tcPr>
            <w:tcW w:w="1407" w:type="dxa"/>
            <w:tcBorders>
              <w:top w:val="single" w:sz="8" w:space="0" w:color="000000"/>
              <w:left w:val="nil"/>
              <w:bottom w:val="nil"/>
              <w:right w:val="nil"/>
            </w:tcBorders>
            <w:shd w:val="clear" w:color="auto" w:fill="009ED8"/>
            <w:vAlign w:val="center"/>
          </w:tcPr>
          <w:p w14:paraId="4337FD1B"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Origine</w:t>
            </w:r>
          </w:p>
        </w:tc>
        <w:tc>
          <w:tcPr>
            <w:tcW w:w="2114" w:type="dxa"/>
            <w:tcBorders>
              <w:top w:val="single" w:sz="8" w:space="0" w:color="000000"/>
              <w:left w:val="nil"/>
              <w:bottom w:val="nil"/>
              <w:right w:val="nil"/>
            </w:tcBorders>
            <w:shd w:val="clear" w:color="auto" w:fill="009ED8"/>
            <w:vAlign w:val="center"/>
          </w:tcPr>
          <w:p w14:paraId="4337FD1C"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Responsable</w:t>
            </w:r>
          </w:p>
        </w:tc>
        <w:tc>
          <w:tcPr>
            <w:tcW w:w="3507" w:type="dxa"/>
            <w:tcBorders>
              <w:top w:val="single" w:sz="8" w:space="0" w:color="000000"/>
              <w:left w:val="nil"/>
              <w:bottom w:val="nil"/>
              <w:right w:val="single" w:sz="8" w:space="0" w:color="000000"/>
            </w:tcBorders>
            <w:shd w:val="clear" w:color="auto" w:fill="009ED8"/>
            <w:vAlign w:val="center"/>
          </w:tcPr>
          <w:p w14:paraId="4337FD1D" w14:textId="77777777" w:rsidR="00EA6DED" w:rsidRDefault="007504AE">
            <w:pPr>
              <w:spacing w:before="60" w:after="60" w:line="360" w:lineRule="auto"/>
              <w:ind w:right="4"/>
              <w:jc w:val="center"/>
              <w:rPr>
                <w:rFonts w:eastAsia="Roboto"/>
                <w:b/>
                <w:bCs/>
                <w:color w:val="FFFFFF"/>
                <w:lang w:val="fr"/>
              </w:rPr>
            </w:pPr>
            <w:r>
              <w:rPr>
                <w:rFonts w:eastAsia="Roboto"/>
                <w:b/>
                <w:bCs/>
                <w:color w:val="FFFFFF"/>
                <w:lang w:val="fr"/>
              </w:rPr>
              <w:t>Délai de mise en œuvre</w:t>
            </w:r>
          </w:p>
        </w:tc>
      </w:tr>
      <w:tr w:rsidR="00EA6DED" w14:paraId="4337FD24" w14:textId="77777777">
        <w:trPr>
          <w:trHeight w:val="315"/>
        </w:trPr>
        <w:tc>
          <w:tcPr>
            <w:tcW w:w="993" w:type="dxa"/>
            <w:vMerge/>
            <w:vAlign w:val="center"/>
          </w:tcPr>
          <w:p w14:paraId="4337FD1F" w14:textId="77777777" w:rsidR="00EA6DED" w:rsidRDefault="00EA6DED"/>
        </w:tc>
        <w:tc>
          <w:tcPr>
            <w:tcW w:w="2469" w:type="dxa"/>
            <w:tcBorders>
              <w:top w:val="nil"/>
              <w:left w:val="single" w:sz="2" w:space="0" w:color="000000"/>
              <w:bottom w:val="nil"/>
              <w:right w:val="nil"/>
            </w:tcBorders>
            <w:shd w:val="clear" w:color="auto" w:fill="009ED8"/>
            <w:vAlign w:val="center"/>
          </w:tcPr>
          <w:p w14:paraId="4337FD20"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2</w:t>
            </w:r>
          </w:p>
        </w:tc>
        <w:tc>
          <w:tcPr>
            <w:tcW w:w="1407" w:type="dxa"/>
            <w:tcBorders>
              <w:top w:val="nil"/>
              <w:left w:val="nil"/>
              <w:bottom w:val="nil"/>
              <w:right w:val="nil"/>
            </w:tcBorders>
            <w:shd w:val="clear" w:color="auto" w:fill="009ED8"/>
            <w:vAlign w:val="center"/>
          </w:tcPr>
          <w:p w14:paraId="4337FD21"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C2</w:t>
            </w:r>
          </w:p>
        </w:tc>
        <w:tc>
          <w:tcPr>
            <w:tcW w:w="2114" w:type="dxa"/>
            <w:tcBorders>
              <w:top w:val="nil"/>
              <w:left w:val="nil"/>
              <w:bottom w:val="nil"/>
              <w:right w:val="nil"/>
            </w:tcBorders>
            <w:shd w:val="clear" w:color="auto" w:fill="009ED8"/>
            <w:vAlign w:val="center"/>
          </w:tcPr>
          <w:p w14:paraId="4337FD22"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UNCT</w:t>
            </w:r>
          </w:p>
        </w:tc>
        <w:tc>
          <w:tcPr>
            <w:tcW w:w="3507" w:type="dxa"/>
            <w:tcBorders>
              <w:top w:val="nil"/>
              <w:left w:val="nil"/>
              <w:bottom w:val="nil"/>
              <w:right w:val="single" w:sz="8" w:space="0" w:color="000000"/>
            </w:tcBorders>
            <w:shd w:val="clear" w:color="auto" w:fill="009ED8"/>
            <w:vAlign w:val="center"/>
          </w:tcPr>
          <w:p w14:paraId="4337FD23"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Court terme</w:t>
            </w:r>
          </w:p>
        </w:tc>
      </w:tr>
      <w:tr w:rsidR="00EA6DED" w14:paraId="4337FD27" w14:textId="77777777">
        <w:trPr>
          <w:trHeight w:val="473"/>
        </w:trPr>
        <w:tc>
          <w:tcPr>
            <w:tcW w:w="993" w:type="dxa"/>
            <w:vMerge/>
            <w:vAlign w:val="center"/>
          </w:tcPr>
          <w:p w14:paraId="4337FD25" w14:textId="77777777" w:rsidR="00EA6DED" w:rsidRDefault="00EA6DED"/>
        </w:tc>
        <w:tc>
          <w:tcPr>
            <w:tcW w:w="9497" w:type="dxa"/>
            <w:gridSpan w:val="4"/>
            <w:tcBorders>
              <w:top w:val="nil"/>
              <w:left w:val="single" w:sz="2" w:space="0" w:color="000000"/>
              <w:bottom w:val="single" w:sz="8" w:space="0" w:color="000000"/>
              <w:right w:val="single" w:sz="8" w:space="0" w:color="000000"/>
            </w:tcBorders>
          </w:tcPr>
          <w:p w14:paraId="4337FD26" w14:textId="77777777" w:rsidR="00EA6DED" w:rsidRDefault="007504AE">
            <w:r>
              <w:t xml:space="preserve">Institutionnaliser des mécanismes d'adaptation continue du Plan Cadre de Coopération pour assurer que les programmes du SNU répondent de manière proactive aux défis et opportunités </w:t>
            </w:r>
            <w:r>
              <w:lastRenderedPageBreak/>
              <w:t xml:space="preserve">émergents. En plus de l’actualisation annuelle de l'Analyse Commune de Pays (ACP), ces mécanismes incluront une revue annuelle de la Théorie du Changement.  </w:t>
            </w:r>
          </w:p>
        </w:tc>
      </w:tr>
    </w:tbl>
    <w:p w14:paraId="4337FD28" w14:textId="77777777" w:rsidR="00EA6DED" w:rsidRDefault="00EA6DED">
      <w:pPr>
        <w:pStyle w:val="Titre2"/>
        <w:rPr>
          <w:color w:val="0000FF"/>
          <w:sz w:val="24"/>
          <w:szCs w:val="24"/>
        </w:rPr>
      </w:pPr>
    </w:p>
    <w:p w14:paraId="4337FD29" w14:textId="77777777" w:rsidR="00EA6DED" w:rsidRDefault="007504AE">
      <w:pPr>
        <w:pStyle w:val="Titre2"/>
        <w:rPr>
          <w:color w:val="0000FF"/>
          <w:sz w:val="24"/>
          <w:szCs w:val="24"/>
          <w:lang w:val="fr"/>
        </w:rPr>
      </w:pPr>
      <w:bookmarkStart w:id="155" w:name="_Toc29207"/>
      <w:r>
        <w:rPr>
          <w:color w:val="0000FF"/>
          <w:sz w:val="24"/>
          <w:szCs w:val="24"/>
        </w:rPr>
        <w:t>7</w:t>
      </w:r>
      <w:r>
        <w:rPr>
          <w:color w:val="0000FF"/>
          <w:sz w:val="24"/>
          <w:szCs w:val="24"/>
          <w:lang w:val="fr"/>
        </w:rPr>
        <w:t>.2</w:t>
      </w:r>
      <w:r>
        <w:rPr>
          <w:color w:val="0000FF"/>
          <w:sz w:val="24"/>
          <w:szCs w:val="24"/>
          <w:lang w:val="en-US"/>
        </w:rPr>
        <w:t xml:space="preserve">. </w:t>
      </w:r>
      <w:r>
        <w:rPr>
          <w:color w:val="0000FF"/>
          <w:sz w:val="24"/>
          <w:szCs w:val="24"/>
          <w:lang w:val="fr"/>
        </w:rPr>
        <w:t>Coordination / Cohérence</w:t>
      </w:r>
      <w:bookmarkEnd w:id="155"/>
      <w:r>
        <w:rPr>
          <w:color w:val="0000FF"/>
          <w:sz w:val="24"/>
          <w:szCs w:val="24"/>
          <w:lang w:val="fr"/>
        </w:rPr>
        <w:t xml:space="preserve"> </w:t>
      </w:r>
    </w:p>
    <w:tbl>
      <w:tblPr>
        <w:tblW w:w="104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611"/>
        <w:gridCol w:w="1407"/>
        <w:gridCol w:w="2114"/>
        <w:gridCol w:w="3507"/>
      </w:tblGrid>
      <w:tr w:rsidR="00EA6DED" w14:paraId="4337FD2F" w14:textId="77777777">
        <w:trPr>
          <w:trHeight w:val="300"/>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E7E6E6"/>
          </w:tcPr>
          <w:p w14:paraId="4337FD2A" w14:textId="77777777" w:rsidR="00EA6DED" w:rsidRDefault="007504AE">
            <w:pPr>
              <w:spacing w:line="360" w:lineRule="auto"/>
              <w:rPr>
                <w:rFonts w:eastAsia="Roboto"/>
                <w:b/>
                <w:bCs/>
                <w:color w:val="000000"/>
                <w:lang w:val="fr"/>
              </w:rPr>
            </w:pPr>
            <w:r>
              <w:rPr>
                <w:rFonts w:eastAsia="Roboto"/>
                <w:b/>
                <w:bCs/>
                <w:color w:val="000000"/>
                <w:lang w:val="fr"/>
              </w:rPr>
              <w:t>R04</w:t>
            </w:r>
          </w:p>
        </w:tc>
        <w:tc>
          <w:tcPr>
            <w:tcW w:w="2611" w:type="dxa"/>
            <w:tcBorders>
              <w:top w:val="single" w:sz="8" w:space="0" w:color="000000"/>
              <w:left w:val="single" w:sz="8" w:space="0" w:color="000000"/>
              <w:bottom w:val="single" w:sz="8" w:space="0" w:color="0399D2"/>
              <w:right w:val="single" w:sz="8" w:space="0" w:color="0399D2"/>
            </w:tcBorders>
            <w:shd w:val="clear" w:color="auto" w:fill="009ED8"/>
            <w:vAlign w:val="center"/>
          </w:tcPr>
          <w:p w14:paraId="4337FD2B" w14:textId="77777777" w:rsidR="00EA6DED" w:rsidRDefault="007504AE">
            <w:pPr>
              <w:spacing w:before="60" w:after="60" w:line="360" w:lineRule="auto"/>
              <w:ind w:right="62"/>
              <w:jc w:val="center"/>
              <w:rPr>
                <w:rFonts w:eastAsia="Roboto"/>
                <w:b/>
                <w:bCs/>
                <w:color w:val="FFFFFF"/>
                <w:lang w:val="fr"/>
              </w:rPr>
            </w:pPr>
            <w:r>
              <w:rPr>
                <w:rFonts w:eastAsia="Roboto"/>
                <w:b/>
                <w:bCs/>
                <w:color w:val="FFFFFF"/>
                <w:lang w:val="fr"/>
              </w:rPr>
              <w:t>Niveau de priorité</w:t>
            </w:r>
          </w:p>
        </w:tc>
        <w:tc>
          <w:tcPr>
            <w:tcW w:w="1407"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2C"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Origine</w:t>
            </w:r>
          </w:p>
        </w:tc>
        <w:tc>
          <w:tcPr>
            <w:tcW w:w="2114"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2D"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Responsable</w:t>
            </w:r>
          </w:p>
        </w:tc>
        <w:tc>
          <w:tcPr>
            <w:tcW w:w="3507" w:type="dxa"/>
            <w:tcBorders>
              <w:top w:val="single" w:sz="8" w:space="0" w:color="000000"/>
              <w:left w:val="single" w:sz="8" w:space="0" w:color="0399D2"/>
              <w:bottom w:val="single" w:sz="8" w:space="0" w:color="0399D2"/>
              <w:right w:val="single" w:sz="8" w:space="0" w:color="000000"/>
            </w:tcBorders>
            <w:shd w:val="clear" w:color="auto" w:fill="009ED8"/>
            <w:vAlign w:val="center"/>
          </w:tcPr>
          <w:p w14:paraId="4337FD2E" w14:textId="77777777" w:rsidR="00EA6DED" w:rsidRDefault="007504AE">
            <w:pPr>
              <w:spacing w:before="60" w:after="60" w:line="360" w:lineRule="auto"/>
              <w:ind w:right="4"/>
              <w:jc w:val="center"/>
              <w:rPr>
                <w:rFonts w:eastAsia="Roboto"/>
                <w:b/>
                <w:bCs/>
                <w:color w:val="FFFFFF"/>
                <w:lang w:val="fr"/>
              </w:rPr>
            </w:pPr>
            <w:r>
              <w:rPr>
                <w:rFonts w:eastAsia="Roboto"/>
                <w:b/>
                <w:bCs/>
                <w:color w:val="FFFFFF"/>
                <w:lang w:val="fr"/>
              </w:rPr>
              <w:t>Délai de mise en œuvre</w:t>
            </w:r>
          </w:p>
        </w:tc>
      </w:tr>
      <w:tr w:rsidR="00EA6DED" w14:paraId="4337FD35" w14:textId="77777777">
        <w:trPr>
          <w:trHeight w:val="300"/>
        </w:trPr>
        <w:tc>
          <w:tcPr>
            <w:tcW w:w="851" w:type="dxa"/>
            <w:vMerge/>
            <w:vAlign w:val="center"/>
          </w:tcPr>
          <w:p w14:paraId="4337FD30" w14:textId="77777777" w:rsidR="00EA6DED" w:rsidRDefault="00EA6DED"/>
        </w:tc>
        <w:tc>
          <w:tcPr>
            <w:tcW w:w="2611" w:type="dxa"/>
            <w:tcBorders>
              <w:top w:val="single" w:sz="8" w:space="0" w:color="0399D2"/>
              <w:left w:val="nil"/>
              <w:bottom w:val="single" w:sz="8" w:space="0" w:color="000000"/>
              <w:right w:val="single" w:sz="8" w:space="0" w:color="0399D2"/>
            </w:tcBorders>
            <w:shd w:val="clear" w:color="auto" w:fill="009ED8"/>
            <w:vAlign w:val="center"/>
          </w:tcPr>
          <w:p w14:paraId="4337FD31"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2</w:t>
            </w:r>
          </w:p>
        </w:tc>
        <w:tc>
          <w:tcPr>
            <w:tcW w:w="1407"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32"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C5a</w:t>
            </w:r>
          </w:p>
        </w:tc>
        <w:tc>
          <w:tcPr>
            <w:tcW w:w="2114"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33"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UNCT</w:t>
            </w:r>
          </w:p>
        </w:tc>
        <w:tc>
          <w:tcPr>
            <w:tcW w:w="3507" w:type="dxa"/>
            <w:tcBorders>
              <w:top w:val="single" w:sz="8" w:space="0" w:color="0399D2"/>
              <w:left w:val="single" w:sz="8" w:space="0" w:color="0399D2"/>
              <w:bottom w:val="single" w:sz="8" w:space="0" w:color="000000"/>
              <w:right w:val="single" w:sz="8" w:space="0" w:color="000000"/>
            </w:tcBorders>
            <w:shd w:val="clear" w:color="auto" w:fill="009ED8"/>
            <w:vAlign w:val="center"/>
          </w:tcPr>
          <w:p w14:paraId="4337FD34"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Moyen terme</w:t>
            </w:r>
          </w:p>
        </w:tc>
      </w:tr>
      <w:tr w:rsidR="00EA6DED" w14:paraId="4337FD39" w14:textId="77777777">
        <w:trPr>
          <w:trHeight w:val="300"/>
        </w:trPr>
        <w:tc>
          <w:tcPr>
            <w:tcW w:w="851" w:type="dxa"/>
            <w:vMerge/>
            <w:vAlign w:val="center"/>
          </w:tcPr>
          <w:p w14:paraId="4337FD36" w14:textId="77777777" w:rsidR="00EA6DED" w:rsidRDefault="00EA6DED"/>
        </w:tc>
        <w:tc>
          <w:tcPr>
            <w:tcW w:w="9639" w:type="dxa"/>
            <w:gridSpan w:val="4"/>
            <w:tcBorders>
              <w:top w:val="single" w:sz="8" w:space="0" w:color="000000"/>
              <w:left w:val="nil"/>
              <w:bottom w:val="single" w:sz="8" w:space="0" w:color="000000"/>
              <w:right w:val="single" w:sz="8" w:space="0" w:color="000000"/>
            </w:tcBorders>
          </w:tcPr>
          <w:p w14:paraId="4337FD37" w14:textId="77777777" w:rsidR="00EA6DED" w:rsidRDefault="007504AE">
            <w:r>
              <w:t xml:space="preserve">Instaurer des mécanismes au sein de l’Équipe-pays pour (i) amener les Chefs d’agences à engager et motiver activement leurs équipes dans les activités conjointes, (ii) assurer le respect systématique des engagements mutuels du Management Accountability Framework (MAF), et (iii) diffuser et faciliter l’appropriation du Companion Package 2020 sur la planification conjointe dans toutes les agences </w:t>
            </w:r>
          </w:p>
          <w:p w14:paraId="4337FD38" w14:textId="77777777" w:rsidR="00EA6DED" w:rsidRDefault="00EA6DED">
            <w:pPr>
              <w:jc w:val="both"/>
              <w:rPr>
                <w:rFonts w:eastAsia="DengXian"/>
                <w:bCs/>
              </w:rPr>
            </w:pPr>
          </w:p>
        </w:tc>
      </w:tr>
    </w:tbl>
    <w:p w14:paraId="4337FD3A" w14:textId="77777777" w:rsidR="00EA6DED" w:rsidRDefault="00EA6DED">
      <w:pPr>
        <w:tabs>
          <w:tab w:val="left" w:pos="284"/>
        </w:tabs>
        <w:rPr>
          <w:lang w:val="fr"/>
        </w:rPr>
      </w:pPr>
    </w:p>
    <w:tbl>
      <w:tblPr>
        <w:tblW w:w="104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611"/>
        <w:gridCol w:w="1407"/>
        <w:gridCol w:w="2114"/>
        <w:gridCol w:w="3507"/>
      </w:tblGrid>
      <w:tr w:rsidR="00EA6DED" w14:paraId="4337FD40" w14:textId="77777777">
        <w:trPr>
          <w:trHeight w:val="300"/>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E7E6E6"/>
          </w:tcPr>
          <w:p w14:paraId="4337FD3B" w14:textId="77777777" w:rsidR="00EA6DED" w:rsidRDefault="007504AE">
            <w:pPr>
              <w:spacing w:line="360" w:lineRule="auto"/>
              <w:ind w:left="115"/>
              <w:rPr>
                <w:rFonts w:eastAsia="Roboto"/>
                <w:b/>
                <w:bCs/>
                <w:color w:val="000000"/>
                <w:lang w:val="fr"/>
              </w:rPr>
            </w:pPr>
            <w:r>
              <w:rPr>
                <w:rFonts w:eastAsia="Roboto"/>
                <w:b/>
                <w:bCs/>
                <w:color w:val="000000"/>
                <w:lang w:val="fr"/>
              </w:rPr>
              <w:t>R05</w:t>
            </w:r>
          </w:p>
        </w:tc>
        <w:tc>
          <w:tcPr>
            <w:tcW w:w="2611" w:type="dxa"/>
            <w:tcBorders>
              <w:top w:val="single" w:sz="8" w:space="0" w:color="000000"/>
              <w:left w:val="single" w:sz="8" w:space="0" w:color="000000"/>
              <w:bottom w:val="single" w:sz="8" w:space="0" w:color="0399D2"/>
              <w:right w:val="single" w:sz="8" w:space="0" w:color="0399D2"/>
            </w:tcBorders>
            <w:shd w:val="clear" w:color="auto" w:fill="009ED8"/>
            <w:vAlign w:val="center"/>
          </w:tcPr>
          <w:p w14:paraId="4337FD3C" w14:textId="77777777" w:rsidR="00EA6DED" w:rsidRDefault="007504AE">
            <w:pPr>
              <w:spacing w:before="60" w:after="60" w:line="360" w:lineRule="auto"/>
              <w:ind w:right="62"/>
              <w:jc w:val="center"/>
              <w:rPr>
                <w:rFonts w:eastAsia="Roboto"/>
                <w:b/>
                <w:bCs/>
                <w:color w:val="FFFFFF"/>
                <w:lang w:val="fr"/>
              </w:rPr>
            </w:pPr>
            <w:r>
              <w:rPr>
                <w:rFonts w:eastAsia="Roboto"/>
                <w:b/>
                <w:bCs/>
                <w:color w:val="FFFFFF"/>
                <w:lang w:val="fr"/>
              </w:rPr>
              <w:t>Niveau de priorité</w:t>
            </w:r>
          </w:p>
        </w:tc>
        <w:tc>
          <w:tcPr>
            <w:tcW w:w="1407"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3D"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Origine</w:t>
            </w:r>
          </w:p>
        </w:tc>
        <w:tc>
          <w:tcPr>
            <w:tcW w:w="2114"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3E"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Responsable</w:t>
            </w:r>
          </w:p>
        </w:tc>
        <w:tc>
          <w:tcPr>
            <w:tcW w:w="3507" w:type="dxa"/>
            <w:tcBorders>
              <w:top w:val="single" w:sz="8" w:space="0" w:color="000000"/>
              <w:left w:val="single" w:sz="8" w:space="0" w:color="0399D2"/>
              <w:bottom w:val="single" w:sz="8" w:space="0" w:color="0399D2"/>
              <w:right w:val="single" w:sz="8" w:space="0" w:color="000000"/>
            </w:tcBorders>
            <w:shd w:val="clear" w:color="auto" w:fill="009ED8"/>
            <w:vAlign w:val="center"/>
          </w:tcPr>
          <w:p w14:paraId="4337FD3F" w14:textId="77777777" w:rsidR="00EA6DED" w:rsidRDefault="007504AE">
            <w:pPr>
              <w:spacing w:before="60" w:after="60" w:line="360" w:lineRule="auto"/>
              <w:ind w:right="4"/>
              <w:jc w:val="center"/>
              <w:rPr>
                <w:rFonts w:eastAsia="Roboto"/>
                <w:b/>
                <w:bCs/>
                <w:color w:val="FFFFFF"/>
                <w:lang w:val="fr"/>
              </w:rPr>
            </w:pPr>
            <w:r>
              <w:rPr>
                <w:rFonts w:eastAsia="Roboto"/>
                <w:b/>
                <w:bCs/>
                <w:color w:val="FFFFFF"/>
                <w:lang w:val="fr"/>
              </w:rPr>
              <w:t>Délai de mise en œuvre</w:t>
            </w:r>
          </w:p>
        </w:tc>
      </w:tr>
      <w:tr w:rsidR="00EA6DED" w14:paraId="4337FD46" w14:textId="77777777">
        <w:trPr>
          <w:trHeight w:val="300"/>
        </w:trPr>
        <w:tc>
          <w:tcPr>
            <w:tcW w:w="851" w:type="dxa"/>
            <w:vMerge/>
            <w:vAlign w:val="center"/>
          </w:tcPr>
          <w:p w14:paraId="4337FD41" w14:textId="77777777" w:rsidR="00EA6DED" w:rsidRDefault="00EA6DED"/>
        </w:tc>
        <w:tc>
          <w:tcPr>
            <w:tcW w:w="2611" w:type="dxa"/>
            <w:tcBorders>
              <w:top w:val="single" w:sz="8" w:space="0" w:color="0399D2"/>
              <w:left w:val="nil"/>
              <w:bottom w:val="single" w:sz="8" w:space="0" w:color="000000"/>
              <w:right w:val="single" w:sz="8" w:space="0" w:color="0399D2"/>
            </w:tcBorders>
            <w:shd w:val="clear" w:color="auto" w:fill="009ED8"/>
            <w:vAlign w:val="center"/>
          </w:tcPr>
          <w:p w14:paraId="4337FD42"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3</w:t>
            </w:r>
          </w:p>
        </w:tc>
        <w:tc>
          <w:tcPr>
            <w:tcW w:w="1407"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43"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C5b</w:t>
            </w:r>
          </w:p>
        </w:tc>
        <w:tc>
          <w:tcPr>
            <w:tcW w:w="2114"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44"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UNCT</w:t>
            </w:r>
          </w:p>
        </w:tc>
        <w:tc>
          <w:tcPr>
            <w:tcW w:w="3507" w:type="dxa"/>
            <w:tcBorders>
              <w:top w:val="single" w:sz="8" w:space="0" w:color="0399D2"/>
              <w:left w:val="single" w:sz="8" w:space="0" w:color="0399D2"/>
              <w:bottom w:val="single" w:sz="8" w:space="0" w:color="000000"/>
              <w:right w:val="single" w:sz="8" w:space="0" w:color="000000"/>
            </w:tcBorders>
            <w:shd w:val="clear" w:color="auto" w:fill="009ED8"/>
            <w:vAlign w:val="center"/>
          </w:tcPr>
          <w:p w14:paraId="4337FD45"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Court terme</w:t>
            </w:r>
          </w:p>
        </w:tc>
      </w:tr>
      <w:tr w:rsidR="00EA6DED" w14:paraId="4337FD49" w14:textId="77777777">
        <w:trPr>
          <w:trHeight w:val="300"/>
        </w:trPr>
        <w:tc>
          <w:tcPr>
            <w:tcW w:w="851" w:type="dxa"/>
            <w:vMerge/>
            <w:vAlign w:val="center"/>
          </w:tcPr>
          <w:p w14:paraId="4337FD47" w14:textId="77777777" w:rsidR="00EA6DED" w:rsidRDefault="00EA6DED"/>
        </w:tc>
        <w:tc>
          <w:tcPr>
            <w:tcW w:w="9639" w:type="dxa"/>
            <w:gridSpan w:val="4"/>
            <w:tcBorders>
              <w:top w:val="single" w:sz="8" w:space="0" w:color="000000"/>
              <w:left w:val="nil"/>
              <w:bottom w:val="single" w:sz="8" w:space="0" w:color="000000"/>
              <w:right w:val="single" w:sz="8" w:space="0" w:color="000000"/>
            </w:tcBorders>
          </w:tcPr>
          <w:p w14:paraId="4337FD48" w14:textId="77777777" w:rsidR="00EA6DED" w:rsidRDefault="007504AE">
            <w:pPr>
              <w:spacing w:line="276" w:lineRule="auto"/>
              <w:ind w:right="103"/>
              <w:jc w:val="both"/>
              <w:rPr>
                <w:rFonts w:eastAsia="Roboto"/>
                <w:lang w:val="fr"/>
              </w:rPr>
            </w:pPr>
            <w:r>
              <w:t>Mener un plaidoyer actif auprès des institutions nationales pour une meilleure participation de la partie nationale dans les organes de gouvernance du Cadre de Coopération (UNSDCF) le cas échéant en formalisation systématiquement la désignation des points focaux sectoriels</w:t>
            </w:r>
          </w:p>
        </w:tc>
      </w:tr>
    </w:tbl>
    <w:p w14:paraId="4337FD4A" w14:textId="77777777" w:rsidR="00EA6DED" w:rsidRDefault="00EA6DED">
      <w:pPr>
        <w:tabs>
          <w:tab w:val="left" w:pos="284"/>
        </w:tabs>
      </w:pPr>
    </w:p>
    <w:tbl>
      <w:tblPr>
        <w:tblW w:w="104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611"/>
        <w:gridCol w:w="1407"/>
        <w:gridCol w:w="2114"/>
        <w:gridCol w:w="3507"/>
      </w:tblGrid>
      <w:tr w:rsidR="00EA6DED" w14:paraId="4337FD50" w14:textId="77777777">
        <w:trPr>
          <w:trHeight w:val="300"/>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E7E6E6"/>
          </w:tcPr>
          <w:p w14:paraId="4337FD4B" w14:textId="77777777" w:rsidR="00EA6DED" w:rsidRDefault="007504AE">
            <w:pPr>
              <w:spacing w:line="360" w:lineRule="auto"/>
              <w:ind w:left="115"/>
              <w:rPr>
                <w:rFonts w:eastAsia="Roboto"/>
                <w:b/>
                <w:bCs/>
                <w:color w:val="000000"/>
                <w:lang w:val="fr"/>
              </w:rPr>
            </w:pPr>
            <w:r>
              <w:rPr>
                <w:rFonts w:eastAsia="Roboto"/>
                <w:b/>
                <w:bCs/>
                <w:color w:val="000000"/>
                <w:lang w:val="fr"/>
              </w:rPr>
              <w:t>R06</w:t>
            </w:r>
          </w:p>
        </w:tc>
        <w:tc>
          <w:tcPr>
            <w:tcW w:w="2611" w:type="dxa"/>
            <w:tcBorders>
              <w:top w:val="single" w:sz="8" w:space="0" w:color="000000"/>
              <w:left w:val="single" w:sz="8" w:space="0" w:color="000000"/>
              <w:bottom w:val="single" w:sz="8" w:space="0" w:color="0399D2"/>
              <w:right w:val="single" w:sz="8" w:space="0" w:color="0399D2"/>
            </w:tcBorders>
            <w:shd w:val="clear" w:color="auto" w:fill="009ED8"/>
            <w:vAlign w:val="center"/>
          </w:tcPr>
          <w:p w14:paraId="4337FD4C" w14:textId="77777777" w:rsidR="00EA6DED" w:rsidRDefault="007504AE">
            <w:pPr>
              <w:ind w:right="62"/>
              <w:contextualSpacing/>
              <w:jc w:val="center"/>
              <w:rPr>
                <w:rFonts w:eastAsia="Roboto"/>
                <w:b/>
                <w:bCs/>
                <w:color w:val="FFFFFF"/>
                <w:lang w:val="fr"/>
              </w:rPr>
            </w:pPr>
            <w:r>
              <w:rPr>
                <w:rFonts w:eastAsia="Roboto"/>
                <w:b/>
                <w:bCs/>
                <w:color w:val="FFFFFF"/>
                <w:lang w:val="fr"/>
              </w:rPr>
              <w:t>Niveau de priorité</w:t>
            </w:r>
          </w:p>
        </w:tc>
        <w:tc>
          <w:tcPr>
            <w:tcW w:w="1407"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4D" w14:textId="77777777" w:rsidR="00EA6DED" w:rsidRDefault="007504AE">
            <w:pPr>
              <w:contextualSpacing/>
              <w:jc w:val="center"/>
              <w:rPr>
                <w:rFonts w:eastAsia="Roboto"/>
                <w:b/>
                <w:bCs/>
                <w:color w:val="FFFFFF"/>
                <w:lang w:val="fr"/>
              </w:rPr>
            </w:pPr>
            <w:r>
              <w:rPr>
                <w:rFonts w:eastAsia="Roboto"/>
                <w:b/>
                <w:bCs/>
                <w:color w:val="FFFFFF"/>
                <w:lang w:val="fr"/>
              </w:rPr>
              <w:t>Origine</w:t>
            </w:r>
          </w:p>
        </w:tc>
        <w:tc>
          <w:tcPr>
            <w:tcW w:w="2114" w:type="dxa"/>
            <w:tcBorders>
              <w:top w:val="single" w:sz="8" w:space="0" w:color="000000"/>
              <w:left w:val="single" w:sz="8" w:space="0" w:color="0399D2"/>
              <w:bottom w:val="nil"/>
              <w:right w:val="single" w:sz="8" w:space="0" w:color="0399D2"/>
            </w:tcBorders>
            <w:shd w:val="clear" w:color="auto" w:fill="009ED8"/>
            <w:vAlign w:val="center"/>
          </w:tcPr>
          <w:p w14:paraId="4337FD4E" w14:textId="77777777" w:rsidR="00EA6DED" w:rsidRDefault="007504AE">
            <w:pPr>
              <w:contextualSpacing/>
              <w:jc w:val="center"/>
              <w:rPr>
                <w:rFonts w:eastAsia="Roboto"/>
                <w:b/>
                <w:bCs/>
                <w:color w:val="FFFFFF"/>
                <w:lang w:val="fr"/>
              </w:rPr>
            </w:pPr>
            <w:r>
              <w:rPr>
                <w:rFonts w:eastAsia="Roboto"/>
                <w:b/>
                <w:bCs/>
                <w:color w:val="FFFFFF"/>
                <w:lang w:val="fr"/>
              </w:rPr>
              <w:t>Responsable</w:t>
            </w:r>
          </w:p>
        </w:tc>
        <w:tc>
          <w:tcPr>
            <w:tcW w:w="3507" w:type="dxa"/>
            <w:tcBorders>
              <w:top w:val="single" w:sz="8" w:space="0" w:color="000000"/>
              <w:left w:val="single" w:sz="8" w:space="0" w:color="0399D2"/>
              <w:bottom w:val="single" w:sz="8" w:space="0" w:color="0399D2"/>
              <w:right w:val="single" w:sz="8" w:space="0" w:color="000000"/>
            </w:tcBorders>
            <w:shd w:val="clear" w:color="auto" w:fill="009ED8"/>
            <w:vAlign w:val="center"/>
          </w:tcPr>
          <w:p w14:paraId="4337FD4F" w14:textId="77777777" w:rsidR="00EA6DED" w:rsidRDefault="007504AE">
            <w:pPr>
              <w:ind w:right="4"/>
              <w:contextualSpacing/>
              <w:jc w:val="center"/>
              <w:rPr>
                <w:rFonts w:eastAsia="Roboto"/>
                <w:b/>
                <w:bCs/>
                <w:color w:val="FFFFFF"/>
                <w:lang w:val="fr"/>
              </w:rPr>
            </w:pPr>
            <w:r>
              <w:rPr>
                <w:rFonts w:eastAsia="Roboto"/>
                <w:b/>
                <w:bCs/>
                <w:color w:val="FFFFFF"/>
                <w:lang w:val="fr"/>
              </w:rPr>
              <w:t>Délai de mise en œuvre</w:t>
            </w:r>
          </w:p>
        </w:tc>
      </w:tr>
      <w:tr w:rsidR="00EA6DED" w14:paraId="4337FD57" w14:textId="77777777">
        <w:trPr>
          <w:trHeight w:val="300"/>
        </w:trPr>
        <w:tc>
          <w:tcPr>
            <w:tcW w:w="851" w:type="dxa"/>
            <w:vMerge/>
            <w:vAlign w:val="center"/>
          </w:tcPr>
          <w:p w14:paraId="4337FD51" w14:textId="77777777" w:rsidR="00EA6DED" w:rsidRDefault="00EA6DED"/>
        </w:tc>
        <w:tc>
          <w:tcPr>
            <w:tcW w:w="2611" w:type="dxa"/>
            <w:tcBorders>
              <w:top w:val="single" w:sz="8" w:space="0" w:color="0399D2"/>
              <w:left w:val="nil"/>
              <w:bottom w:val="single" w:sz="8" w:space="0" w:color="000000"/>
              <w:right w:val="single" w:sz="8" w:space="0" w:color="0399D2"/>
            </w:tcBorders>
            <w:shd w:val="clear" w:color="auto" w:fill="009ED8"/>
            <w:vAlign w:val="center"/>
          </w:tcPr>
          <w:p w14:paraId="4337FD52" w14:textId="77777777" w:rsidR="00EA6DED" w:rsidRDefault="007504AE">
            <w:pPr>
              <w:ind w:right="62"/>
              <w:contextualSpacing/>
              <w:jc w:val="center"/>
              <w:rPr>
                <w:rFonts w:eastAsia="Roboto"/>
                <w:color w:val="FFFFFF"/>
                <w:lang w:val="fr"/>
              </w:rPr>
            </w:pPr>
            <w:r>
              <w:rPr>
                <w:rFonts w:eastAsia="Roboto"/>
                <w:color w:val="FFFFFF"/>
                <w:lang w:val="fr"/>
              </w:rPr>
              <w:t>1</w:t>
            </w:r>
          </w:p>
        </w:tc>
        <w:tc>
          <w:tcPr>
            <w:tcW w:w="1407" w:type="dxa"/>
            <w:tcBorders>
              <w:top w:val="single" w:sz="8" w:space="0" w:color="0399D2"/>
              <w:left w:val="single" w:sz="8" w:space="0" w:color="0399D2"/>
              <w:bottom w:val="single" w:sz="8" w:space="0" w:color="000000"/>
              <w:right w:val="nil"/>
            </w:tcBorders>
            <w:shd w:val="clear" w:color="auto" w:fill="009ED8"/>
            <w:vAlign w:val="center"/>
          </w:tcPr>
          <w:p w14:paraId="4337FD53" w14:textId="77777777" w:rsidR="00EA6DED" w:rsidRDefault="007504AE">
            <w:pPr>
              <w:ind w:right="62"/>
              <w:contextualSpacing/>
              <w:jc w:val="center"/>
              <w:rPr>
                <w:rFonts w:eastAsia="Roboto"/>
                <w:color w:val="FFFFFF"/>
                <w:lang w:val="fr"/>
              </w:rPr>
            </w:pPr>
            <w:r>
              <w:rPr>
                <w:rFonts w:eastAsia="Roboto"/>
                <w:color w:val="FFFFFF"/>
                <w:lang w:val="fr"/>
              </w:rPr>
              <w:t>C5c</w:t>
            </w:r>
          </w:p>
        </w:tc>
        <w:tc>
          <w:tcPr>
            <w:tcW w:w="2114" w:type="dxa"/>
            <w:tcBorders>
              <w:top w:val="nil"/>
              <w:left w:val="nil"/>
              <w:bottom w:val="nil"/>
              <w:right w:val="nil"/>
            </w:tcBorders>
            <w:shd w:val="clear" w:color="auto" w:fill="009ED8"/>
            <w:vAlign w:val="center"/>
          </w:tcPr>
          <w:p w14:paraId="4337FD54" w14:textId="77777777" w:rsidR="00EA6DED" w:rsidRDefault="007504AE">
            <w:pPr>
              <w:ind w:right="62"/>
              <w:contextualSpacing/>
              <w:jc w:val="center"/>
              <w:rPr>
                <w:rFonts w:eastAsia="Roboto"/>
                <w:color w:val="FFFFFF"/>
                <w:lang w:val="fr"/>
              </w:rPr>
            </w:pPr>
            <w:r>
              <w:rPr>
                <w:rFonts w:eastAsia="Roboto"/>
                <w:color w:val="FFFFFF"/>
                <w:lang w:val="fr"/>
              </w:rPr>
              <w:t>BCR</w:t>
            </w:r>
          </w:p>
          <w:p w14:paraId="4337FD55" w14:textId="77777777" w:rsidR="00EA6DED" w:rsidRDefault="00EA6DED">
            <w:pPr>
              <w:ind w:right="62"/>
              <w:contextualSpacing/>
              <w:jc w:val="center"/>
              <w:rPr>
                <w:rFonts w:eastAsia="Roboto"/>
                <w:color w:val="FFFFFF"/>
                <w:lang w:val="fr"/>
              </w:rPr>
            </w:pPr>
          </w:p>
        </w:tc>
        <w:tc>
          <w:tcPr>
            <w:tcW w:w="3507" w:type="dxa"/>
            <w:tcBorders>
              <w:top w:val="single" w:sz="8" w:space="0" w:color="0399D2"/>
              <w:left w:val="nil"/>
              <w:bottom w:val="single" w:sz="8" w:space="0" w:color="000000"/>
              <w:right w:val="single" w:sz="8" w:space="0" w:color="000000"/>
            </w:tcBorders>
            <w:shd w:val="clear" w:color="auto" w:fill="009ED8"/>
            <w:vAlign w:val="center"/>
          </w:tcPr>
          <w:p w14:paraId="4337FD56" w14:textId="77777777" w:rsidR="00EA6DED" w:rsidRDefault="007504AE">
            <w:pPr>
              <w:ind w:right="62"/>
              <w:contextualSpacing/>
              <w:jc w:val="center"/>
              <w:rPr>
                <w:rFonts w:eastAsia="Roboto"/>
                <w:color w:val="FFFFFF"/>
                <w:lang w:val="fr"/>
              </w:rPr>
            </w:pPr>
            <w:r>
              <w:rPr>
                <w:rFonts w:eastAsia="Roboto"/>
                <w:color w:val="FFFFFF"/>
                <w:lang w:val="fr"/>
              </w:rPr>
              <w:t>Court terme</w:t>
            </w:r>
          </w:p>
        </w:tc>
      </w:tr>
      <w:tr w:rsidR="00EA6DED" w14:paraId="4337FD5A" w14:textId="77777777">
        <w:trPr>
          <w:trHeight w:val="300"/>
        </w:trPr>
        <w:tc>
          <w:tcPr>
            <w:tcW w:w="851" w:type="dxa"/>
            <w:vMerge/>
            <w:vAlign w:val="center"/>
          </w:tcPr>
          <w:p w14:paraId="4337FD58" w14:textId="77777777" w:rsidR="00EA6DED" w:rsidRDefault="00EA6DED"/>
        </w:tc>
        <w:tc>
          <w:tcPr>
            <w:tcW w:w="9639" w:type="dxa"/>
            <w:gridSpan w:val="4"/>
            <w:tcBorders>
              <w:top w:val="single" w:sz="8" w:space="0" w:color="000000"/>
              <w:left w:val="nil"/>
              <w:bottom w:val="single" w:sz="8" w:space="0" w:color="000000"/>
              <w:right w:val="single" w:sz="8" w:space="0" w:color="000000"/>
            </w:tcBorders>
          </w:tcPr>
          <w:p w14:paraId="4337FD59" w14:textId="77777777" w:rsidR="00EA6DED" w:rsidRDefault="007504AE">
            <w:pPr>
              <w:spacing w:line="276" w:lineRule="auto"/>
              <w:ind w:right="103"/>
              <w:jc w:val="both"/>
              <w:rPr>
                <w:rFonts w:eastAsia="Roboto"/>
              </w:rPr>
            </w:pPr>
            <w:r>
              <w:t>Renforcer le plaidoyer, en s’appuyant sur l’influence diplomatique et stratégique du SNU, afin de soutenir le Gouvernement dans la formalisation et le fonctionnement du COPIL</w:t>
            </w:r>
          </w:p>
        </w:tc>
      </w:tr>
    </w:tbl>
    <w:p w14:paraId="4337FD5B" w14:textId="77777777" w:rsidR="00EA6DED" w:rsidRDefault="00EA6DED">
      <w:pPr>
        <w:pStyle w:val="Titre2"/>
        <w:rPr>
          <w:color w:val="0000FF"/>
          <w:sz w:val="24"/>
          <w:szCs w:val="24"/>
        </w:rPr>
      </w:pPr>
    </w:p>
    <w:p w14:paraId="4337FD5C" w14:textId="77777777" w:rsidR="00EA6DED" w:rsidRDefault="007504AE">
      <w:pPr>
        <w:pStyle w:val="Titre2"/>
        <w:rPr>
          <w:color w:val="0000FF"/>
          <w:sz w:val="24"/>
          <w:szCs w:val="24"/>
          <w:lang w:val="fr"/>
        </w:rPr>
      </w:pPr>
      <w:bookmarkStart w:id="156" w:name="_Toc30775"/>
      <w:r>
        <w:rPr>
          <w:color w:val="0000FF"/>
          <w:sz w:val="24"/>
          <w:szCs w:val="24"/>
        </w:rPr>
        <w:t>7</w:t>
      </w:r>
      <w:r>
        <w:rPr>
          <w:color w:val="0000FF"/>
          <w:sz w:val="24"/>
          <w:szCs w:val="24"/>
          <w:lang w:val="fr"/>
        </w:rPr>
        <w:t>.3</w:t>
      </w:r>
      <w:r>
        <w:rPr>
          <w:color w:val="0000FF"/>
          <w:sz w:val="24"/>
          <w:szCs w:val="24"/>
          <w:lang w:val="en-US"/>
        </w:rPr>
        <w:t xml:space="preserve">. </w:t>
      </w:r>
      <w:r>
        <w:rPr>
          <w:color w:val="0000FF"/>
          <w:sz w:val="24"/>
          <w:szCs w:val="24"/>
          <w:lang w:val="fr"/>
        </w:rPr>
        <w:t>Efficacité</w:t>
      </w:r>
      <w:bookmarkEnd w:id="156"/>
    </w:p>
    <w:tbl>
      <w:tblPr>
        <w:tblW w:w="104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611"/>
        <w:gridCol w:w="1407"/>
        <w:gridCol w:w="2114"/>
        <w:gridCol w:w="3507"/>
      </w:tblGrid>
      <w:tr w:rsidR="00EA6DED" w14:paraId="4337FD62" w14:textId="77777777">
        <w:trPr>
          <w:trHeight w:val="300"/>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E7E6E6"/>
          </w:tcPr>
          <w:p w14:paraId="4337FD5D" w14:textId="77777777" w:rsidR="00EA6DED" w:rsidRDefault="007504AE">
            <w:pPr>
              <w:spacing w:line="360" w:lineRule="auto"/>
              <w:ind w:left="115"/>
              <w:rPr>
                <w:rFonts w:eastAsia="Roboto"/>
                <w:b/>
                <w:bCs/>
                <w:color w:val="000000"/>
                <w:lang w:val="fr"/>
              </w:rPr>
            </w:pPr>
            <w:r>
              <w:rPr>
                <w:rFonts w:eastAsia="Roboto"/>
                <w:b/>
                <w:bCs/>
                <w:color w:val="000000"/>
                <w:lang w:val="fr"/>
              </w:rPr>
              <w:t>R07</w:t>
            </w:r>
          </w:p>
        </w:tc>
        <w:tc>
          <w:tcPr>
            <w:tcW w:w="2611" w:type="dxa"/>
            <w:tcBorders>
              <w:top w:val="single" w:sz="8" w:space="0" w:color="000000"/>
              <w:left w:val="single" w:sz="8" w:space="0" w:color="000000"/>
              <w:bottom w:val="single" w:sz="8" w:space="0" w:color="0399D2"/>
              <w:right w:val="single" w:sz="8" w:space="0" w:color="0399D2"/>
            </w:tcBorders>
            <w:shd w:val="clear" w:color="auto" w:fill="009ED8"/>
            <w:vAlign w:val="center"/>
          </w:tcPr>
          <w:p w14:paraId="4337FD5E" w14:textId="77777777" w:rsidR="00EA6DED" w:rsidRDefault="007504AE">
            <w:pPr>
              <w:spacing w:before="60" w:after="60" w:line="360" w:lineRule="auto"/>
              <w:ind w:right="62"/>
              <w:jc w:val="center"/>
              <w:rPr>
                <w:rFonts w:eastAsia="Roboto"/>
                <w:b/>
                <w:bCs/>
                <w:color w:val="FFFFFF"/>
                <w:lang w:val="fr"/>
              </w:rPr>
            </w:pPr>
            <w:r>
              <w:rPr>
                <w:rFonts w:eastAsia="Roboto"/>
                <w:b/>
                <w:bCs/>
                <w:color w:val="FFFFFF"/>
                <w:lang w:val="fr"/>
              </w:rPr>
              <w:t>Niveau de priorité</w:t>
            </w:r>
          </w:p>
        </w:tc>
        <w:tc>
          <w:tcPr>
            <w:tcW w:w="1407"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5F"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Origine</w:t>
            </w:r>
          </w:p>
        </w:tc>
        <w:tc>
          <w:tcPr>
            <w:tcW w:w="2114"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60"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Responsable</w:t>
            </w:r>
          </w:p>
        </w:tc>
        <w:tc>
          <w:tcPr>
            <w:tcW w:w="3507" w:type="dxa"/>
            <w:tcBorders>
              <w:top w:val="single" w:sz="8" w:space="0" w:color="000000"/>
              <w:left w:val="single" w:sz="8" w:space="0" w:color="0399D2"/>
              <w:bottom w:val="single" w:sz="8" w:space="0" w:color="0399D2"/>
              <w:right w:val="single" w:sz="8" w:space="0" w:color="000000"/>
            </w:tcBorders>
            <w:shd w:val="clear" w:color="auto" w:fill="009ED8"/>
            <w:vAlign w:val="center"/>
          </w:tcPr>
          <w:p w14:paraId="4337FD61" w14:textId="77777777" w:rsidR="00EA6DED" w:rsidRDefault="007504AE">
            <w:pPr>
              <w:spacing w:before="60" w:after="60" w:line="360" w:lineRule="auto"/>
              <w:ind w:right="4"/>
              <w:jc w:val="center"/>
              <w:rPr>
                <w:rFonts w:eastAsia="Roboto"/>
                <w:b/>
                <w:bCs/>
                <w:color w:val="FFFFFF"/>
                <w:lang w:val="fr"/>
              </w:rPr>
            </w:pPr>
            <w:r>
              <w:rPr>
                <w:rFonts w:eastAsia="Roboto"/>
                <w:b/>
                <w:bCs/>
                <w:color w:val="FFFFFF"/>
                <w:lang w:val="fr"/>
              </w:rPr>
              <w:t>Délai de mise en œuvre</w:t>
            </w:r>
          </w:p>
        </w:tc>
      </w:tr>
      <w:tr w:rsidR="00EA6DED" w14:paraId="4337FD68" w14:textId="77777777">
        <w:trPr>
          <w:trHeight w:val="300"/>
        </w:trPr>
        <w:tc>
          <w:tcPr>
            <w:tcW w:w="851" w:type="dxa"/>
            <w:vMerge/>
            <w:vAlign w:val="center"/>
          </w:tcPr>
          <w:p w14:paraId="4337FD63" w14:textId="77777777" w:rsidR="00EA6DED" w:rsidRDefault="00EA6DED"/>
        </w:tc>
        <w:tc>
          <w:tcPr>
            <w:tcW w:w="2611" w:type="dxa"/>
            <w:tcBorders>
              <w:top w:val="single" w:sz="8" w:space="0" w:color="0399D2"/>
              <w:left w:val="nil"/>
              <w:bottom w:val="single" w:sz="8" w:space="0" w:color="000000"/>
              <w:right w:val="single" w:sz="8" w:space="0" w:color="0399D2"/>
            </w:tcBorders>
            <w:shd w:val="clear" w:color="auto" w:fill="009ED8"/>
            <w:vAlign w:val="center"/>
          </w:tcPr>
          <w:p w14:paraId="4337FD64"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2</w:t>
            </w:r>
          </w:p>
        </w:tc>
        <w:tc>
          <w:tcPr>
            <w:tcW w:w="1407"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65"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C6</w:t>
            </w:r>
          </w:p>
        </w:tc>
        <w:tc>
          <w:tcPr>
            <w:tcW w:w="2114"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66"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UNCT</w:t>
            </w:r>
          </w:p>
        </w:tc>
        <w:tc>
          <w:tcPr>
            <w:tcW w:w="3507" w:type="dxa"/>
            <w:tcBorders>
              <w:top w:val="single" w:sz="8" w:space="0" w:color="0399D2"/>
              <w:left w:val="single" w:sz="8" w:space="0" w:color="0399D2"/>
              <w:bottom w:val="single" w:sz="8" w:space="0" w:color="000000"/>
              <w:right w:val="single" w:sz="8" w:space="0" w:color="000000"/>
            </w:tcBorders>
            <w:shd w:val="clear" w:color="auto" w:fill="009ED8"/>
            <w:vAlign w:val="center"/>
          </w:tcPr>
          <w:p w14:paraId="4337FD67"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Court terme</w:t>
            </w:r>
          </w:p>
        </w:tc>
      </w:tr>
      <w:tr w:rsidR="00EA6DED" w14:paraId="4337FD6B" w14:textId="77777777">
        <w:trPr>
          <w:trHeight w:val="300"/>
        </w:trPr>
        <w:tc>
          <w:tcPr>
            <w:tcW w:w="851" w:type="dxa"/>
            <w:vMerge/>
            <w:vAlign w:val="center"/>
          </w:tcPr>
          <w:p w14:paraId="4337FD69" w14:textId="77777777" w:rsidR="00EA6DED" w:rsidRDefault="00EA6DED"/>
        </w:tc>
        <w:tc>
          <w:tcPr>
            <w:tcW w:w="9639" w:type="dxa"/>
            <w:gridSpan w:val="4"/>
            <w:tcBorders>
              <w:top w:val="single" w:sz="8" w:space="0" w:color="000000"/>
              <w:left w:val="nil"/>
              <w:bottom w:val="single" w:sz="8" w:space="0" w:color="000000"/>
              <w:right w:val="single" w:sz="8" w:space="0" w:color="000000"/>
            </w:tcBorders>
          </w:tcPr>
          <w:p w14:paraId="4337FD6A" w14:textId="77777777" w:rsidR="00EA6DED" w:rsidRDefault="007504AE">
            <w:pPr>
              <w:spacing w:line="276" w:lineRule="auto"/>
              <w:ind w:right="103"/>
              <w:jc w:val="both"/>
              <w:rPr>
                <w:rFonts w:eastAsia="Roboto"/>
              </w:rPr>
            </w:pPr>
            <w:r>
              <w:rPr>
                <w:rFonts w:ascii="Segoe UI Emoji" w:hAnsi="Segoe UI Emoji" w:cs="Segoe UI Emoji"/>
              </w:rPr>
              <w:t>M</w:t>
            </w:r>
            <w:r>
              <w:t>ettre en place et opérationnaliser un mécanisme de planification et de programmation conjointes permettant d’assurer que les interventions de l’Équipe-pays sont intégrées dans zones de convergence ou des thématiques prioritaires communes, et suivies par un dispositif de mise en œuvre coordonnée</w:t>
            </w:r>
          </w:p>
        </w:tc>
      </w:tr>
    </w:tbl>
    <w:p w14:paraId="4337FD6C" w14:textId="77777777" w:rsidR="00EA6DED" w:rsidRDefault="00EA6DED">
      <w:pPr>
        <w:spacing w:line="360" w:lineRule="auto"/>
        <w:jc w:val="both"/>
        <w:rPr>
          <w:rFonts w:eastAsia="Roboto"/>
          <w:b/>
          <w:bCs/>
          <w:color w:val="0070C0"/>
          <w:lang w:val="fr"/>
        </w:rPr>
      </w:pPr>
    </w:p>
    <w:tbl>
      <w:tblPr>
        <w:tblW w:w="104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611"/>
        <w:gridCol w:w="1407"/>
        <w:gridCol w:w="2114"/>
        <w:gridCol w:w="3507"/>
      </w:tblGrid>
      <w:tr w:rsidR="00EA6DED" w14:paraId="4337FD72" w14:textId="77777777">
        <w:trPr>
          <w:trHeight w:val="300"/>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E7E6E6"/>
          </w:tcPr>
          <w:p w14:paraId="4337FD6D" w14:textId="77777777" w:rsidR="00EA6DED" w:rsidRDefault="007504AE">
            <w:pPr>
              <w:spacing w:line="360" w:lineRule="auto"/>
              <w:ind w:left="115"/>
              <w:rPr>
                <w:rFonts w:eastAsia="Roboto"/>
                <w:b/>
                <w:bCs/>
                <w:color w:val="000000"/>
                <w:lang w:val="fr"/>
              </w:rPr>
            </w:pPr>
            <w:r>
              <w:rPr>
                <w:rFonts w:eastAsia="Roboto"/>
                <w:b/>
                <w:bCs/>
                <w:color w:val="000000"/>
                <w:lang w:val="fr"/>
              </w:rPr>
              <w:t>R08</w:t>
            </w:r>
          </w:p>
        </w:tc>
        <w:tc>
          <w:tcPr>
            <w:tcW w:w="2611" w:type="dxa"/>
            <w:tcBorders>
              <w:top w:val="single" w:sz="8" w:space="0" w:color="000000"/>
              <w:left w:val="single" w:sz="8" w:space="0" w:color="000000"/>
              <w:bottom w:val="single" w:sz="8" w:space="0" w:color="0399D2"/>
              <w:right w:val="single" w:sz="8" w:space="0" w:color="0399D2"/>
            </w:tcBorders>
            <w:shd w:val="clear" w:color="auto" w:fill="009ED8"/>
            <w:vAlign w:val="center"/>
          </w:tcPr>
          <w:p w14:paraId="4337FD6E" w14:textId="77777777" w:rsidR="00EA6DED" w:rsidRDefault="007504AE">
            <w:pPr>
              <w:spacing w:before="60" w:after="60" w:line="360" w:lineRule="auto"/>
              <w:ind w:right="62"/>
              <w:jc w:val="center"/>
              <w:rPr>
                <w:rFonts w:eastAsia="Roboto"/>
                <w:b/>
                <w:bCs/>
                <w:color w:val="FFFFFF"/>
                <w:lang w:val="fr"/>
              </w:rPr>
            </w:pPr>
            <w:r>
              <w:rPr>
                <w:rFonts w:eastAsia="Roboto"/>
                <w:b/>
                <w:bCs/>
                <w:color w:val="FFFFFF"/>
                <w:lang w:val="fr"/>
              </w:rPr>
              <w:t>Niveau de priorité</w:t>
            </w:r>
          </w:p>
        </w:tc>
        <w:tc>
          <w:tcPr>
            <w:tcW w:w="1407"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6F"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Origine</w:t>
            </w:r>
          </w:p>
        </w:tc>
        <w:tc>
          <w:tcPr>
            <w:tcW w:w="2114"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70"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Responsable</w:t>
            </w:r>
          </w:p>
        </w:tc>
        <w:tc>
          <w:tcPr>
            <w:tcW w:w="3507" w:type="dxa"/>
            <w:tcBorders>
              <w:top w:val="single" w:sz="8" w:space="0" w:color="000000"/>
              <w:left w:val="single" w:sz="8" w:space="0" w:color="0399D2"/>
              <w:bottom w:val="single" w:sz="8" w:space="0" w:color="0399D2"/>
              <w:right w:val="single" w:sz="8" w:space="0" w:color="000000"/>
            </w:tcBorders>
            <w:shd w:val="clear" w:color="auto" w:fill="009ED8"/>
            <w:vAlign w:val="center"/>
          </w:tcPr>
          <w:p w14:paraId="4337FD71" w14:textId="77777777" w:rsidR="00EA6DED" w:rsidRDefault="007504AE">
            <w:pPr>
              <w:spacing w:before="60" w:after="60" w:line="360" w:lineRule="auto"/>
              <w:ind w:right="4"/>
              <w:jc w:val="center"/>
              <w:rPr>
                <w:rFonts w:eastAsia="Roboto"/>
                <w:b/>
                <w:bCs/>
                <w:color w:val="FFFFFF"/>
                <w:lang w:val="fr"/>
              </w:rPr>
            </w:pPr>
            <w:r>
              <w:rPr>
                <w:rFonts w:eastAsia="Roboto"/>
                <w:b/>
                <w:bCs/>
                <w:color w:val="FFFFFF"/>
                <w:lang w:val="fr"/>
              </w:rPr>
              <w:t>Délai de mise en œuvre</w:t>
            </w:r>
          </w:p>
        </w:tc>
      </w:tr>
      <w:tr w:rsidR="00EA6DED" w14:paraId="4337FD78" w14:textId="77777777">
        <w:trPr>
          <w:trHeight w:val="300"/>
        </w:trPr>
        <w:tc>
          <w:tcPr>
            <w:tcW w:w="851" w:type="dxa"/>
            <w:vMerge/>
            <w:vAlign w:val="center"/>
          </w:tcPr>
          <w:p w14:paraId="4337FD73" w14:textId="77777777" w:rsidR="00EA6DED" w:rsidRDefault="00EA6DED"/>
        </w:tc>
        <w:tc>
          <w:tcPr>
            <w:tcW w:w="2611" w:type="dxa"/>
            <w:tcBorders>
              <w:top w:val="single" w:sz="8" w:space="0" w:color="0399D2"/>
              <w:left w:val="nil"/>
              <w:bottom w:val="single" w:sz="8" w:space="0" w:color="000000"/>
              <w:right w:val="single" w:sz="8" w:space="0" w:color="0399D2"/>
            </w:tcBorders>
            <w:shd w:val="clear" w:color="auto" w:fill="009ED8"/>
            <w:vAlign w:val="center"/>
          </w:tcPr>
          <w:p w14:paraId="4337FD74"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2</w:t>
            </w:r>
          </w:p>
        </w:tc>
        <w:tc>
          <w:tcPr>
            <w:tcW w:w="1407"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75"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C7</w:t>
            </w:r>
          </w:p>
        </w:tc>
        <w:tc>
          <w:tcPr>
            <w:tcW w:w="2114"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76"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UNCT</w:t>
            </w:r>
          </w:p>
        </w:tc>
        <w:tc>
          <w:tcPr>
            <w:tcW w:w="3507" w:type="dxa"/>
            <w:tcBorders>
              <w:top w:val="single" w:sz="8" w:space="0" w:color="0399D2"/>
              <w:left w:val="single" w:sz="8" w:space="0" w:color="0399D2"/>
              <w:bottom w:val="single" w:sz="8" w:space="0" w:color="000000"/>
              <w:right w:val="single" w:sz="8" w:space="0" w:color="000000"/>
            </w:tcBorders>
            <w:shd w:val="clear" w:color="auto" w:fill="009ED8"/>
            <w:vAlign w:val="center"/>
          </w:tcPr>
          <w:p w14:paraId="4337FD77"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Court terme</w:t>
            </w:r>
          </w:p>
        </w:tc>
      </w:tr>
      <w:tr w:rsidR="00EA6DED" w14:paraId="4337FD7B" w14:textId="77777777">
        <w:trPr>
          <w:trHeight w:val="300"/>
        </w:trPr>
        <w:tc>
          <w:tcPr>
            <w:tcW w:w="851" w:type="dxa"/>
            <w:vMerge/>
            <w:vAlign w:val="center"/>
          </w:tcPr>
          <w:p w14:paraId="4337FD79" w14:textId="77777777" w:rsidR="00EA6DED" w:rsidRDefault="00EA6DED"/>
        </w:tc>
        <w:tc>
          <w:tcPr>
            <w:tcW w:w="9639" w:type="dxa"/>
            <w:gridSpan w:val="4"/>
            <w:tcBorders>
              <w:top w:val="single" w:sz="8" w:space="0" w:color="000000"/>
              <w:left w:val="nil"/>
              <w:bottom w:val="single" w:sz="8" w:space="0" w:color="000000"/>
              <w:right w:val="single" w:sz="8" w:space="0" w:color="000000"/>
            </w:tcBorders>
          </w:tcPr>
          <w:p w14:paraId="4337FD7A" w14:textId="77777777" w:rsidR="00EA6DED" w:rsidRDefault="007504AE">
            <w:pPr>
              <w:spacing w:line="276" w:lineRule="auto"/>
              <w:ind w:right="103"/>
              <w:jc w:val="both"/>
              <w:rPr>
                <w:rFonts w:eastAsia="Roboto"/>
              </w:rPr>
            </w:pPr>
            <w:r>
              <w:t xml:space="preserve">Renforcer le système de génération des données et informations stratégiques au sein du SNU pour un suivi, rapportage et évaluation efficaces du Plan Cadre de Coopération en améliorant l’usage de la plateforme Uninfo, en développant des métadonnées communes, et en soutenant durablement les structures nationales dans la production et la gestion des données. </w:t>
            </w:r>
          </w:p>
        </w:tc>
      </w:tr>
    </w:tbl>
    <w:p w14:paraId="4337FD7C" w14:textId="77777777" w:rsidR="00EA6DED" w:rsidRDefault="007504AE">
      <w:pPr>
        <w:spacing w:line="360" w:lineRule="auto"/>
        <w:ind w:left="115"/>
        <w:rPr>
          <w:rFonts w:eastAsia="Roboto"/>
          <w:b/>
          <w:bCs/>
          <w:color w:val="000000"/>
          <w:lang w:val="fr"/>
        </w:rPr>
      </w:pPr>
      <w:r>
        <w:rPr>
          <w:rFonts w:eastAsia="Roboto"/>
          <w:b/>
          <w:bCs/>
          <w:lang w:val="fr"/>
        </w:rPr>
        <w:t xml:space="preserve"> </w:t>
      </w:r>
      <w:r>
        <w:rPr>
          <w:rFonts w:eastAsia="Roboto"/>
          <w:b/>
          <w:bCs/>
          <w:color w:val="000000"/>
          <w:lang w:val="fr"/>
        </w:rPr>
        <w:t xml:space="preserve">  </w:t>
      </w:r>
    </w:p>
    <w:p w14:paraId="4337FD7D" w14:textId="77777777" w:rsidR="00EA6DED" w:rsidRDefault="007504AE">
      <w:pPr>
        <w:pStyle w:val="Titre2"/>
        <w:rPr>
          <w:color w:val="0000FF"/>
          <w:sz w:val="24"/>
          <w:szCs w:val="24"/>
          <w:lang w:val="fr"/>
        </w:rPr>
      </w:pPr>
      <w:bookmarkStart w:id="157" w:name="_Toc25709"/>
      <w:r>
        <w:rPr>
          <w:color w:val="0000FF"/>
          <w:sz w:val="24"/>
          <w:szCs w:val="24"/>
        </w:rPr>
        <w:lastRenderedPageBreak/>
        <w:t>7</w:t>
      </w:r>
      <w:r>
        <w:rPr>
          <w:color w:val="0000FF"/>
          <w:sz w:val="24"/>
          <w:szCs w:val="24"/>
          <w:lang w:val="fr"/>
        </w:rPr>
        <w:t>.4</w:t>
      </w:r>
      <w:r>
        <w:rPr>
          <w:color w:val="0000FF"/>
          <w:sz w:val="24"/>
          <w:szCs w:val="24"/>
          <w:lang w:val="en-US"/>
        </w:rPr>
        <w:t xml:space="preserve">. </w:t>
      </w:r>
      <w:r>
        <w:rPr>
          <w:color w:val="0000FF"/>
          <w:sz w:val="24"/>
          <w:szCs w:val="24"/>
          <w:lang w:val="fr"/>
        </w:rPr>
        <w:t>Efficience</w:t>
      </w:r>
      <w:bookmarkEnd w:id="157"/>
    </w:p>
    <w:tbl>
      <w:tblPr>
        <w:tblW w:w="104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611"/>
        <w:gridCol w:w="1407"/>
        <w:gridCol w:w="2114"/>
        <w:gridCol w:w="3507"/>
      </w:tblGrid>
      <w:tr w:rsidR="00EA6DED" w14:paraId="4337FD83" w14:textId="77777777">
        <w:trPr>
          <w:trHeight w:val="300"/>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E7E6E6"/>
          </w:tcPr>
          <w:p w14:paraId="4337FD7E" w14:textId="77777777" w:rsidR="00EA6DED" w:rsidRDefault="007504AE">
            <w:pPr>
              <w:spacing w:line="360" w:lineRule="auto"/>
              <w:ind w:left="115"/>
              <w:rPr>
                <w:rFonts w:eastAsia="Roboto"/>
                <w:b/>
                <w:bCs/>
                <w:color w:val="000000"/>
                <w:lang w:val="fr"/>
              </w:rPr>
            </w:pPr>
            <w:r>
              <w:rPr>
                <w:rFonts w:eastAsia="Roboto"/>
                <w:b/>
                <w:bCs/>
                <w:color w:val="000000"/>
                <w:lang w:val="fr"/>
              </w:rPr>
              <w:t>R09</w:t>
            </w:r>
          </w:p>
        </w:tc>
        <w:tc>
          <w:tcPr>
            <w:tcW w:w="2611" w:type="dxa"/>
            <w:tcBorders>
              <w:top w:val="single" w:sz="8" w:space="0" w:color="000000"/>
              <w:left w:val="single" w:sz="8" w:space="0" w:color="000000"/>
              <w:bottom w:val="single" w:sz="8" w:space="0" w:color="0399D2"/>
              <w:right w:val="single" w:sz="8" w:space="0" w:color="0399D2"/>
            </w:tcBorders>
            <w:shd w:val="clear" w:color="auto" w:fill="009ED8"/>
            <w:vAlign w:val="center"/>
          </w:tcPr>
          <w:p w14:paraId="4337FD7F" w14:textId="77777777" w:rsidR="00EA6DED" w:rsidRDefault="007504AE">
            <w:pPr>
              <w:spacing w:before="60" w:after="60" w:line="360" w:lineRule="auto"/>
              <w:ind w:right="62"/>
              <w:jc w:val="center"/>
              <w:rPr>
                <w:rFonts w:eastAsia="Roboto"/>
                <w:b/>
                <w:bCs/>
                <w:color w:val="FFFFFF"/>
                <w:lang w:val="fr"/>
              </w:rPr>
            </w:pPr>
            <w:r>
              <w:rPr>
                <w:rFonts w:eastAsia="Roboto"/>
                <w:b/>
                <w:bCs/>
                <w:color w:val="FFFFFF"/>
                <w:lang w:val="fr"/>
              </w:rPr>
              <w:t>Niveau de priorité</w:t>
            </w:r>
          </w:p>
        </w:tc>
        <w:tc>
          <w:tcPr>
            <w:tcW w:w="1407"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80"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Origine</w:t>
            </w:r>
          </w:p>
        </w:tc>
        <w:tc>
          <w:tcPr>
            <w:tcW w:w="2114"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81"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Responsable</w:t>
            </w:r>
          </w:p>
        </w:tc>
        <w:tc>
          <w:tcPr>
            <w:tcW w:w="3507" w:type="dxa"/>
            <w:tcBorders>
              <w:top w:val="single" w:sz="8" w:space="0" w:color="000000"/>
              <w:left w:val="single" w:sz="8" w:space="0" w:color="0399D2"/>
              <w:bottom w:val="single" w:sz="8" w:space="0" w:color="0399D2"/>
              <w:right w:val="single" w:sz="8" w:space="0" w:color="000000"/>
            </w:tcBorders>
            <w:shd w:val="clear" w:color="auto" w:fill="009ED8"/>
            <w:vAlign w:val="center"/>
          </w:tcPr>
          <w:p w14:paraId="4337FD82" w14:textId="77777777" w:rsidR="00EA6DED" w:rsidRDefault="007504AE">
            <w:pPr>
              <w:spacing w:before="60" w:after="60" w:line="360" w:lineRule="auto"/>
              <w:ind w:right="4"/>
              <w:jc w:val="center"/>
              <w:rPr>
                <w:rFonts w:eastAsia="Roboto"/>
                <w:b/>
                <w:bCs/>
                <w:color w:val="FFFFFF"/>
                <w:lang w:val="fr"/>
              </w:rPr>
            </w:pPr>
            <w:r>
              <w:rPr>
                <w:rFonts w:eastAsia="Roboto"/>
                <w:b/>
                <w:bCs/>
                <w:color w:val="FFFFFF"/>
                <w:lang w:val="fr"/>
              </w:rPr>
              <w:t>Délai de mise en œuvre</w:t>
            </w:r>
          </w:p>
        </w:tc>
      </w:tr>
      <w:tr w:rsidR="00EA6DED" w14:paraId="4337FD89" w14:textId="77777777">
        <w:trPr>
          <w:trHeight w:val="300"/>
        </w:trPr>
        <w:tc>
          <w:tcPr>
            <w:tcW w:w="851" w:type="dxa"/>
            <w:vMerge/>
            <w:vAlign w:val="center"/>
          </w:tcPr>
          <w:p w14:paraId="4337FD84" w14:textId="77777777" w:rsidR="00EA6DED" w:rsidRDefault="00EA6DED"/>
        </w:tc>
        <w:tc>
          <w:tcPr>
            <w:tcW w:w="2611" w:type="dxa"/>
            <w:tcBorders>
              <w:top w:val="single" w:sz="8" w:space="0" w:color="0399D2"/>
              <w:left w:val="nil"/>
              <w:bottom w:val="single" w:sz="8" w:space="0" w:color="000000"/>
              <w:right w:val="single" w:sz="8" w:space="0" w:color="0399D2"/>
            </w:tcBorders>
            <w:shd w:val="clear" w:color="auto" w:fill="009ED8"/>
            <w:vAlign w:val="center"/>
          </w:tcPr>
          <w:p w14:paraId="4337FD85"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2</w:t>
            </w:r>
          </w:p>
        </w:tc>
        <w:tc>
          <w:tcPr>
            <w:tcW w:w="1407"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86"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C8</w:t>
            </w:r>
          </w:p>
        </w:tc>
        <w:tc>
          <w:tcPr>
            <w:tcW w:w="2114"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87"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UNCT</w:t>
            </w:r>
          </w:p>
        </w:tc>
        <w:tc>
          <w:tcPr>
            <w:tcW w:w="3507" w:type="dxa"/>
            <w:tcBorders>
              <w:top w:val="single" w:sz="8" w:space="0" w:color="0399D2"/>
              <w:left w:val="single" w:sz="8" w:space="0" w:color="0399D2"/>
              <w:bottom w:val="single" w:sz="8" w:space="0" w:color="000000"/>
              <w:right w:val="single" w:sz="8" w:space="0" w:color="000000"/>
            </w:tcBorders>
            <w:shd w:val="clear" w:color="auto" w:fill="009ED8"/>
            <w:vAlign w:val="center"/>
          </w:tcPr>
          <w:p w14:paraId="4337FD88"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Court terme</w:t>
            </w:r>
          </w:p>
        </w:tc>
      </w:tr>
      <w:tr w:rsidR="00EA6DED" w14:paraId="4337FD8C" w14:textId="77777777">
        <w:trPr>
          <w:trHeight w:val="300"/>
        </w:trPr>
        <w:tc>
          <w:tcPr>
            <w:tcW w:w="851" w:type="dxa"/>
            <w:vMerge/>
            <w:vAlign w:val="center"/>
          </w:tcPr>
          <w:p w14:paraId="4337FD8A" w14:textId="77777777" w:rsidR="00EA6DED" w:rsidRDefault="00EA6DED"/>
        </w:tc>
        <w:tc>
          <w:tcPr>
            <w:tcW w:w="9639" w:type="dxa"/>
            <w:gridSpan w:val="4"/>
            <w:tcBorders>
              <w:top w:val="single" w:sz="8" w:space="0" w:color="000000"/>
              <w:left w:val="nil"/>
              <w:bottom w:val="single" w:sz="8" w:space="0" w:color="000000"/>
              <w:right w:val="single" w:sz="8" w:space="0" w:color="000000"/>
            </w:tcBorders>
          </w:tcPr>
          <w:p w14:paraId="4337FD8B" w14:textId="77777777" w:rsidR="00EA6DED" w:rsidRDefault="007504AE">
            <w:pPr>
              <w:jc w:val="both"/>
              <w:rPr>
                <w:rFonts w:eastAsia="DengXian"/>
              </w:rPr>
            </w:pPr>
            <w:r>
              <w:t>Mettre en place au sein de l’Équipe-pays un dispositif institutionnel permettant d’optimiser l’utilisation des ressources humaines et financières et comprenant : (i) un plan structuré de renforcement des capacités pour l’ensemble des agences, (ii) une cartographie actualisée des compétences intégrant la dimension parité de genre, et (iii) un système harmonisé de planification et de suivi budgétaire via UNinfo.</w:t>
            </w:r>
          </w:p>
        </w:tc>
      </w:tr>
    </w:tbl>
    <w:p w14:paraId="4337FD8D" w14:textId="77777777" w:rsidR="00EA6DED" w:rsidRDefault="00EA6DED">
      <w:pPr>
        <w:pStyle w:val="Titre2"/>
        <w:tabs>
          <w:tab w:val="left" w:pos="284"/>
        </w:tabs>
        <w:rPr>
          <w:rFonts w:ascii="Times New Roman" w:eastAsia="Roboto" w:hAnsi="Times New Roman"/>
          <w:color w:val="009ED8"/>
          <w:sz w:val="24"/>
          <w:szCs w:val="24"/>
          <w:lang w:val="fr"/>
        </w:rPr>
      </w:pPr>
    </w:p>
    <w:tbl>
      <w:tblPr>
        <w:tblW w:w="104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611"/>
        <w:gridCol w:w="1407"/>
        <w:gridCol w:w="2219"/>
        <w:gridCol w:w="3402"/>
      </w:tblGrid>
      <w:tr w:rsidR="00EA6DED" w14:paraId="4337FD93" w14:textId="77777777">
        <w:trPr>
          <w:trHeight w:val="300"/>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E7E6E6"/>
          </w:tcPr>
          <w:p w14:paraId="4337FD8E" w14:textId="77777777" w:rsidR="00EA6DED" w:rsidRDefault="007504AE">
            <w:pPr>
              <w:spacing w:line="360" w:lineRule="auto"/>
              <w:ind w:left="115"/>
              <w:rPr>
                <w:rFonts w:eastAsia="Roboto"/>
                <w:b/>
                <w:bCs/>
                <w:color w:val="000000"/>
                <w:lang w:val="fr"/>
              </w:rPr>
            </w:pPr>
            <w:r>
              <w:rPr>
                <w:rFonts w:eastAsia="Roboto"/>
                <w:b/>
                <w:bCs/>
                <w:color w:val="000000"/>
                <w:lang w:val="fr"/>
              </w:rPr>
              <w:t>R10</w:t>
            </w:r>
          </w:p>
        </w:tc>
        <w:tc>
          <w:tcPr>
            <w:tcW w:w="2611" w:type="dxa"/>
            <w:tcBorders>
              <w:top w:val="single" w:sz="8" w:space="0" w:color="000000"/>
              <w:left w:val="single" w:sz="8" w:space="0" w:color="000000"/>
              <w:bottom w:val="single" w:sz="8" w:space="0" w:color="0399D2"/>
              <w:right w:val="single" w:sz="8" w:space="0" w:color="0399D2"/>
            </w:tcBorders>
            <w:shd w:val="clear" w:color="auto" w:fill="009ED8"/>
            <w:vAlign w:val="center"/>
          </w:tcPr>
          <w:p w14:paraId="4337FD8F" w14:textId="77777777" w:rsidR="00EA6DED" w:rsidRDefault="007504AE">
            <w:pPr>
              <w:spacing w:before="60" w:after="60" w:line="360" w:lineRule="auto"/>
              <w:ind w:right="62"/>
              <w:jc w:val="center"/>
              <w:rPr>
                <w:rFonts w:eastAsia="Roboto"/>
                <w:b/>
                <w:bCs/>
                <w:color w:val="FFFFFF"/>
                <w:lang w:val="fr"/>
              </w:rPr>
            </w:pPr>
            <w:r>
              <w:rPr>
                <w:rFonts w:eastAsia="Roboto"/>
                <w:b/>
                <w:bCs/>
                <w:color w:val="FFFFFF"/>
                <w:lang w:val="fr"/>
              </w:rPr>
              <w:t>Niveau de priorité</w:t>
            </w:r>
          </w:p>
        </w:tc>
        <w:tc>
          <w:tcPr>
            <w:tcW w:w="1407"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90"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Origine</w:t>
            </w:r>
          </w:p>
        </w:tc>
        <w:tc>
          <w:tcPr>
            <w:tcW w:w="2219"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91"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Responsable</w:t>
            </w:r>
          </w:p>
        </w:tc>
        <w:tc>
          <w:tcPr>
            <w:tcW w:w="3402" w:type="dxa"/>
            <w:tcBorders>
              <w:top w:val="single" w:sz="8" w:space="0" w:color="000000"/>
              <w:left w:val="single" w:sz="8" w:space="0" w:color="0399D2"/>
              <w:bottom w:val="single" w:sz="8" w:space="0" w:color="0399D2"/>
              <w:right w:val="single" w:sz="8" w:space="0" w:color="000000"/>
            </w:tcBorders>
            <w:shd w:val="clear" w:color="auto" w:fill="009ED8"/>
            <w:vAlign w:val="center"/>
          </w:tcPr>
          <w:p w14:paraId="4337FD92" w14:textId="77777777" w:rsidR="00EA6DED" w:rsidRDefault="007504AE">
            <w:pPr>
              <w:spacing w:before="60" w:after="60" w:line="360" w:lineRule="auto"/>
              <w:ind w:right="4"/>
              <w:rPr>
                <w:rFonts w:eastAsia="Roboto"/>
                <w:b/>
                <w:bCs/>
                <w:color w:val="FFFFFF"/>
                <w:lang w:val="fr"/>
              </w:rPr>
            </w:pPr>
            <w:r>
              <w:rPr>
                <w:rFonts w:eastAsia="Roboto"/>
                <w:b/>
                <w:bCs/>
                <w:color w:val="FFFFFF"/>
                <w:lang w:val="fr"/>
              </w:rPr>
              <w:t>Délai de mise en œuvre</w:t>
            </w:r>
          </w:p>
        </w:tc>
      </w:tr>
      <w:tr w:rsidR="00EA6DED" w14:paraId="4337FD99" w14:textId="77777777">
        <w:trPr>
          <w:trHeight w:val="300"/>
        </w:trPr>
        <w:tc>
          <w:tcPr>
            <w:tcW w:w="851" w:type="dxa"/>
            <w:vMerge/>
            <w:vAlign w:val="center"/>
          </w:tcPr>
          <w:p w14:paraId="4337FD94" w14:textId="77777777" w:rsidR="00EA6DED" w:rsidRDefault="00EA6DED"/>
        </w:tc>
        <w:tc>
          <w:tcPr>
            <w:tcW w:w="2611" w:type="dxa"/>
            <w:tcBorders>
              <w:top w:val="single" w:sz="8" w:space="0" w:color="0399D2"/>
              <w:left w:val="nil"/>
              <w:bottom w:val="single" w:sz="8" w:space="0" w:color="000000"/>
              <w:right w:val="single" w:sz="8" w:space="0" w:color="0399D2"/>
            </w:tcBorders>
            <w:shd w:val="clear" w:color="auto" w:fill="009ED8"/>
            <w:vAlign w:val="center"/>
          </w:tcPr>
          <w:p w14:paraId="4337FD95" w14:textId="77777777" w:rsidR="00EA6DED" w:rsidRDefault="007504AE">
            <w:pPr>
              <w:spacing w:before="60" w:after="60" w:line="360" w:lineRule="auto"/>
              <w:ind w:right="53"/>
              <w:jc w:val="center"/>
              <w:rPr>
                <w:rFonts w:eastAsia="Roboto"/>
                <w:color w:val="FFFFFF"/>
                <w:lang w:val="fr"/>
              </w:rPr>
            </w:pPr>
            <w:r>
              <w:rPr>
                <w:rFonts w:eastAsia="Roboto"/>
                <w:color w:val="FFFFFF"/>
                <w:lang w:val="fr"/>
              </w:rPr>
              <w:t>2</w:t>
            </w:r>
          </w:p>
        </w:tc>
        <w:tc>
          <w:tcPr>
            <w:tcW w:w="1407"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96" w14:textId="77777777" w:rsidR="00EA6DED" w:rsidRDefault="007504AE">
            <w:pPr>
              <w:spacing w:before="60" w:after="60" w:line="360" w:lineRule="auto"/>
              <w:jc w:val="center"/>
              <w:rPr>
                <w:rFonts w:eastAsia="Roboto"/>
                <w:color w:val="FFFFFF"/>
                <w:lang w:val="fr"/>
              </w:rPr>
            </w:pPr>
            <w:r>
              <w:rPr>
                <w:rFonts w:eastAsia="Roboto"/>
                <w:color w:val="FFFFFF"/>
                <w:lang w:val="fr"/>
              </w:rPr>
              <w:t>C9</w:t>
            </w:r>
          </w:p>
        </w:tc>
        <w:tc>
          <w:tcPr>
            <w:tcW w:w="2219"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97" w14:textId="77777777" w:rsidR="00EA6DED" w:rsidRDefault="007504AE">
            <w:pPr>
              <w:spacing w:before="60" w:after="60" w:line="360" w:lineRule="auto"/>
              <w:ind w:right="5"/>
              <w:jc w:val="center"/>
              <w:rPr>
                <w:rFonts w:eastAsia="Roboto"/>
                <w:color w:val="FFFFFF"/>
                <w:lang w:val="fr"/>
              </w:rPr>
            </w:pPr>
            <w:r>
              <w:rPr>
                <w:rFonts w:eastAsia="Roboto"/>
                <w:color w:val="FFFFFF"/>
                <w:lang w:val="fr"/>
              </w:rPr>
              <w:t>UNCT</w:t>
            </w:r>
          </w:p>
        </w:tc>
        <w:tc>
          <w:tcPr>
            <w:tcW w:w="3402" w:type="dxa"/>
            <w:tcBorders>
              <w:top w:val="single" w:sz="8" w:space="0" w:color="0399D2"/>
              <w:left w:val="single" w:sz="8" w:space="0" w:color="0399D2"/>
              <w:bottom w:val="single" w:sz="8" w:space="0" w:color="000000"/>
              <w:right w:val="single" w:sz="8" w:space="0" w:color="000000"/>
            </w:tcBorders>
            <w:shd w:val="clear" w:color="auto" w:fill="009ED8"/>
            <w:vAlign w:val="center"/>
          </w:tcPr>
          <w:p w14:paraId="4337FD98" w14:textId="77777777" w:rsidR="00EA6DED" w:rsidRDefault="007504AE">
            <w:pPr>
              <w:spacing w:before="60" w:after="60" w:line="360" w:lineRule="auto"/>
              <w:jc w:val="center"/>
              <w:rPr>
                <w:rFonts w:eastAsia="Roboto"/>
                <w:color w:val="FFFFFF"/>
                <w:lang w:val="fr"/>
              </w:rPr>
            </w:pPr>
            <w:r>
              <w:rPr>
                <w:rFonts w:eastAsia="Roboto"/>
                <w:color w:val="FFFFFF"/>
                <w:lang w:val="fr"/>
              </w:rPr>
              <w:t>Court terme</w:t>
            </w:r>
          </w:p>
        </w:tc>
      </w:tr>
      <w:tr w:rsidR="00EA6DED" w14:paraId="4337FD9C" w14:textId="77777777">
        <w:trPr>
          <w:trHeight w:val="300"/>
        </w:trPr>
        <w:tc>
          <w:tcPr>
            <w:tcW w:w="851" w:type="dxa"/>
            <w:vMerge/>
            <w:vAlign w:val="center"/>
          </w:tcPr>
          <w:p w14:paraId="4337FD9A" w14:textId="77777777" w:rsidR="00EA6DED" w:rsidRDefault="00EA6DED"/>
        </w:tc>
        <w:tc>
          <w:tcPr>
            <w:tcW w:w="9639" w:type="dxa"/>
            <w:gridSpan w:val="4"/>
            <w:tcBorders>
              <w:top w:val="single" w:sz="8" w:space="0" w:color="000000"/>
              <w:left w:val="nil"/>
              <w:bottom w:val="single" w:sz="8" w:space="0" w:color="000000"/>
              <w:right w:val="single" w:sz="8" w:space="0" w:color="000000"/>
            </w:tcBorders>
          </w:tcPr>
          <w:p w14:paraId="4337FD9B" w14:textId="77777777" w:rsidR="00EA6DED" w:rsidRDefault="007504AE">
            <w:pPr>
              <w:jc w:val="both"/>
              <w:rPr>
                <w:rFonts w:eastAsia="Calibri"/>
                <w:sz w:val="22"/>
                <w:szCs w:val="22"/>
                <w:highlight w:val="yellow"/>
              </w:rPr>
            </w:pPr>
            <w:r>
              <w:rPr>
                <w:sz w:val="22"/>
                <w:szCs w:val="22"/>
              </w:rPr>
              <w:t xml:space="preserve">Mettre en place un cadre harmonisé </w:t>
            </w:r>
            <w:r>
              <w:t>de suivi financier avec ventilation annuelle par réalisation pour améliorer la transparence et l’analyse de l’optimalité des ressources et accompagner la mise en œuvre de l’approche One UN budget.</w:t>
            </w:r>
            <w:r>
              <w:rPr>
                <w:sz w:val="22"/>
                <w:szCs w:val="22"/>
              </w:rPr>
              <w:t xml:space="preserve"> </w:t>
            </w:r>
          </w:p>
        </w:tc>
      </w:tr>
    </w:tbl>
    <w:p w14:paraId="4337FD9D" w14:textId="77777777" w:rsidR="00EA6DED" w:rsidRDefault="00EA6DED">
      <w:pPr>
        <w:rPr>
          <w:rFonts w:eastAsia="Roboto"/>
        </w:rPr>
      </w:pPr>
    </w:p>
    <w:p w14:paraId="4337FD9E" w14:textId="77777777" w:rsidR="00EA6DED" w:rsidRDefault="00EA6DED">
      <w:pPr>
        <w:rPr>
          <w:rFonts w:eastAsia="Roboto"/>
          <w:lang w:val="fr"/>
        </w:rPr>
      </w:pPr>
    </w:p>
    <w:p w14:paraId="4337FD9F" w14:textId="77777777" w:rsidR="00EA6DED" w:rsidRDefault="007504AE">
      <w:pPr>
        <w:pStyle w:val="Titre2"/>
        <w:rPr>
          <w:color w:val="0000FF"/>
          <w:sz w:val="24"/>
          <w:szCs w:val="24"/>
          <w:lang w:val="fr"/>
        </w:rPr>
      </w:pPr>
      <w:bookmarkStart w:id="158" w:name="_Toc10305"/>
      <w:r>
        <w:rPr>
          <w:color w:val="0000FF"/>
          <w:sz w:val="24"/>
          <w:szCs w:val="24"/>
        </w:rPr>
        <w:t>7</w:t>
      </w:r>
      <w:r>
        <w:rPr>
          <w:color w:val="0000FF"/>
          <w:sz w:val="24"/>
          <w:szCs w:val="24"/>
          <w:lang w:val="fr"/>
        </w:rPr>
        <w:t>.5</w:t>
      </w:r>
      <w:r>
        <w:rPr>
          <w:color w:val="0000FF"/>
          <w:sz w:val="24"/>
          <w:szCs w:val="24"/>
          <w:lang w:val="en-US"/>
        </w:rPr>
        <w:t>. Orientations vers l’impact</w:t>
      </w:r>
      <w:bookmarkEnd w:id="158"/>
    </w:p>
    <w:tbl>
      <w:tblPr>
        <w:tblW w:w="104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611"/>
        <w:gridCol w:w="1407"/>
        <w:gridCol w:w="2114"/>
        <w:gridCol w:w="3507"/>
      </w:tblGrid>
      <w:tr w:rsidR="00EA6DED" w14:paraId="4337FDA5" w14:textId="77777777">
        <w:trPr>
          <w:trHeight w:val="300"/>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E7E6E6"/>
          </w:tcPr>
          <w:p w14:paraId="4337FDA0" w14:textId="77777777" w:rsidR="00EA6DED" w:rsidRDefault="007504AE">
            <w:pPr>
              <w:spacing w:line="360" w:lineRule="auto"/>
              <w:ind w:left="115"/>
              <w:rPr>
                <w:rFonts w:eastAsia="Roboto"/>
                <w:b/>
                <w:bCs/>
                <w:color w:val="000000"/>
                <w:lang w:val="fr"/>
              </w:rPr>
            </w:pPr>
            <w:r>
              <w:rPr>
                <w:rFonts w:eastAsia="Roboto"/>
                <w:b/>
                <w:bCs/>
                <w:color w:val="000000"/>
                <w:lang w:val="fr"/>
              </w:rPr>
              <w:t>R11</w:t>
            </w:r>
          </w:p>
        </w:tc>
        <w:tc>
          <w:tcPr>
            <w:tcW w:w="2611" w:type="dxa"/>
            <w:tcBorders>
              <w:top w:val="single" w:sz="8" w:space="0" w:color="000000"/>
              <w:left w:val="single" w:sz="8" w:space="0" w:color="000000"/>
              <w:bottom w:val="single" w:sz="8" w:space="0" w:color="0399D2"/>
              <w:right w:val="single" w:sz="8" w:space="0" w:color="0399D2"/>
            </w:tcBorders>
            <w:shd w:val="clear" w:color="auto" w:fill="009ED8"/>
            <w:vAlign w:val="center"/>
          </w:tcPr>
          <w:p w14:paraId="4337FDA1" w14:textId="77777777" w:rsidR="00EA6DED" w:rsidRDefault="007504AE">
            <w:pPr>
              <w:spacing w:before="60" w:after="60" w:line="360" w:lineRule="auto"/>
              <w:ind w:right="62"/>
              <w:jc w:val="center"/>
              <w:rPr>
                <w:rFonts w:eastAsia="Roboto"/>
                <w:b/>
                <w:bCs/>
                <w:color w:val="FFFFFF"/>
                <w:lang w:val="fr"/>
              </w:rPr>
            </w:pPr>
            <w:r>
              <w:rPr>
                <w:rFonts w:eastAsia="Roboto"/>
                <w:b/>
                <w:bCs/>
                <w:color w:val="FFFFFF"/>
                <w:lang w:val="fr"/>
              </w:rPr>
              <w:t>Niveau de priorité</w:t>
            </w:r>
          </w:p>
        </w:tc>
        <w:tc>
          <w:tcPr>
            <w:tcW w:w="1407"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A2"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Origine</w:t>
            </w:r>
          </w:p>
        </w:tc>
        <w:tc>
          <w:tcPr>
            <w:tcW w:w="2114"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A3"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Responsable</w:t>
            </w:r>
          </w:p>
        </w:tc>
        <w:tc>
          <w:tcPr>
            <w:tcW w:w="3507" w:type="dxa"/>
            <w:tcBorders>
              <w:top w:val="single" w:sz="8" w:space="0" w:color="000000"/>
              <w:left w:val="single" w:sz="8" w:space="0" w:color="0399D2"/>
              <w:bottom w:val="single" w:sz="8" w:space="0" w:color="0399D2"/>
              <w:right w:val="single" w:sz="8" w:space="0" w:color="000000"/>
            </w:tcBorders>
            <w:shd w:val="clear" w:color="auto" w:fill="009ED8"/>
            <w:vAlign w:val="center"/>
          </w:tcPr>
          <w:p w14:paraId="4337FDA4" w14:textId="77777777" w:rsidR="00EA6DED" w:rsidRDefault="007504AE">
            <w:pPr>
              <w:spacing w:before="60" w:after="60" w:line="360" w:lineRule="auto"/>
              <w:ind w:right="4"/>
              <w:jc w:val="center"/>
              <w:rPr>
                <w:rFonts w:eastAsia="Roboto"/>
                <w:b/>
                <w:bCs/>
                <w:color w:val="FFFFFF"/>
                <w:lang w:val="fr"/>
              </w:rPr>
            </w:pPr>
            <w:r>
              <w:rPr>
                <w:rFonts w:eastAsia="Roboto"/>
                <w:b/>
                <w:bCs/>
                <w:color w:val="FFFFFF"/>
                <w:lang w:val="fr"/>
              </w:rPr>
              <w:t>Délai de mise en œuvre</w:t>
            </w:r>
          </w:p>
        </w:tc>
      </w:tr>
      <w:tr w:rsidR="00EA6DED" w14:paraId="4337FDAB" w14:textId="77777777">
        <w:trPr>
          <w:trHeight w:val="300"/>
        </w:trPr>
        <w:tc>
          <w:tcPr>
            <w:tcW w:w="851" w:type="dxa"/>
            <w:vMerge/>
            <w:vAlign w:val="center"/>
          </w:tcPr>
          <w:p w14:paraId="4337FDA6" w14:textId="77777777" w:rsidR="00EA6DED" w:rsidRDefault="00EA6DED"/>
        </w:tc>
        <w:tc>
          <w:tcPr>
            <w:tcW w:w="2611" w:type="dxa"/>
            <w:tcBorders>
              <w:top w:val="single" w:sz="8" w:space="0" w:color="0399D2"/>
              <w:left w:val="nil"/>
              <w:bottom w:val="single" w:sz="8" w:space="0" w:color="000000"/>
              <w:right w:val="single" w:sz="8" w:space="0" w:color="0399D2"/>
            </w:tcBorders>
            <w:shd w:val="clear" w:color="auto" w:fill="009ED8"/>
            <w:vAlign w:val="center"/>
          </w:tcPr>
          <w:p w14:paraId="4337FDA7"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3</w:t>
            </w:r>
          </w:p>
        </w:tc>
        <w:tc>
          <w:tcPr>
            <w:tcW w:w="1407"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A8"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C10</w:t>
            </w:r>
          </w:p>
        </w:tc>
        <w:tc>
          <w:tcPr>
            <w:tcW w:w="2114"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A9"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UNCT</w:t>
            </w:r>
          </w:p>
        </w:tc>
        <w:tc>
          <w:tcPr>
            <w:tcW w:w="3507" w:type="dxa"/>
            <w:tcBorders>
              <w:top w:val="single" w:sz="8" w:space="0" w:color="0399D2"/>
              <w:left w:val="single" w:sz="8" w:space="0" w:color="0399D2"/>
              <w:bottom w:val="single" w:sz="8" w:space="0" w:color="000000"/>
              <w:right w:val="single" w:sz="8" w:space="0" w:color="000000"/>
            </w:tcBorders>
            <w:shd w:val="clear" w:color="auto" w:fill="009ED8"/>
            <w:vAlign w:val="center"/>
          </w:tcPr>
          <w:p w14:paraId="4337FDAA"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Court terme</w:t>
            </w:r>
          </w:p>
        </w:tc>
      </w:tr>
      <w:tr w:rsidR="00EA6DED" w14:paraId="4337FDAE" w14:textId="77777777">
        <w:trPr>
          <w:trHeight w:val="300"/>
        </w:trPr>
        <w:tc>
          <w:tcPr>
            <w:tcW w:w="851" w:type="dxa"/>
            <w:vMerge/>
            <w:vAlign w:val="center"/>
          </w:tcPr>
          <w:p w14:paraId="4337FDAC" w14:textId="77777777" w:rsidR="00EA6DED" w:rsidRDefault="00EA6DED"/>
        </w:tc>
        <w:tc>
          <w:tcPr>
            <w:tcW w:w="9639" w:type="dxa"/>
            <w:gridSpan w:val="4"/>
            <w:tcBorders>
              <w:top w:val="single" w:sz="8" w:space="0" w:color="000000"/>
              <w:left w:val="nil"/>
              <w:bottom w:val="single" w:sz="8" w:space="0" w:color="000000"/>
              <w:right w:val="single" w:sz="8" w:space="0" w:color="000000"/>
            </w:tcBorders>
          </w:tcPr>
          <w:p w14:paraId="4337FDAD" w14:textId="77777777" w:rsidR="00EA6DED" w:rsidRDefault="007504AE">
            <w:pPr>
              <w:ind w:right="102"/>
              <w:contextualSpacing/>
              <w:jc w:val="both"/>
              <w:rPr>
                <w:rFonts w:eastAsia="Roboto"/>
              </w:rPr>
            </w:pPr>
            <w:r>
              <w:t>Mettre en place un cadre de mesure efficace et robuste, doté d'indicateurs précis et pertinents dérivés du cadre de résultats du SND30, pour apprécier la contribution du CC en termes d'impact CC aux résultats nationaux</w:t>
            </w:r>
          </w:p>
        </w:tc>
      </w:tr>
    </w:tbl>
    <w:p w14:paraId="4337FDAF" w14:textId="77777777" w:rsidR="00EA6DED" w:rsidRDefault="00EA6DED">
      <w:pPr>
        <w:rPr>
          <w:rFonts w:eastAsia="Roboto"/>
        </w:rPr>
      </w:pPr>
    </w:p>
    <w:p w14:paraId="4337FDB0" w14:textId="77777777" w:rsidR="00EA6DED" w:rsidRDefault="00EA6DED">
      <w:pPr>
        <w:rPr>
          <w:rFonts w:eastAsia="Roboto"/>
        </w:rPr>
      </w:pPr>
    </w:p>
    <w:p w14:paraId="4337FDB1" w14:textId="77777777" w:rsidR="00EA6DED" w:rsidRDefault="007504AE">
      <w:pPr>
        <w:pStyle w:val="Titre2"/>
        <w:rPr>
          <w:rFonts w:eastAsia="Roboto"/>
        </w:rPr>
      </w:pPr>
      <w:bookmarkStart w:id="159" w:name="_Toc30418"/>
      <w:r>
        <w:rPr>
          <w:color w:val="0000FF"/>
          <w:sz w:val="24"/>
          <w:szCs w:val="24"/>
        </w:rPr>
        <w:t>7</w:t>
      </w:r>
      <w:r>
        <w:rPr>
          <w:color w:val="0000FF"/>
          <w:sz w:val="24"/>
          <w:szCs w:val="24"/>
          <w:lang w:val="fr"/>
        </w:rPr>
        <w:t>.6</w:t>
      </w:r>
      <w:r>
        <w:rPr>
          <w:color w:val="0000FF"/>
          <w:sz w:val="24"/>
          <w:szCs w:val="24"/>
          <w:lang w:val="en-US"/>
        </w:rPr>
        <w:t xml:space="preserve">. </w:t>
      </w:r>
      <w:r>
        <w:rPr>
          <w:color w:val="0000FF"/>
          <w:sz w:val="24"/>
          <w:szCs w:val="24"/>
          <w:lang w:val="fr"/>
        </w:rPr>
        <w:t>Durabilité</w:t>
      </w:r>
      <w:bookmarkEnd w:id="159"/>
    </w:p>
    <w:tbl>
      <w:tblPr>
        <w:tblW w:w="104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611"/>
        <w:gridCol w:w="1407"/>
        <w:gridCol w:w="2114"/>
        <w:gridCol w:w="3507"/>
      </w:tblGrid>
      <w:tr w:rsidR="00EA6DED" w14:paraId="4337FDB7" w14:textId="77777777">
        <w:trPr>
          <w:trHeight w:val="300"/>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E7E6E6"/>
          </w:tcPr>
          <w:p w14:paraId="4337FDB2" w14:textId="77777777" w:rsidR="00EA6DED" w:rsidRDefault="007504AE">
            <w:pPr>
              <w:spacing w:line="360" w:lineRule="auto"/>
              <w:rPr>
                <w:rFonts w:eastAsia="Roboto"/>
                <w:b/>
                <w:bCs/>
                <w:color w:val="000000"/>
                <w:lang w:val="fr"/>
              </w:rPr>
            </w:pPr>
            <w:r>
              <w:rPr>
                <w:rFonts w:eastAsia="Roboto"/>
                <w:b/>
                <w:bCs/>
                <w:color w:val="000000"/>
                <w:lang w:val="fr"/>
              </w:rPr>
              <w:t>R12</w:t>
            </w:r>
          </w:p>
        </w:tc>
        <w:tc>
          <w:tcPr>
            <w:tcW w:w="2611" w:type="dxa"/>
            <w:tcBorders>
              <w:top w:val="single" w:sz="8" w:space="0" w:color="000000"/>
              <w:left w:val="single" w:sz="8" w:space="0" w:color="000000"/>
              <w:bottom w:val="single" w:sz="8" w:space="0" w:color="0399D2"/>
              <w:right w:val="single" w:sz="8" w:space="0" w:color="0399D2"/>
            </w:tcBorders>
            <w:shd w:val="clear" w:color="auto" w:fill="009ED8"/>
            <w:vAlign w:val="center"/>
          </w:tcPr>
          <w:p w14:paraId="4337FDB3" w14:textId="77777777" w:rsidR="00EA6DED" w:rsidRDefault="007504AE">
            <w:pPr>
              <w:spacing w:before="60" w:after="60" w:line="360" w:lineRule="auto"/>
              <w:ind w:right="62"/>
              <w:jc w:val="center"/>
              <w:rPr>
                <w:rFonts w:eastAsia="Roboto"/>
                <w:b/>
                <w:bCs/>
                <w:color w:val="FFFFFF"/>
                <w:lang w:val="fr"/>
              </w:rPr>
            </w:pPr>
            <w:r>
              <w:rPr>
                <w:rFonts w:eastAsia="Roboto"/>
                <w:b/>
                <w:bCs/>
                <w:color w:val="FFFFFF"/>
                <w:lang w:val="fr"/>
              </w:rPr>
              <w:t>Niveau de priorité</w:t>
            </w:r>
          </w:p>
        </w:tc>
        <w:tc>
          <w:tcPr>
            <w:tcW w:w="1407"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B4"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Origine</w:t>
            </w:r>
          </w:p>
        </w:tc>
        <w:tc>
          <w:tcPr>
            <w:tcW w:w="2114"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B5"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Responsable</w:t>
            </w:r>
          </w:p>
        </w:tc>
        <w:tc>
          <w:tcPr>
            <w:tcW w:w="3507" w:type="dxa"/>
            <w:tcBorders>
              <w:top w:val="single" w:sz="8" w:space="0" w:color="000000"/>
              <w:left w:val="single" w:sz="8" w:space="0" w:color="0399D2"/>
              <w:bottom w:val="single" w:sz="8" w:space="0" w:color="0399D2"/>
              <w:right w:val="single" w:sz="8" w:space="0" w:color="000000"/>
            </w:tcBorders>
            <w:shd w:val="clear" w:color="auto" w:fill="009ED8"/>
            <w:vAlign w:val="center"/>
          </w:tcPr>
          <w:p w14:paraId="4337FDB6" w14:textId="77777777" w:rsidR="00EA6DED" w:rsidRDefault="007504AE">
            <w:pPr>
              <w:spacing w:before="60" w:after="60" w:line="360" w:lineRule="auto"/>
              <w:ind w:right="4"/>
              <w:jc w:val="center"/>
              <w:rPr>
                <w:rFonts w:eastAsia="Roboto"/>
                <w:b/>
                <w:bCs/>
                <w:color w:val="FFFFFF"/>
                <w:lang w:val="fr"/>
              </w:rPr>
            </w:pPr>
            <w:r>
              <w:rPr>
                <w:rFonts w:eastAsia="Roboto"/>
                <w:b/>
                <w:bCs/>
                <w:color w:val="FFFFFF"/>
                <w:lang w:val="fr"/>
              </w:rPr>
              <w:t>Délai de mise en œuvre</w:t>
            </w:r>
          </w:p>
        </w:tc>
      </w:tr>
      <w:tr w:rsidR="00EA6DED" w14:paraId="4337FDBD" w14:textId="77777777">
        <w:trPr>
          <w:trHeight w:val="300"/>
        </w:trPr>
        <w:tc>
          <w:tcPr>
            <w:tcW w:w="851" w:type="dxa"/>
            <w:vMerge/>
            <w:vAlign w:val="center"/>
          </w:tcPr>
          <w:p w14:paraId="4337FDB8" w14:textId="77777777" w:rsidR="00EA6DED" w:rsidRDefault="00EA6DED"/>
        </w:tc>
        <w:tc>
          <w:tcPr>
            <w:tcW w:w="2611" w:type="dxa"/>
            <w:tcBorders>
              <w:top w:val="single" w:sz="8" w:space="0" w:color="0399D2"/>
              <w:left w:val="nil"/>
              <w:bottom w:val="single" w:sz="8" w:space="0" w:color="000000"/>
              <w:right w:val="single" w:sz="8" w:space="0" w:color="0399D2"/>
            </w:tcBorders>
            <w:shd w:val="clear" w:color="auto" w:fill="009ED8"/>
            <w:vAlign w:val="center"/>
          </w:tcPr>
          <w:p w14:paraId="4337FDB9"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3</w:t>
            </w:r>
          </w:p>
        </w:tc>
        <w:tc>
          <w:tcPr>
            <w:tcW w:w="1407"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BA"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C11a</w:t>
            </w:r>
          </w:p>
        </w:tc>
        <w:tc>
          <w:tcPr>
            <w:tcW w:w="2114"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BB"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UNCT</w:t>
            </w:r>
          </w:p>
        </w:tc>
        <w:tc>
          <w:tcPr>
            <w:tcW w:w="3507" w:type="dxa"/>
            <w:tcBorders>
              <w:top w:val="single" w:sz="8" w:space="0" w:color="0399D2"/>
              <w:left w:val="single" w:sz="8" w:space="0" w:color="0399D2"/>
              <w:bottom w:val="single" w:sz="8" w:space="0" w:color="000000"/>
              <w:right w:val="single" w:sz="8" w:space="0" w:color="000000"/>
            </w:tcBorders>
            <w:shd w:val="clear" w:color="auto" w:fill="009ED8"/>
            <w:vAlign w:val="center"/>
          </w:tcPr>
          <w:p w14:paraId="4337FDBC"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Court terme</w:t>
            </w:r>
          </w:p>
        </w:tc>
      </w:tr>
      <w:tr w:rsidR="00EA6DED" w14:paraId="4337FDC0" w14:textId="77777777">
        <w:trPr>
          <w:trHeight w:val="300"/>
        </w:trPr>
        <w:tc>
          <w:tcPr>
            <w:tcW w:w="851" w:type="dxa"/>
            <w:vMerge/>
            <w:vAlign w:val="center"/>
          </w:tcPr>
          <w:p w14:paraId="4337FDBE" w14:textId="77777777" w:rsidR="00EA6DED" w:rsidRDefault="00EA6DED"/>
        </w:tc>
        <w:tc>
          <w:tcPr>
            <w:tcW w:w="9639" w:type="dxa"/>
            <w:gridSpan w:val="4"/>
            <w:tcBorders>
              <w:top w:val="single" w:sz="8" w:space="0" w:color="000000"/>
              <w:left w:val="nil"/>
              <w:bottom w:val="single" w:sz="8" w:space="0" w:color="000000"/>
              <w:right w:val="single" w:sz="8" w:space="0" w:color="000000"/>
            </w:tcBorders>
          </w:tcPr>
          <w:p w14:paraId="4337FDBF" w14:textId="77777777" w:rsidR="00EA6DED" w:rsidRDefault="007504AE">
            <w:pPr>
              <w:spacing w:line="276" w:lineRule="auto"/>
              <w:ind w:right="103"/>
              <w:jc w:val="both"/>
              <w:rPr>
                <w:rFonts w:eastAsia="Roboto"/>
              </w:rPr>
            </w:pPr>
            <w:r>
              <w:t>Intégrer dans les Procédures Opérationnelles Standards (SOP) d’élaboration des projets et programmes du SNU, un plan de dévolution comme marqueur de durabilité, détaillant les modalités de transfert des responsabilités, capacités et ressources aux institutions nationales ou partenaires.</w:t>
            </w:r>
          </w:p>
        </w:tc>
      </w:tr>
    </w:tbl>
    <w:p w14:paraId="4337FDC1" w14:textId="77777777" w:rsidR="00EA6DED" w:rsidRDefault="00EA6DED">
      <w:pPr>
        <w:spacing w:line="360" w:lineRule="auto"/>
        <w:jc w:val="center"/>
        <w:rPr>
          <w:rFonts w:eastAsia="Roboto"/>
          <w:b/>
          <w:bCs/>
          <w:lang w:val="fr"/>
        </w:rPr>
      </w:pPr>
    </w:p>
    <w:tbl>
      <w:tblPr>
        <w:tblW w:w="1049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611"/>
        <w:gridCol w:w="1407"/>
        <w:gridCol w:w="2114"/>
        <w:gridCol w:w="3507"/>
      </w:tblGrid>
      <w:tr w:rsidR="00EA6DED" w14:paraId="4337FDC7" w14:textId="77777777">
        <w:trPr>
          <w:trHeight w:val="300"/>
        </w:trPr>
        <w:tc>
          <w:tcPr>
            <w:tcW w:w="851" w:type="dxa"/>
            <w:vMerge w:val="restart"/>
            <w:tcBorders>
              <w:top w:val="single" w:sz="8" w:space="0" w:color="000000"/>
              <w:left w:val="single" w:sz="8" w:space="0" w:color="000000"/>
              <w:bottom w:val="single" w:sz="8" w:space="0" w:color="000000"/>
              <w:right w:val="single" w:sz="8" w:space="0" w:color="000000"/>
            </w:tcBorders>
            <w:shd w:val="clear" w:color="auto" w:fill="E7E6E6"/>
          </w:tcPr>
          <w:p w14:paraId="4337FDC2" w14:textId="77777777" w:rsidR="00EA6DED" w:rsidRDefault="007504AE">
            <w:pPr>
              <w:spacing w:line="360" w:lineRule="auto"/>
              <w:rPr>
                <w:rFonts w:eastAsia="Roboto"/>
                <w:b/>
                <w:bCs/>
                <w:color w:val="000000"/>
                <w:lang w:val="fr"/>
              </w:rPr>
            </w:pPr>
            <w:r>
              <w:rPr>
                <w:rFonts w:eastAsia="Roboto"/>
                <w:b/>
                <w:bCs/>
                <w:color w:val="000000"/>
                <w:lang w:val="fr"/>
              </w:rPr>
              <w:t>R13</w:t>
            </w:r>
          </w:p>
        </w:tc>
        <w:tc>
          <w:tcPr>
            <w:tcW w:w="2611" w:type="dxa"/>
            <w:tcBorders>
              <w:top w:val="single" w:sz="8" w:space="0" w:color="000000"/>
              <w:left w:val="single" w:sz="8" w:space="0" w:color="000000"/>
              <w:bottom w:val="single" w:sz="8" w:space="0" w:color="0399D2"/>
              <w:right w:val="single" w:sz="8" w:space="0" w:color="0399D2"/>
            </w:tcBorders>
            <w:shd w:val="clear" w:color="auto" w:fill="009ED8"/>
            <w:vAlign w:val="center"/>
          </w:tcPr>
          <w:p w14:paraId="4337FDC3" w14:textId="77777777" w:rsidR="00EA6DED" w:rsidRDefault="007504AE">
            <w:pPr>
              <w:spacing w:before="60" w:after="60" w:line="360" w:lineRule="auto"/>
              <w:ind w:right="62"/>
              <w:jc w:val="center"/>
              <w:rPr>
                <w:rFonts w:eastAsia="Roboto"/>
                <w:b/>
                <w:bCs/>
                <w:color w:val="FFFFFF"/>
                <w:lang w:val="fr"/>
              </w:rPr>
            </w:pPr>
            <w:r>
              <w:rPr>
                <w:rFonts w:eastAsia="Roboto"/>
                <w:b/>
                <w:bCs/>
                <w:color w:val="FFFFFF"/>
                <w:lang w:val="fr"/>
              </w:rPr>
              <w:t>Niveau de priorité</w:t>
            </w:r>
          </w:p>
        </w:tc>
        <w:tc>
          <w:tcPr>
            <w:tcW w:w="1407"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C4"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Origine</w:t>
            </w:r>
          </w:p>
        </w:tc>
        <w:tc>
          <w:tcPr>
            <w:tcW w:w="2114" w:type="dxa"/>
            <w:tcBorders>
              <w:top w:val="single" w:sz="8" w:space="0" w:color="000000"/>
              <w:left w:val="single" w:sz="8" w:space="0" w:color="0399D2"/>
              <w:bottom w:val="single" w:sz="8" w:space="0" w:color="0399D2"/>
              <w:right w:val="single" w:sz="8" w:space="0" w:color="0399D2"/>
            </w:tcBorders>
            <w:shd w:val="clear" w:color="auto" w:fill="009ED8"/>
            <w:vAlign w:val="center"/>
          </w:tcPr>
          <w:p w14:paraId="4337FDC5" w14:textId="77777777" w:rsidR="00EA6DED" w:rsidRDefault="007504AE">
            <w:pPr>
              <w:spacing w:before="60" w:after="60" w:line="360" w:lineRule="auto"/>
              <w:jc w:val="center"/>
              <w:rPr>
                <w:rFonts w:eastAsia="Roboto"/>
                <w:b/>
                <w:bCs/>
                <w:color w:val="FFFFFF"/>
                <w:lang w:val="fr"/>
              </w:rPr>
            </w:pPr>
            <w:r>
              <w:rPr>
                <w:rFonts w:eastAsia="Roboto"/>
                <w:b/>
                <w:bCs/>
                <w:color w:val="FFFFFF"/>
                <w:lang w:val="fr"/>
              </w:rPr>
              <w:t>Responsable</w:t>
            </w:r>
          </w:p>
        </w:tc>
        <w:tc>
          <w:tcPr>
            <w:tcW w:w="3507" w:type="dxa"/>
            <w:tcBorders>
              <w:top w:val="single" w:sz="8" w:space="0" w:color="000000"/>
              <w:left w:val="single" w:sz="8" w:space="0" w:color="0399D2"/>
              <w:bottom w:val="single" w:sz="8" w:space="0" w:color="0399D2"/>
              <w:right w:val="single" w:sz="8" w:space="0" w:color="000000"/>
            </w:tcBorders>
            <w:shd w:val="clear" w:color="auto" w:fill="009ED8"/>
            <w:vAlign w:val="center"/>
          </w:tcPr>
          <w:p w14:paraId="4337FDC6" w14:textId="77777777" w:rsidR="00EA6DED" w:rsidRDefault="007504AE">
            <w:pPr>
              <w:spacing w:before="60" w:after="60" w:line="360" w:lineRule="auto"/>
              <w:ind w:right="4"/>
              <w:jc w:val="center"/>
              <w:rPr>
                <w:rFonts w:eastAsia="Roboto"/>
                <w:b/>
                <w:bCs/>
                <w:color w:val="FFFFFF"/>
                <w:lang w:val="fr"/>
              </w:rPr>
            </w:pPr>
            <w:r>
              <w:rPr>
                <w:rFonts w:eastAsia="Roboto"/>
                <w:b/>
                <w:bCs/>
                <w:color w:val="FFFFFF"/>
                <w:lang w:val="fr"/>
              </w:rPr>
              <w:t>Délai de mise en œuvre</w:t>
            </w:r>
          </w:p>
        </w:tc>
      </w:tr>
      <w:tr w:rsidR="00EA6DED" w14:paraId="4337FDCD" w14:textId="77777777">
        <w:trPr>
          <w:trHeight w:val="300"/>
        </w:trPr>
        <w:tc>
          <w:tcPr>
            <w:tcW w:w="851" w:type="dxa"/>
            <w:vMerge/>
            <w:vAlign w:val="center"/>
          </w:tcPr>
          <w:p w14:paraId="4337FDC8" w14:textId="77777777" w:rsidR="00EA6DED" w:rsidRDefault="00EA6DED"/>
        </w:tc>
        <w:tc>
          <w:tcPr>
            <w:tcW w:w="2611" w:type="dxa"/>
            <w:tcBorders>
              <w:top w:val="single" w:sz="8" w:space="0" w:color="0399D2"/>
              <w:left w:val="nil"/>
              <w:bottom w:val="single" w:sz="8" w:space="0" w:color="000000"/>
              <w:right w:val="single" w:sz="8" w:space="0" w:color="0399D2"/>
            </w:tcBorders>
            <w:shd w:val="clear" w:color="auto" w:fill="009ED8"/>
            <w:vAlign w:val="center"/>
          </w:tcPr>
          <w:p w14:paraId="4337FDC9"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3</w:t>
            </w:r>
          </w:p>
        </w:tc>
        <w:tc>
          <w:tcPr>
            <w:tcW w:w="1407"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CA"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C11b</w:t>
            </w:r>
          </w:p>
        </w:tc>
        <w:tc>
          <w:tcPr>
            <w:tcW w:w="2114" w:type="dxa"/>
            <w:tcBorders>
              <w:top w:val="single" w:sz="8" w:space="0" w:color="0399D2"/>
              <w:left w:val="single" w:sz="8" w:space="0" w:color="0399D2"/>
              <w:bottom w:val="single" w:sz="8" w:space="0" w:color="000000"/>
              <w:right w:val="single" w:sz="8" w:space="0" w:color="0399D2"/>
            </w:tcBorders>
            <w:shd w:val="clear" w:color="auto" w:fill="009ED8"/>
            <w:vAlign w:val="center"/>
          </w:tcPr>
          <w:p w14:paraId="4337FDCB"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UNCT</w:t>
            </w:r>
          </w:p>
        </w:tc>
        <w:tc>
          <w:tcPr>
            <w:tcW w:w="3507" w:type="dxa"/>
            <w:tcBorders>
              <w:top w:val="single" w:sz="8" w:space="0" w:color="0399D2"/>
              <w:left w:val="single" w:sz="8" w:space="0" w:color="0399D2"/>
              <w:bottom w:val="single" w:sz="8" w:space="0" w:color="000000"/>
              <w:right w:val="single" w:sz="8" w:space="0" w:color="000000"/>
            </w:tcBorders>
            <w:shd w:val="clear" w:color="auto" w:fill="009ED8"/>
            <w:vAlign w:val="center"/>
          </w:tcPr>
          <w:p w14:paraId="4337FDCC" w14:textId="77777777" w:rsidR="00EA6DED" w:rsidRDefault="007504AE">
            <w:pPr>
              <w:spacing w:before="60" w:after="60" w:line="360" w:lineRule="auto"/>
              <w:ind w:right="62"/>
              <w:jc w:val="center"/>
              <w:rPr>
                <w:rFonts w:eastAsia="Roboto"/>
                <w:color w:val="FFFFFF"/>
                <w:lang w:val="fr"/>
              </w:rPr>
            </w:pPr>
            <w:r>
              <w:rPr>
                <w:rFonts w:eastAsia="Roboto"/>
                <w:color w:val="FFFFFF"/>
                <w:lang w:val="fr"/>
              </w:rPr>
              <w:t>Court terme</w:t>
            </w:r>
          </w:p>
        </w:tc>
      </w:tr>
      <w:tr w:rsidR="00EA6DED" w14:paraId="4337FDD0" w14:textId="77777777">
        <w:trPr>
          <w:trHeight w:val="300"/>
        </w:trPr>
        <w:tc>
          <w:tcPr>
            <w:tcW w:w="851" w:type="dxa"/>
            <w:vMerge/>
            <w:vAlign w:val="center"/>
          </w:tcPr>
          <w:p w14:paraId="4337FDCE" w14:textId="77777777" w:rsidR="00EA6DED" w:rsidRDefault="00EA6DED"/>
        </w:tc>
        <w:tc>
          <w:tcPr>
            <w:tcW w:w="9639" w:type="dxa"/>
            <w:gridSpan w:val="4"/>
            <w:tcBorders>
              <w:top w:val="single" w:sz="8" w:space="0" w:color="000000"/>
              <w:left w:val="nil"/>
              <w:bottom w:val="single" w:sz="8" w:space="0" w:color="000000"/>
              <w:right w:val="single" w:sz="8" w:space="0" w:color="000000"/>
            </w:tcBorders>
          </w:tcPr>
          <w:p w14:paraId="4337FDCF" w14:textId="77777777" w:rsidR="00EA6DED" w:rsidRDefault="007504AE">
            <w:pPr>
              <w:jc w:val="both"/>
            </w:pPr>
            <w:r>
              <w:t xml:space="preserve">Instaurer des mécanismes structurés pour renforcer les capacités techniques et humaines des institutions nationales, notamment les collectivités décentralisées et les organisations communautaires en matière de gouvernance locale, de durabilité environnementale et de gestion efficace des projets à travers : (i) des programmes de formation et d’accompagnement ,(ii) des outils pratiques et plateformes de suivi des projets, et (iii) des programmes de mentorat et échanges de bonnes pratiques entre institutions. </w:t>
            </w:r>
          </w:p>
        </w:tc>
      </w:tr>
    </w:tbl>
    <w:p w14:paraId="4337FDD1" w14:textId="77777777" w:rsidR="00EA6DED" w:rsidRDefault="007504AE">
      <w:pPr>
        <w:spacing w:line="360" w:lineRule="auto"/>
        <w:rPr>
          <w:rFonts w:eastAsia="Roboto"/>
          <w:b/>
          <w:bCs/>
          <w:lang w:val="fr"/>
        </w:rPr>
      </w:pPr>
      <w:r>
        <w:rPr>
          <w:rFonts w:eastAsia="Roboto"/>
          <w:b/>
          <w:bCs/>
          <w:lang w:val="fr"/>
        </w:rPr>
        <w:lastRenderedPageBreak/>
        <w:t xml:space="preserve"> </w:t>
      </w:r>
      <w:r>
        <w:rPr>
          <w:rFonts w:eastAsia="Roboto"/>
          <w:b/>
          <w:bCs/>
          <w:color w:val="0070C0"/>
          <w:lang w:val="fr"/>
        </w:rPr>
        <w:t xml:space="preserve"> </w:t>
      </w:r>
    </w:p>
    <w:p w14:paraId="4337FDD2" w14:textId="77777777" w:rsidR="00EA6DED" w:rsidRDefault="007504AE">
      <w:pPr>
        <w:numPr>
          <w:ilvl w:val="0"/>
          <w:numId w:val="3"/>
        </w:numPr>
        <w:ind w:right="550"/>
        <w:rPr>
          <w:rStyle w:val="Titre1Car"/>
          <w:rFonts w:ascii="Times New Roman" w:hAnsi="Times New Roman"/>
          <w:sz w:val="28"/>
          <w:shd w:val="clear" w:color="auto" w:fill="FFFFFF"/>
        </w:rPr>
      </w:pPr>
      <w:r>
        <w:rPr>
          <w:rStyle w:val="Titre1Car"/>
          <w:rFonts w:ascii="Times New Roman" w:hAnsi="Times New Roman"/>
          <w:shd w:val="clear" w:color="auto" w:fill="FFFFFF"/>
        </w:rPr>
        <w:t xml:space="preserve"> </w:t>
      </w:r>
      <w:r>
        <w:rPr>
          <w:sz w:val="32"/>
        </w:rPr>
        <w:t>Limites et enseignements tirés</w:t>
      </w:r>
      <w:r>
        <w:rPr>
          <w:rStyle w:val="Titre1Car"/>
          <w:rFonts w:ascii="Times New Roman" w:hAnsi="Times New Roman"/>
          <w:sz w:val="36"/>
          <w:shd w:val="clear" w:color="auto" w:fill="FFFFFF"/>
        </w:rPr>
        <w:t xml:space="preserve"> </w:t>
      </w:r>
    </w:p>
    <w:p w14:paraId="4337FDD3" w14:textId="77777777" w:rsidR="00EA6DED" w:rsidRDefault="00EA6DED">
      <w:pPr>
        <w:rPr>
          <w:rFonts w:eastAsia="Calibri"/>
          <w:color w:val="000000"/>
          <w:szCs w:val="22"/>
        </w:rPr>
      </w:pPr>
    </w:p>
    <w:p w14:paraId="4337FDD4" w14:textId="77777777" w:rsidR="00EA6DED" w:rsidRDefault="007504AE">
      <w:pPr>
        <w:pStyle w:val="Commentaire"/>
        <w:jc w:val="both"/>
        <w:rPr>
          <w:rFonts w:ascii="Times New Roman" w:hAnsi="Times New Roman"/>
          <w:sz w:val="24"/>
          <w:szCs w:val="24"/>
        </w:rPr>
      </w:pPr>
      <w:r>
        <w:rPr>
          <w:rFonts w:ascii="Times New Roman" w:hAnsi="Times New Roman"/>
          <w:color w:val="000000"/>
          <w:sz w:val="24"/>
          <w:szCs w:val="24"/>
        </w:rPr>
        <w:t>A la suite de l’analyse globale des données, plusieurs limites et enseignements tirés se sont dégagées. En effet, l</w:t>
      </w:r>
      <w:r>
        <w:rPr>
          <w:rFonts w:ascii="Times New Roman" w:hAnsi="Times New Roman"/>
          <w:sz w:val="24"/>
          <w:szCs w:val="24"/>
        </w:rPr>
        <w:t>a formulation des indicateurs de produits comme des indicateurs d’effet, le faible niveau de renseignement des indicateurs d’effet et la tendance à rapporter plus les activités que les résultats ont rendu difficile l’évaluation de la contribution effective du Cadre de coopération aux résultats nationaux.  L’indisponibilité ou la qualité limitées des données financières, l’insuffisante qualité de certains rapports pertinents, notamment des rapports annuels des groupes de résultats ont limité la capacité à analyser et à rendre compte de manière exhaustive de la contribution de UNSDCC 2022-2026.</w:t>
      </w:r>
    </w:p>
    <w:p w14:paraId="4337FDD5" w14:textId="77777777" w:rsidR="00EA6DED" w:rsidRDefault="00EA6DED">
      <w:pPr>
        <w:pStyle w:val="Commentaire"/>
      </w:pPr>
    </w:p>
    <w:p w14:paraId="4337FDD6" w14:textId="77777777" w:rsidR="00EA6DED" w:rsidRDefault="007504AE">
      <w:pPr>
        <w:spacing w:line="276" w:lineRule="auto"/>
        <w:ind w:right="-134"/>
        <w:jc w:val="both"/>
        <w:rPr>
          <w:color w:val="000000"/>
        </w:rPr>
      </w:pPr>
      <w:r>
        <w:rPr>
          <w:color w:val="000000"/>
        </w:rPr>
        <w:t xml:space="preserve">Pour des raisons de sécurité, la collecte des données dans le Sud-Ouest a été faite à distance. La même approche a été utilisée pour les Agences non-résidentes pour palier à leur absence physique dans le pays.  </w:t>
      </w:r>
    </w:p>
    <w:p w14:paraId="4337FDD7" w14:textId="77777777" w:rsidR="00EA6DED" w:rsidRDefault="00EA6DED">
      <w:pPr>
        <w:contextualSpacing/>
        <w:rPr>
          <w:rFonts w:eastAsia="Calibri"/>
          <w:color w:val="000000"/>
          <w:szCs w:val="22"/>
        </w:rPr>
      </w:pPr>
    </w:p>
    <w:p w14:paraId="4337FDD8" w14:textId="77777777" w:rsidR="00EA6DED" w:rsidRDefault="00EA6DED">
      <w:pPr>
        <w:rPr>
          <w:sz w:val="22"/>
          <w:szCs w:val="22"/>
        </w:rPr>
      </w:pPr>
    </w:p>
    <w:sectPr w:rsidR="00EA6DED">
      <w:footerReference w:type="default" r:id="rId77"/>
      <w:pgSz w:w="11907" w:h="16839"/>
      <w:pgMar w:top="1077" w:right="680" w:bottom="1077" w:left="624" w:header="0" w:footer="1015"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2BDD63" w14:textId="77777777" w:rsidR="00391664" w:rsidRDefault="00391664">
      <w:r>
        <w:separator/>
      </w:r>
    </w:p>
  </w:endnote>
  <w:endnote w:type="continuationSeparator" w:id="0">
    <w:p w14:paraId="27E2C128" w14:textId="77777777" w:rsidR="00391664" w:rsidRDefault="00391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altName w:val="Times New Roman"/>
    <w:panose1 w:val="02020603050405020304"/>
    <w:charset w:val="00"/>
    <w:family w:val="auto"/>
    <w:pitch w:val="variable"/>
    <w:sig w:usb0="00000003" w:usb1="00000000" w:usb2="00000000" w:usb3="00000000" w:csb0="00000007"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rlito">
    <w:altName w:val="Arial"/>
    <w:charset w:val="00"/>
    <w:family w:val="swiss"/>
    <w:pitch w:val="default"/>
    <w:sig w:usb0="00000000" w:usb1="00000000" w:usb2="00000009" w:usb3="00000000" w:csb0="2000019F"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RotisSerif">
    <w:altName w:val="Cambria"/>
    <w:charset w:val="00"/>
    <w:family w:val="roman"/>
    <w:pitch w:val="default"/>
    <w:sig w:usb0="00000000"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quot;Times New Roman&quot;">
    <w:charset w:val="00"/>
    <w:family w:val="roman"/>
    <w:pitch w:val="default"/>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AppleMyungjo">
    <w:charset w:val="81"/>
    <w:family w:val="auto"/>
    <w:pitch w:val="variable"/>
    <w:sig w:usb0="00000001" w:usb1="09060000" w:usb2="00000010" w:usb3="00000000" w:csb0="00280001" w:csb1="00000000"/>
  </w:font>
  <w:font w:name="TimesNewRomanPSMT">
    <w:altName w:val="Times New Roman"/>
    <w:charset w:val="00"/>
    <w:family w:val="roman"/>
    <w:pitch w:val="default"/>
    <w:sig w:usb0="00000000" w:usb1="00000000" w:usb2="00000009" w:usb3="00000000" w:csb0="000001FF" w:csb1="00000000"/>
  </w:font>
  <w:font w:name="Aptos">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roboto-fallback">
    <w:altName w:val="Arial"/>
    <w:charset w:val="00"/>
    <w:family w:val="roman"/>
    <w:pitch w:val="default"/>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FEAC" w14:textId="77777777" w:rsidR="00EA6DED" w:rsidRDefault="007504AE">
    <w:pPr>
      <w:tabs>
        <w:tab w:val="center" w:pos="4536"/>
        <w:tab w:val="right" w:pos="9072"/>
      </w:tabs>
      <w:jc w:val="right"/>
      <w:rPr>
        <w:rFonts w:ascii="Arial" w:eastAsia="Arial" w:hAnsi="Arial" w:cs="Arial"/>
        <w:color w:val="000000"/>
      </w:rPr>
    </w:pPr>
    <w:r>
      <w:rPr>
        <w:noProof/>
      </w:rPr>
      <mc:AlternateContent>
        <mc:Choice Requires="wps">
          <w:drawing>
            <wp:anchor distT="0" distB="0" distL="114300" distR="114300" simplePos="0" relativeHeight="251659264" behindDoc="0" locked="0" layoutInCell="1" allowOverlap="1" wp14:anchorId="4337FEB0" wp14:editId="4337FEB1">
              <wp:simplePos x="0" y="0"/>
              <wp:positionH relativeFrom="margin">
                <wp:align>right</wp:align>
              </wp:positionH>
              <wp:positionV relativeFrom="paragraph">
                <wp:posOffset>0</wp:posOffset>
              </wp:positionV>
              <wp:extent cx="1828800" cy="1828800"/>
              <wp:effectExtent l="0" t="0" r="0" b="0"/>
              <wp:wrapNone/>
              <wp:docPr id="336" name="Zone de texte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828800" cy="1828800"/>
                      </a:xfrm>
                      <a:prstGeom prst="rect">
                        <a:avLst/>
                      </a:prstGeom>
                      <a:noFill/>
                      <a:ln w="6350">
                        <a:noFill/>
                      </a:ln>
                      <a:effectLst/>
                    </wps:spPr>
                    <wps:txbx>
                      <w:txbxContent>
                        <w:p w14:paraId="4337FF3C" w14:textId="77777777" w:rsidR="00EA6DED" w:rsidRDefault="007504AE">
                          <w:pPr>
                            <w:tabs>
                              <w:tab w:val="center" w:pos="4536"/>
                              <w:tab w:val="right" w:pos="9072"/>
                            </w:tabs>
                            <w:jc w:val="right"/>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Pr>
                              <w:rFonts w:ascii="Arial" w:eastAsia="Arial" w:hAnsi="Arial" w:cs="Arial"/>
                              <w:color w:val="000000"/>
                            </w:rPr>
                            <w:t>25</w:t>
                          </w:r>
                          <w:r>
                            <w:rPr>
                              <w:rFonts w:ascii="Arial" w:eastAsia="Arial" w:hAnsi="Arial" w:cs="Arial"/>
                              <w:color w:val="00000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Zone de texte 7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zSVju0AAAAAUBAAAPAAAAAAAAAAEAIAAAACIAAABkcnMv&#10;ZG93bnJldi54bWxQSwECFAAUAAAACACHTuJAaSfNp0QCAACaBAAADgAAAAAAAAABACAAAAAfAQAA&#10;ZHJzL2Uyb0RvYy54bWxQSwUGAAAAAAYABgBZAQAA1QUAAAAA&#10;">
              <v:fill on="f" focussize="0,0"/>
              <v:stroke on="f" weight="0.5pt"/>
              <v:imagedata o:title=""/>
              <o:lock v:ext="edit" aspectratio="f"/>
              <v:textbox inset="0mm,0mm,0mm,0mm" style="mso-fit-shape-to-text:t;">
                <w:txbxContent>
                  <w:p w14:paraId="49DF9386">
                    <w:pPr>
                      <w:tabs>
                        <w:tab w:val="center" w:pos="4536"/>
                        <w:tab w:val="right" w:pos="9072"/>
                      </w:tabs>
                      <w:jc w:val="right"/>
                    </w:pPr>
                    <w:r>
                      <w:rPr>
                        <w:rFonts w:ascii="Arial" w:hAnsi="Arial" w:eastAsia="Arial" w:cs="Arial"/>
                        <w:color w:val="000000"/>
                      </w:rPr>
                      <w:fldChar w:fldCharType="begin"/>
                    </w:r>
                    <w:r>
                      <w:rPr>
                        <w:rFonts w:ascii="Arial" w:hAnsi="Arial" w:eastAsia="Arial" w:cs="Arial"/>
                        <w:color w:val="000000"/>
                      </w:rPr>
                      <w:instrText xml:space="preserve">PAGE</w:instrText>
                    </w:r>
                    <w:r>
                      <w:rPr>
                        <w:rFonts w:ascii="Arial" w:hAnsi="Arial" w:eastAsia="Arial" w:cs="Arial"/>
                        <w:color w:val="000000"/>
                      </w:rPr>
                      <w:fldChar w:fldCharType="separate"/>
                    </w:r>
                    <w:r>
                      <w:rPr>
                        <w:rFonts w:ascii="Arial" w:hAnsi="Arial" w:eastAsia="Arial" w:cs="Arial"/>
                        <w:color w:val="000000"/>
                      </w:rPr>
                      <w:t>25</w:t>
                    </w:r>
                    <w:r>
                      <w:rPr>
                        <w:rFonts w:ascii="Arial" w:hAnsi="Arial" w:eastAsia="Arial" w:cs="Arial"/>
                        <w:color w:val="000000"/>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FEAD" w14:textId="77777777" w:rsidR="00EA6DED" w:rsidRDefault="007504AE">
    <w:pPr>
      <w:pStyle w:val="Pieddepage"/>
    </w:pPr>
    <w:r>
      <w:rPr>
        <w:noProof/>
      </w:rPr>
      <mc:AlternateContent>
        <mc:Choice Requires="wps">
          <w:drawing>
            <wp:anchor distT="0" distB="0" distL="114300" distR="114300" simplePos="0" relativeHeight="251660288" behindDoc="0" locked="0" layoutInCell="1" allowOverlap="1" wp14:anchorId="4337FEB2" wp14:editId="4337FEB3">
              <wp:simplePos x="0" y="0"/>
              <wp:positionH relativeFrom="margin">
                <wp:align>right</wp:align>
              </wp:positionH>
              <wp:positionV relativeFrom="paragraph">
                <wp:posOffset>0</wp:posOffset>
              </wp:positionV>
              <wp:extent cx="89535" cy="186055"/>
              <wp:effectExtent l="0" t="0" r="0" b="0"/>
              <wp:wrapNone/>
              <wp:docPr id="335" name="Zone de texte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89535" cy="186055"/>
                      </a:xfrm>
                      <a:prstGeom prst="rect">
                        <a:avLst/>
                      </a:prstGeom>
                      <a:noFill/>
                      <a:ln w="6350">
                        <a:noFill/>
                      </a:ln>
                      <a:effectLst/>
                    </wps:spPr>
                    <wps:txbx>
                      <w:txbxContent>
                        <w:p w14:paraId="4337FF3D" w14:textId="77777777" w:rsidR="00EA6DED" w:rsidRDefault="00EA6DED">
                          <w:pPr>
                            <w:pStyle w:val="Pieddepage"/>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Zone de texte 70" o:spid="_x0000_s1026" o:spt="202" type="#_x0000_t202" style="position:absolute;left:0pt;margin-top:0pt;height:14.65pt;width:7.05pt;mso-position-horizontal:right;mso-position-horizontal-relative:margin;mso-wrap-style:none;z-index:251660288;mso-width-relative:page;mso-height-relative:page;" filled="f" stroked="f" coordsize="21600,21600" o:gfxdata="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LyDNb9IAAAADAQAADwAAAAAAAAABACAAAAAiAAAAZHJz&#10;L2Rvd25yZXYueG1sUEsBAhQAFAAAAAgAh07iQH3r6DRDAgAAlwQAAA4AAAAAAAAAAQAgAAAAIQEA&#10;AGRycy9lMm9Eb2MueG1sUEsFBgAAAAAGAAYAWQEAANYFAAAAAA==&#10;">
              <v:fill on="f" focussize="0,0"/>
              <v:stroke on="f" weight="0.5pt"/>
              <v:imagedata o:title=""/>
              <o:lock v:ext="edit" aspectratio="f"/>
              <v:textbox inset="0mm,0mm,0mm,0mm" style="mso-fit-shape-to-text:t;">
                <w:txbxContent>
                  <w:p w14:paraId="741D777D">
                    <w:pPr>
                      <w:pStyle w:val="42"/>
                    </w:pP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FEAE" w14:textId="77777777" w:rsidR="00EA6DED" w:rsidRDefault="007504AE">
    <w:pPr>
      <w:tabs>
        <w:tab w:val="center" w:pos="4536"/>
        <w:tab w:val="right" w:pos="9072"/>
      </w:tabs>
      <w:jc w:val="right"/>
      <w:rPr>
        <w:rFonts w:ascii="Arial" w:eastAsia="Arial" w:hAnsi="Arial" w:cs="Arial"/>
        <w:color w:val="000000"/>
      </w:rPr>
    </w:pPr>
    <w:r>
      <w:rPr>
        <w:noProof/>
      </w:rPr>
      <mc:AlternateContent>
        <mc:Choice Requires="wps">
          <w:drawing>
            <wp:anchor distT="0" distB="0" distL="114300" distR="114300" simplePos="0" relativeHeight="251662336" behindDoc="0" locked="0" layoutInCell="1" allowOverlap="1" wp14:anchorId="4337FEB4" wp14:editId="4337FEB5">
              <wp:simplePos x="0" y="0"/>
              <wp:positionH relativeFrom="margin">
                <wp:align>right</wp:align>
              </wp:positionH>
              <wp:positionV relativeFrom="paragraph">
                <wp:posOffset>0</wp:posOffset>
              </wp:positionV>
              <wp:extent cx="42545" cy="175260"/>
              <wp:effectExtent l="0" t="0" r="0" b="0"/>
              <wp:wrapNone/>
              <wp:docPr id="334" name="Zone de texte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42545" cy="175260"/>
                      </a:xfrm>
                      <a:prstGeom prst="rect">
                        <a:avLst/>
                      </a:prstGeom>
                      <a:noFill/>
                      <a:ln w="6350">
                        <a:noFill/>
                      </a:ln>
                      <a:effectLst/>
                    </wps:spPr>
                    <wps:txbx>
                      <w:txbxContent>
                        <w:p w14:paraId="4337FF3E" w14:textId="77777777" w:rsidR="00EA6DED" w:rsidRDefault="007504AE">
                          <w:pPr>
                            <w:tabs>
                              <w:tab w:val="center" w:pos="4536"/>
                              <w:tab w:val="right" w:pos="9072"/>
                            </w:tabs>
                            <w:jc w:val="right"/>
                          </w:pPr>
                          <w:r>
                            <w:rPr>
                              <w:rFonts w:eastAsia="Arial"/>
                              <w:i/>
                              <w:iCs/>
                              <w:color w:val="000000"/>
                            </w:rPr>
                            <w:fldChar w:fldCharType="begin"/>
                          </w:r>
                          <w:r>
                            <w:rPr>
                              <w:rFonts w:eastAsia="Arial"/>
                              <w:i/>
                              <w:iCs/>
                              <w:color w:val="000000"/>
                            </w:rPr>
                            <w:instrText>PAGE</w:instrText>
                          </w:r>
                          <w:r>
                            <w:rPr>
                              <w:rFonts w:eastAsia="Arial"/>
                              <w:i/>
                              <w:iCs/>
                              <w:color w:val="000000"/>
                            </w:rPr>
                            <w:fldChar w:fldCharType="separate"/>
                          </w:r>
                          <w:r>
                            <w:rPr>
                              <w:rFonts w:eastAsia="Arial"/>
                              <w:i/>
                              <w:iCs/>
                              <w:color w:val="000000"/>
                            </w:rPr>
                            <w:t>25</w:t>
                          </w:r>
                          <w:r>
                            <w:rPr>
                              <w:rFonts w:eastAsia="Arial"/>
                              <w:i/>
                              <w:iCs/>
                              <w:color w:val="00000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Zone de texte 69" o:spid="_x0000_s1026" o:spt="202" type="#_x0000_t202" style="position:absolute;left:0pt;margin-top:0pt;height:13.8pt;width:3.35pt;mso-position-horizontal:right;mso-position-horizontal-relative:margin;mso-wrap-style:none;z-index:251662336;mso-width-relative:page;mso-height-relative:page;" filled="f" stroked="f" coordsize="21600,21600" o:gfxdata="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XNxZ29EAAAACAQAADwAAAAAAAAABACAAAAAiAAAA&#10;ZHJzL2Rvd25yZXYueG1sUEsBAhQAFAAAAAgAh07iQF/gKUtHAgAAlwQAAA4AAAAAAAAAAQAgAAAA&#10;IAEAAGRycy9lMm9Eb2MueG1sUEsFBgAAAAAGAAYAWQEAANkFAAAAAA==&#10;">
              <v:fill on="f" focussize="0,0"/>
              <v:stroke on="f" weight="0.5pt"/>
              <v:imagedata o:title=""/>
              <o:lock v:ext="edit" aspectratio="f"/>
              <v:textbox inset="0mm,0mm,0mm,0mm" style="mso-fit-shape-to-text:t;">
                <w:txbxContent>
                  <w:p w14:paraId="41254FC5">
                    <w:pPr>
                      <w:tabs>
                        <w:tab w:val="center" w:pos="4536"/>
                        <w:tab w:val="right" w:pos="9072"/>
                      </w:tabs>
                      <w:jc w:val="right"/>
                    </w:pPr>
                    <w:r>
                      <w:rPr>
                        <w:rFonts w:eastAsia="Arial"/>
                        <w:i/>
                        <w:iCs/>
                        <w:color w:val="000000"/>
                      </w:rPr>
                      <w:fldChar w:fldCharType="begin"/>
                    </w:r>
                    <w:r>
                      <w:rPr>
                        <w:rFonts w:eastAsia="Arial"/>
                        <w:i/>
                        <w:iCs/>
                        <w:color w:val="000000"/>
                      </w:rPr>
                      <w:instrText xml:space="preserve">PAGE</w:instrText>
                    </w:r>
                    <w:r>
                      <w:rPr>
                        <w:rFonts w:eastAsia="Arial"/>
                        <w:i/>
                        <w:iCs/>
                        <w:color w:val="000000"/>
                      </w:rPr>
                      <w:fldChar w:fldCharType="separate"/>
                    </w:r>
                    <w:r>
                      <w:rPr>
                        <w:rFonts w:eastAsia="Arial"/>
                        <w:i/>
                        <w:iCs/>
                        <w:color w:val="000000"/>
                      </w:rPr>
                      <w:t>25</w:t>
                    </w:r>
                    <w:r>
                      <w:rPr>
                        <w:rFonts w:eastAsia="Arial"/>
                        <w:i/>
                        <w:iCs/>
                        <w:color w:val="000000"/>
                      </w:rPr>
                      <w:fldChar w:fldCharType="end"/>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FEAF" w14:textId="77777777" w:rsidR="00EA6DED" w:rsidRDefault="007504AE">
    <w:pPr>
      <w:tabs>
        <w:tab w:val="center" w:pos="4536"/>
        <w:tab w:val="right" w:pos="9072"/>
      </w:tabs>
      <w:jc w:val="right"/>
      <w:rPr>
        <w:rFonts w:ascii="Arial" w:eastAsia="Arial" w:hAnsi="Arial" w:cs="Arial"/>
        <w:color w:val="000000"/>
      </w:rPr>
    </w:pPr>
    <w:r>
      <w:rPr>
        <w:noProof/>
      </w:rPr>
      <mc:AlternateContent>
        <mc:Choice Requires="wps">
          <w:drawing>
            <wp:anchor distT="0" distB="0" distL="114300" distR="114300" simplePos="0" relativeHeight="251661312" behindDoc="0" locked="0" layoutInCell="1" allowOverlap="1" wp14:anchorId="4337FEB6" wp14:editId="4337FEB7">
              <wp:simplePos x="0" y="0"/>
              <wp:positionH relativeFrom="margin">
                <wp:posOffset>6100445</wp:posOffset>
              </wp:positionH>
              <wp:positionV relativeFrom="paragraph">
                <wp:posOffset>90805</wp:posOffset>
              </wp:positionV>
              <wp:extent cx="85090" cy="175260"/>
              <wp:effectExtent l="0" t="0" r="0" b="0"/>
              <wp:wrapNone/>
              <wp:docPr id="333" name="Zone de texte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85090" cy="175260"/>
                      </a:xfrm>
                      <a:prstGeom prst="rect">
                        <a:avLst/>
                      </a:prstGeom>
                      <a:noFill/>
                      <a:ln w="6350">
                        <a:noFill/>
                      </a:ln>
                      <a:effectLst/>
                    </wps:spPr>
                    <wps:txbx>
                      <w:txbxContent>
                        <w:p w14:paraId="4337FF3F" w14:textId="77777777" w:rsidR="00EA6DED" w:rsidRDefault="007504AE">
                          <w:pPr>
                            <w:tabs>
                              <w:tab w:val="center" w:pos="4536"/>
                              <w:tab w:val="right" w:pos="9072"/>
                            </w:tabs>
                            <w:jc w:val="right"/>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Pr>
                              <w:rFonts w:ascii="Arial" w:eastAsia="Arial" w:hAnsi="Arial" w:cs="Arial"/>
                              <w:color w:val="000000"/>
                            </w:rPr>
                            <w:t>25</w:t>
                          </w:r>
                          <w:r>
                            <w:rPr>
                              <w:rFonts w:ascii="Arial" w:eastAsia="Arial" w:hAnsi="Arial" w:cs="Arial"/>
                              <w:color w:val="00000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Zone de texte 68" o:spid="_x0000_s1026" o:spt="202" type="#_x0000_t202" style="position:absolute;left:0pt;margin-left:480.35pt;margin-top:7.15pt;height:13.8pt;width:6.7pt;mso-position-horizontal-relative:margin;mso-wrap-style:none;z-index:251661312;mso-width-relative:page;mso-height-relative:page;" filled="f" stroked="f" coordsize="21600,21600" o:gfxdata="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BqI52DWAAAACQEAAA8AAAAAAAAAAQAgAAAA&#10;IgAAAGRycy9kb3ducmV2LnhtbFBLAQIUABQAAAAIAIdO4kBeLG9+RgIAAJcEAAAOAAAAAAAAAAEA&#10;IAAAACUBAABkcnMvZTJvRG9jLnhtbFBLBQYAAAAABgAGAFkBAADdBQAAAAA=&#10;">
              <v:fill on="f" focussize="0,0"/>
              <v:stroke on="f" weight="0.5pt"/>
              <v:imagedata o:title=""/>
              <o:lock v:ext="edit" aspectratio="f"/>
              <v:textbox inset="0mm,0mm,0mm,0mm" style="mso-fit-shape-to-text:t;">
                <w:txbxContent>
                  <w:p w14:paraId="30477FEC">
                    <w:pPr>
                      <w:tabs>
                        <w:tab w:val="center" w:pos="4536"/>
                        <w:tab w:val="right" w:pos="9072"/>
                      </w:tabs>
                      <w:jc w:val="right"/>
                    </w:pPr>
                    <w:r>
                      <w:rPr>
                        <w:rFonts w:ascii="Arial" w:hAnsi="Arial" w:eastAsia="Arial" w:cs="Arial"/>
                        <w:color w:val="000000"/>
                      </w:rPr>
                      <w:fldChar w:fldCharType="begin"/>
                    </w:r>
                    <w:r>
                      <w:rPr>
                        <w:rFonts w:ascii="Arial" w:hAnsi="Arial" w:eastAsia="Arial" w:cs="Arial"/>
                        <w:color w:val="000000"/>
                      </w:rPr>
                      <w:instrText xml:space="preserve">PAGE</w:instrText>
                    </w:r>
                    <w:r>
                      <w:rPr>
                        <w:rFonts w:ascii="Arial" w:hAnsi="Arial" w:eastAsia="Arial" w:cs="Arial"/>
                        <w:color w:val="000000"/>
                      </w:rPr>
                      <w:fldChar w:fldCharType="separate"/>
                    </w:r>
                    <w:r>
                      <w:rPr>
                        <w:rFonts w:ascii="Arial" w:hAnsi="Arial" w:eastAsia="Arial" w:cs="Arial"/>
                        <w:color w:val="000000"/>
                      </w:rPr>
                      <w:t>25</w:t>
                    </w:r>
                    <w:r>
                      <w:rPr>
                        <w:rFonts w:ascii="Arial" w:hAnsi="Arial" w:eastAsia="Arial" w:cs="Arial"/>
                        <w:color w:val="000000"/>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7DC11" w14:textId="77777777" w:rsidR="00391664" w:rsidRDefault="00391664">
      <w:r>
        <w:separator/>
      </w:r>
    </w:p>
  </w:footnote>
  <w:footnote w:type="continuationSeparator" w:id="0">
    <w:p w14:paraId="32BE7036" w14:textId="77777777" w:rsidR="00391664" w:rsidRDefault="00391664">
      <w:r>
        <w:continuationSeparator/>
      </w:r>
    </w:p>
  </w:footnote>
  <w:footnote w:id="1">
    <w:p w14:paraId="4337FEB8" w14:textId="77777777" w:rsidR="00EA6DED" w:rsidRDefault="007504AE">
      <w:pPr>
        <w:pStyle w:val="Notedebasdepage"/>
        <w:rPr>
          <w:sz w:val="13"/>
          <w:szCs w:val="13"/>
          <w:lang w:val="en-US"/>
        </w:rPr>
      </w:pPr>
      <w:r>
        <w:rPr>
          <w:rStyle w:val="Appelnotedebasdep"/>
          <w:rFonts w:eastAsia="Calibri"/>
          <w:sz w:val="13"/>
          <w:szCs w:val="13"/>
        </w:rPr>
        <w:footnoteRef/>
      </w:r>
      <w:r>
        <w:rPr>
          <w:sz w:val="13"/>
          <w:szCs w:val="13"/>
          <w:lang w:val="en-US"/>
        </w:rPr>
        <w:t xml:space="preserve"> BOS Summary Cameroon 2025 Latest – Executive summary</w:t>
      </w:r>
    </w:p>
  </w:footnote>
  <w:footnote w:id="2">
    <w:p w14:paraId="4337FEB9" w14:textId="77777777" w:rsidR="00EA6DED" w:rsidRDefault="007504AE">
      <w:pPr>
        <w:pStyle w:val="Notedebasdepage"/>
        <w:contextualSpacing/>
        <w:rPr>
          <w:sz w:val="13"/>
          <w:szCs w:val="13"/>
        </w:rPr>
      </w:pPr>
      <w:r>
        <w:rPr>
          <w:rStyle w:val="Appelnotedebasdep"/>
          <w:rFonts w:eastAsia="Calibri"/>
          <w:sz w:val="13"/>
          <w:szCs w:val="13"/>
        </w:rPr>
        <w:footnoteRef/>
      </w:r>
      <w:r>
        <w:rPr>
          <w:sz w:val="13"/>
          <w:szCs w:val="13"/>
        </w:rPr>
        <w:t xml:space="preserve">-  </w:t>
      </w:r>
      <w:r>
        <w:rPr>
          <w:rFonts w:eastAsia="Times"/>
          <w:sz w:val="13"/>
          <w:szCs w:val="13"/>
        </w:rPr>
        <w:t>La structure de ce rapport est fondée sur les orientations du guide d’évaluation du Cadre de Coopération pour le Développement Durable des Nations Unies fourni par DCO.</w:t>
      </w:r>
    </w:p>
  </w:footnote>
  <w:footnote w:id="3">
    <w:p w14:paraId="4337FEBA" w14:textId="77777777" w:rsidR="00EA6DED" w:rsidRDefault="007504AE">
      <w:pPr>
        <w:contextualSpacing/>
        <w:rPr>
          <w:rStyle w:val="Lienhypertexte"/>
          <w:rFonts w:ascii="Arial" w:hAnsi="Arial" w:cs="Arial"/>
          <w:sz w:val="13"/>
          <w:szCs w:val="13"/>
          <w:shd w:val="clear" w:color="auto" w:fill="FFFFFF"/>
        </w:rPr>
      </w:pPr>
      <w:r>
        <w:rPr>
          <w:rStyle w:val="Appelnotedebasdep"/>
          <w:rFonts w:eastAsia="SimSun"/>
          <w:sz w:val="13"/>
          <w:szCs w:val="13"/>
        </w:rPr>
        <w:footnoteRef/>
      </w:r>
      <w:r>
        <w:rPr>
          <w:sz w:val="13"/>
          <w:szCs w:val="13"/>
        </w:rPr>
        <w:t xml:space="preserve">  </w:t>
      </w:r>
      <w:r>
        <w:rPr>
          <w:rFonts w:ascii="Arial" w:hAnsi="Arial" w:cs="Arial"/>
          <w:b/>
          <w:bCs/>
          <w:color w:val="0000FF"/>
          <w:sz w:val="13"/>
          <w:szCs w:val="13"/>
          <w:u w:val="single"/>
          <w:shd w:val="clear" w:color="auto" w:fill="FFFFFF"/>
        </w:rPr>
        <w:fldChar w:fldCharType="begin"/>
      </w:r>
      <w:r>
        <w:rPr>
          <w:rFonts w:ascii="Arial" w:hAnsi="Arial" w:cs="Arial"/>
          <w:b/>
          <w:bCs/>
          <w:color w:val="0000FF"/>
          <w:sz w:val="13"/>
          <w:szCs w:val="13"/>
          <w:u w:val="single"/>
          <w:shd w:val="clear" w:color="auto" w:fill="FFFFFF"/>
        </w:rPr>
        <w:instrText>HYPERLINK "C:\\Users\\legerfoyet\\Desktop\\Global\\UNDAF\\Cameroun\\UNSDCF \\Rapport final\\Rapport sur la situation économique du Cameroun, Banque mondiale https:\\www.banquemondiale.org › news › 2025\\07\\15 : </w:instrText>
      </w:r>
      <w:r>
        <w:rPr>
          <w:rFonts w:ascii="Arial" w:hAnsi="Arial" w:cs="Arial"/>
          <w:b/>
          <w:bCs/>
          <w:color w:val="0000FF"/>
          <w:sz w:val="13"/>
          <w:szCs w:val="13"/>
          <w:u w:val="single"/>
          <w:shd w:val="clear" w:color="auto" w:fill="FFFFFF"/>
        </w:rPr>
        <w:cr/>
        <w:instrText>"HYPERLINK "../../legerfoyet/Desktop/Global/UNDAF/Cameroun/UNSDCF /Rapport final/Rapport sur la situation économique du Cameroun, Banque mondiale https:/www.banquemondiale.org › news › 2025/07/15 : %0d"</w:instrText>
      </w:r>
      <w:r>
        <w:rPr>
          <w:rFonts w:ascii="Arial" w:hAnsi="Arial" w:cs="Arial"/>
          <w:b/>
          <w:bCs/>
          <w:color w:val="0000FF"/>
          <w:sz w:val="13"/>
          <w:szCs w:val="13"/>
          <w:u w:val="single"/>
          <w:shd w:val="clear" w:color="auto" w:fill="FFFFFF"/>
        </w:rPr>
      </w:r>
      <w:r>
        <w:rPr>
          <w:rFonts w:ascii="Arial" w:hAnsi="Arial" w:cs="Arial"/>
          <w:b/>
          <w:bCs/>
          <w:color w:val="0000FF"/>
          <w:sz w:val="13"/>
          <w:szCs w:val="13"/>
          <w:u w:val="single"/>
          <w:shd w:val="clear" w:color="auto" w:fill="FFFFFF"/>
        </w:rPr>
        <w:fldChar w:fldCharType="separate"/>
      </w:r>
      <w:r>
        <w:rPr>
          <w:rStyle w:val="Lienhypertexte"/>
          <w:rFonts w:ascii="Arial" w:hAnsi="Arial" w:cs="Arial"/>
          <w:b/>
          <w:bCs/>
          <w:sz w:val="13"/>
          <w:szCs w:val="13"/>
          <w:shd w:val="clear" w:color="auto" w:fill="FFFFFF"/>
        </w:rPr>
        <w:t>Rapport sur la situation économique du Cameroun</w:t>
      </w:r>
      <w:r>
        <w:rPr>
          <w:rStyle w:val="Lienhypertexte"/>
          <w:rFonts w:ascii="Arial" w:hAnsi="Arial" w:cs="Arial"/>
          <w:sz w:val="13"/>
          <w:szCs w:val="13"/>
          <w:shd w:val="clear" w:color="auto" w:fill="FFFFFF"/>
        </w:rPr>
        <w:t xml:space="preserve">, Banque mondiale </w:t>
      </w:r>
      <w:r>
        <w:rPr>
          <w:rStyle w:val="Lienhypertexte"/>
          <w:rFonts w:ascii="Arial" w:eastAsia="DengXian Light" w:hAnsi="Arial" w:cs="Arial"/>
          <w:sz w:val="13"/>
          <w:szCs w:val="13"/>
          <w:shd w:val="clear" w:color="auto" w:fill="FFFFFF"/>
        </w:rPr>
        <w:t>https://www.banquemondiale.org › news › 2025/07/15 : </w:t>
      </w:r>
    </w:p>
    <w:p w14:paraId="4337FEBB" w14:textId="77777777" w:rsidR="00EA6DED" w:rsidRDefault="007504AE">
      <w:pPr>
        <w:pStyle w:val="Notedebasdepage"/>
        <w:contextualSpacing/>
        <w:rPr>
          <w:sz w:val="13"/>
          <w:szCs w:val="13"/>
        </w:rPr>
      </w:pPr>
      <w:r>
        <w:rPr>
          <w:rFonts w:ascii="Arial" w:hAnsi="Arial" w:cs="Arial"/>
          <w:b/>
          <w:bCs/>
          <w:color w:val="0000FF"/>
          <w:sz w:val="13"/>
          <w:szCs w:val="13"/>
          <w:u w:val="single"/>
          <w:shd w:val="clear" w:color="auto" w:fill="FFFFFF"/>
        </w:rPr>
        <w:fldChar w:fldCharType="end"/>
      </w:r>
    </w:p>
  </w:footnote>
  <w:footnote w:id="4">
    <w:p w14:paraId="4337FEBC" w14:textId="77777777" w:rsidR="00EA6DED" w:rsidRDefault="007504AE">
      <w:pPr>
        <w:contextualSpacing/>
        <w:rPr>
          <w:sz w:val="13"/>
          <w:szCs w:val="13"/>
        </w:rPr>
      </w:pPr>
      <w:r>
        <w:rPr>
          <w:rStyle w:val="Appelnotedebasdep"/>
          <w:rFonts w:eastAsia="SimSun"/>
          <w:sz w:val="13"/>
          <w:szCs w:val="13"/>
        </w:rPr>
        <w:footnoteRef/>
      </w:r>
      <w:r>
        <w:rPr>
          <w:sz w:val="13"/>
          <w:szCs w:val="13"/>
        </w:rPr>
        <w:t xml:space="preserve">Ibid. </w:t>
      </w:r>
    </w:p>
  </w:footnote>
  <w:footnote w:id="5">
    <w:p w14:paraId="4337FEBD" w14:textId="77777777" w:rsidR="00EA6DED" w:rsidRDefault="007504AE">
      <w:pPr>
        <w:contextualSpacing/>
        <w:jc w:val="both"/>
        <w:rPr>
          <w:sz w:val="15"/>
          <w:szCs w:val="15"/>
        </w:rPr>
      </w:pPr>
      <w:r>
        <w:rPr>
          <w:rStyle w:val="Appelnotedebasdep"/>
          <w:rFonts w:eastAsia="DengXian Light"/>
          <w:sz w:val="15"/>
          <w:szCs w:val="15"/>
        </w:rPr>
        <w:footnoteRef/>
      </w:r>
      <w:r>
        <w:rPr>
          <w:sz w:val="15"/>
          <w:szCs w:val="15"/>
        </w:rPr>
        <w:t xml:space="preserve"> </w:t>
      </w:r>
      <w:r>
        <w:rPr>
          <w:bCs/>
          <w:sz w:val="15"/>
          <w:szCs w:val="15"/>
        </w:rPr>
        <w:t xml:space="preserve">Constitution de la République du Cameroun (1996, révisée en 2008) </w:t>
      </w:r>
      <w:r>
        <w:rPr>
          <w:sz w:val="15"/>
          <w:szCs w:val="15"/>
        </w:rPr>
        <w:t xml:space="preserve">: </w:t>
      </w:r>
      <w:hyperlink r:id="rId1" w:history="1">
        <w:r>
          <w:rPr>
            <w:rStyle w:val="Lienhypertexte"/>
            <w:sz w:val="15"/>
            <w:szCs w:val="15"/>
          </w:rPr>
          <w:t>https://www.prc.cm/fr/constitution</w:t>
        </w:r>
      </w:hyperlink>
      <w:r>
        <w:rPr>
          <w:sz w:val="15"/>
          <w:szCs w:val="15"/>
        </w:rPr>
        <w:t xml:space="preserve"> </w:t>
      </w:r>
      <w:r>
        <w:rPr>
          <w:bCs/>
          <w:sz w:val="15"/>
          <w:szCs w:val="15"/>
        </w:rPr>
        <w:t xml:space="preserve">Freedom House–Country Report Cameroon (2023) </w:t>
      </w:r>
      <w:r>
        <w:rPr>
          <w:sz w:val="15"/>
          <w:szCs w:val="15"/>
        </w:rPr>
        <w:t xml:space="preserve">: </w:t>
      </w:r>
      <w:hyperlink r:id="rId2">
        <w:r>
          <w:rPr>
            <w:rStyle w:val="Lienhypertexte"/>
            <w:sz w:val="15"/>
            <w:szCs w:val="15"/>
          </w:rPr>
          <w:t>https://freedomhouse.org/country/cameroon</w:t>
        </w:r>
      </w:hyperlink>
    </w:p>
  </w:footnote>
  <w:footnote w:id="6">
    <w:p w14:paraId="4337FEBE" w14:textId="77777777" w:rsidR="00EA6DED" w:rsidRDefault="007504AE">
      <w:pPr>
        <w:pStyle w:val="Notedebasdepage"/>
        <w:contextualSpacing/>
        <w:rPr>
          <w:sz w:val="13"/>
          <w:szCs w:val="13"/>
        </w:rPr>
      </w:pPr>
      <w:r>
        <w:rPr>
          <w:rStyle w:val="Appelnotedebasdep"/>
          <w:rFonts w:eastAsia="Calibri"/>
          <w:color w:val="000000" w:themeColor="text1"/>
          <w:sz w:val="13"/>
          <w:szCs w:val="13"/>
        </w:rPr>
        <w:footnoteRef/>
      </w:r>
      <w:r>
        <w:rPr>
          <w:color w:val="000000" w:themeColor="text1"/>
          <w:sz w:val="13"/>
          <w:szCs w:val="13"/>
        </w:rPr>
        <w:t xml:space="preserve"> dans le Cadre de Dépenses à Moyen Terme (TDMT 2025/2027) du Ministère de la Décentralisation et du Développement Local, même si le niveau de transferts des fonds est estimé à 75% des recettes locales, le taux d’exécution des investissements était respectivement de 0,60% en 2023 et 0,39% en 2024</w:t>
      </w:r>
    </w:p>
  </w:footnote>
  <w:footnote w:id="7">
    <w:p w14:paraId="4337FEBF" w14:textId="77777777" w:rsidR="00EA6DED" w:rsidRDefault="007504AE">
      <w:pPr>
        <w:contextualSpacing/>
        <w:rPr>
          <w:sz w:val="13"/>
          <w:szCs w:val="13"/>
        </w:rPr>
      </w:pPr>
      <w:r>
        <w:rPr>
          <w:rStyle w:val="Appelnotedebasdep"/>
          <w:rFonts w:eastAsia="DengXian Light"/>
          <w:sz w:val="13"/>
          <w:szCs w:val="13"/>
        </w:rPr>
        <w:footnoteRef/>
      </w:r>
      <w:r>
        <w:rPr>
          <w:bCs/>
          <w:sz w:val="13"/>
          <w:szCs w:val="13"/>
          <w:lang w:val="fr"/>
        </w:rPr>
        <w:t>Code Général des Collectivités Territoriales Décentralisées (2019 :</w:t>
      </w:r>
      <w:r>
        <w:rPr>
          <w:sz w:val="13"/>
          <w:szCs w:val="13"/>
          <w:lang w:val="fr"/>
        </w:rPr>
        <w:t xml:space="preserve"> </w:t>
      </w:r>
      <w:hyperlink r:id="rId3">
        <w:r>
          <w:rPr>
            <w:rStyle w:val="Lienhypertexte"/>
            <w:sz w:val="13"/>
            <w:szCs w:val="13"/>
            <w:lang w:val="fr"/>
          </w:rPr>
          <w:t>https://www.spm.gov.cm/site/?q=fr/document/code-general-des-collectivites-territoriales-decentralisees</w:t>
        </w:r>
      </w:hyperlink>
    </w:p>
  </w:footnote>
  <w:footnote w:id="8">
    <w:p w14:paraId="4337FEC0" w14:textId="77777777" w:rsidR="00EA6DED" w:rsidRDefault="007504AE">
      <w:pPr>
        <w:pStyle w:val="Notedebasdepage"/>
      </w:pPr>
      <w:r>
        <w:rPr>
          <w:rStyle w:val="Appelnotedebasdep"/>
          <w:rFonts w:eastAsia="Calibri"/>
          <w:sz w:val="13"/>
          <w:szCs w:val="13"/>
        </w:rPr>
        <w:footnoteRef/>
      </w:r>
      <w:r>
        <w:rPr>
          <w:sz w:val="13"/>
          <w:szCs w:val="13"/>
        </w:rPr>
        <w:t xml:space="preserve"> </w:t>
      </w:r>
      <w:r>
        <w:rPr>
          <w:rFonts w:eastAsia="Arial"/>
          <w:sz w:val="13"/>
          <w:szCs w:val="13"/>
        </w:rPr>
        <w:t>(Source : SND30,  Plan Intégré d’Import-substitution agropastoral et Halieutique PIISAH2024-2026)</w:t>
      </w:r>
    </w:p>
  </w:footnote>
  <w:footnote w:id="9">
    <w:p w14:paraId="4337FEC1" w14:textId="77777777" w:rsidR="00EA6DED" w:rsidRDefault="007504AE">
      <w:pPr>
        <w:spacing w:line="257" w:lineRule="auto"/>
        <w:jc w:val="both"/>
        <w:rPr>
          <w:sz w:val="13"/>
          <w:szCs w:val="13"/>
          <w:lang w:val="fr"/>
        </w:rPr>
      </w:pPr>
      <w:r>
        <w:rPr>
          <w:rStyle w:val="Appelnotedebasdep"/>
          <w:rFonts w:eastAsia="DengXian Light"/>
          <w:sz w:val="13"/>
          <w:szCs w:val="13"/>
        </w:rPr>
        <w:footnoteRef/>
      </w:r>
      <w:r>
        <w:rPr>
          <w:sz w:val="13"/>
          <w:szCs w:val="13"/>
        </w:rPr>
        <w:t xml:space="preserve"> </w:t>
      </w:r>
      <w:r>
        <w:rPr>
          <w:rFonts w:ascii="Calibri" w:eastAsia="Calibri" w:hAnsi="Calibri" w:cs="Calibri"/>
          <w:sz w:val="13"/>
          <w:szCs w:val="13"/>
        </w:rPr>
        <w:t xml:space="preserve">1 Site du Groupe de la banque mondiale, Institut des statistiques de l'Organisation des Nations Unies pour l'éducation, la science et la culture (UNESCO), 2025 [consulté en ligne le 11 04 25] Adresse URL : </w:t>
      </w:r>
      <w:hyperlink r:id="rId4" w:history="1">
        <w:hyperlink r:id="rId5" w:history="1">
          <w:hyperlink r:id="rId6" w:history="1">
            <w:r>
              <w:rPr>
                <w:rStyle w:val="Lienhypertexte"/>
                <w:sz w:val="13"/>
                <w:szCs w:val="13"/>
                <w:lang w:val="fr"/>
              </w:rPr>
              <w:t>https://donnees.banquemondiale.org/indicator/SE.XPD.TOTL.GD.ZS?locations=CM</w:t>
            </w:r>
          </w:hyperlink>
        </w:hyperlink>
      </w:hyperlink>
      <w:r>
        <w:rPr>
          <w:sz w:val="13"/>
          <w:szCs w:val="13"/>
          <w:lang w:val="fr"/>
        </w:rPr>
        <w:t xml:space="preserve"> </w:t>
      </w:r>
    </w:p>
  </w:footnote>
  <w:footnote w:id="10">
    <w:p w14:paraId="4337FEC2" w14:textId="77777777" w:rsidR="00EA6DED" w:rsidRDefault="007504AE">
      <w:pPr>
        <w:pStyle w:val="Notedebasdepage"/>
        <w:jc w:val="both"/>
        <w:rPr>
          <w:sz w:val="13"/>
          <w:szCs w:val="13"/>
        </w:rPr>
      </w:pPr>
      <w:r>
        <w:rPr>
          <w:rStyle w:val="Appelnotedebasdep"/>
          <w:rFonts w:eastAsia="Calibri"/>
          <w:sz w:val="13"/>
          <w:szCs w:val="13"/>
        </w:rPr>
        <w:footnoteRef/>
      </w:r>
      <w:r>
        <w:rPr>
          <w:sz w:val="13"/>
          <w:szCs w:val="13"/>
        </w:rPr>
        <w:t xml:space="preserve"> </w:t>
      </w:r>
      <w:r>
        <w:rPr>
          <w:rFonts w:cs="Calibri"/>
          <w:sz w:val="13"/>
          <w:szCs w:val="13"/>
          <w:lang w:val="fr"/>
        </w:rPr>
        <w:t xml:space="preserve">Institut National de la Statistique, 2024 : </w:t>
      </w:r>
      <w:r>
        <w:rPr>
          <w:rFonts w:cs="Calibri"/>
          <w:sz w:val="13"/>
          <w:szCs w:val="13"/>
        </w:rPr>
        <w:t>Cinquième Enquête Camerounaise Auprès des Ménages (ECAM5)</w:t>
      </w:r>
    </w:p>
  </w:footnote>
  <w:footnote w:id="11">
    <w:p w14:paraId="4337FEC3" w14:textId="77777777" w:rsidR="00EA6DED" w:rsidRDefault="007504AE">
      <w:pPr>
        <w:spacing w:line="257" w:lineRule="auto"/>
        <w:jc w:val="both"/>
        <w:rPr>
          <w:rFonts w:ascii="Calibri" w:eastAsia="Calibri" w:hAnsi="Calibri" w:cs="Calibri"/>
          <w:sz w:val="13"/>
          <w:szCs w:val="13"/>
          <w:lang w:val="en-US"/>
        </w:rPr>
      </w:pPr>
      <w:r>
        <w:rPr>
          <w:rStyle w:val="Appelnotedebasdep"/>
          <w:rFonts w:eastAsia="DengXian Light"/>
          <w:sz w:val="13"/>
          <w:szCs w:val="13"/>
        </w:rPr>
        <w:footnoteRef/>
      </w:r>
      <w:r>
        <w:rPr>
          <w:sz w:val="13"/>
          <w:szCs w:val="13"/>
          <w:lang w:val="en-US"/>
        </w:rPr>
        <w:t xml:space="preserve"> </w:t>
      </w:r>
      <w:r>
        <w:rPr>
          <w:rFonts w:ascii="Calibri" w:eastAsia="Calibri" w:hAnsi="Calibri" w:cs="Calibri"/>
          <w:sz w:val="13"/>
          <w:szCs w:val="13"/>
          <w:lang w:val="en-US"/>
        </w:rPr>
        <w:t>United Nations Cameroon, 2020 : Common Country Analysis</w:t>
      </w:r>
    </w:p>
  </w:footnote>
  <w:footnote w:id="12">
    <w:p w14:paraId="4337FEC4" w14:textId="77777777" w:rsidR="00EA6DED" w:rsidRDefault="007504AE">
      <w:pPr>
        <w:pStyle w:val="Notedebasdepage"/>
        <w:jc w:val="both"/>
        <w:rPr>
          <w:sz w:val="13"/>
          <w:szCs w:val="13"/>
        </w:rPr>
      </w:pPr>
      <w:r>
        <w:rPr>
          <w:rStyle w:val="Appelnotedebasdep"/>
          <w:rFonts w:eastAsia="Calibri"/>
          <w:sz w:val="13"/>
          <w:szCs w:val="13"/>
        </w:rPr>
        <w:footnoteRef/>
      </w:r>
      <w:r>
        <w:rPr>
          <w:sz w:val="13"/>
          <w:szCs w:val="13"/>
        </w:rPr>
        <w:t xml:space="preserve"> </w:t>
      </w:r>
      <w:r>
        <w:rPr>
          <w:rFonts w:cs="Calibri"/>
          <w:sz w:val="13"/>
          <w:szCs w:val="13"/>
        </w:rPr>
        <w:t xml:space="preserve">OCDE (2024), Mobilisation des recettes fiscales pour le financement de la santé au Cameroun, OCDE, Paris, </w:t>
      </w:r>
      <w:hyperlink r:id="rId7" w:history="1">
        <w:hyperlink r:id="rId8" w:history="1">
          <w:r>
            <w:rPr>
              <w:rStyle w:val="Lienhypertexte"/>
              <w:rFonts w:cs="Calibri"/>
              <w:sz w:val="13"/>
              <w:szCs w:val="13"/>
            </w:rPr>
            <w:t>https://www.oecd.org/fr/fiscalite/politiques-fiscales/mobilisation-des-recettes-fiscales-pour-le-financement-de-la-sante-aucameroun.pdf</w:t>
          </w:r>
        </w:hyperlink>
      </w:hyperlink>
    </w:p>
  </w:footnote>
  <w:footnote w:id="13">
    <w:p w14:paraId="4337FEC5" w14:textId="77777777" w:rsidR="00EA6DED" w:rsidRDefault="007504AE">
      <w:pPr>
        <w:pStyle w:val="Notedebasdepage"/>
        <w:jc w:val="both"/>
        <w:rPr>
          <w:sz w:val="13"/>
          <w:szCs w:val="13"/>
        </w:rPr>
      </w:pPr>
      <w:r>
        <w:rPr>
          <w:rFonts w:cs="Calibri"/>
          <w:sz w:val="13"/>
          <w:szCs w:val="13"/>
          <w:lang w:val="fr"/>
        </w:rPr>
        <w:t xml:space="preserve">Site Album Social / Santé, 2024 : </w:t>
      </w:r>
      <w:r>
        <w:rPr>
          <w:rFonts w:cs="Calibri"/>
          <w:sz w:val="13"/>
          <w:szCs w:val="13"/>
        </w:rPr>
        <w:t xml:space="preserve">Cameroun : les ménages financent les dépenses de santé à hauteur de 72%. [Consulté en ligne le 11 04 25] Adresse URL: </w:t>
      </w:r>
      <w:hyperlink r:id="rId9" w:history="1">
        <w:hyperlink r:id="rId10" w:history="1">
          <w:r>
            <w:rPr>
              <w:rStyle w:val="Lienhypertexte"/>
              <w:rFonts w:cs="Calibri"/>
              <w:sz w:val="13"/>
              <w:szCs w:val="13"/>
            </w:rPr>
            <w:t>https://album-social.com/2024/11/19/menages-financent-depenses-sante/</w:t>
          </w:r>
        </w:hyperlink>
      </w:hyperlink>
    </w:p>
  </w:footnote>
  <w:footnote w:id="14">
    <w:p w14:paraId="4337FEC6" w14:textId="77777777" w:rsidR="00EA6DED" w:rsidRDefault="007504AE">
      <w:pPr>
        <w:pStyle w:val="Notedebasdepage"/>
        <w:jc w:val="both"/>
        <w:rPr>
          <w:sz w:val="13"/>
          <w:szCs w:val="13"/>
        </w:rPr>
      </w:pPr>
      <w:r>
        <w:rPr>
          <w:rStyle w:val="Appelnotedebasdep"/>
          <w:rFonts w:eastAsia="Calibri"/>
          <w:sz w:val="13"/>
          <w:szCs w:val="13"/>
        </w:rPr>
        <w:footnoteRef/>
      </w:r>
      <w:r>
        <w:rPr>
          <w:sz w:val="13"/>
          <w:szCs w:val="13"/>
        </w:rPr>
        <w:t xml:space="preserve"> </w:t>
      </w:r>
      <w:r>
        <w:rPr>
          <w:rFonts w:cs="Calibri"/>
          <w:sz w:val="13"/>
          <w:szCs w:val="13"/>
        </w:rPr>
        <w:t>President’s Malaria Initiative, Malaria Operational Plan 2024</w:t>
      </w:r>
    </w:p>
  </w:footnote>
  <w:footnote w:id="15">
    <w:p w14:paraId="4337FEC7"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 sur l’état de la population mondiale ene 2024 : </w:t>
      </w:r>
      <w:r>
        <w:rPr>
          <w:rFonts w:ascii="Roboto" w:hAnsi="Roboto"/>
          <w:color w:val="000000"/>
          <w:spacing w:val="-5"/>
          <w:sz w:val="13"/>
          <w:szCs w:val="13"/>
        </w:rPr>
        <w:t>Le Cameroun compte sur le SWEDD pour réduire certaines inégalités, juillet 2024</w:t>
      </w:r>
    </w:p>
  </w:footnote>
  <w:footnote w:id="16">
    <w:p w14:paraId="4337FEC8" w14:textId="77777777" w:rsidR="00EA6DED" w:rsidRDefault="007504AE">
      <w:pPr>
        <w:spacing w:line="257" w:lineRule="auto"/>
        <w:rPr>
          <w:sz w:val="13"/>
          <w:szCs w:val="13"/>
        </w:rPr>
      </w:pPr>
      <w:r>
        <w:rPr>
          <w:rStyle w:val="Appelnotedebasdep"/>
          <w:rFonts w:eastAsia="DengXian Light"/>
          <w:sz w:val="13"/>
          <w:szCs w:val="13"/>
        </w:rPr>
        <w:footnoteRef/>
      </w:r>
      <w:r>
        <w:rPr>
          <w:sz w:val="13"/>
          <w:szCs w:val="13"/>
        </w:rPr>
        <w:t xml:space="preserve"> </w:t>
      </w:r>
      <w:r>
        <w:rPr>
          <w:rFonts w:ascii="Calibri" w:eastAsia="Calibri" w:hAnsi="Calibri" w:cs="Calibri"/>
          <w:sz w:val="13"/>
          <w:szCs w:val="13"/>
        </w:rPr>
        <w:t xml:space="preserve">UNICEF, 2024. Eau, hygiène et assainissement. [consulté en ligne le 14 04 25] Adresse URL : </w:t>
      </w:r>
      <w:hyperlink r:id="rId11">
        <w:r>
          <w:rPr>
            <w:rStyle w:val="Lienhypertexte"/>
            <w:rFonts w:ascii="Calibri" w:eastAsia="Calibri" w:hAnsi="Calibri" w:cs="Calibri"/>
            <w:sz w:val="13"/>
            <w:szCs w:val="13"/>
          </w:rPr>
          <w:t>https://www.unicef.org/cameroon/fr/eau-hygi%C3%A8ne-et-assainissement</w:t>
        </w:r>
      </w:hyperlink>
    </w:p>
    <w:p w14:paraId="4337FEC9" w14:textId="77777777" w:rsidR="00EA6DED" w:rsidRDefault="007504AE">
      <w:pPr>
        <w:rPr>
          <w:sz w:val="13"/>
          <w:szCs w:val="13"/>
        </w:rPr>
      </w:pPr>
      <w:r>
        <w:rPr>
          <w:rStyle w:val="Appelnotedebasdep"/>
          <w:rFonts w:eastAsia="DengXian Light"/>
          <w:sz w:val="13"/>
          <w:szCs w:val="13"/>
        </w:rPr>
        <w:footnoteRef/>
      </w:r>
      <w:r>
        <w:rPr>
          <w:sz w:val="13"/>
          <w:szCs w:val="13"/>
        </w:rPr>
        <w:t xml:space="preserve"> Idem</w:t>
      </w:r>
    </w:p>
  </w:footnote>
  <w:footnote w:id="17">
    <w:p w14:paraId="4337FECA" w14:textId="77777777" w:rsidR="00EA6DED" w:rsidRDefault="007504AE">
      <w:pPr>
        <w:spacing w:line="257" w:lineRule="auto"/>
        <w:rPr>
          <w:rFonts w:ascii="Calibri" w:eastAsia="Calibri" w:hAnsi="Calibri" w:cs="Calibri"/>
          <w:sz w:val="13"/>
          <w:szCs w:val="13"/>
        </w:rPr>
      </w:pPr>
      <w:r>
        <w:rPr>
          <w:rStyle w:val="Appelnotedebasdep"/>
          <w:rFonts w:eastAsia="DengXian Light"/>
          <w:sz w:val="13"/>
          <w:szCs w:val="13"/>
        </w:rPr>
        <w:footnoteRef/>
      </w:r>
      <w:r>
        <w:rPr>
          <w:sz w:val="13"/>
          <w:szCs w:val="13"/>
        </w:rPr>
        <w:t xml:space="preserve"> </w:t>
      </w:r>
      <w:r>
        <w:rPr>
          <w:rFonts w:ascii="Calibri" w:eastAsia="Calibri" w:hAnsi="Calibri" w:cs="Calibri"/>
          <w:sz w:val="13"/>
          <w:szCs w:val="13"/>
        </w:rPr>
        <w:t xml:space="preserve">Indice de la faim dans le monde </w:t>
      </w:r>
    </w:p>
  </w:footnote>
  <w:footnote w:id="18">
    <w:p w14:paraId="4337FECB" w14:textId="77777777" w:rsidR="00EA6DED" w:rsidRDefault="00EA6DED"/>
    <w:p w14:paraId="4337FECC" w14:textId="77777777" w:rsidR="00EA6DED" w:rsidRDefault="00EA6DED">
      <w:pPr>
        <w:pStyle w:val="Notedebasdepage"/>
        <w:rPr>
          <w:sz w:val="13"/>
          <w:szCs w:val="13"/>
        </w:rPr>
      </w:pPr>
    </w:p>
  </w:footnote>
  <w:footnote w:id="19">
    <w:p w14:paraId="4337FECD"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w:t>
      </w:r>
      <w:r>
        <w:rPr>
          <w:rFonts w:ascii="Arial" w:eastAsia="Arial" w:hAnsi="Arial" w:cs="Arial"/>
          <w:sz w:val="13"/>
          <w:szCs w:val="13"/>
        </w:rPr>
        <w:t>Institut National de la Statistique (INS), Ministère de la Promotion de la Femme et de la Famille (MINPROF) et Strengthening Gender Statistics. (2024). Le Livret « Les Femmes et les Hommes, les Filles et les Garçons au Cameroun »,139 Pages.</w:t>
      </w:r>
    </w:p>
  </w:footnote>
  <w:footnote w:id="20">
    <w:p w14:paraId="4337FECE"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w:t>
      </w:r>
      <w:r>
        <w:rPr>
          <w:rFonts w:eastAsia="Arial"/>
          <w:sz w:val="13"/>
          <w:szCs w:val="13"/>
        </w:rPr>
        <w:t>Il s’agit de la Stratégie Nationale de Lutte contre les Violences Basées sur le Genre (2012-2026), du Plan d'Action National de la résolution 1325 et des résolutions connexes des Nations Unies sur la thématique « femmes, paix et sécurité » (2022-2026), du Plan d'Action Nationale contre les Mutilations Génitales Féminines, du Plan Sectoriel Femmes et Familles de Lutte contre les IST, VIH/SIDA, des stratégies sectorielles pour la santé, le secteur rural, et l'éducation. Aussi, en 2022, un document budgétaire sensible au genre annexé à la loi de finances 2022 et 2023 a été élaboré.</w:t>
      </w:r>
    </w:p>
  </w:footnote>
  <w:footnote w:id="21">
    <w:p w14:paraId="4337FECF"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w:t>
      </w:r>
      <w:r>
        <w:rPr>
          <w:rFonts w:ascii="Arial" w:eastAsia="Arial" w:hAnsi="Arial" w:cs="Arial"/>
          <w:sz w:val="13"/>
          <w:szCs w:val="13"/>
        </w:rPr>
        <w:t>Forum Economique Mondiale. (2021). Global gender gap report 2021 : Insight report.</w:t>
      </w:r>
    </w:p>
  </w:footnote>
  <w:footnote w:id="22">
    <w:p w14:paraId="4337FED0" w14:textId="77777777" w:rsidR="00EA6DED" w:rsidRDefault="007504AE">
      <w:pPr>
        <w:spacing w:line="276" w:lineRule="auto"/>
        <w:rPr>
          <w:sz w:val="13"/>
          <w:szCs w:val="13"/>
        </w:rPr>
      </w:pPr>
      <w:r>
        <w:rPr>
          <w:rStyle w:val="Appelnotedebasdep"/>
          <w:rFonts w:eastAsia="DengXian Light"/>
          <w:sz w:val="13"/>
          <w:szCs w:val="13"/>
        </w:rPr>
        <w:footnoteRef/>
      </w:r>
      <w:r>
        <w:rPr>
          <w:sz w:val="13"/>
          <w:szCs w:val="13"/>
        </w:rPr>
        <w:t xml:space="preserve"> </w:t>
      </w:r>
      <w:r>
        <w:rPr>
          <w:rFonts w:ascii="Arial" w:eastAsia="Arial" w:hAnsi="Arial" w:cs="Arial"/>
          <w:sz w:val="13"/>
          <w:szCs w:val="13"/>
        </w:rPr>
        <w:t xml:space="preserve">Programme des Nations Unies pour l’environnement (PNUE). </w:t>
      </w:r>
      <w:r>
        <w:rPr>
          <w:rFonts w:ascii="Arial" w:eastAsia="Arial" w:hAnsi="Arial" w:cs="Arial"/>
          <w:sz w:val="13"/>
          <w:szCs w:val="13"/>
          <w:lang w:val="en-US"/>
        </w:rPr>
        <w:t xml:space="preserve">2000. Developing Strategies for Climate Change: The UNEP Country Studies on Climate Change Impacts and Adaptations Assessment. </w:t>
      </w:r>
      <w:r>
        <w:rPr>
          <w:rFonts w:ascii="Arial" w:eastAsia="Arial" w:hAnsi="Arial" w:cs="Arial"/>
          <w:sz w:val="13"/>
          <w:szCs w:val="13"/>
        </w:rPr>
        <w:t>Report 2000.</w:t>
      </w:r>
    </w:p>
  </w:footnote>
  <w:footnote w:id="23">
    <w:p w14:paraId="4337FED1" w14:textId="77777777" w:rsidR="00EA6DED" w:rsidRDefault="007504AE">
      <w:pPr>
        <w:spacing w:line="276" w:lineRule="auto"/>
        <w:rPr>
          <w:sz w:val="13"/>
          <w:szCs w:val="13"/>
        </w:rPr>
      </w:pPr>
      <w:r>
        <w:rPr>
          <w:rStyle w:val="Appelnotedebasdep"/>
          <w:rFonts w:eastAsia="DengXian Light"/>
          <w:sz w:val="13"/>
          <w:szCs w:val="13"/>
        </w:rPr>
        <w:footnoteRef/>
      </w:r>
      <w:r>
        <w:rPr>
          <w:sz w:val="13"/>
          <w:szCs w:val="13"/>
        </w:rPr>
        <w:t xml:space="preserve"> </w:t>
      </w:r>
      <w:r>
        <w:rPr>
          <w:rFonts w:ascii="Arial" w:eastAsia="Arial" w:hAnsi="Arial" w:cs="Arial"/>
          <w:sz w:val="13"/>
          <w:szCs w:val="13"/>
          <w:lang w:val="fr"/>
        </w:rPr>
        <w:t>Ministère de l’Environnement et des Forêts du Cameroun (MINEF) 2001 Première communication nationale sur les changements climatiques. Rapport soumis à la CCNUCC, 160 p</w:t>
      </w:r>
    </w:p>
  </w:footnote>
  <w:footnote w:id="24">
    <w:p w14:paraId="4337FED2" w14:textId="77777777" w:rsidR="00EA6DED" w:rsidRDefault="007504AE">
      <w:pPr>
        <w:contextualSpacing/>
        <w:jc w:val="both"/>
        <w:rPr>
          <w:rFonts w:eastAsia="Arial"/>
          <w:sz w:val="13"/>
          <w:szCs w:val="13"/>
          <w:lang w:val="fr"/>
        </w:rPr>
      </w:pPr>
      <w:r>
        <w:rPr>
          <w:rFonts w:eastAsia="Arial"/>
          <w:sz w:val="13"/>
          <w:szCs w:val="13"/>
          <w:lang w:val="fr"/>
        </w:rPr>
        <w:footnoteRef/>
      </w:r>
      <w:r>
        <w:rPr>
          <w:rFonts w:eastAsia="Arial"/>
          <w:sz w:val="13"/>
          <w:szCs w:val="13"/>
          <w:lang w:val="fr"/>
        </w:rPr>
        <w:t xml:space="preserve"> MINEPDED, 2022. Evaluation Nationale de la Biodiversité et des Services Ecosystémiques : Résumé à l’intention des décideurs. Un soutien des connaissances pour les processus d’élaboration des politiques et de prise de décision sur la contribution de la biodiversité et des services écosystémiques à la croissance économique et au bien-être humain.</w:t>
      </w:r>
    </w:p>
  </w:footnote>
  <w:footnote w:id="25">
    <w:p w14:paraId="4337FED3" w14:textId="77777777" w:rsidR="00EA6DED" w:rsidRDefault="007504AE">
      <w:pPr>
        <w:contextualSpacing/>
        <w:jc w:val="both"/>
        <w:rPr>
          <w:rFonts w:eastAsia="Arial"/>
          <w:sz w:val="13"/>
          <w:szCs w:val="13"/>
          <w:lang w:val="en-US"/>
        </w:rPr>
      </w:pPr>
      <w:r>
        <w:rPr>
          <w:rFonts w:eastAsia="Arial"/>
          <w:sz w:val="13"/>
          <w:szCs w:val="13"/>
          <w:lang w:val="fr"/>
        </w:rPr>
        <w:footnoteRef/>
      </w:r>
      <w:r>
        <w:rPr>
          <w:rFonts w:eastAsia="Arial"/>
          <w:sz w:val="13"/>
          <w:szCs w:val="13"/>
          <w:lang w:val="en-US"/>
        </w:rPr>
        <w:t xml:space="preserve"> sustainable report 2025.</w:t>
      </w:r>
    </w:p>
  </w:footnote>
  <w:footnote w:id="26">
    <w:p w14:paraId="4337FED4" w14:textId="77777777" w:rsidR="00EA6DED" w:rsidRDefault="00EA6DED">
      <w:pPr>
        <w:pStyle w:val="Notedebasdepage"/>
        <w:rPr>
          <w:sz w:val="13"/>
          <w:szCs w:val="13"/>
        </w:rPr>
      </w:pPr>
    </w:p>
  </w:footnote>
  <w:footnote w:id="27">
    <w:p w14:paraId="4337FED5"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Voir annexe 4.</w:t>
      </w:r>
    </w:p>
  </w:footnote>
  <w:footnote w:id="28">
    <w:p w14:paraId="4337FED6"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Directives pour les évaluations des cadres de coopération des Nations Unies pour le développement durable, juillet 2022  </w:t>
      </w:r>
    </w:p>
  </w:footnote>
  <w:footnote w:id="29">
    <w:p w14:paraId="4337FED7" w14:textId="77777777" w:rsidR="00EA6DED" w:rsidRDefault="007504AE">
      <w:pPr>
        <w:pStyle w:val="Notedebasdepage"/>
        <w:rPr>
          <w:lang w:val="en-US"/>
        </w:rPr>
      </w:pPr>
      <w:r>
        <w:rPr>
          <w:rStyle w:val="Appelnotedebasdep"/>
          <w:rFonts w:eastAsia="Calibri"/>
          <w:sz w:val="13"/>
          <w:szCs w:val="13"/>
        </w:rPr>
        <w:footnoteRef/>
      </w:r>
      <w:r>
        <w:rPr>
          <w:sz w:val="13"/>
          <w:szCs w:val="13"/>
          <w:lang w:val="en-US"/>
        </w:rPr>
        <w:t xml:space="preserve"> UNEG code of conduct for evaluation in the UN system, march 2008.</w:t>
      </w:r>
      <w:r>
        <w:rPr>
          <w:lang w:val="en-US"/>
        </w:rPr>
        <w:t xml:space="preserve"> </w:t>
      </w:r>
    </w:p>
  </w:footnote>
  <w:footnote w:id="30">
    <w:p w14:paraId="4337FED8" w14:textId="77777777" w:rsidR="00EA6DED" w:rsidRDefault="007504AE">
      <w:pPr>
        <w:rPr>
          <w:color w:val="000000"/>
          <w:sz w:val="13"/>
          <w:szCs w:val="13"/>
        </w:rPr>
      </w:pPr>
      <w:r>
        <w:rPr>
          <w:rStyle w:val="Appelnotedebasdep"/>
          <w:rFonts w:eastAsia="SimSun"/>
          <w:color w:val="000000"/>
          <w:sz w:val="13"/>
          <w:szCs w:val="13"/>
        </w:rPr>
        <w:footnoteRef/>
      </w:r>
      <w:r>
        <w:rPr>
          <w:color w:val="000000"/>
          <w:sz w:val="13"/>
          <w:szCs w:val="13"/>
        </w:rPr>
        <w:t xml:space="preserve"> Plusieurs rapports, des présentations et des notes </w:t>
      </w:r>
      <w:r>
        <w:rPr>
          <w:rFonts w:ascii="Calibri" w:hAnsi="Calibri" w:cs="Calibri"/>
          <w:bCs/>
          <w:color w:val="000000"/>
          <w:sz w:val="13"/>
          <w:szCs w:val="13"/>
        </w:rPr>
        <w:t>sur les modalités pratiques de consultation des parties prenantes relatives à l’élaboration de CCCC 2022-2026 sont disponibles. </w:t>
      </w:r>
    </w:p>
  </w:footnote>
  <w:footnote w:id="31">
    <w:p w14:paraId="4337FED9" w14:textId="77777777" w:rsidR="00EA6DED" w:rsidRDefault="007504AE">
      <w:pPr>
        <w:pStyle w:val="Notedebasdepage"/>
        <w:rPr>
          <w:color w:val="000000"/>
          <w:sz w:val="13"/>
          <w:szCs w:val="13"/>
        </w:rPr>
      </w:pPr>
      <w:r>
        <w:rPr>
          <w:color w:val="000000"/>
          <w:sz w:val="13"/>
          <w:szCs w:val="13"/>
        </w:rPr>
        <w:footnoteRef/>
      </w:r>
      <w:r>
        <w:rPr>
          <w:color w:val="000000"/>
          <w:sz w:val="13"/>
          <w:szCs w:val="13"/>
        </w:rPr>
        <w:t xml:space="preserve">- Le SNU travaille avec les programmes sectoriels sur la base des politiques, des programmes ou des cadres normatifs et réglementaires mis en place. Seulement dans le domaine de l’environnement, une douzaine de politiques référentielles ont été identifiées.       </w:t>
      </w:r>
    </w:p>
  </w:footnote>
  <w:footnote w:id="32">
    <w:p w14:paraId="4337FEDA" w14:textId="77777777" w:rsidR="00EA6DED" w:rsidRDefault="007504AE">
      <w:pPr>
        <w:pStyle w:val="Notedebasdepage"/>
        <w:rPr>
          <w:color w:val="000000"/>
          <w:sz w:val="13"/>
          <w:szCs w:val="13"/>
        </w:rPr>
      </w:pPr>
      <w:r>
        <w:rPr>
          <w:color w:val="000000"/>
          <w:sz w:val="13"/>
          <w:szCs w:val="13"/>
        </w:rPr>
        <w:footnoteRef/>
      </w:r>
      <w:r>
        <w:rPr>
          <w:color w:val="000000"/>
          <w:sz w:val="13"/>
          <w:szCs w:val="13"/>
        </w:rPr>
        <w:t xml:space="preserve"> https://au.int/fr/agenda2063</w:t>
      </w:r>
    </w:p>
  </w:footnote>
  <w:footnote w:id="33">
    <w:p w14:paraId="4337FEDB" w14:textId="77777777" w:rsidR="00EA6DED" w:rsidRDefault="007504AE">
      <w:pPr>
        <w:pStyle w:val="Notedebasdepage"/>
        <w:rPr>
          <w:color w:val="000000"/>
          <w:sz w:val="13"/>
          <w:szCs w:val="13"/>
        </w:rPr>
      </w:pPr>
      <w:r>
        <w:rPr>
          <w:color w:val="000000"/>
          <w:sz w:val="13"/>
          <w:szCs w:val="13"/>
        </w:rPr>
        <w:footnoteRef/>
      </w:r>
      <w:r>
        <w:rPr>
          <w:color w:val="000000"/>
          <w:sz w:val="13"/>
          <w:szCs w:val="13"/>
        </w:rPr>
        <w:t xml:space="preserve"> https://cemac.int/about/</w:t>
      </w:r>
    </w:p>
  </w:footnote>
  <w:footnote w:id="34">
    <w:p w14:paraId="4337FEDC" w14:textId="77777777" w:rsidR="00EA6DED" w:rsidRDefault="007504AE">
      <w:pPr>
        <w:pStyle w:val="Notedebasdepage"/>
        <w:rPr>
          <w:sz w:val="13"/>
          <w:szCs w:val="13"/>
        </w:rPr>
      </w:pPr>
      <w:r>
        <w:rPr>
          <w:color w:val="000000"/>
          <w:sz w:val="13"/>
          <w:szCs w:val="13"/>
        </w:rPr>
        <w:footnoteRef/>
      </w:r>
      <w:r>
        <w:rPr>
          <w:color w:val="000000"/>
          <w:sz w:val="13"/>
          <w:szCs w:val="13"/>
        </w:rPr>
        <w:t xml:space="preserve"> Il s’agit de : (i) Renforcement des Infrastructures Physiques</w:t>
      </w:r>
      <w:r>
        <w:rPr>
          <w:rFonts w:ascii="Times New Roman" w:hAnsi="Times New Roman"/>
          <w:sz w:val="13"/>
          <w:szCs w:val="13"/>
        </w:rPr>
        <w:t xml:space="preserve">, (ii) les Interconnexions énergétiques, (iii) la Promotion du Marché Unique et  </w:t>
      </w:r>
      <w:r>
        <w:rPr>
          <w:sz w:val="13"/>
          <w:szCs w:val="13"/>
        </w:rPr>
        <w:t>(</w:t>
      </w:r>
      <w:r>
        <w:rPr>
          <w:rFonts w:ascii="Times New Roman" w:hAnsi="Times New Roman"/>
          <w:sz w:val="13"/>
          <w:szCs w:val="13"/>
        </w:rPr>
        <w:t>iv) la Diversification économique</w:t>
      </w:r>
      <w:r>
        <w:rPr>
          <w:sz w:val="13"/>
          <w:szCs w:val="13"/>
        </w:rPr>
        <w:t>, .</w:t>
      </w:r>
    </w:p>
  </w:footnote>
  <w:footnote w:id="35">
    <w:p w14:paraId="4337FEDD"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w:t>
      </w:r>
      <w:hyperlink r:id="rId12" w:history="1">
        <w:r>
          <w:rPr>
            <w:rStyle w:val="Lienhypertexte"/>
            <w:sz w:val="13"/>
            <w:szCs w:val="13"/>
          </w:rPr>
          <w:t>https://projets-integrateurs-cemac.com/</w:t>
        </w:r>
      </w:hyperlink>
    </w:p>
  </w:footnote>
  <w:footnote w:id="36">
    <w:p w14:paraId="4337FEDE"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Malgré les actions conjointes et complémentaires de l’UNICEF et du PAM, surtout dans l’Extrême-Nord, pour la prise en charge de la malnutrition sévère et aigue.   </w:t>
      </w:r>
    </w:p>
  </w:footnote>
  <w:footnote w:id="37">
    <w:p w14:paraId="4337FEDF" w14:textId="77777777" w:rsidR="00EA6DED" w:rsidRDefault="007504AE">
      <w:pPr>
        <w:pStyle w:val="Notedebasdepage"/>
        <w:rPr>
          <w:sz w:val="13"/>
          <w:szCs w:val="13"/>
        </w:rPr>
      </w:pPr>
      <w:r>
        <w:rPr>
          <w:sz w:val="13"/>
          <w:szCs w:val="13"/>
        </w:rPr>
        <w:footnoteRef/>
      </w:r>
      <w:r>
        <w:rPr>
          <w:sz w:val="13"/>
          <w:szCs w:val="13"/>
        </w:rPr>
        <w:t xml:space="preserve"> Dans un contexte de rareté des financements où la prise en charge du VIH dépend à plus de 90% des financements étrangers, il est urgent de repenser l’intégration des questions en lien avec le VIH dans les autres programmes, y compris les initiatives non sanitaires,   </w:t>
      </w:r>
    </w:p>
  </w:footnote>
  <w:footnote w:id="38">
    <w:p w14:paraId="4337FEE0" w14:textId="77777777" w:rsidR="00EA6DED" w:rsidRDefault="007504AE">
      <w:pPr>
        <w:pStyle w:val="Notedebasdepage"/>
        <w:rPr>
          <w:sz w:val="13"/>
          <w:szCs w:val="13"/>
        </w:rPr>
      </w:pPr>
      <w:r>
        <w:rPr>
          <w:sz w:val="13"/>
          <w:szCs w:val="13"/>
        </w:rPr>
        <w:footnoteRef/>
      </w:r>
      <w:r>
        <w:rPr>
          <w:sz w:val="13"/>
          <w:szCs w:val="13"/>
        </w:rPr>
        <w:t xml:space="preserve"> Rapport sur l’économie camerounaise en 2023. Le Cameroun face à l’épreuve de la dépolarisation géoéconomique mondiale.  </w:t>
      </w:r>
    </w:p>
  </w:footnote>
  <w:footnote w:id="39">
    <w:p w14:paraId="4337FEE1"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Global talents competitiveness de l’institut européen des affaires, 2023 </w:t>
      </w:r>
    </w:p>
  </w:footnote>
  <w:footnote w:id="40">
    <w:p w14:paraId="4337FEE2" w14:textId="77777777" w:rsidR="00EA6DED" w:rsidRDefault="007504AE">
      <w:pPr>
        <w:pStyle w:val="Notedebasdepage"/>
        <w:rPr>
          <w:rFonts w:ascii="Times New Roman" w:eastAsia="Times New Roman" w:hAnsi="Times New Roman"/>
          <w:bCs/>
          <w:sz w:val="13"/>
          <w:szCs w:val="13"/>
        </w:rPr>
      </w:pPr>
      <w:r>
        <w:rPr>
          <w:rFonts w:ascii="Times New Roman" w:eastAsia="Times New Roman" w:hAnsi="Times New Roman"/>
          <w:bCs/>
          <w:sz w:val="13"/>
          <w:szCs w:val="13"/>
        </w:rPr>
        <w:footnoteRef/>
      </w:r>
      <w:r>
        <w:rPr>
          <w:rFonts w:ascii="Times New Roman" w:eastAsia="Times New Roman" w:hAnsi="Times New Roman"/>
          <w:bCs/>
          <w:sz w:val="13"/>
          <w:szCs w:val="13"/>
        </w:rPr>
        <w:t xml:space="preserve"> Renforcement des plateaux techniques des écoles de formation des sages-femmes par UNFPA en 2025</w:t>
      </w:r>
    </w:p>
  </w:footnote>
  <w:footnote w:id="41">
    <w:p w14:paraId="4337FEE3" w14:textId="77777777" w:rsidR="00EA6DED" w:rsidRDefault="007504AE">
      <w:pPr>
        <w:contextualSpacing/>
        <w:rPr>
          <w:bCs/>
          <w:sz w:val="13"/>
          <w:szCs w:val="13"/>
        </w:rPr>
      </w:pPr>
      <w:r>
        <w:rPr>
          <w:bCs/>
          <w:sz w:val="13"/>
          <w:szCs w:val="13"/>
        </w:rPr>
        <w:footnoteRef/>
      </w:r>
      <w:r>
        <w:rPr>
          <w:bCs/>
          <w:sz w:val="13"/>
          <w:szCs w:val="13"/>
        </w:rPr>
        <w:t xml:space="preserve"> Le PNUD a renforcé les capacités techniques et logistiques de plusieurs entités des MINEDUB, MINSANTE, MINEE, MINESEC, MINTP, MINEDU etc… dans le cadre du PPRD dans le Sud-ouest et le Nord-Ouest.  </w:t>
      </w:r>
    </w:p>
  </w:footnote>
  <w:footnote w:id="42">
    <w:p w14:paraId="4337FEE4" w14:textId="77777777" w:rsidR="00EA6DED" w:rsidRDefault="007504AE">
      <w:pPr>
        <w:contextualSpacing/>
        <w:jc w:val="both"/>
        <w:rPr>
          <w:bCs/>
          <w:sz w:val="13"/>
          <w:szCs w:val="13"/>
        </w:rPr>
      </w:pPr>
      <w:r>
        <w:rPr>
          <w:bCs/>
          <w:sz w:val="13"/>
          <w:szCs w:val="13"/>
        </w:rPr>
        <w:footnoteRef/>
      </w:r>
      <w:r>
        <w:rPr>
          <w:bCs/>
          <w:sz w:val="13"/>
          <w:szCs w:val="13"/>
        </w:rPr>
        <w:t xml:space="preserve"> Une diversité de documents normatifs a été identifiée dans les secteurs Environnement, Santé, Éducation, Protection sociale, gouvernance, formation professionnelle etc.. développés avec la contribution des NU. A titre illustratif, voici quelques-unes : Stratégie du secteur de l’éducation - formation 2023- 2030, Politique nationale de l’éducation inclusive Plan national d’adaptation au changement climatique de 2016 (en révision), Stratégie et Plan d'Action National pour la Biodiversité Version II ; Plan national climat de 2025 etc..</w:t>
      </w:r>
    </w:p>
  </w:footnote>
  <w:footnote w:id="43">
    <w:p w14:paraId="4337FEE5" w14:textId="77777777" w:rsidR="00EA6DED" w:rsidRDefault="007504AE">
      <w:pPr>
        <w:pStyle w:val="Notedebasdepage"/>
        <w:rPr>
          <w:sz w:val="13"/>
          <w:szCs w:val="13"/>
        </w:rPr>
      </w:pPr>
      <w:r>
        <w:rPr>
          <w:rFonts w:eastAsia="Times New Roman"/>
          <w:bCs/>
          <w:sz w:val="13"/>
          <w:szCs w:val="13"/>
        </w:rPr>
        <w:footnoteRef/>
      </w:r>
      <w:r>
        <w:rPr>
          <w:rFonts w:ascii="Times New Roman" w:eastAsia="Times New Roman" w:hAnsi="Times New Roman"/>
          <w:bCs/>
          <w:sz w:val="13"/>
          <w:szCs w:val="13"/>
        </w:rPr>
        <w:t xml:space="preserve"> https://drive.google.com/drive/folders/15AX6kIoiH7Yi0aYo6f1SMfF8aOFUIreF</w:t>
      </w:r>
    </w:p>
  </w:footnote>
  <w:footnote w:id="44">
    <w:p w14:paraId="4337FEE6" w14:textId="77777777" w:rsidR="00EA6DED" w:rsidRDefault="007504AE">
      <w:pPr>
        <w:rPr>
          <w:sz w:val="13"/>
          <w:szCs w:val="13"/>
        </w:rPr>
      </w:pPr>
      <w:r>
        <w:rPr>
          <w:rStyle w:val="Appelnotedebasdep"/>
          <w:rFonts w:eastAsia="SimSun"/>
          <w:sz w:val="13"/>
          <w:szCs w:val="13"/>
        </w:rPr>
        <w:footnoteRef/>
      </w:r>
      <w:r>
        <w:rPr>
          <w:sz w:val="13"/>
          <w:szCs w:val="13"/>
        </w:rPr>
        <w:t xml:space="preserve"> </w:t>
      </w:r>
      <w:hyperlink r:id="rId13" w:history="1">
        <w:r>
          <w:rPr>
            <w:sz w:val="13"/>
            <w:szCs w:val="13"/>
          </w:rPr>
          <w:t>Journée internationale de la tolérance zéro à l'égard des mutilations génitales féminines (6 février)</w:t>
        </w:r>
      </w:hyperlink>
      <w:r>
        <w:rPr>
          <w:sz w:val="13"/>
          <w:szCs w:val="13"/>
        </w:rPr>
        <w:t xml:space="preserve">, </w:t>
      </w:r>
      <w:hyperlink r:id="rId14" w:history="1">
        <w:r>
          <w:rPr>
            <w:sz w:val="13"/>
            <w:szCs w:val="13"/>
          </w:rPr>
          <w:t>Journée internationale de la femme et de la fille dans la science (11 février)</w:t>
        </w:r>
      </w:hyperlink>
      <w:r>
        <w:rPr>
          <w:sz w:val="13"/>
          <w:szCs w:val="13"/>
        </w:rPr>
        <w:t xml:space="preserve">, </w:t>
      </w:r>
      <w:hyperlink r:id="rId15" w:history="1">
        <w:r>
          <w:rPr>
            <w:sz w:val="13"/>
            <w:szCs w:val="13"/>
          </w:rPr>
          <w:t>Journée internationale pour l'élimination de la violence sexuelle dans les conflits (19 juin)</w:t>
        </w:r>
      </w:hyperlink>
      <w:r>
        <w:rPr>
          <w:sz w:val="13"/>
          <w:szCs w:val="13"/>
        </w:rPr>
        <w:t xml:space="preserve">, </w:t>
      </w:r>
      <w:hyperlink r:id="rId16" w:history="1">
        <w:r>
          <w:rPr>
            <w:sz w:val="13"/>
            <w:szCs w:val="13"/>
          </w:rPr>
          <w:t>Journée des veuves (23 juin)</w:t>
        </w:r>
      </w:hyperlink>
      <w:r>
        <w:rPr>
          <w:sz w:val="13"/>
          <w:szCs w:val="13"/>
        </w:rPr>
        <w:t xml:space="preserve">, </w:t>
      </w:r>
      <w:hyperlink r:id="rId17" w:history="1">
        <w:r>
          <w:rPr>
            <w:sz w:val="13"/>
            <w:szCs w:val="13"/>
          </w:rPr>
          <w:t>Journée internationale de la fille (11 octobre)</w:t>
        </w:r>
      </w:hyperlink>
      <w:r>
        <w:rPr>
          <w:sz w:val="13"/>
          <w:szCs w:val="13"/>
        </w:rPr>
        <w:t xml:space="preserve"> et </w:t>
      </w:r>
      <w:hyperlink r:id="rId18" w:history="1">
        <w:r>
          <w:rPr>
            <w:sz w:val="13"/>
            <w:szCs w:val="13"/>
          </w:rPr>
          <w:t>Journée internationale des femmes rurales (15 octobre)</w:t>
        </w:r>
      </w:hyperlink>
      <w:r>
        <w:rPr>
          <w:sz w:val="13"/>
          <w:szCs w:val="13"/>
        </w:rPr>
        <w:t>.</w:t>
      </w:r>
    </w:p>
  </w:footnote>
  <w:footnote w:id="45">
    <w:p w14:paraId="4337FEE7" w14:textId="77777777" w:rsidR="00EA6DED" w:rsidRDefault="007504AE">
      <w:pPr>
        <w:contextualSpacing/>
        <w:jc w:val="both"/>
        <w:rPr>
          <w:rFonts w:cs="Calibri"/>
          <w:sz w:val="13"/>
          <w:szCs w:val="13"/>
        </w:rPr>
      </w:pPr>
      <w:r>
        <w:rPr>
          <w:rStyle w:val="Appelnotedebasdep"/>
          <w:rFonts w:eastAsia="SimSun"/>
          <w:sz w:val="13"/>
          <w:szCs w:val="13"/>
        </w:rPr>
        <w:footnoteRef/>
      </w:r>
      <w:r>
        <w:rPr>
          <w:sz w:val="13"/>
          <w:szCs w:val="13"/>
        </w:rPr>
        <w:t xml:space="preserve"> </w:t>
      </w:r>
      <w:r>
        <w:rPr>
          <w:rFonts w:cs="Calibri"/>
          <w:sz w:val="13"/>
          <w:szCs w:val="13"/>
        </w:rPr>
        <w:t xml:space="preserve">Avec la situation sécuritaire, le contexte de mise en œuvre a changé avec 70% des activités pour le PPRD (dans le NOSO), 20% pour la résilience dans le Septentrion et 10% pour le reste des activités </w:t>
      </w:r>
    </w:p>
  </w:footnote>
  <w:footnote w:id="46">
    <w:p w14:paraId="4337FEE8" w14:textId="77777777" w:rsidR="00EA6DED" w:rsidRDefault="007504AE">
      <w:pPr>
        <w:pStyle w:val="Notedebasdepage"/>
        <w:contextualSpacing/>
        <w:jc w:val="both"/>
        <w:rPr>
          <w:rFonts w:ascii="Times New Roman" w:eastAsia="Times New Roman" w:hAnsi="Times New Roman" w:cs="Calibri"/>
          <w:sz w:val="13"/>
          <w:szCs w:val="13"/>
        </w:rPr>
      </w:pPr>
      <w:r>
        <w:rPr>
          <w:rFonts w:eastAsia="Times New Roman" w:cs="Calibri"/>
          <w:sz w:val="13"/>
          <w:szCs w:val="13"/>
        </w:rPr>
        <w:footnoteRef/>
      </w:r>
      <w:r>
        <w:rPr>
          <w:rFonts w:ascii="Times New Roman" w:eastAsia="Times New Roman" w:hAnsi="Times New Roman" w:cs="Calibri"/>
          <w:sz w:val="13"/>
          <w:szCs w:val="13"/>
        </w:rPr>
        <w:t xml:space="preserve">Au niveau de UNHCR, l'approche COMPASS TOOLS, qui permet de faire le suivi, met l'aCCent sur l'utilisation de données et d'éléments probants pour définir les résultats souhaités, suivre les progrès, apprendre et s'adapter de manière dynamique. Elle suit les résultats par le biais d'une chaîne de résultats simplifiée, alignée sur le système des Nations unies des « impacts », “effets” et « produits ». Selon la FAO, la conception du cadre de programmation pays avait coïncidé avec la conception CCCCdu CCCC. Des revues à mi-parcours du CPP permettait de prendre en compte le contexte national changeant avec les questions d’import substitution par exemple. Au terme de la revue à mi-parcours, des ajustements sont opérés (discussions avec la partie gouvernementale). </w:t>
      </w:r>
    </w:p>
  </w:footnote>
  <w:footnote w:id="47">
    <w:p w14:paraId="4337FEE9" w14:textId="77777777" w:rsidR="00EA6DED" w:rsidRDefault="007504AE">
      <w:pPr>
        <w:pStyle w:val="Notedebasdepage"/>
        <w:rPr>
          <w:rFonts w:ascii="Times New Roman" w:eastAsia="Times New Roman" w:hAnsi="Times New Roman" w:cs="Calibri"/>
          <w:sz w:val="13"/>
          <w:szCs w:val="13"/>
        </w:rPr>
      </w:pPr>
      <w:r>
        <w:rPr>
          <w:rFonts w:ascii="Times New Roman" w:eastAsia="Times New Roman" w:hAnsi="Times New Roman" w:cs="Calibri"/>
          <w:sz w:val="13"/>
          <w:szCs w:val="13"/>
        </w:rPr>
        <w:footnoteRef/>
      </w:r>
      <w:r>
        <w:rPr>
          <w:rFonts w:ascii="Times New Roman" w:eastAsia="Times New Roman" w:hAnsi="Times New Roman" w:cs="Calibri"/>
          <w:sz w:val="13"/>
          <w:szCs w:val="13"/>
        </w:rPr>
        <w:t xml:space="preserve"> https://www.afro.who.int/fr/countries/cameroon/news </w:t>
      </w:r>
    </w:p>
  </w:footnote>
  <w:footnote w:id="48">
    <w:p w14:paraId="4337FEEA" w14:textId="77777777" w:rsidR="00EA6DED" w:rsidRDefault="007504AE">
      <w:pPr>
        <w:pStyle w:val="Notedebasdepage"/>
        <w:rPr>
          <w:rFonts w:ascii="Times New Roman" w:eastAsia="Times New Roman" w:hAnsi="Times New Roman" w:cs="Calibri"/>
          <w:sz w:val="13"/>
          <w:szCs w:val="13"/>
        </w:rPr>
      </w:pPr>
      <w:r>
        <w:rPr>
          <w:rFonts w:eastAsia="Times New Roman" w:cs="Calibri"/>
          <w:sz w:val="13"/>
          <w:szCs w:val="13"/>
        </w:rPr>
        <w:footnoteRef/>
      </w:r>
      <w:r>
        <w:rPr>
          <w:rFonts w:ascii="Times New Roman" w:eastAsia="Times New Roman" w:hAnsi="Times New Roman" w:cs="Calibri"/>
          <w:sz w:val="13"/>
          <w:szCs w:val="13"/>
        </w:rPr>
        <w:t xml:space="preserve"> AVoHC-SURGE est une initiative de Africa CDC et de l’OMS</w:t>
      </w:r>
    </w:p>
  </w:footnote>
  <w:footnote w:id="49">
    <w:p w14:paraId="4337FEEB" w14:textId="77777777" w:rsidR="00EA6DED" w:rsidRDefault="007504AE">
      <w:pPr>
        <w:pStyle w:val="Notedebasdepage"/>
        <w:rPr>
          <w:rFonts w:ascii="Times New Roman" w:eastAsia="Times New Roman" w:hAnsi="Times New Roman" w:cs="Calibri"/>
          <w:sz w:val="13"/>
          <w:szCs w:val="13"/>
        </w:rPr>
      </w:pPr>
      <w:r>
        <w:rPr>
          <w:rFonts w:ascii="Times New Roman" w:eastAsia="Times New Roman" w:hAnsi="Times New Roman" w:cs="Calibri"/>
          <w:sz w:val="13"/>
          <w:szCs w:val="13"/>
        </w:rPr>
        <w:footnoteRef/>
      </w:r>
      <w:r>
        <w:rPr>
          <w:rFonts w:ascii="Times New Roman" w:eastAsia="Times New Roman" w:hAnsi="Times New Roman" w:cs="Calibri"/>
          <w:sz w:val="13"/>
          <w:szCs w:val="13"/>
        </w:rPr>
        <w:t xml:space="preserve"> DIEM (Données en situation d’urgence, bulletin de suivi, cycle 7, 2025  </w:t>
      </w:r>
    </w:p>
  </w:footnote>
  <w:footnote w:id="50">
    <w:p w14:paraId="4337FEEC" w14:textId="77777777" w:rsidR="00EA6DED" w:rsidRDefault="007504AE">
      <w:pPr>
        <w:pStyle w:val="Notedebasdepage"/>
        <w:contextualSpacing/>
        <w:rPr>
          <w:rFonts w:ascii="Times New Roman" w:hAnsi="Times New Roman"/>
          <w:sz w:val="13"/>
          <w:szCs w:val="13"/>
        </w:rPr>
      </w:pPr>
      <w:r>
        <w:rPr>
          <w:rFonts w:ascii="Times New Roman" w:eastAsia="Times New Roman" w:hAnsi="Times New Roman"/>
          <w:sz w:val="13"/>
          <w:szCs w:val="13"/>
        </w:rPr>
        <w:footnoteRef/>
      </w:r>
      <w:r>
        <w:rPr>
          <w:rFonts w:ascii="Times New Roman" w:eastAsia="Times New Roman" w:hAnsi="Times New Roman"/>
          <w:sz w:val="13"/>
          <w:szCs w:val="13"/>
        </w:rPr>
        <w:t xml:space="preserve"> https://www.erudit.org/fr/revues/gouvernance/2023-v20-n2-gouvernance09311</w:t>
      </w:r>
      <w:r>
        <w:rPr>
          <w:rFonts w:ascii="Times New Roman" w:hAnsi="Times New Roman"/>
          <w:sz w:val="13"/>
          <w:szCs w:val="13"/>
        </w:rPr>
        <w:t>/1111227ar.pdf</w:t>
      </w:r>
    </w:p>
  </w:footnote>
  <w:footnote w:id="51">
    <w:p w14:paraId="4337FEED" w14:textId="77777777" w:rsidR="00EA6DED" w:rsidRDefault="007504AE">
      <w:pPr>
        <w:contextualSpacing/>
        <w:jc w:val="both"/>
        <w:rPr>
          <w:bCs/>
          <w:sz w:val="13"/>
          <w:szCs w:val="13"/>
        </w:rPr>
      </w:pPr>
      <w:r>
        <w:rPr>
          <w:rStyle w:val="Appelnotedebasdep"/>
          <w:rFonts w:eastAsia="SimSun"/>
          <w:sz w:val="13"/>
          <w:szCs w:val="13"/>
        </w:rPr>
        <w:footnoteRef/>
      </w:r>
      <w:r>
        <w:rPr>
          <w:sz w:val="13"/>
          <w:szCs w:val="13"/>
        </w:rPr>
        <w:t xml:space="preserve"> </w:t>
      </w:r>
      <w:r>
        <w:rPr>
          <w:bCs/>
          <w:sz w:val="13"/>
          <w:szCs w:val="13"/>
        </w:rPr>
        <w:t xml:space="preserve">Il convient de relever que ces transferts sont plus importants que les flux d’aide publique au développement et d’investissements directs étrangers, et plus stables que les investissements de portefeuille (World Bank &amp; Knomad, 2022). </w:t>
      </w:r>
    </w:p>
    <w:p w14:paraId="4337FEEE" w14:textId="77777777" w:rsidR="00EA6DED" w:rsidRDefault="00EA6DED">
      <w:pPr>
        <w:pStyle w:val="Notedebasdepage"/>
      </w:pPr>
    </w:p>
  </w:footnote>
  <w:footnote w:id="52">
    <w:p w14:paraId="4337FEEF" w14:textId="77777777" w:rsidR="00EA6DED" w:rsidRDefault="007504AE">
      <w:pPr>
        <w:pStyle w:val="Notedebasdepage"/>
        <w:contextualSpacing/>
      </w:pPr>
      <w:r>
        <w:rPr>
          <w:rStyle w:val="Appelnotedebasdep"/>
          <w:rFonts w:eastAsia="Calibri"/>
          <w:sz w:val="13"/>
          <w:szCs w:val="13"/>
        </w:rPr>
        <w:footnoteRef/>
      </w:r>
      <w:r>
        <w:rPr>
          <w:rFonts w:ascii="Times New Roman" w:hAnsi="Times New Roman"/>
          <w:sz w:val="13"/>
          <w:szCs w:val="13"/>
        </w:rPr>
        <w:t>Les évaluateurs ont mis la priorité sur les CPD parque ces agences ont l’obligation de soumettre en programmes pays approuvé par les Conseils d’administration. De manière globale, les agences font des efforts pour aligner les interventions aux réalisations du cadre de coopération.</w:t>
      </w:r>
      <w:r>
        <w:t xml:space="preserve">  </w:t>
      </w:r>
    </w:p>
  </w:footnote>
  <w:footnote w:id="53">
    <w:p w14:paraId="4337FEF0" w14:textId="77777777" w:rsidR="00EA6DED" w:rsidRDefault="007504AE">
      <w:pPr>
        <w:rPr>
          <w:sz w:val="13"/>
          <w:szCs w:val="13"/>
        </w:rPr>
      </w:pPr>
      <w:r>
        <w:rPr>
          <w:rStyle w:val="Appelnotedebasdep"/>
          <w:rFonts w:eastAsia="SimSun"/>
          <w:sz w:val="13"/>
          <w:szCs w:val="13"/>
        </w:rPr>
        <w:footnoteRef/>
      </w:r>
      <w:r>
        <w:rPr>
          <w:sz w:val="13"/>
          <w:szCs w:val="13"/>
        </w:rPr>
        <w:t xml:space="preserve"> </w:t>
      </w:r>
      <w:r>
        <w:rPr>
          <w:rFonts w:ascii="Arial" w:hAnsi="Arial"/>
          <w:color w:val="000000"/>
          <w:sz w:val="13"/>
          <w:szCs w:val="13"/>
        </w:rPr>
        <w:t xml:space="preserve">Un financement de 27,4 millions de dollars au gouvernement du Cameroun à travers le PNUD, l’UNOPS et UNICEF pour le renforcement du système de santé en 2020. </w:t>
      </w:r>
    </w:p>
  </w:footnote>
  <w:footnote w:id="54">
    <w:p w14:paraId="4337FEF1"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Les fonctions principales de l’examen quadriennal complet sont le renforcement des capacités/assistance technique, Appui direct/prestations de services, Collecte et analyse des données, Appui normatif, Partenariat/partage de connaissance, Appui-conseil pour la formulation des ressources, Appui de support, Coordination et autres.      </w:t>
      </w:r>
    </w:p>
  </w:footnote>
  <w:footnote w:id="55">
    <w:p w14:paraId="4337FEF2" w14:textId="77777777" w:rsidR="00EA6DED" w:rsidRDefault="007504AE">
      <w:pPr>
        <w:contextualSpacing/>
        <w:rPr>
          <w:sz w:val="13"/>
          <w:szCs w:val="13"/>
        </w:rPr>
      </w:pPr>
      <w:r>
        <w:rPr>
          <w:rStyle w:val="Appelnotedebasdep"/>
          <w:rFonts w:eastAsia="SimSun"/>
          <w:sz w:val="13"/>
          <w:szCs w:val="13"/>
        </w:rPr>
        <w:footnoteRef/>
      </w:r>
      <w:r>
        <w:rPr>
          <w:sz w:val="13"/>
          <w:szCs w:val="13"/>
        </w:rPr>
        <w:t xml:space="preserve"> Groupe de travail sur la Société Civile, Groupe de Travail Egalité du Genre, Plateforme sur le Changement Climatique (PCC), Nutrition, Groupe de travail sur la Société Civile, Culture, Santé, Rural, éducation, Anti-corruption, Groupe de travail sur la Société Civile</w:t>
      </w:r>
    </w:p>
    <w:p w14:paraId="4337FEF3" w14:textId="77777777" w:rsidR="00EA6DED" w:rsidRDefault="00EA6DED">
      <w:pPr>
        <w:pStyle w:val="Notedebasdepage"/>
        <w:contextualSpacing/>
        <w:rPr>
          <w:sz w:val="13"/>
          <w:szCs w:val="13"/>
        </w:rPr>
      </w:pPr>
    </w:p>
  </w:footnote>
  <w:footnote w:id="56">
    <w:p w14:paraId="4337FEF4" w14:textId="77777777" w:rsidR="00EA6DED" w:rsidRDefault="007504AE">
      <w:pPr>
        <w:pStyle w:val="Notedebasdepage"/>
        <w:contextualSpacing/>
        <w:rPr>
          <w:sz w:val="13"/>
          <w:szCs w:val="13"/>
          <w:lang w:val="en-US"/>
        </w:rPr>
      </w:pPr>
      <w:r>
        <w:rPr>
          <w:rStyle w:val="Appelnotedebasdep"/>
          <w:rFonts w:eastAsia="Calibri"/>
          <w:sz w:val="13"/>
          <w:szCs w:val="13"/>
        </w:rPr>
        <w:footnoteRef/>
      </w:r>
      <w:r>
        <w:rPr>
          <w:sz w:val="13"/>
          <w:szCs w:val="13"/>
          <w:lang w:val="en-US"/>
        </w:rPr>
        <w:t xml:space="preserve"> United Nations Cameroon Common Country Analysis, 2020</w:t>
      </w:r>
    </w:p>
  </w:footnote>
  <w:footnote w:id="57">
    <w:p w14:paraId="4337FEF5"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Le SNU à un rôle contributif pour la performance de ces indicateurs de Réalisation.  Sa contribution est décrite dans l’analyse des résultats des produits </w:t>
      </w:r>
    </w:p>
  </w:footnote>
  <w:footnote w:id="58">
    <w:p w14:paraId="4337FEF6"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w:t>
      </w:r>
      <w:r>
        <w:rPr>
          <w:rFonts w:cs="Calibri"/>
          <w:color w:val="231F20"/>
          <w:sz w:val="13"/>
          <w:szCs w:val="13"/>
        </w:rPr>
        <w:t>Rapport sur l’économie camerounaise en 2024 (MINEPAT, 2024)</w:t>
      </w:r>
    </w:p>
  </w:footnote>
  <w:footnote w:id="59">
    <w:p w14:paraId="4337FEF7"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w:t>
      </w:r>
      <w:r>
        <w:rPr>
          <w:rFonts w:cs="Calibri"/>
          <w:color w:val="231F20"/>
          <w:sz w:val="13"/>
          <w:szCs w:val="13"/>
        </w:rPr>
        <w:t>Rapport sur l’économie camerounaise en 2024 (MINEPAT, 2024)</w:t>
      </w:r>
    </w:p>
  </w:footnote>
  <w:footnote w:id="60">
    <w:p w14:paraId="4337FEF8" w14:textId="77777777" w:rsidR="00EA6DED" w:rsidRDefault="007504AE">
      <w:pPr>
        <w:pStyle w:val="Notedebasdepage"/>
        <w:rPr>
          <w:sz w:val="16"/>
          <w:szCs w:val="13"/>
        </w:rPr>
      </w:pPr>
      <w:r>
        <w:rPr>
          <w:rStyle w:val="Appelnotedebasdep"/>
          <w:rFonts w:eastAsia="Calibri"/>
          <w:sz w:val="16"/>
          <w:szCs w:val="13"/>
        </w:rPr>
        <w:footnoteRef/>
      </w:r>
      <w:r>
        <w:rPr>
          <w:sz w:val="16"/>
          <w:szCs w:val="13"/>
        </w:rPr>
        <w:t xml:space="preserve"> PNUD, RAPPORT IMPACT 2024</w:t>
      </w:r>
    </w:p>
  </w:footnote>
  <w:footnote w:id="61">
    <w:p w14:paraId="4337FEF9" w14:textId="77777777" w:rsidR="00EA6DED" w:rsidRDefault="007504AE">
      <w:pPr>
        <w:pStyle w:val="Notedebasdepage"/>
        <w:rPr>
          <w:sz w:val="13"/>
          <w:szCs w:val="13"/>
        </w:rPr>
      </w:pPr>
      <w:r>
        <w:rPr>
          <w:rStyle w:val="Appelnotedebasdep"/>
          <w:rFonts w:eastAsia="Calibri"/>
          <w:sz w:val="16"/>
          <w:szCs w:val="13"/>
        </w:rPr>
        <w:footnoteRef/>
      </w:r>
      <w:r>
        <w:rPr>
          <w:sz w:val="16"/>
          <w:szCs w:val="13"/>
        </w:rPr>
        <w:t xml:space="preserve"> </w:t>
      </w:r>
      <w:r>
        <w:rPr>
          <w:sz w:val="13"/>
          <w:szCs w:val="13"/>
        </w:rPr>
        <w:t>PNUD, RAPPORT IMPACT 2024</w:t>
      </w:r>
    </w:p>
  </w:footnote>
  <w:footnote w:id="62">
    <w:p w14:paraId="4337FEFA"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 des Nations Unies sur les Résultats au Cameroun en CC2024</w:t>
      </w:r>
      <w:r>
        <w:rPr>
          <w:sz w:val="16"/>
          <w:szCs w:val="13"/>
        </w:rPr>
        <w:t xml:space="preserve"> </w:t>
      </w:r>
    </w:p>
  </w:footnote>
  <w:footnote w:id="63">
    <w:p w14:paraId="4337FEFB" w14:textId="77777777" w:rsidR="00EA6DED" w:rsidRDefault="007504AE">
      <w:pPr>
        <w:pStyle w:val="Notedebasdepage"/>
        <w:contextualSpacing/>
        <w:rPr>
          <w:sz w:val="13"/>
          <w:szCs w:val="13"/>
        </w:rPr>
      </w:pPr>
      <w:r>
        <w:rPr>
          <w:rStyle w:val="Appelnotedebasdep"/>
          <w:rFonts w:eastAsia="DengXian Light"/>
          <w:sz w:val="13"/>
          <w:szCs w:val="13"/>
        </w:rPr>
        <w:footnoteRef/>
      </w:r>
      <w:r>
        <w:rPr>
          <w:sz w:val="13"/>
          <w:szCs w:val="13"/>
        </w:rPr>
        <w:t xml:space="preserve"> IIAG-2024, profile de 2023 </w:t>
      </w:r>
    </w:p>
  </w:footnote>
  <w:footnote w:id="64">
    <w:p w14:paraId="4337FEFC" w14:textId="77777777" w:rsidR="00EA6DED" w:rsidRDefault="007504AE">
      <w:pPr>
        <w:contextualSpacing/>
        <w:rPr>
          <w:rFonts w:ascii="Arial" w:hAnsi="Arial" w:cs="Arial"/>
          <w:color w:val="0000FF"/>
          <w:sz w:val="13"/>
          <w:szCs w:val="13"/>
          <w:shd w:val="clear" w:color="auto" w:fill="FFFFFF"/>
        </w:rPr>
      </w:pPr>
      <w:r>
        <w:rPr>
          <w:rStyle w:val="Appelnotedebasdep"/>
          <w:rFonts w:eastAsia="DengXian Light"/>
          <w:sz w:val="13"/>
          <w:szCs w:val="13"/>
        </w:rPr>
        <w:footnoteRef/>
      </w:r>
      <w:r>
        <w:rPr>
          <w:sz w:val="13"/>
          <w:szCs w:val="13"/>
        </w:rPr>
        <w:t xml:space="preserve"> </w:t>
      </w:r>
      <w:r>
        <w:rPr>
          <w:sz w:val="13"/>
          <w:szCs w:val="13"/>
        </w:rPr>
        <w:fldChar w:fldCharType="begin"/>
      </w:r>
      <w:r>
        <w:rPr>
          <w:sz w:val="13"/>
          <w:szCs w:val="13"/>
        </w:rPr>
        <w:instrText xml:space="preserve"> HYPERLINK "https://leconomie.info/ide-le-cameroun-un-marche-peu-attractif-pour-les-investisseurs/" </w:instrText>
      </w:r>
      <w:r>
        <w:rPr>
          <w:sz w:val="13"/>
          <w:szCs w:val="13"/>
        </w:rPr>
      </w:r>
      <w:r>
        <w:rPr>
          <w:sz w:val="13"/>
          <w:szCs w:val="13"/>
        </w:rPr>
        <w:fldChar w:fldCharType="separate"/>
      </w:r>
      <w:r>
        <w:rPr>
          <w:rStyle w:val="CitationHTML"/>
          <w:rFonts w:ascii="Arial" w:eastAsia="DengXian Light" w:hAnsi="Arial" w:cs="Arial"/>
          <w:i w:val="0"/>
          <w:iCs w:val="0"/>
          <w:color w:val="4D5156"/>
          <w:sz w:val="13"/>
          <w:szCs w:val="13"/>
          <w:shd w:val="clear" w:color="auto" w:fill="FFFFFF"/>
        </w:rPr>
        <w:t>https://leconomie.info</w:t>
      </w:r>
      <w:r>
        <w:rPr>
          <w:rStyle w:val="ylgvce"/>
          <w:rFonts w:ascii="Arial" w:eastAsia="DengXian Light" w:hAnsi="Arial" w:cs="Arial"/>
          <w:color w:val="4D5156"/>
          <w:sz w:val="13"/>
          <w:szCs w:val="13"/>
          <w:shd w:val="clear" w:color="auto" w:fill="FFFFFF"/>
        </w:rPr>
        <w:t> › ide-le-cameroun-un-marche-pe...</w:t>
      </w:r>
    </w:p>
    <w:p w14:paraId="4337FEFD" w14:textId="77777777" w:rsidR="00EA6DED" w:rsidRDefault="007504AE">
      <w:pPr>
        <w:contextualSpacing/>
        <w:rPr>
          <w:sz w:val="13"/>
          <w:szCs w:val="13"/>
        </w:rPr>
      </w:pPr>
      <w:r>
        <w:rPr>
          <w:sz w:val="13"/>
          <w:szCs w:val="13"/>
        </w:rPr>
        <w:fldChar w:fldCharType="end"/>
      </w:r>
    </w:p>
  </w:footnote>
  <w:footnote w:id="65">
    <w:p w14:paraId="4337FEFE" w14:textId="77777777" w:rsidR="00EA6DED" w:rsidRDefault="007504AE">
      <w:pPr>
        <w:pStyle w:val="Notedebasdepage"/>
        <w:contextualSpacing/>
        <w:rPr>
          <w:sz w:val="13"/>
          <w:szCs w:val="13"/>
        </w:rPr>
      </w:pPr>
      <w:r>
        <w:rPr>
          <w:rStyle w:val="Appelnotedebasdep"/>
          <w:rFonts w:eastAsia="Calibri"/>
          <w:sz w:val="13"/>
          <w:szCs w:val="13"/>
        </w:rPr>
        <w:footnoteRef/>
      </w:r>
      <w:r>
        <w:rPr>
          <w:sz w:val="13"/>
          <w:szCs w:val="13"/>
        </w:rPr>
        <w:t xml:space="preserve"> https://donnees.banquemondiale.org/pays/cameroun</w:t>
      </w:r>
    </w:p>
  </w:footnote>
  <w:footnote w:id="66">
    <w:p w14:paraId="4337FEFF" w14:textId="77777777" w:rsidR="00EA6DED" w:rsidRDefault="007504AE">
      <w:pPr>
        <w:pStyle w:val="Notedebasdepage"/>
        <w:contextualSpacing/>
        <w:rPr>
          <w:sz w:val="13"/>
          <w:szCs w:val="13"/>
        </w:rPr>
      </w:pPr>
      <w:r>
        <w:rPr>
          <w:rStyle w:val="Appelnotedebasdep"/>
          <w:rFonts w:eastAsia="Calibri"/>
          <w:sz w:val="13"/>
          <w:szCs w:val="13"/>
        </w:rPr>
        <w:footnoteRef/>
      </w:r>
      <w:r>
        <w:rPr>
          <w:sz w:val="13"/>
          <w:szCs w:val="13"/>
        </w:rPr>
        <w:t xml:space="preserve"> </w:t>
      </w:r>
      <w:hyperlink r:id="rId19" w:history="1">
        <w:r>
          <w:rPr>
            <w:rStyle w:val="Lienhypertexte"/>
            <w:sz w:val="13"/>
            <w:szCs w:val="13"/>
          </w:rPr>
          <w:t>https://www.afro.who.int/fr/countries/cameroon/news/couverture-sante-universelle-plus-de-2-millions-de-personnes-enrolees</w:t>
        </w:r>
      </w:hyperlink>
    </w:p>
  </w:footnote>
  <w:footnote w:id="67">
    <w:p w14:paraId="4337FF00" w14:textId="77777777" w:rsidR="00EA6DED" w:rsidRDefault="007504AE">
      <w:pPr>
        <w:pStyle w:val="Notedebasdepage"/>
        <w:contextualSpacing/>
        <w:rPr>
          <w:sz w:val="13"/>
          <w:szCs w:val="13"/>
        </w:rPr>
      </w:pPr>
      <w:r>
        <w:rPr>
          <w:rStyle w:val="Appelnotedebasdep"/>
          <w:rFonts w:eastAsia="Calibri"/>
          <w:sz w:val="13"/>
          <w:szCs w:val="13"/>
        </w:rPr>
        <w:footnoteRef/>
      </w:r>
      <w:r>
        <w:rPr>
          <w:sz w:val="13"/>
          <w:szCs w:val="13"/>
        </w:rPr>
        <w:t xml:space="preserve"> https://ins-cameroun.cm/wp-content/uploads/2025/02/Factbook_Cameroon_Fr_2025_01_17.pdf</w:t>
      </w:r>
    </w:p>
  </w:footnote>
  <w:footnote w:id="68">
    <w:p w14:paraId="4337FF01"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https://www.cnls.cm/uploads/docs/2025-01-02-annuaire-statistique-2023-vf-update.pdf#page=28&amp;zoom=100,90,166</w:t>
      </w:r>
    </w:p>
  </w:footnote>
  <w:footnote w:id="69">
    <w:p w14:paraId="4337FF02"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https://ins-cameroun.cm/wp-content/uploads/2025/02/01_LowReduction_ENG.pdf</w:t>
      </w:r>
    </w:p>
  </w:footnote>
  <w:footnote w:id="70">
    <w:p w14:paraId="4337FF03" w14:textId="77777777" w:rsidR="00EA6DED" w:rsidRDefault="007504AE">
      <w:pPr>
        <w:pStyle w:val="Notedebasdepage"/>
      </w:pPr>
      <w:r>
        <w:rPr>
          <w:rStyle w:val="Appelnotedebasdep"/>
          <w:rFonts w:eastAsia="Calibri"/>
          <w:sz w:val="13"/>
          <w:szCs w:val="13"/>
        </w:rPr>
        <w:footnoteRef/>
      </w:r>
      <w:r>
        <w:rPr>
          <w:sz w:val="13"/>
          <w:szCs w:val="13"/>
        </w:rPr>
        <w:t xml:space="preserve"> </w:t>
      </w:r>
      <w:hyperlink r:id="rId20" w:history="1">
        <w:r>
          <w:rPr>
            <w:rStyle w:val="Lienhypertexte"/>
            <w:sz w:val="13"/>
            <w:szCs w:val="13"/>
          </w:rPr>
          <w:t>https://www.susu.africa/blog/article/la-malnutrition-au-cameroun</w:t>
        </w:r>
      </w:hyperlink>
      <w:r>
        <w:rPr>
          <w:sz w:val="16"/>
          <w:szCs w:val="16"/>
        </w:rPr>
        <w:t xml:space="preserve"> </w:t>
      </w:r>
    </w:p>
  </w:footnote>
  <w:footnote w:id="71">
    <w:p w14:paraId="4337FF04" w14:textId="77777777" w:rsidR="00EA6DED" w:rsidRDefault="007504AE">
      <w:pPr>
        <w:pStyle w:val="Notedebasdepage"/>
        <w:rPr>
          <w:sz w:val="13"/>
          <w:szCs w:val="13"/>
          <w:vertAlign w:val="superscript"/>
        </w:rPr>
      </w:pPr>
      <w:r>
        <w:rPr>
          <w:rStyle w:val="Appelnotedebasdep"/>
          <w:rFonts w:eastAsia="Calibri"/>
          <w:sz w:val="13"/>
          <w:szCs w:val="13"/>
        </w:rPr>
        <w:footnoteRef/>
      </w:r>
      <w:r>
        <w:rPr>
          <w:sz w:val="13"/>
          <w:szCs w:val="13"/>
        </w:rPr>
        <w:t xml:space="preserve"> </w:t>
      </w:r>
      <w:r>
        <w:rPr>
          <w:rStyle w:val="Lienhypertexte"/>
          <w:sz w:val="13"/>
          <w:szCs w:val="13"/>
        </w:rPr>
        <w:t>https://www.unhcr.org/media/cameroon-mco-annual-results-report-2024</w:t>
      </w:r>
      <w:r>
        <w:rPr>
          <w:sz w:val="13"/>
          <w:szCs w:val="13"/>
          <w:vertAlign w:val="superscript"/>
        </w:rPr>
        <w:t xml:space="preserve"> </w:t>
      </w:r>
    </w:p>
  </w:footnote>
  <w:footnote w:id="72">
    <w:p w14:paraId="4337FF05" w14:textId="77777777" w:rsidR="00EA6DED" w:rsidRDefault="007504AE">
      <w:pPr>
        <w:pStyle w:val="Notedebasdepage"/>
        <w:rPr>
          <w:sz w:val="13"/>
          <w:szCs w:val="13"/>
          <w:lang w:val="en-US"/>
        </w:rPr>
      </w:pPr>
      <w:r>
        <w:rPr>
          <w:rStyle w:val="Appelnotedebasdep"/>
          <w:rFonts w:eastAsia="Calibri"/>
          <w:sz w:val="13"/>
          <w:szCs w:val="13"/>
        </w:rPr>
        <w:footnoteRef/>
      </w:r>
      <w:r>
        <w:rPr>
          <w:sz w:val="13"/>
          <w:szCs w:val="13"/>
          <w:lang w:val="en-US"/>
        </w:rPr>
        <w:t xml:space="preserve"> </w:t>
      </w:r>
      <w:r>
        <w:rPr>
          <w:sz w:val="13"/>
          <w:szCs w:val="13"/>
          <w:vertAlign w:val="superscript"/>
          <w:lang w:val="en-US"/>
        </w:rPr>
        <w:t xml:space="preserve">PAM Cameroun 2023 : </w:t>
      </w:r>
      <w:hyperlink r:id="rId21" w:tgtFrame="_blank" w:history="1">
        <w:r>
          <w:rPr>
            <w:rStyle w:val="Lienhypertexte"/>
            <w:sz w:val="13"/>
            <w:szCs w:val="13"/>
            <w:vertAlign w:val="superscript"/>
            <w:lang w:val="en-US"/>
          </w:rPr>
          <w:t>https://www.wfp.org/countries/cameroon</w:t>
        </w:r>
      </w:hyperlink>
      <w:r>
        <w:rPr>
          <w:sz w:val="13"/>
          <w:szCs w:val="13"/>
          <w:vertAlign w:val="superscript"/>
          <w:lang w:val="en-US"/>
        </w:rPr>
        <w:t xml:space="preserve">   UNICEF Cameroun 2023 : </w:t>
      </w:r>
      <w:hyperlink r:id="rId22" w:tgtFrame="_blank" w:history="1">
        <w:r>
          <w:rPr>
            <w:rStyle w:val="Lienhypertexte"/>
            <w:sz w:val="13"/>
            <w:szCs w:val="13"/>
            <w:vertAlign w:val="superscript"/>
            <w:lang w:val="en-US"/>
          </w:rPr>
          <w:t>https://www.unicef.org/cameroon</w:t>
        </w:r>
      </w:hyperlink>
    </w:p>
  </w:footnote>
  <w:footnote w:id="73">
    <w:p w14:paraId="4337FF06" w14:textId="77777777" w:rsidR="00EA6DED" w:rsidRDefault="007504AE">
      <w:pPr>
        <w:pStyle w:val="Notedebasdepage"/>
        <w:rPr>
          <w:sz w:val="13"/>
          <w:szCs w:val="13"/>
          <w:lang w:val="en-US"/>
        </w:rPr>
      </w:pPr>
      <w:r>
        <w:rPr>
          <w:rStyle w:val="Appelnotedebasdep"/>
          <w:rFonts w:eastAsia="Calibri"/>
          <w:sz w:val="13"/>
          <w:szCs w:val="13"/>
        </w:rPr>
        <w:footnoteRef/>
      </w:r>
      <w:r>
        <w:rPr>
          <w:sz w:val="13"/>
          <w:szCs w:val="13"/>
        </w:rPr>
        <w:t xml:space="preserve"> </w:t>
      </w:r>
      <w:r>
        <w:rPr>
          <w:b/>
          <w:bCs/>
          <w:sz w:val="13"/>
          <w:szCs w:val="13"/>
        </w:rPr>
        <w:t>PNUD et ONU-Habitat, Rapport 2024 — « Éducation inclusive et développement local au Cameroun »</w:t>
      </w:r>
      <w:r>
        <w:rPr>
          <w:sz w:val="13"/>
          <w:szCs w:val="13"/>
        </w:rPr>
        <w:br/>
        <w:t xml:space="preserve">Programme des Nations Unies pour le développement (PNUD) &amp; ONU-Habitat. </w:t>
      </w:r>
      <w:r>
        <w:rPr>
          <w:sz w:val="13"/>
          <w:szCs w:val="13"/>
          <w:lang w:val="en-US"/>
        </w:rPr>
        <w:t xml:space="preserve">(2024). </w:t>
      </w:r>
      <w:r>
        <w:rPr>
          <w:i/>
          <w:iCs/>
          <w:sz w:val="13"/>
          <w:szCs w:val="13"/>
          <w:lang w:val="en-US"/>
        </w:rPr>
        <w:t>Inclusive Education and Local Development in Cameroon</w:t>
      </w:r>
      <w:r>
        <w:rPr>
          <w:sz w:val="13"/>
          <w:szCs w:val="13"/>
          <w:lang w:val="en-US"/>
        </w:rPr>
        <w:t xml:space="preserve">. Disponible via PNUD Cameroun : </w:t>
      </w:r>
      <w:hyperlink r:id="rId23" w:tgtFrame="_blank" w:history="1">
        <w:r>
          <w:rPr>
            <w:rStyle w:val="Lienhypertexte"/>
            <w:sz w:val="13"/>
            <w:szCs w:val="13"/>
            <w:lang w:val="en-US"/>
          </w:rPr>
          <w:t>https://www.cm.undp.org</w:t>
        </w:r>
      </w:hyperlink>
      <w:r>
        <w:rPr>
          <w:sz w:val="13"/>
          <w:szCs w:val="13"/>
          <w:lang w:val="en-US"/>
        </w:rPr>
        <w:t xml:space="preserve"> </w:t>
      </w:r>
    </w:p>
    <w:p w14:paraId="4337FF07" w14:textId="77777777" w:rsidR="00EA6DED" w:rsidRDefault="00EA6DED">
      <w:pPr>
        <w:pStyle w:val="Notedebasdepage"/>
        <w:rPr>
          <w:lang w:val="en-US"/>
        </w:rPr>
      </w:pPr>
    </w:p>
  </w:footnote>
  <w:footnote w:id="74">
    <w:p w14:paraId="4337FF08" w14:textId="77777777" w:rsidR="00EA6DED" w:rsidRDefault="007504AE">
      <w:pPr>
        <w:jc w:val="both"/>
        <w:rPr>
          <w:color w:val="000000"/>
          <w:sz w:val="13"/>
          <w:szCs w:val="13"/>
        </w:rPr>
      </w:pPr>
      <w:r>
        <w:rPr>
          <w:rStyle w:val="Appelnotedebasdep"/>
          <w:rFonts w:eastAsia="SimSun"/>
          <w:sz w:val="13"/>
          <w:szCs w:val="13"/>
        </w:rPr>
        <w:footnoteRef/>
      </w:r>
      <w:r>
        <w:rPr>
          <w:sz w:val="13"/>
          <w:szCs w:val="13"/>
        </w:rPr>
        <w:t xml:space="preserve"> Pour les mêmes raisons, </w:t>
      </w:r>
      <w:r>
        <w:rPr>
          <w:color w:val="000000"/>
          <w:sz w:val="13"/>
          <w:szCs w:val="13"/>
        </w:rPr>
        <w:t xml:space="preserve">Les indicateurs </w:t>
      </w:r>
      <w:r>
        <w:rPr>
          <w:iCs/>
          <w:color w:val="000000"/>
          <w:sz w:val="13"/>
          <w:szCs w:val="13"/>
        </w:rPr>
        <w:t>« IE 2.2 et IE 2.3 respectivement sur la ‘’réduction du gap hommes/femmes en matière d’inclusion financière’’</w:t>
      </w:r>
      <w:r>
        <w:rPr>
          <w:color w:val="000000"/>
          <w:sz w:val="13"/>
          <w:szCs w:val="13"/>
        </w:rPr>
        <w:t xml:space="preserve">  </w:t>
      </w:r>
      <w:r>
        <w:rPr>
          <w:iCs/>
          <w:color w:val="000000"/>
          <w:sz w:val="13"/>
          <w:szCs w:val="13"/>
        </w:rPr>
        <w:t>et la proportion de femmes âgées de 15 à 49 ans prenant leurs propres décisions éclairées en ce qui concerne les relations sexuelles, l’utilisation d’une contraception et les soins de santé reproductive</w:t>
      </w:r>
      <w:r>
        <w:rPr>
          <w:color w:val="000000"/>
          <w:sz w:val="13"/>
          <w:szCs w:val="13"/>
        </w:rPr>
        <w:t> » n’ont pas pu être vérifiés en l’absence l’</w:t>
      </w:r>
      <w:r>
        <w:rPr>
          <w:sz w:val="13"/>
          <w:szCs w:val="13"/>
        </w:rPr>
        <w:t>enquête récente de FinScope au Cameroun, et de</w:t>
      </w:r>
      <w:r>
        <w:rPr>
          <w:color w:val="000000"/>
          <w:sz w:val="13"/>
          <w:szCs w:val="13"/>
        </w:rPr>
        <w:t xml:space="preserve"> l’Enquête Démographique de Santé dont la dernière date de 2018. </w:t>
      </w:r>
    </w:p>
  </w:footnote>
  <w:footnote w:id="75">
    <w:p w14:paraId="4337FF09" w14:textId="77777777" w:rsidR="00EA6DED" w:rsidRDefault="007504AE">
      <w:pPr>
        <w:rPr>
          <w:rFonts w:ascii="Calibri" w:hAnsi="Calibri" w:cs="Calibri"/>
          <w:sz w:val="13"/>
          <w:szCs w:val="13"/>
        </w:rPr>
      </w:pPr>
      <w:r>
        <w:rPr>
          <w:rStyle w:val="Appelnotedebasdep"/>
          <w:rFonts w:eastAsia="SimSun"/>
          <w:sz w:val="13"/>
          <w:szCs w:val="13"/>
        </w:rPr>
        <w:footnoteRef/>
      </w:r>
      <w:r>
        <w:rPr>
          <w:sz w:val="13"/>
          <w:szCs w:val="13"/>
        </w:rPr>
        <w:t xml:space="preserve"> </w:t>
      </w:r>
      <w:r>
        <w:rPr>
          <w:rFonts w:ascii="Calibri" w:hAnsi="Calibri" w:cs="Calibri"/>
          <w:sz w:val="13"/>
          <w:szCs w:val="13"/>
        </w:rPr>
        <w:t>Évaluation de la mise en œuvre de la déclaration et du programme d’action de Beijing (2019 – 2024)</w:t>
      </w:r>
    </w:p>
  </w:footnote>
  <w:footnote w:id="76">
    <w:p w14:paraId="4337FF0A" w14:textId="77777777" w:rsidR="00EA6DED" w:rsidRDefault="007504AE">
      <w:pPr>
        <w:rPr>
          <w:rFonts w:ascii="Calibri" w:hAnsi="Calibri" w:cs="Calibri"/>
          <w:sz w:val="13"/>
          <w:szCs w:val="13"/>
        </w:rPr>
      </w:pPr>
      <w:r>
        <w:rPr>
          <w:rStyle w:val="Appelnotedebasdep"/>
          <w:rFonts w:eastAsia="SimSun"/>
          <w:sz w:val="13"/>
          <w:szCs w:val="13"/>
        </w:rPr>
        <w:footnoteRef/>
      </w:r>
      <w:r>
        <w:rPr>
          <w:sz w:val="13"/>
          <w:szCs w:val="13"/>
        </w:rPr>
        <w:t xml:space="preserve"> </w:t>
      </w:r>
      <w:r>
        <w:rPr>
          <w:rFonts w:ascii="Calibri" w:hAnsi="Calibri" w:cs="Calibri"/>
          <w:sz w:val="13"/>
          <w:szCs w:val="13"/>
        </w:rPr>
        <w:t>Évaluation de la mise en œuvre de la déclaration et du programme d’action de Beijing (2019 – 2024)</w:t>
      </w:r>
    </w:p>
  </w:footnote>
  <w:footnote w:id="77">
    <w:p w14:paraId="4337FF0B"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w:t>
      </w:r>
      <w:r>
        <w:rPr>
          <w:rFonts w:cs="Calibri"/>
          <w:sz w:val="13"/>
          <w:szCs w:val="13"/>
        </w:rPr>
        <w:t>Analyse situationnelle des VBG au Cameroun 2023, MINPROF</w:t>
      </w:r>
    </w:p>
  </w:footnote>
  <w:footnote w:id="78">
    <w:p w14:paraId="4337FF0C"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Stratégie Nationale de Développement 2020-2030 (SND30)</w:t>
      </w:r>
    </w:p>
  </w:footnote>
  <w:footnote w:id="79">
    <w:p w14:paraId="4337FF0D"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Rapports du Système des Nations Unies sur les Résultats au Cameroun  CCCC 2022, 2023</w:t>
      </w:r>
    </w:p>
  </w:footnote>
  <w:footnote w:id="80">
    <w:p w14:paraId="4337FF0E"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 du Système des Nations Unies sur les Résultats au Cameroun en 2023</w:t>
      </w:r>
    </w:p>
  </w:footnote>
  <w:footnote w:id="81">
    <w:p w14:paraId="4337FF0F"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Rapports du Système des Nations Unies sur les Résultats au Cameroun en t CC 2024</w:t>
      </w:r>
    </w:p>
  </w:footnote>
  <w:footnote w:id="82">
    <w:p w14:paraId="4337FF10"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Ibid</w:t>
      </w:r>
    </w:p>
  </w:footnote>
  <w:footnote w:id="83">
    <w:p w14:paraId="4337FF11"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Ibid </w:t>
      </w:r>
    </w:p>
  </w:footnote>
  <w:footnote w:id="84">
    <w:p w14:paraId="4337FF12"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Rapports du Système des Nations Unies sur les Résultats au Cameroun en 2022</w:t>
      </w:r>
    </w:p>
  </w:footnote>
  <w:footnote w:id="85">
    <w:p w14:paraId="4337FF13"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Rapports du Système des Nations Unies sur les Résultats au Cameroun en 2024</w:t>
      </w:r>
    </w:p>
  </w:footnote>
  <w:footnote w:id="86">
    <w:p w14:paraId="4337FF14"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Rapports du Système des Nations Unies sur les Résultats au Cameroun en 2023</w:t>
      </w:r>
    </w:p>
  </w:footnote>
  <w:footnote w:id="87">
    <w:p w14:paraId="4337FF15"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Rapports du Système des Nations Unies sur les Résultats au Cameroun en 2024</w:t>
      </w:r>
    </w:p>
  </w:footnote>
  <w:footnote w:id="88">
    <w:p w14:paraId="4337FF16"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 CCCC 2023).</w:t>
      </w:r>
    </w:p>
  </w:footnote>
  <w:footnote w:id="89">
    <w:p w14:paraId="4337FF17"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 des Nations Unies sur les Résultats au Cameroun en 2024</w:t>
      </w:r>
    </w:p>
  </w:footnote>
  <w:footnote w:id="90">
    <w:p w14:paraId="4337FF18"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 des Nations Unies sur les Résultats au Cameroun en CC2022),</w:t>
      </w:r>
    </w:p>
  </w:footnote>
  <w:footnote w:id="91">
    <w:p w14:paraId="4337FF19"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 des Nations Unies sur les Résultats au Cameroun enCC 2024)</w:t>
      </w:r>
    </w:p>
  </w:footnote>
  <w:footnote w:id="92">
    <w:p w14:paraId="4337FF1A"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 des Nations Unies sur les Résultats au Cameroun enCC 2023).</w:t>
      </w:r>
    </w:p>
  </w:footnote>
  <w:footnote w:id="93">
    <w:p w14:paraId="4337FF1B"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 des Nations Unies sur les Résultats au Cameroun en 2024</w:t>
      </w:r>
    </w:p>
  </w:footnote>
  <w:footnote w:id="94">
    <w:p w14:paraId="4337FF1C"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Rapport des Nations Unies sur les Résultats au Cameroun en</w:t>
      </w:r>
      <w:r>
        <w:rPr>
          <w:bCs/>
          <w:color w:val="000000"/>
          <w:sz w:val="13"/>
          <w:szCs w:val="13"/>
        </w:rPr>
        <w:t xml:space="preserve"> CCCC 2022).</w:t>
      </w:r>
    </w:p>
  </w:footnote>
  <w:footnote w:id="95">
    <w:p w14:paraId="4337FF1D" w14:textId="77777777" w:rsidR="00EA6DED" w:rsidRDefault="007504AE">
      <w:pPr>
        <w:pStyle w:val="Notedebasdepage"/>
      </w:pPr>
      <w:r>
        <w:rPr>
          <w:rStyle w:val="Appelnotedebasdep"/>
          <w:rFonts w:eastAsia="Calibri"/>
          <w:sz w:val="13"/>
          <w:szCs w:val="13"/>
        </w:rPr>
        <w:footnoteRef/>
      </w:r>
      <w:r>
        <w:rPr>
          <w:sz w:val="13"/>
          <w:szCs w:val="13"/>
        </w:rPr>
        <w:t xml:space="preserve"> Rapport des Nations Unies sur les Résultats au Cameroun en</w:t>
      </w:r>
      <w:r>
        <w:rPr>
          <w:bCs/>
          <w:color w:val="000000"/>
          <w:sz w:val="13"/>
          <w:szCs w:val="13"/>
        </w:rPr>
        <w:t xml:space="preserve"> CC2024).</w:t>
      </w:r>
    </w:p>
  </w:footnote>
  <w:footnote w:id="96">
    <w:p w14:paraId="4337FF1E" w14:textId="77777777" w:rsidR="00EA6DED" w:rsidRDefault="007504AE">
      <w:pPr>
        <w:pStyle w:val="Notedebasdepage"/>
        <w:jc w:val="both"/>
        <w:rPr>
          <w:sz w:val="13"/>
          <w:szCs w:val="13"/>
        </w:rPr>
      </w:pPr>
      <w:r>
        <w:rPr>
          <w:rStyle w:val="Appelnotedebasdep"/>
          <w:rFonts w:eastAsia="Calibri"/>
          <w:sz w:val="13"/>
          <w:szCs w:val="13"/>
        </w:rPr>
        <w:footnoteRef/>
      </w:r>
      <w:r>
        <w:rPr>
          <w:sz w:val="13"/>
          <w:szCs w:val="13"/>
        </w:rPr>
        <w:t xml:space="preserve"> Puisque 42 % des ménages ont subi une baisse d’activité ou de revenus agricoles à cause des chocs climatiques, cela suggère que 58 % pourraient être considérés comme "résistants" dans ce contexte (c’est-à-dire n’ayant pas subi de baisse notable de revenus due aux chocs climatiques). DIEM – Données en situations d’urgence Bulletin de suivi, cycle 7. Cameroun. FAO Février 2025.</w:t>
      </w:r>
    </w:p>
  </w:footnote>
  <w:footnote w:id="97">
    <w:p w14:paraId="4337FF1F" w14:textId="77777777" w:rsidR="00EA6DED" w:rsidRDefault="007504AE">
      <w:pPr>
        <w:pStyle w:val="Notedebasdepage"/>
        <w:rPr>
          <w:sz w:val="13"/>
          <w:szCs w:val="13"/>
        </w:rPr>
      </w:pPr>
      <w:r>
        <w:rPr>
          <w:rStyle w:val="Appelnotedebasdep"/>
          <w:rFonts w:eastAsia="Calibri"/>
          <w:sz w:val="13"/>
          <w:szCs w:val="13"/>
        </w:rPr>
        <w:footnoteRef/>
      </w:r>
      <w:r>
        <w:rPr>
          <w:sz w:val="13"/>
          <w:szCs w:val="13"/>
        </w:rPr>
        <w:t xml:space="preserve"> Voir les rapports annuels des Nations unies de 2022 et 2024.</w:t>
      </w:r>
    </w:p>
  </w:footnote>
  <w:footnote w:id="98">
    <w:p w14:paraId="4337FF20" w14:textId="77777777" w:rsidR="00EA6DED" w:rsidRDefault="007504AE">
      <w:pPr>
        <w:pStyle w:val="NormalWeb"/>
        <w:shd w:val="clear" w:color="auto" w:fill="FFFFFF"/>
        <w:spacing w:before="0" w:beforeAutospacing="0" w:after="0" w:afterAutospacing="0"/>
        <w:contextualSpacing/>
        <w:rPr>
          <w:rFonts w:ascii="roboto-fallback" w:hAnsi="roboto-fallback" w:hint="eastAsia"/>
          <w:sz w:val="13"/>
          <w:szCs w:val="13"/>
          <w:highlight w:val="yellow"/>
        </w:rPr>
      </w:pPr>
      <w:r>
        <w:rPr>
          <w:rStyle w:val="Appelnotedebasdep"/>
          <w:rFonts w:eastAsia="SimSun"/>
          <w:sz w:val="13"/>
          <w:szCs w:val="13"/>
        </w:rPr>
        <w:footnoteRef/>
      </w:r>
      <w:r>
        <w:rPr>
          <w:sz w:val="13"/>
          <w:szCs w:val="13"/>
        </w:rPr>
        <w:t xml:space="preserve"> </w:t>
      </w:r>
      <w:r>
        <w:rPr>
          <w:rFonts w:ascii="roboto-fallback" w:hAnsi="roboto-fallback"/>
          <w:sz w:val="13"/>
          <w:szCs w:val="13"/>
        </w:rPr>
        <w:t>», explique </w:t>
      </w:r>
      <w:r>
        <w:rPr>
          <w:rStyle w:val="lev"/>
          <w:rFonts w:ascii="roboto-fallback" w:hAnsi="roboto-fallback"/>
          <w:sz w:val="13"/>
          <w:szCs w:val="13"/>
        </w:rPr>
        <w:t>Cheick F. Kanté, directeur de division de la Banque mondiale pour le Cameroun, la République centrafricaine, la République du Congo, le Gabon et la Guinée équatoriale</w:t>
      </w:r>
      <w:r>
        <w:rPr>
          <w:rFonts w:ascii="roboto-fallback" w:hAnsi="roboto-fallback"/>
          <w:sz w:val="13"/>
          <w:szCs w:val="13"/>
        </w:rPr>
        <w:t>.</w:t>
      </w:r>
    </w:p>
  </w:footnote>
  <w:footnote w:id="99">
    <w:p w14:paraId="4337FF21" w14:textId="77777777" w:rsidR="00EA6DED" w:rsidRDefault="00EA6DED"/>
    <w:p w14:paraId="4337FF22" w14:textId="77777777" w:rsidR="00EA6DED" w:rsidRDefault="00EA6DED"/>
  </w:footnote>
  <w:footnote w:id="100">
    <w:p w14:paraId="4337FF23" w14:textId="77777777" w:rsidR="00EA6DED" w:rsidRDefault="007504AE">
      <w:pPr>
        <w:rPr>
          <w:rFonts w:cs="Calibri"/>
          <w:sz w:val="13"/>
          <w:szCs w:val="13"/>
        </w:rPr>
      </w:pPr>
      <w:r>
        <w:rPr>
          <w:rStyle w:val="Appelnotedebasdep"/>
          <w:rFonts w:eastAsia="SimSun"/>
          <w:sz w:val="13"/>
          <w:szCs w:val="13"/>
        </w:rPr>
        <w:footnoteRef/>
      </w:r>
      <w:r>
        <w:rPr>
          <w:sz w:val="13"/>
          <w:szCs w:val="13"/>
        </w:rPr>
        <w:t xml:space="preserve"> </w:t>
      </w:r>
      <w:r>
        <w:rPr>
          <w:rFonts w:cs="Calibri"/>
          <w:sz w:val="13"/>
          <w:szCs w:val="13"/>
        </w:rPr>
        <w:t>L’état des dépenses de 2022 par réalisation n’est pas disponible, ce qui cause un véritable handicap pour une analyse exhaustive de l’efficience. Face à cette difficulté, notre analyse par effet s’est limitée sur les données disponibles des exercices 2023 et 2024.</w:t>
      </w:r>
    </w:p>
    <w:p w14:paraId="4337FF24" w14:textId="77777777" w:rsidR="00EA6DED" w:rsidRDefault="00EA6DED">
      <w:pPr>
        <w:pStyle w:val="Notedebasdepage"/>
      </w:pPr>
    </w:p>
  </w:footnote>
  <w:footnote w:id="101">
    <w:p w14:paraId="4337FF25" w14:textId="77777777" w:rsidR="00EA6DED" w:rsidRDefault="007504AE">
      <w:pPr>
        <w:pStyle w:val="Notedebasdepage"/>
        <w:rPr>
          <w:sz w:val="13"/>
          <w:szCs w:val="13"/>
          <w:lang w:val="en-US"/>
        </w:rPr>
      </w:pPr>
      <w:r>
        <w:rPr>
          <w:rStyle w:val="Appelnotedebasdep"/>
          <w:rFonts w:eastAsia="Calibri"/>
          <w:sz w:val="13"/>
          <w:szCs w:val="13"/>
        </w:rPr>
        <w:footnoteRef/>
      </w:r>
      <w:r>
        <w:rPr>
          <w:sz w:val="13"/>
          <w:szCs w:val="13"/>
          <w:lang w:val="en-US"/>
        </w:rPr>
        <w:t xml:space="preserve"> BOS Summary Cameroon 2025 Latest – Executive summary</w:t>
      </w:r>
    </w:p>
  </w:footnote>
  <w:footnote w:id="102">
    <w:p w14:paraId="4337FF26" w14:textId="77777777" w:rsidR="00EA6DED" w:rsidRDefault="007504AE">
      <w:pPr>
        <w:pStyle w:val="Notedebasdepage"/>
        <w:rPr>
          <w:sz w:val="13"/>
          <w:szCs w:val="13"/>
          <w:lang w:val="en-US"/>
        </w:rPr>
      </w:pPr>
      <w:r>
        <w:rPr>
          <w:rStyle w:val="Appelnotedebasdep"/>
          <w:rFonts w:eastAsia="Calibri"/>
          <w:sz w:val="13"/>
          <w:szCs w:val="13"/>
        </w:rPr>
        <w:footnoteRef/>
      </w:r>
      <w:r>
        <w:rPr>
          <w:sz w:val="13"/>
          <w:szCs w:val="13"/>
          <w:lang w:val="en-US"/>
        </w:rPr>
        <w:t xml:space="preserve"> Sources : UNSDCC 2022-2026, Joint SDG Fund-Cameroun, CCA Cameroon ( déc 2022)</w:t>
      </w:r>
    </w:p>
  </w:footnote>
  <w:footnote w:id="103">
    <w:p w14:paraId="4337FF27" w14:textId="77777777" w:rsidR="00EA6DED" w:rsidRDefault="007504AE">
      <w:r>
        <w:rPr>
          <w:rStyle w:val="Appelnotedebasdep"/>
          <w:sz w:val="13"/>
          <w:szCs w:val="13"/>
        </w:rPr>
        <w:footnoteRef/>
      </w:r>
      <w:r>
        <w:rPr>
          <w:sz w:val="13"/>
          <w:szCs w:val="13"/>
        </w:rPr>
        <w:t xml:space="preserve"> </w:t>
      </w:r>
      <w:r>
        <w:rPr>
          <w:rFonts w:ascii="Arial" w:hAnsi="Arial" w:cs="Arial"/>
          <w:color w:val="444444"/>
          <w:sz w:val="13"/>
          <w:szCs w:val="13"/>
          <w:shd w:val="clear" w:color="auto" w:fill="FFFFFF"/>
        </w:rPr>
        <w:t>Données compilées dans la 3ᵉ Enquête sur l’emploi et le secteur informel (EESI3) réalisée en 2021</w:t>
      </w:r>
    </w:p>
  </w:footnote>
  <w:footnote w:id="104">
    <w:p w14:paraId="4337FF28" w14:textId="77777777" w:rsidR="00EA6DED" w:rsidRDefault="007504AE">
      <w:pPr>
        <w:ind w:left="-363"/>
        <w:contextualSpacing/>
        <w:rPr>
          <w:sz w:val="13"/>
          <w:szCs w:val="13"/>
        </w:rPr>
      </w:pPr>
      <w:r>
        <w:rPr>
          <w:sz w:val="13"/>
          <w:szCs w:val="13"/>
        </w:rPr>
        <w:t xml:space="preserve">         </w:t>
      </w:r>
      <w:r>
        <w:rPr>
          <w:rStyle w:val="Appelnotedebasdep"/>
          <w:rFonts w:eastAsia="SimSun"/>
          <w:sz w:val="13"/>
          <w:szCs w:val="13"/>
        </w:rPr>
        <w:footnoteRef/>
      </w:r>
      <w:r>
        <w:rPr>
          <w:sz w:val="13"/>
          <w:szCs w:val="13"/>
        </w:rPr>
        <w:t xml:space="preserve"> </w:t>
      </w:r>
      <w:r>
        <w:rPr>
          <w:rFonts w:ascii="Segoe UI" w:eastAsia="Segoe UI" w:hAnsi="Segoe UI" w:cs="Segoe UI"/>
          <w:color w:val="404040"/>
          <w:sz w:val="13"/>
          <w:szCs w:val="13"/>
          <w:shd w:val="clear" w:color="auto" w:fill="FFFFFF"/>
        </w:rPr>
        <w:t>R</w:t>
      </w:r>
      <w:r>
        <w:rPr>
          <w:rFonts w:eastAsia="Segoe UI"/>
          <w:color w:val="404040"/>
          <w:sz w:val="13"/>
          <w:szCs w:val="13"/>
          <w:shd w:val="clear" w:color="auto" w:fill="FFFFFF"/>
        </w:rPr>
        <w:t>apport SND30 2023, Chapitre 2 : Développement des industries et des services, p. 34.</w:t>
      </w:r>
    </w:p>
  </w:footnote>
  <w:footnote w:id="105">
    <w:p w14:paraId="4337FF29" w14:textId="77777777" w:rsidR="00EA6DED" w:rsidRDefault="007504AE">
      <w:pPr>
        <w:ind w:left="-363"/>
        <w:contextualSpacing/>
        <w:rPr>
          <w:sz w:val="13"/>
          <w:szCs w:val="13"/>
        </w:rPr>
      </w:pPr>
      <w:r>
        <w:rPr>
          <w:sz w:val="13"/>
          <w:szCs w:val="13"/>
        </w:rPr>
        <w:t xml:space="preserve">         </w:t>
      </w:r>
      <w:r>
        <w:rPr>
          <w:rStyle w:val="Appelnotedebasdep"/>
          <w:rFonts w:eastAsia="SimSun"/>
          <w:sz w:val="13"/>
          <w:szCs w:val="13"/>
        </w:rPr>
        <w:footnoteRef/>
      </w:r>
      <w:r>
        <w:rPr>
          <w:sz w:val="13"/>
          <w:szCs w:val="13"/>
        </w:rPr>
        <w:t xml:space="preserve"> </w:t>
      </w:r>
      <w:r>
        <w:rPr>
          <w:rFonts w:eastAsia="Segoe UI"/>
          <w:color w:val="404040"/>
          <w:sz w:val="13"/>
          <w:szCs w:val="13"/>
          <w:shd w:val="clear" w:color="auto" w:fill="FFFFFF"/>
        </w:rPr>
        <w:t>Rapport SND30 2023, Chapitre 3 : Développement du Capital humain et du bien-être, p. 78.</w:t>
      </w:r>
    </w:p>
  </w:footnote>
  <w:footnote w:id="106">
    <w:p w14:paraId="4337FF2A" w14:textId="77777777" w:rsidR="00EA6DED" w:rsidRDefault="007504AE">
      <w:pPr>
        <w:pStyle w:val="Corpsdetexte"/>
        <w:spacing w:after="0" w:line="240" w:lineRule="auto"/>
        <w:ind w:right="-290"/>
        <w:contextualSpacing/>
        <w:jc w:val="both"/>
        <w:rPr>
          <w:rFonts w:ascii="Times New Roman" w:hAnsi="Times New Roman"/>
        </w:rPr>
      </w:pPr>
      <w:r>
        <w:rPr>
          <w:rStyle w:val="Appelnotedebasdep"/>
          <w:rFonts w:eastAsia="Calibri"/>
          <w:sz w:val="13"/>
          <w:szCs w:val="13"/>
        </w:rPr>
        <w:footnoteRef/>
      </w:r>
      <w:r>
        <w:rPr>
          <w:rFonts w:ascii="Times New Roman" w:hAnsi="Times New Roman"/>
          <w:sz w:val="13"/>
          <w:szCs w:val="13"/>
        </w:rPr>
        <w:t xml:space="preserve"> Les femmes et les hommes, les filles et les garçons au Cameroun, Ministère de la promotion de la femme et de la famille, 202</w:t>
      </w:r>
    </w:p>
  </w:footnote>
  <w:footnote w:id="107">
    <w:p w14:paraId="4337FF2B" w14:textId="77777777" w:rsidR="00EA6DED" w:rsidRDefault="007504AE">
      <w:pPr>
        <w:ind w:left="-363"/>
        <w:contextualSpacing/>
        <w:rPr>
          <w:sz w:val="16"/>
          <w:szCs w:val="16"/>
        </w:rPr>
      </w:pPr>
      <w:r>
        <w:rPr>
          <w:sz w:val="13"/>
          <w:szCs w:val="13"/>
        </w:rPr>
        <w:t xml:space="preserve">           </w:t>
      </w:r>
      <w:r>
        <w:rPr>
          <w:rStyle w:val="Appelnotedebasdep"/>
          <w:rFonts w:eastAsia="SimSun"/>
          <w:sz w:val="13"/>
          <w:szCs w:val="13"/>
        </w:rPr>
        <w:footnoteRef/>
      </w:r>
      <w:r>
        <w:rPr>
          <w:sz w:val="13"/>
          <w:szCs w:val="13"/>
        </w:rPr>
        <w:t xml:space="preserve"> </w:t>
      </w:r>
      <w:r>
        <w:rPr>
          <w:rFonts w:eastAsia="Segoe UI"/>
          <w:color w:val="404040"/>
          <w:sz w:val="13"/>
          <w:szCs w:val="13"/>
          <w:shd w:val="clear" w:color="auto" w:fill="FFFFFF"/>
        </w:rPr>
        <w:t xml:space="preserve">Rapport </w:t>
      </w:r>
      <w:r>
        <w:rPr>
          <w:rFonts w:eastAsia="Segoe UI"/>
          <w:color w:val="404040"/>
          <w:sz w:val="16"/>
          <w:szCs w:val="16"/>
          <w:shd w:val="clear" w:color="auto" w:fill="FFFFFF"/>
        </w:rPr>
        <w:t>SND30 2023, Chapitre 5 : Gouvernance, décentralisation et gestion stratégique de l'Etat, p. 96.</w:t>
      </w:r>
    </w:p>
  </w:footnote>
  <w:footnote w:id="108">
    <w:p w14:paraId="4337FF2C" w14:textId="77777777" w:rsidR="00EA6DED" w:rsidRDefault="007504AE">
      <w:pPr>
        <w:contextualSpacing/>
        <w:jc w:val="both"/>
      </w:pPr>
      <w:r>
        <w:rPr>
          <w:rStyle w:val="Appelnotedebasdep"/>
          <w:rFonts w:eastAsia="SimSun"/>
          <w:sz w:val="16"/>
          <w:szCs w:val="16"/>
        </w:rPr>
        <w:footnoteRef/>
      </w:r>
      <w:r>
        <w:rPr>
          <w:rStyle w:val="Appelnotedebasdep"/>
          <w:rFonts w:eastAsia="SimSun"/>
          <w:sz w:val="16"/>
          <w:szCs w:val="16"/>
        </w:rPr>
        <w:t xml:space="preserve"> /gnbhttps://worldjusticeproject.org/rule-of-law-index</w:t>
      </w:r>
      <w:r>
        <w:rPr>
          <w:sz w:val="16"/>
          <w:szCs w:val="16"/>
        </w:rPr>
        <w:t>/</w:t>
      </w:r>
    </w:p>
  </w:footnote>
  <w:footnote w:id="109">
    <w:p w14:paraId="4337FF2D" w14:textId="77777777" w:rsidR="00EA6DED" w:rsidRDefault="007504AE">
      <w:pPr>
        <w:ind w:left="-363"/>
        <w:contextualSpacing/>
        <w:rPr>
          <w:color w:val="000000"/>
          <w:sz w:val="13"/>
          <w:szCs w:val="13"/>
          <w:lang w:bidi="ar"/>
        </w:rPr>
      </w:pPr>
      <w:r>
        <w:rPr>
          <w:sz w:val="13"/>
          <w:szCs w:val="13"/>
        </w:rPr>
        <w:t xml:space="preserve">           </w:t>
      </w:r>
      <w:r>
        <w:rPr>
          <w:rStyle w:val="Appelnotedebasdep"/>
          <w:rFonts w:eastAsia="SimSun"/>
          <w:sz w:val="13"/>
          <w:szCs w:val="13"/>
        </w:rPr>
        <w:footnoteRef/>
      </w:r>
      <w:r>
        <w:rPr>
          <w:sz w:val="13"/>
          <w:szCs w:val="13"/>
        </w:rPr>
        <w:t xml:space="preserve"> </w:t>
      </w:r>
      <w:r>
        <w:rPr>
          <w:color w:val="000000"/>
          <w:sz w:val="13"/>
          <w:szCs w:val="13"/>
          <w:lang w:eastAsia="zh-CN" w:bidi="ar"/>
        </w:rPr>
        <w:t>Rapport SND30 2023, Chapitre 3 : Développement du Capital humain et du bien-être, p. 65.</w:t>
      </w:r>
    </w:p>
  </w:footnote>
  <w:footnote w:id="110">
    <w:p w14:paraId="4337FF2E" w14:textId="77777777" w:rsidR="00EA6DED" w:rsidRDefault="007504AE">
      <w:pPr>
        <w:contextualSpacing/>
        <w:rPr>
          <w:color w:val="000000"/>
          <w:sz w:val="13"/>
          <w:szCs w:val="13"/>
        </w:rPr>
      </w:pPr>
      <w:r>
        <w:rPr>
          <w:rStyle w:val="Appelnotedebasdep"/>
          <w:rFonts w:eastAsia="SimSun"/>
          <w:sz w:val="13"/>
          <w:szCs w:val="13"/>
        </w:rPr>
        <w:footnoteRef/>
      </w:r>
      <w:r>
        <w:rPr>
          <w:color w:val="000000"/>
          <w:sz w:val="13"/>
          <w:szCs w:val="13"/>
        </w:rPr>
        <w:t xml:space="preserve"> </w:t>
      </w:r>
      <w:r>
        <w:rPr>
          <w:rFonts w:eastAsia="Segoe UI"/>
          <w:color w:val="000000"/>
          <w:sz w:val="13"/>
          <w:szCs w:val="13"/>
          <w:shd w:val="clear" w:color="auto" w:fill="FFFFFF"/>
        </w:rPr>
        <w:t>Rapport SND30 2023, Chapitre 3 : Développement du Capital humain et du bien-être, p. 75.</w:t>
      </w:r>
    </w:p>
    <w:p w14:paraId="4337FF2F" w14:textId="77777777" w:rsidR="00EA6DED" w:rsidRDefault="00EA6DED">
      <w:pPr>
        <w:spacing w:before="48" w:afterAutospacing="1"/>
        <w:ind w:left="-360"/>
      </w:pPr>
    </w:p>
    <w:p w14:paraId="4337FF30" w14:textId="77777777" w:rsidR="00EA6DED" w:rsidRDefault="00EA6DED">
      <w:pPr>
        <w:pStyle w:val="Notedebasdepage"/>
      </w:pPr>
    </w:p>
  </w:footnote>
  <w:footnote w:id="111">
    <w:p w14:paraId="4337FF31" w14:textId="77777777" w:rsidR="00EA6DED" w:rsidRDefault="007504AE">
      <w:pPr>
        <w:pStyle w:val="Notedebasdepage"/>
      </w:pPr>
      <w:r>
        <w:rPr>
          <w:rStyle w:val="Appelnotedebasdep"/>
          <w:rFonts w:eastAsia="Calibri"/>
        </w:rPr>
        <w:footnoteRef/>
      </w:r>
      <w:r>
        <w:t xml:space="preserve"> </w:t>
      </w:r>
      <w:r>
        <w:rPr>
          <w:rFonts w:ascii="Times New Roman" w:eastAsia="DengXian" w:hAnsi="Times New Roman"/>
          <w:kern w:val="2"/>
          <w:sz w:val="16"/>
          <w:szCs w:val="16"/>
          <w:lang w:eastAsia="zh-CN"/>
        </w:rPr>
        <w:t>Rapport de suivi de la mise en œuvre de la Stratégie Nationale de Développement 2020-2030 (SND30)</w:t>
      </w:r>
    </w:p>
  </w:footnote>
  <w:footnote w:id="112">
    <w:p w14:paraId="4337FF32" w14:textId="77777777" w:rsidR="00EA6DED" w:rsidRDefault="007504AE">
      <w:pPr>
        <w:pStyle w:val="Notedebasdepage"/>
      </w:pPr>
      <w:r>
        <w:rPr>
          <w:rStyle w:val="Appelnotedebasdep"/>
          <w:rFonts w:eastAsia="Calibri"/>
        </w:rPr>
        <w:footnoteRef/>
      </w:r>
      <w:r>
        <w:t xml:space="preserve"> CQE : Conclusion Question d’Evaluation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FEAB" w14:textId="77777777" w:rsidR="00EA6DED" w:rsidRDefault="00EA6DED">
    <w:pPr>
      <w:tabs>
        <w:tab w:val="center" w:pos="4536"/>
        <w:tab w:val="right" w:pos="9072"/>
      </w:tabs>
      <w:rPr>
        <w:color w:val="FFFF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C2C8BB0"/>
    <w:multiLevelType w:val="multilevel"/>
    <w:tmpl w:val="BC2C8BB0"/>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15:restartNumberingAfterBreak="0">
    <w:nsid w:val="EAED1CA0"/>
    <w:multiLevelType w:val="multilevel"/>
    <w:tmpl w:val="EAED1CA0"/>
    <w:lvl w:ilvl="0">
      <w:start w:val="1"/>
      <w:numFmt w:val="upperRoman"/>
      <w:suff w:val="space"/>
      <w:lvlText w:val="%1."/>
      <w:lvlJc w:val="left"/>
    </w:lvl>
    <w:lvl w:ilvl="1">
      <w:start w:val="1"/>
      <w:numFmt w:val="decimal"/>
      <w:isLgl/>
      <w:lvlText w:val="%1.%2."/>
      <w:lvlJc w:val="left"/>
      <w:pPr>
        <w:ind w:left="440" w:hanging="4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08E1571A"/>
    <w:multiLevelType w:val="multilevel"/>
    <w:tmpl w:val="08E1571A"/>
    <w:lvl w:ilvl="0">
      <w:numFmt w:val="bullet"/>
      <w:lvlText w:val="-"/>
      <w:lvlJc w:val="left"/>
      <w:pPr>
        <w:ind w:left="360" w:hanging="360"/>
      </w:pPr>
      <w:rPr>
        <w:rFonts w:ascii="Times New Roman" w:eastAsia="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 w15:restartNumberingAfterBreak="0">
    <w:nsid w:val="0FFD0E1D"/>
    <w:multiLevelType w:val="multilevel"/>
    <w:tmpl w:val="0FFD0E1D"/>
    <w:lvl w:ilvl="0">
      <w:start w:val="1"/>
      <w:numFmt w:val="decimal"/>
      <w:pStyle w:val="Numberednormal"/>
      <w:lvlText w:val="%1."/>
      <w:lvlJc w:val="left"/>
      <w:pPr>
        <w:ind w:left="360" w:hanging="360"/>
      </w:pPr>
    </w:lvl>
    <w:lvl w:ilvl="1">
      <w:start w:val="1"/>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4" w15:restartNumberingAfterBreak="0">
    <w:nsid w:val="11150C88"/>
    <w:multiLevelType w:val="multilevel"/>
    <w:tmpl w:val="11150C88"/>
    <w:lvl w:ilvl="0">
      <w:start w:val="1"/>
      <w:numFmt w:val="decimal"/>
      <w:lvlText w:val="%1-"/>
      <w:lvlJc w:val="left"/>
      <w:pPr>
        <w:ind w:left="360" w:hanging="360"/>
      </w:pPr>
      <w:rPr>
        <w:rFonts w:hint="default"/>
        <w:b w:val="0"/>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31F11F74"/>
    <w:multiLevelType w:val="multilevel"/>
    <w:tmpl w:val="31F11F74"/>
    <w:lvl w:ilvl="0">
      <w:start w:val="1"/>
      <w:numFmt w:val="lowerLetter"/>
      <w:lvlText w:val="%1)"/>
      <w:lvlJc w:val="left"/>
      <w:pPr>
        <w:ind w:left="360" w:hanging="360"/>
      </w:pPr>
      <w:rPr>
        <w:rFonts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3D651AA5"/>
    <w:multiLevelType w:val="multilevel"/>
    <w:tmpl w:val="3D651AA5"/>
    <w:lvl w:ilvl="0">
      <w:numFmt w:val="bullet"/>
      <w:lvlText w:val="-"/>
      <w:lvlJc w:val="left"/>
      <w:pPr>
        <w:ind w:left="360" w:hanging="360"/>
      </w:pPr>
      <w:rPr>
        <w:rFonts w:ascii="Times" w:eastAsia="Calibri" w:hAnsi="Times" w:cs="Calibri"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 w15:restartNumberingAfterBreak="0">
    <w:nsid w:val="439B594B"/>
    <w:multiLevelType w:val="multilevel"/>
    <w:tmpl w:val="439B594B"/>
    <w:lvl w:ilvl="0">
      <w:numFmt w:val="bullet"/>
      <w:lvlText w:val="-"/>
      <w:lvlJc w:val="left"/>
      <w:pPr>
        <w:ind w:left="360" w:hanging="360"/>
      </w:pPr>
      <w:rPr>
        <w:rFonts w:ascii="Times New Roman" w:eastAsia="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8" w15:restartNumberingAfterBreak="0">
    <w:nsid w:val="4A1C4BD5"/>
    <w:multiLevelType w:val="multilevel"/>
    <w:tmpl w:val="4A1C4BD5"/>
    <w:lvl w:ilvl="0">
      <w:start w:val="1"/>
      <w:numFmt w:val="lowerLetter"/>
      <w:lvlText w:val="%1)"/>
      <w:lvlJc w:val="left"/>
      <w:pPr>
        <w:ind w:left="720" w:hanging="36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005CAF"/>
    <w:multiLevelType w:val="multilevel"/>
    <w:tmpl w:val="4C005CAF"/>
    <w:lvl w:ilvl="0">
      <w:numFmt w:val="bullet"/>
      <w:lvlText w:val="-"/>
      <w:lvlJc w:val="left"/>
      <w:pPr>
        <w:ind w:left="360" w:hanging="360"/>
      </w:pPr>
      <w:rPr>
        <w:rFonts w:ascii="Times New Roman" w:eastAsia="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0" w15:restartNumberingAfterBreak="0">
    <w:nsid w:val="53E82BF7"/>
    <w:multiLevelType w:val="multilevel"/>
    <w:tmpl w:val="53E82BF7"/>
    <w:lvl w:ilvl="0">
      <w:numFmt w:val="bullet"/>
      <w:lvlText w:val="-"/>
      <w:lvlJc w:val="left"/>
      <w:pPr>
        <w:ind w:left="360" w:hanging="360"/>
      </w:pPr>
      <w:rPr>
        <w:rFonts w:ascii="Times New Roman" w:eastAsia="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1" w15:restartNumberingAfterBreak="0">
    <w:nsid w:val="56E83D9F"/>
    <w:multiLevelType w:val="multilevel"/>
    <w:tmpl w:val="56E83D9F"/>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7163121"/>
    <w:multiLevelType w:val="multilevel"/>
    <w:tmpl w:val="57163121"/>
    <w:lvl w:ilvl="0">
      <w:numFmt w:val="bullet"/>
      <w:lvlText w:val="-"/>
      <w:lvlJc w:val="left"/>
      <w:pPr>
        <w:ind w:left="360" w:hanging="360"/>
      </w:pPr>
      <w:rPr>
        <w:rFonts w:ascii="Times New Roman" w:eastAsia="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57546BB4"/>
    <w:multiLevelType w:val="multilevel"/>
    <w:tmpl w:val="57546BB4"/>
    <w:lvl w:ilvl="0">
      <w:start w:val="1"/>
      <w:numFmt w:val="decimal"/>
      <w:lvlText w:val="%1-"/>
      <w:lvlJc w:val="left"/>
      <w:pPr>
        <w:ind w:left="360" w:hanging="360"/>
      </w:pPr>
      <w:rPr>
        <w:rFonts w:hint="default"/>
        <w:b w:val="0"/>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5EA07844"/>
    <w:multiLevelType w:val="multilevel"/>
    <w:tmpl w:val="5EA07844"/>
    <w:lvl w:ilvl="0">
      <w:numFmt w:val="bullet"/>
      <w:lvlText w:val="-"/>
      <w:lvlJc w:val="left"/>
      <w:pPr>
        <w:ind w:left="360" w:hanging="360"/>
      </w:pPr>
      <w:rPr>
        <w:rFonts w:ascii="Calibri" w:eastAsia="Calibri" w:hAnsi="Calibri" w:cs="Calibri"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5" w15:restartNumberingAfterBreak="0">
    <w:nsid w:val="61C33111"/>
    <w:multiLevelType w:val="multilevel"/>
    <w:tmpl w:val="61C33111"/>
    <w:lvl w:ilvl="0">
      <w:start w:val="1"/>
      <w:numFmt w:val="lowerLetter"/>
      <w:lvlText w:val="%1)"/>
      <w:lvlJc w:val="left"/>
      <w:pPr>
        <w:ind w:left="720" w:hanging="36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1C465D6"/>
    <w:multiLevelType w:val="multilevel"/>
    <w:tmpl w:val="61C465D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7" w15:restartNumberingAfterBreak="0">
    <w:nsid w:val="6789492C"/>
    <w:multiLevelType w:val="multilevel"/>
    <w:tmpl w:val="6789492C"/>
    <w:lvl w:ilvl="0">
      <w:start w:val="1"/>
      <w:numFmt w:val="bullet"/>
      <w:lvlText w:val=""/>
      <w:lvlJc w:val="left"/>
      <w:pPr>
        <w:tabs>
          <w:tab w:val="left" w:pos="2880"/>
        </w:tabs>
        <w:ind w:left="2880" w:hanging="360"/>
      </w:pPr>
      <w:rPr>
        <w:rFonts w:ascii="Symbol" w:hAnsi="Symbol" w:hint="default"/>
        <w:sz w:val="20"/>
      </w:rPr>
    </w:lvl>
    <w:lvl w:ilvl="1">
      <w:start w:val="1"/>
      <w:numFmt w:val="bullet"/>
      <w:lvlText w:val="o"/>
      <w:lvlJc w:val="left"/>
      <w:pPr>
        <w:tabs>
          <w:tab w:val="left" w:pos="3600"/>
        </w:tabs>
        <w:ind w:left="3600" w:hanging="360"/>
      </w:pPr>
      <w:rPr>
        <w:rFonts w:ascii="Courier New" w:hAnsi="Courier New" w:hint="default"/>
        <w:sz w:val="20"/>
      </w:rPr>
    </w:lvl>
    <w:lvl w:ilvl="2">
      <w:start w:val="1"/>
      <w:numFmt w:val="bullet"/>
      <w:lvlText w:val=""/>
      <w:lvlJc w:val="left"/>
      <w:pPr>
        <w:tabs>
          <w:tab w:val="left" w:pos="4320"/>
        </w:tabs>
        <w:ind w:left="4320" w:hanging="360"/>
      </w:pPr>
      <w:rPr>
        <w:rFonts w:ascii="Wingdings" w:hAnsi="Wingdings" w:hint="default"/>
        <w:sz w:val="20"/>
      </w:rPr>
    </w:lvl>
    <w:lvl w:ilvl="3">
      <w:start w:val="1"/>
      <w:numFmt w:val="bullet"/>
      <w:lvlText w:val=""/>
      <w:lvlJc w:val="left"/>
      <w:pPr>
        <w:tabs>
          <w:tab w:val="left" w:pos="5040"/>
        </w:tabs>
        <w:ind w:left="5040" w:hanging="360"/>
      </w:pPr>
      <w:rPr>
        <w:rFonts w:ascii="Wingdings" w:hAnsi="Wingdings" w:hint="default"/>
        <w:sz w:val="20"/>
      </w:rPr>
    </w:lvl>
    <w:lvl w:ilvl="4">
      <w:start w:val="1"/>
      <w:numFmt w:val="bullet"/>
      <w:lvlText w:val=""/>
      <w:lvlJc w:val="left"/>
      <w:pPr>
        <w:tabs>
          <w:tab w:val="left" w:pos="5760"/>
        </w:tabs>
        <w:ind w:left="5760" w:hanging="360"/>
      </w:pPr>
      <w:rPr>
        <w:rFonts w:ascii="Wingdings" w:hAnsi="Wingdings" w:hint="default"/>
        <w:sz w:val="20"/>
      </w:rPr>
    </w:lvl>
    <w:lvl w:ilvl="5">
      <w:start w:val="1"/>
      <w:numFmt w:val="bullet"/>
      <w:lvlText w:val=""/>
      <w:lvlJc w:val="left"/>
      <w:pPr>
        <w:tabs>
          <w:tab w:val="left" w:pos="6480"/>
        </w:tabs>
        <w:ind w:left="6480" w:hanging="360"/>
      </w:pPr>
      <w:rPr>
        <w:rFonts w:ascii="Wingdings" w:hAnsi="Wingdings" w:hint="default"/>
        <w:sz w:val="20"/>
      </w:rPr>
    </w:lvl>
    <w:lvl w:ilvl="6">
      <w:start w:val="1"/>
      <w:numFmt w:val="bullet"/>
      <w:lvlText w:val=""/>
      <w:lvlJc w:val="left"/>
      <w:pPr>
        <w:tabs>
          <w:tab w:val="left" w:pos="7200"/>
        </w:tabs>
        <w:ind w:left="7200" w:hanging="360"/>
      </w:pPr>
      <w:rPr>
        <w:rFonts w:ascii="Wingdings" w:hAnsi="Wingdings" w:hint="default"/>
        <w:sz w:val="20"/>
      </w:rPr>
    </w:lvl>
    <w:lvl w:ilvl="7">
      <w:start w:val="1"/>
      <w:numFmt w:val="bullet"/>
      <w:lvlText w:val=""/>
      <w:lvlJc w:val="left"/>
      <w:pPr>
        <w:tabs>
          <w:tab w:val="left" w:pos="7920"/>
        </w:tabs>
        <w:ind w:left="7920" w:hanging="360"/>
      </w:pPr>
      <w:rPr>
        <w:rFonts w:ascii="Wingdings" w:hAnsi="Wingdings" w:hint="default"/>
        <w:sz w:val="20"/>
      </w:rPr>
    </w:lvl>
    <w:lvl w:ilvl="8">
      <w:start w:val="1"/>
      <w:numFmt w:val="bullet"/>
      <w:lvlText w:val=""/>
      <w:lvlJc w:val="left"/>
      <w:pPr>
        <w:tabs>
          <w:tab w:val="left" w:pos="8640"/>
        </w:tabs>
        <w:ind w:left="8640" w:hanging="360"/>
      </w:pPr>
      <w:rPr>
        <w:rFonts w:ascii="Wingdings" w:hAnsi="Wingdings" w:hint="default"/>
        <w:sz w:val="20"/>
      </w:rPr>
    </w:lvl>
  </w:abstractNum>
  <w:abstractNum w:abstractNumId="18" w15:restartNumberingAfterBreak="0">
    <w:nsid w:val="68461A79"/>
    <w:multiLevelType w:val="multilevel"/>
    <w:tmpl w:val="68461A79"/>
    <w:lvl w:ilvl="0">
      <w:start w:val="1"/>
      <w:numFmt w:val="lowerLetter"/>
      <w:lvlText w:val="%1)"/>
      <w:lvlJc w:val="left"/>
      <w:pPr>
        <w:ind w:left="720" w:hanging="36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FEB5116"/>
    <w:multiLevelType w:val="multilevel"/>
    <w:tmpl w:val="6FEB511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16cid:durableId="1601791726">
    <w:abstractNumId w:val="3"/>
  </w:num>
  <w:num w:numId="2" w16cid:durableId="517306698">
    <w:abstractNumId w:val="7"/>
  </w:num>
  <w:num w:numId="3" w16cid:durableId="1190292190">
    <w:abstractNumId w:val="1"/>
  </w:num>
  <w:num w:numId="4" w16cid:durableId="1906837084">
    <w:abstractNumId w:val="0"/>
  </w:num>
  <w:num w:numId="5" w16cid:durableId="429473250">
    <w:abstractNumId w:val="13"/>
  </w:num>
  <w:num w:numId="6" w16cid:durableId="1359694862">
    <w:abstractNumId w:val="4"/>
  </w:num>
  <w:num w:numId="7" w16cid:durableId="1103769645">
    <w:abstractNumId w:val="12"/>
  </w:num>
  <w:num w:numId="8" w16cid:durableId="1034228427">
    <w:abstractNumId w:val="5"/>
  </w:num>
  <w:num w:numId="9" w16cid:durableId="842938477">
    <w:abstractNumId w:val="18"/>
  </w:num>
  <w:num w:numId="10" w16cid:durableId="888691968">
    <w:abstractNumId w:val="2"/>
  </w:num>
  <w:num w:numId="11" w16cid:durableId="1806579033">
    <w:abstractNumId w:val="9"/>
  </w:num>
  <w:num w:numId="12" w16cid:durableId="470177653">
    <w:abstractNumId w:val="14"/>
  </w:num>
  <w:num w:numId="13" w16cid:durableId="958293567">
    <w:abstractNumId w:val="17"/>
  </w:num>
  <w:num w:numId="14" w16cid:durableId="1355881234">
    <w:abstractNumId w:val="16"/>
  </w:num>
  <w:num w:numId="15" w16cid:durableId="1839611351">
    <w:abstractNumId w:val="10"/>
  </w:num>
  <w:num w:numId="16" w16cid:durableId="842478220">
    <w:abstractNumId w:val="6"/>
  </w:num>
  <w:num w:numId="17" w16cid:durableId="2068382945">
    <w:abstractNumId w:val="15"/>
  </w:num>
  <w:num w:numId="18" w16cid:durableId="358551238">
    <w:abstractNumId w:val="8"/>
  </w:num>
  <w:num w:numId="19" w16cid:durableId="1238397870">
    <w:abstractNumId w:val="11"/>
  </w:num>
  <w:num w:numId="20" w16cid:durableId="113791741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5FC"/>
    <w:rsid w:val="00000E65"/>
    <w:rsid w:val="000010A6"/>
    <w:rsid w:val="00001E55"/>
    <w:rsid w:val="0000222A"/>
    <w:rsid w:val="00002381"/>
    <w:rsid w:val="00003531"/>
    <w:rsid w:val="00003D06"/>
    <w:rsid w:val="0000579C"/>
    <w:rsid w:val="0000582C"/>
    <w:rsid w:val="0000692C"/>
    <w:rsid w:val="0001051C"/>
    <w:rsid w:val="00011866"/>
    <w:rsid w:val="000150B8"/>
    <w:rsid w:val="00015A88"/>
    <w:rsid w:val="0001717F"/>
    <w:rsid w:val="0001727D"/>
    <w:rsid w:val="00020145"/>
    <w:rsid w:val="00020BDF"/>
    <w:rsid w:val="000228D8"/>
    <w:rsid w:val="0002304A"/>
    <w:rsid w:val="0002688D"/>
    <w:rsid w:val="000324B1"/>
    <w:rsid w:val="00034CF2"/>
    <w:rsid w:val="000414EB"/>
    <w:rsid w:val="00041F56"/>
    <w:rsid w:val="00044C57"/>
    <w:rsid w:val="00045431"/>
    <w:rsid w:val="000463EF"/>
    <w:rsid w:val="00046DEA"/>
    <w:rsid w:val="0005197C"/>
    <w:rsid w:val="00052A6C"/>
    <w:rsid w:val="0005384B"/>
    <w:rsid w:val="00057802"/>
    <w:rsid w:val="000619C3"/>
    <w:rsid w:val="00062ACC"/>
    <w:rsid w:val="00063035"/>
    <w:rsid w:val="00063DC0"/>
    <w:rsid w:val="00064459"/>
    <w:rsid w:val="00064F15"/>
    <w:rsid w:val="00066889"/>
    <w:rsid w:val="0006712E"/>
    <w:rsid w:val="00067BF1"/>
    <w:rsid w:val="00070345"/>
    <w:rsid w:val="00070D2F"/>
    <w:rsid w:val="00070F3D"/>
    <w:rsid w:val="0007397B"/>
    <w:rsid w:val="000739D2"/>
    <w:rsid w:val="00080826"/>
    <w:rsid w:val="00080925"/>
    <w:rsid w:val="00083E3F"/>
    <w:rsid w:val="00084A26"/>
    <w:rsid w:val="00084B85"/>
    <w:rsid w:val="0008561B"/>
    <w:rsid w:val="00086B85"/>
    <w:rsid w:val="00086E47"/>
    <w:rsid w:val="00090742"/>
    <w:rsid w:val="0009130C"/>
    <w:rsid w:val="000917B6"/>
    <w:rsid w:val="00091CBA"/>
    <w:rsid w:val="000926D2"/>
    <w:rsid w:val="000951BD"/>
    <w:rsid w:val="00096724"/>
    <w:rsid w:val="00096C40"/>
    <w:rsid w:val="000974A4"/>
    <w:rsid w:val="0009755A"/>
    <w:rsid w:val="000A1680"/>
    <w:rsid w:val="000A1983"/>
    <w:rsid w:val="000A2940"/>
    <w:rsid w:val="000A546B"/>
    <w:rsid w:val="000A5DE8"/>
    <w:rsid w:val="000A62EC"/>
    <w:rsid w:val="000A6D92"/>
    <w:rsid w:val="000A6DF6"/>
    <w:rsid w:val="000B0AC0"/>
    <w:rsid w:val="000B2E20"/>
    <w:rsid w:val="000B5D72"/>
    <w:rsid w:val="000B63C5"/>
    <w:rsid w:val="000C06B3"/>
    <w:rsid w:val="000C12D3"/>
    <w:rsid w:val="000C1DC2"/>
    <w:rsid w:val="000C20AE"/>
    <w:rsid w:val="000C2A20"/>
    <w:rsid w:val="000C3109"/>
    <w:rsid w:val="000C69F4"/>
    <w:rsid w:val="000C6CB7"/>
    <w:rsid w:val="000C6FA2"/>
    <w:rsid w:val="000D0E05"/>
    <w:rsid w:val="000D25F8"/>
    <w:rsid w:val="000D32FF"/>
    <w:rsid w:val="000D3C70"/>
    <w:rsid w:val="000D4CEC"/>
    <w:rsid w:val="000E0914"/>
    <w:rsid w:val="000E1E04"/>
    <w:rsid w:val="000E2081"/>
    <w:rsid w:val="000E3266"/>
    <w:rsid w:val="000E3484"/>
    <w:rsid w:val="000E4E78"/>
    <w:rsid w:val="000E6FAB"/>
    <w:rsid w:val="000E7871"/>
    <w:rsid w:val="000F0DCE"/>
    <w:rsid w:val="000F0FEB"/>
    <w:rsid w:val="000F2639"/>
    <w:rsid w:val="000F28AB"/>
    <w:rsid w:val="000F2DE1"/>
    <w:rsid w:val="000F4098"/>
    <w:rsid w:val="000F4D0B"/>
    <w:rsid w:val="000F5EC2"/>
    <w:rsid w:val="000F6F60"/>
    <w:rsid w:val="0010017A"/>
    <w:rsid w:val="00101688"/>
    <w:rsid w:val="0010219E"/>
    <w:rsid w:val="00105A09"/>
    <w:rsid w:val="00105BE3"/>
    <w:rsid w:val="00105C10"/>
    <w:rsid w:val="001142E8"/>
    <w:rsid w:val="0011628C"/>
    <w:rsid w:val="001218C3"/>
    <w:rsid w:val="00121D5B"/>
    <w:rsid w:val="00122242"/>
    <w:rsid w:val="00123E9E"/>
    <w:rsid w:val="0012569C"/>
    <w:rsid w:val="00126F98"/>
    <w:rsid w:val="00127370"/>
    <w:rsid w:val="00127E1A"/>
    <w:rsid w:val="001312D1"/>
    <w:rsid w:val="001338EC"/>
    <w:rsid w:val="00133FEE"/>
    <w:rsid w:val="00134AA3"/>
    <w:rsid w:val="0013633A"/>
    <w:rsid w:val="00137E04"/>
    <w:rsid w:val="00140ACF"/>
    <w:rsid w:val="00140AD6"/>
    <w:rsid w:val="001424D4"/>
    <w:rsid w:val="00143C35"/>
    <w:rsid w:val="00144D92"/>
    <w:rsid w:val="00146CAB"/>
    <w:rsid w:val="001470BD"/>
    <w:rsid w:val="00147684"/>
    <w:rsid w:val="00150185"/>
    <w:rsid w:val="00150539"/>
    <w:rsid w:val="00150C04"/>
    <w:rsid w:val="001519C9"/>
    <w:rsid w:val="00153F8F"/>
    <w:rsid w:val="00155B9E"/>
    <w:rsid w:val="00160CB7"/>
    <w:rsid w:val="00162A1D"/>
    <w:rsid w:val="001637FF"/>
    <w:rsid w:val="00163D90"/>
    <w:rsid w:val="00164444"/>
    <w:rsid w:val="001645A0"/>
    <w:rsid w:val="0016548C"/>
    <w:rsid w:val="00165924"/>
    <w:rsid w:val="001700DA"/>
    <w:rsid w:val="001701E1"/>
    <w:rsid w:val="001725DB"/>
    <w:rsid w:val="001729B6"/>
    <w:rsid w:val="00172A27"/>
    <w:rsid w:val="001739B3"/>
    <w:rsid w:val="00174845"/>
    <w:rsid w:val="00175358"/>
    <w:rsid w:val="00175607"/>
    <w:rsid w:val="00176527"/>
    <w:rsid w:val="00180432"/>
    <w:rsid w:val="00180F41"/>
    <w:rsid w:val="00187CB2"/>
    <w:rsid w:val="001916CE"/>
    <w:rsid w:val="0019180F"/>
    <w:rsid w:val="00193E59"/>
    <w:rsid w:val="00194786"/>
    <w:rsid w:val="00194C1E"/>
    <w:rsid w:val="00195C19"/>
    <w:rsid w:val="001964FF"/>
    <w:rsid w:val="001970A1"/>
    <w:rsid w:val="00197680"/>
    <w:rsid w:val="00197D94"/>
    <w:rsid w:val="001A00F4"/>
    <w:rsid w:val="001A0163"/>
    <w:rsid w:val="001A0444"/>
    <w:rsid w:val="001A045C"/>
    <w:rsid w:val="001A17B3"/>
    <w:rsid w:val="001A265D"/>
    <w:rsid w:val="001A3777"/>
    <w:rsid w:val="001A395D"/>
    <w:rsid w:val="001A5A14"/>
    <w:rsid w:val="001A772F"/>
    <w:rsid w:val="001B1AB4"/>
    <w:rsid w:val="001B4C48"/>
    <w:rsid w:val="001B540A"/>
    <w:rsid w:val="001B6E84"/>
    <w:rsid w:val="001B704E"/>
    <w:rsid w:val="001C0F95"/>
    <w:rsid w:val="001C121E"/>
    <w:rsid w:val="001C23B6"/>
    <w:rsid w:val="001C2754"/>
    <w:rsid w:val="001C35FC"/>
    <w:rsid w:val="001C461A"/>
    <w:rsid w:val="001C5C94"/>
    <w:rsid w:val="001C61E1"/>
    <w:rsid w:val="001C71C6"/>
    <w:rsid w:val="001D04D2"/>
    <w:rsid w:val="001D110E"/>
    <w:rsid w:val="001D2812"/>
    <w:rsid w:val="001D30C4"/>
    <w:rsid w:val="001D370A"/>
    <w:rsid w:val="001D42FD"/>
    <w:rsid w:val="001D5EAA"/>
    <w:rsid w:val="001D7C30"/>
    <w:rsid w:val="001E22EB"/>
    <w:rsid w:val="001E2AFC"/>
    <w:rsid w:val="001E509B"/>
    <w:rsid w:val="001E76D3"/>
    <w:rsid w:val="001E7705"/>
    <w:rsid w:val="001F1362"/>
    <w:rsid w:val="001F1979"/>
    <w:rsid w:val="001F2F50"/>
    <w:rsid w:val="001F635B"/>
    <w:rsid w:val="001F6386"/>
    <w:rsid w:val="001F797D"/>
    <w:rsid w:val="002015AD"/>
    <w:rsid w:val="00201E54"/>
    <w:rsid w:val="002031E5"/>
    <w:rsid w:val="00205B3E"/>
    <w:rsid w:val="0020631B"/>
    <w:rsid w:val="002071B3"/>
    <w:rsid w:val="00207511"/>
    <w:rsid w:val="002104F8"/>
    <w:rsid w:val="00210539"/>
    <w:rsid w:val="00211702"/>
    <w:rsid w:val="00212991"/>
    <w:rsid w:val="00212BB3"/>
    <w:rsid w:val="002138A5"/>
    <w:rsid w:val="002142FB"/>
    <w:rsid w:val="002154A2"/>
    <w:rsid w:val="0021579D"/>
    <w:rsid w:val="00217371"/>
    <w:rsid w:val="00217A36"/>
    <w:rsid w:val="0022026D"/>
    <w:rsid w:val="002231B9"/>
    <w:rsid w:val="00224CCA"/>
    <w:rsid w:val="00226FC8"/>
    <w:rsid w:val="0022766C"/>
    <w:rsid w:val="00227934"/>
    <w:rsid w:val="00231D04"/>
    <w:rsid w:val="0023225B"/>
    <w:rsid w:val="00232A0D"/>
    <w:rsid w:val="00232F1F"/>
    <w:rsid w:val="00237247"/>
    <w:rsid w:val="00237F02"/>
    <w:rsid w:val="0024042D"/>
    <w:rsid w:val="002443BA"/>
    <w:rsid w:val="00244C6E"/>
    <w:rsid w:val="0024680B"/>
    <w:rsid w:val="00250229"/>
    <w:rsid w:val="0025047A"/>
    <w:rsid w:val="00250FC0"/>
    <w:rsid w:val="00252CA4"/>
    <w:rsid w:val="00252E8F"/>
    <w:rsid w:val="002579A1"/>
    <w:rsid w:val="00257D79"/>
    <w:rsid w:val="00260E67"/>
    <w:rsid w:val="0026175A"/>
    <w:rsid w:val="0026248A"/>
    <w:rsid w:val="00263E99"/>
    <w:rsid w:val="00265BA1"/>
    <w:rsid w:val="00265E62"/>
    <w:rsid w:val="002663C5"/>
    <w:rsid w:val="00267F0E"/>
    <w:rsid w:val="00270CF7"/>
    <w:rsid w:val="002714B8"/>
    <w:rsid w:val="002718A6"/>
    <w:rsid w:val="00274EB3"/>
    <w:rsid w:val="0027758E"/>
    <w:rsid w:val="00277BFD"/>
    <w:rsid w:val="0028055C"/>
    <w:rsid w:val="00280936"/>
    <w:rsid w:val="00283439"/>
    <w:rsid w:val="00283C8A"/>
    <w:rsid w:val="00284488"/>
    <w:rsid w:val="00284E52"/>
    <w:rsid w:val="0028507C"/>
    <w:rsid w:val="00285310"/>
    <w:rsid w:val="0028580E"/>
    <w:rsid w:val="00285D24"/>
    <w:rsid w:val="00290538"/>
    <w:rsid w:val="002913ED"/>
    <w:rsid w:val="0029290F"/>
    <w:rsid w:val="00292D13"/>
    <w:rsid w:val="00292E6F"/>
    <w:rsid w:val="00293402"/>
    <w:rsid w:val="002934DD"/>
    <w:rsid w:val="0029429C"/>
    <w:rsid w:val="00295883"/>
    <w:rsid w:val="00295AF6"/>
    <w:rsid w:val="00295C0A"/>
    <w:rsid w:val="002960AB"/>
    <w:rsid w:val="00297501"/>
    <w:rsid w:val="00297C12"/>
    <w:rsid w:val="002A0C76"/>
    <w:rsid w:val="002A1453"/>
    <w:rsid w:val="002A1AA7"/>
    <w:rsid w:val="002A1BFB"/>
    <w:rsid w:val="002A2328"/>
    <w:rsid w:val="002A2C85"/>
    <w:rsid w:val="002A3E51"/>
    <w:rsid w:val="002A4539"/>
    <w:rsid w:val="002A4CA1"/>
    <w:rsid w:val="002A7436"/>
    <w:rsid w:val="002A765E"/>
    <w:rsid w:val="002B063E"/>
    <w:rsid w:val="002B11FC"/>
    <w:rsid w:val="002B1A02"/>
    <w:rsid w:val="002B2F06"/>
    <w:rsid w:val="002B39F1"/>
    <w:rsid w:val="002B5374"/>
    <w:rsid w:val="002B564F"/>
    <w:rsid w:val="002B6946"/>
    <w:rsid w:val="002B78C4"/>
    <w:rsid w:val="002C221C"/>
    <w:rsid w:val="002C388D"/>
    <w:rsid w:val="002C3A15"/>
    <w:rsid w:val="002C56E2"/>
    <w:rsid w:val="002C5A90"/>
    <w:rsid w:val="002C63B6"/>
    <w:rsid w:val="002C6C80"/>
    <w:rsid w:val="002D0CC1"/>
    <w:rsid w:val="002D10D6"/>
    <w:rsid w:val="002D1C45"/>
    <w:rsid w:val="002D2A03"/>
    <w:rsid w:val="002D2A0F"/>
    <w:rsid w:val="002D2B3C"/>
    <w:rsid w:val="002D343C"/>
    <w:rsid w:val="002D4939"/>
    <w:rsid w:val="002D6733"/>
    <w:rsid w:val="002D6905"/>
    <w:rsid w:val="002E125D"/>
    <w:rsid w:val="002E278E"/>
    <w:rsid w:val="002E2934"/>
    <w:rsid w:val="002E5A10"/>
    <w:rsid w:val="002E79FA"/>
    <w:rsid w:val="002F0032"/>
    <w:rsid w:val="002F11E9"/>
    <w:rsid w:val="002F174A"/>
    <w:rsid w:val="002F1B02"/>
    <w:rsid w:val="002F1B42"/>
    <w:rsid w:val="002F443A"/>
    <w:rsid w:val="002F4CF7"/>
    <w:rsid w:val="002F5979"/>
    <w:rsid w:val="002F7068"/>
    <w:rsid w:val="002F7334"/>
    <w:rsid w:val="002F73FE"/>
    <w:rsid w:val="00300F0D"/>
    <w:rsid w:val="0030171A"/>
    <w:rsid w:val="00305118"/>
    <w:rsid w:val="00305725"/>
    <w:rsid w:val="003064E0"/>
    <w:rsid w:val="00306B25"/>
    <w:rsid w:val="00307041"/>
    <w:rsid w:val="003072FA"/>
    <w:rsid w:val="00307FFD"/>
    <w:rsid w:val="00313C4C"/>
    <w:rsid w:val="0031402B"/>
    <w:rsid w:val="00315695"/>
    <w:rsid w:val="0031744D"/>
    <w:rsid w:val="0031782D"/>
    <w:rsid w:val="0031791B"/>
    <w:rsid w:val="0032337F"/>
    <w:rsid w:val="003233E5"/>
    <w:rsid w:val="00327E39"/>
    <w:rsid w:val="00331F45"/>
    <w:rsid w:val="003334DA"/>
    <w:rsid w:val="00334141"/>
    <w:rsid w:val="00335DA0"/>
    <w:rsid w:val="00335EC7"/>
    <w:rsid w:val="00341A91"/>
    <w:rsid w:val="0034532E"/>
    <w:rsid w:val="00345D20"/>
    <w:rsid w:val="0034764A"/>
    <w:rsid w:val="0034793D"/>
    <w:rsid w:val="00347A1E"/>
    <w:rsid w:val="00350789"/>
    <w:rsid w:val="00350DC8"/>
    <w:rsid w:val="00350EBC"/>
    <w:rsid w:val="00352978"/>
    <w:rsid w:val="00353C8B"/>
    <w:rsid w:val="00353E87"/>
    <w:rsid w:val="00354B45"/>
    <w:rsid w:val="0035592A"/>
    <w:rsid w:val="00356F2A"/>
    <w:rsid w:val="003603CD"/>
    <w:rsid w:val="00361350"/>
    <w:rsid w:val="00363599"/>
    <w:rsid w:val="00364F31"/>
    <w:rsid w:val="00365039"/>
    <w:rsid w:val="00366776"/>
    <w:rsid w:val="00367768"/>
    <w:rsid w:val="00367866"/>
    <w:rsid w:val="003730A5"/>
    <w:rsid w:val="003758AB"/>
    <w:rsid w:val="003759D8"/>
    <w:rsid w:val="00377E35"/>
    <w:rsid w:val="0038033E"/>
    <w:rsid w:val="00380B07"/>
    <w:rsid w:val="00382342"/>
    <w:rsid w:val="003850F1"/>
    <w:rsid w:val="003862A0"/>
    <w:rsid w:val="003868C4"/>
    <w:rsid w:val="00391664"/>
    <w:rsid w:val="0039292C"/>
    <w:rsid w:val="00393DD3"/>
    <w:rsid w:val="00395634"/>
    <w:rsid w:val="00395942"/>
    <w:rsid w:val="00395AFA"/>
    <w:rsid w:val="00395EE6"/>
    <w:rsid w:val="00397ACE"/>
    <w:rsid w:val="003A02AF"/>
    <w:rsid w:val="003A2469"/>
    <w:rsid w:val="003A26B7"/>
    <w:rsid w:val="003A3B4F"/>
    <w:rsid w:val="003A4041"/>
    <w:rsid w:val="003A6549"/>
    <w:rsid w:val="003B0B1D"/>
    <w:rsid w:val="003B1B4D"/>
    <w:rsid w:val="003B20FA"/>
    <w:rsid w:val="003B2348"/>
    <w:rsid w:val="003B2BA2"/>
    <w:rsid w:val="003B69F1"/>
    <w:rsid w:val="003B6A99"/>
    <w:rsid w:val="003B6B91"/>
    <w:rsid w:val="003B7286"/>
    <w:rsid w:val="003C0528"/>
    <w:rsid w:val="003C0588"/>
    <w:rsid w:val="003C20C9"/>
    <w:rsid w:val="003C28C5"/>
    <w:rsid w:val="003C408B"/>
    <w:rsid w:val="003C4D46"/>
    <w:rsid w:val="003C52C6"/>
    <w:rsid w:val="003C53AE"/>
    <w:rsid w:val="003C6A41"/>
    <w:rsid w:val="003C73E7"/>
    <w:rsid w:val="003C76EC"/>
    <w:rsid w:val="003D1405"/>
    <w:rsid w:val="003D1679"/>
    <w:rsid w:val="003D3D5C"/>
    <w:rsid w:val="003D4468"/>
    <w:rsid w:val="003D67D8"/>
    <w:rsid w:val="003D7D2D"/>
    <w:rsid w:val="003E0801"/>
    <w:rsid w:val="003E0FAE"/>
    <w:rsid w:val="003E2A21"/>
    <w:rsid w:val="003E4165"/>
    <w:rsid w:val="003E483A"/>
    <w:rsid w:val="003E4F3A"/>
    <w:rsid w:val="003E6979"/>
    <w:rsid w:val="003E73F9"/>
    <w:rsid w:val="003F0B5C"/>
    <w:rsid w:val="003F1595"/>
    <w:rsid w:val="003F2F70"/>
    <w:rsid w:val="003F32E7"/>
    <w:rsid w:val="003F35EC"/>
    <w:rsid w:val="003F3826"/>
    <w:rsid w:val="003F4C7B"/>
    <w:rsid w:val="003F56B9"/>
    <w:rsid w:val="004001A8"/>
    <w:rsid w:val="00400E72"/>
    <w:rsid w:val="0040344A"/>
    <w:rsid w:val="00404BCE"/>
    <w:rsid w:val="00405046"/>
    <w:rsid w:val="00405973"/>
    <w:rsid w:val="00410BCB"/>
    <w:rsid w:val="004110E5"/>
    <w:rsid w:val="00412E94"/>
    <w:rsid w:val="00414443"/>
    <w:rsid w:val="00414578"/>
    <w:rsid w:val="00416449"/>
    <w:rsid w:val="00416495"/>
    <w:rsid w:val="0041662F"/>
    <w:rsid w:val="0041681A"/>
    <w:rsid w:val="00416848"/>
    <w:rsid w:val="00417413"/>
    <w:rsid w:val="0042178E"/>
    <w:rsid w:val="0042282E"/>
    <w:rsid w:val="00424A3F"/>
    <w:rsid w:val="00425B2F"/>
    <w:rsid w:val="004263CA"/>
    <w:rsid w:val="004272C4"/>
    <w:rsid w:val="00427A16"/>
    <w:rsid w:val="00427FC4"/>
    <w:rsid w:val="00430379"/>
    <w:rsid w:val="00430D6A"/>
    <w:rsid w:val="0043378A"/>
    <w:rsid w:val="00433C85"/>
    <w:rsid w:val="00434C8E"/>
    <w:rsid w:val="00435D87"/>
    <w:rsid w:val="0043767B"/>
    <w:rsid w:val="004379E0"/>
    <w:rsid w:val="0044141B"/>
    <w:rsid w:val="0044165D"/>
    <w:rsid w:val="0044264C"/>
    <w:rsid w:val="004445EA"/>
    <w:rsid w:val="00445008"/>
    <w:rsid w:val="0044518F"/>
    <w:rsid w:val="00445280"/>
    <w:rsid w:val="00445483"/>
    <w:rsid w:val="00446E85"/>
    <w:rsid w:val="00446F36"/>
    <w:rsid w:val="00447105"/>
    <w:rsid w:val="004474D3"/>
    <w:rsid w:val="004536D5"/>
    <w:rsid w:val="00453800"/>
    <w:rsid w:val="00457109"/>
    <w:rsid w:val="00461038"/>
    <w:rsid w:val="00461175"/>
    <w:rsid w:val="00461A9D"/>
    <w:rsid w:val="00461E6D"/>
    <w:rsid w:val="004621AE"/>
    <w:rsid w:val="004629BA"/>
    <w:rsid w:val="00462ED0"/>
    <w:rsid w:val="00463200"/>
    <w:rsid w:val="0046401C"/>
    <w:rsid w:val="004663B8"/>
    <w:rsid w:val="00474C6F"/>
    <w:rsid w:val="00475427"/>
    <w:rsid w:val="00476D9E"/>
    <w:rsid w:val="00477781"/>
    <w:rsid w:val="00480B6F"/>
    <w:rsid w:val="00481735"/>
    <w:rsid w:val="00482323"/>
    <w:rsid w:val="0048332C"/>
    <w:rsid w:val="00483590"/>
    <w:rsid w:val="00483D52"/>
    <w:rsid w:val="00484EED"/>
    <w:rsid w:val="004871AD"/>
    <w:rsid w:val="00491678"/>
    <w:rsid w:val="00491E5A"/>
    <w:rsid w:val="0049293F"/>
    <w:rsid w:val="00493E57"/>
    <w:rsid w:val="00493F04"/>
    <w:rsid w:val="00494116"/>
    <w:rsid w:val="0049463B"/>
    <w:rsid w:val="00495A58"/>
    <w:rsid w:val="00495BE9"/>
    <w:rsid w:val="004A1751"/>
    <w:rsid w:val="004A244C"/>
    <w:rsid w:val="004A3782"/>
    <w:rsid w:val="004A58AD"/>
    <w:rsid w:val="004A6606"/>
    <w:rsid w:val="004B0BDF"/>
    <w:rsid w:val="004B461F"/>
    <w:rsid w:val="004B5299"/>
    <w:rsid w:val="004B556E"/>
    <w:rsid w:val="004B6767"/>
    <w:rsid w:val="004B7875"/>
    <w:rsid w:val="004C0A33"/>
    <w:rsid w:val="004C1882"/>
    <w:rsid w:val="004C25D5"/>
    <w:rsid w:val="004C4486"/>
    <w:rsid w:val="004C632F"/>
    <w:rsid w:val="004C7D51"/>
    <w:rsid w:val="004D023C"/>
    <w:rsid w:val="004D1049"/>
    <w:rsid w:val="004D1A7C"/>
    <w:rsid w:val="004D2D9F"/>
    <w:rsid w:val="004D2FE1"/>
    <w:rsid w:val="004D4572"/>
    <w:rsid w:val="004D4A7C"/>
    <w:rsid w:val="004D50A9"/>
    <w:rsid w:val="004D5F18"/>
    <w:rsid w:val="004D68CF"/>
    <w:rsid w:val="004D756F"/>
    <w:rsid w:val="004E06D0"/>
    <w:rsid w:val="004E1D9F"/>
    <w:rsid w:val="004E2F11"/>
    <w:rsid w:val="004E33D7"/>
    <w:rsid w:val="004E4C83"/>
    <w:rsid w:val="004E5402"/>
    <w:rsid w:val="004E6430"/>
    <w:rsid w:val="004E6515"/>
    <w:rsid w:val="004F04D5"/>
    <w:rsid w:val="004F1AF7"/>
    <w:rsid w:val="004F34BE"/>
    <w:rsid w:val="004F414E"/>
    <w:rsid w:val="004F54C9"/>
    <w:rsid w:val="004F65CF"/>
    <w:rsid w:val="004F6A31"/>
    <w:rsid w:val="004F6F87"/>
    <w:rsid w:val="00502924"/>
    <w:rsid w:val="00503D0C"/>
    <w:rsid w:val="00503E25"/>
    <w:rsid w:val="00505068"/>
    <w:rsid w:val="00505769"/>
    <w:rsid w:val="00505B2C"/>
    <w:rsid w:val="00505D8D"/>
    <w:rsid w:val="00505DAD"/>
    <w:rsid w:val="00505EDF"/>
    <w:rsid w:val="005067AE"/>
    <w:rsid w:val="0051123F"/>
    <w:rsid w:val="00511F05"/>
    <w:rsid w:val="00513C40"/>
    <w:rsid w:val="00514055"/>
    <w:rsid w:val="00514448"/>
    <w:rsid w:val="005146BD"/>
    <w:rsid w:val="00515448"/>
    <w:rsid w:val="00516318"/>
    <w:rsid w:val="005166EF"/>
    <w:rsid w:val="00516A9E"/>
    <w:rsid w:val="0051791C"/>
    <w:rsid w:val="00520945"/>
    <w:rsid w:val="00520C8C"/>
    <w:rsid w:val="00521D78"/>
    <w:rsid w:val="00522408"/>
    <w:rsid w:val="005235FE"/>
    <w:rsid w:val="005258BE"/>
    <w:rsid w:val="00526251"/>
    <w:rsid w:val="005272EE"/>
    <w:rsid w:val="00530677"/>
    <w:rsid w:val="00530B41"/>
    <w:rsid w:val="00530C44"/>
    <w:rsid w:val="00533E99"/>
    <w:rsid w:val="005343EC"/>
    <w:rsid w:val="00534816"/>
    <w:rsid w:val="0053529D"/>
    <w:rsid w:val="005353F3"/>
    <w:rsid w:val="00537225"/>
    <w:rsid w:val="00537299"/>
    <w:rsid w:val="0053757E"/>
    <w:rsid w:val="0054021B"/>
    <w:rsid w:val="00540529"/>
    <w:rsid w:val="0054055A"/>
    <w:rsid w:val="00540D1C"/>
    <w:rsid w:val="00543198"/>
    <w:rsid w:val="0054732F"/>
    <w:rsid w:val="00547C44"/>
    <w:rsid w:val="00550440"/>
    <w:rsid w:val="005536E3"/>
    <w:rsid w:val="00553714"/>
    <w:rsid w:val="00554964"/>
    <w:rsid w:val="0055534A"/>
    <w:rsid w:val="00555D20"/>
    <w:rsid w:val="005572AC"/>
    <w:rsid w:val="00560018"/>
    <w:rsid w:val="00561133"/>
    <w:rsid w:val="00561858"/>
    <w:rsid w:val="00561DA5"/>
    <w:rsid w:val="005621B1"/>
    <w:rsid w:val="0056233B"/>
    <w:rsid w:val="00563269"/>
    <w:rsid w:val="00564F56"/>
    <w:rsid w:val="00565B93"/>
    <w:rsid w:val="005662E3"/>
    <w:rsid w:val="005670C5"/>
    <w:rsid w:val="005702ED"/>
    <w:rsid w:val="00570E36"/>
    <w:rsid w:val="00571EBE"/>
    <w:rsid w:val="005725FA"/>
    <w:rsid w:val="00573663"/>
    <w:rsid w:val="00574F0D"/>
    <w:rsid w:val="00575768"/>
    <w:rsid w:val="0057631E"/>
    <w:rsid w:val="0058022A"/>
    <w:rsid w:val="00581530"/>
    <w:rsid w:val="0058183A"/>
    <w:rsid w:val="00581C1D"/>
    <w:rsid w:val="005827B1"/>
    <w:rsid w:val="00582DCA"/>
    <w:rsid w:val="00583CC4"/>
    <w:rsid w:val="005848B9"/>
    <w:rsid w:val="00585192"/>
    <w:rsid w:val="00585985"/>
    <w:rsid w:val="00587325"/>
    <w:rsid w:val="005918D6"/>
    <w:rsid w:val="00595912"/>
    <w:rsid w:val="00596C80"/>
    <w:rsid w:val="0059799B"/>
    <w:rsid w:val="005A2508"/>
    <w:rsid w:val="005A3771"/>
    <w:rsid w:val="005A4905"/>
    <w:rsid w:val="005A5769"/>
    <w:rsid w:val="005A63D3"/>
    <w:rsid w:val="005A63F8"/>
    <w:rsid w:val="005A656F"/>
    <w:rsid w:val="005B3C32"/>
    <w:rsid w:val="005B48B9"/>
    <w:rsid w:val="005B71DF"/>
    <w:rsid w:val="005B74F2"/>
    <w:rsid w:val="005C1C59"/>
    <w:rsid w:val="005C21EC"/>
    <w:rsid w:val="005C2504"/>
    <w:rsid w:val="005C299D"/>
    <w:rsid w:val="005C365D"/>
    <w:rsid w:val="005C4446"/>
    <w:rsid w:val="005C45BE"/>
    <w:rsid w:val="005C4E50"/>
    <w:rsid w:val="005C5531"/>
    <w:rsid w:val="005C5BA3"/>
    <w:rsid w:val="005C5BAA"/>
    <w:rsid w:val="005C69EF"/>
    <w:rsid w:val="005C7B87"/>
    <w:rsid w:val="005C7D9B"/>
    <w:rsid w:val="005D1ED4"/>
    <w:rsid w:val="005D22D5"/>
    <w:rsid w:val="005D2881"/>
    <w:rsid w:val="005D29B5"/>
    <w:rsid w:val="005D2DEF"/>
    <w:rsid w:val="005D3084"/>
    <w:rsid w:val="005D6786"/>
    <w:rsid w:val="005D7898"/>
    <w:rsid w:val="005E00C3"/>
    <w:rsid w:val="005E077C"/>
    <w:rsid w:val="005E0992"/>
    <w:rsid w:val="005E1089"/>
    <w:rsid w:val="005E2B3A"/>
    <w:rsid w:val="005E2C91"/>
    <w:rsid w:val="005E3970"/>
    <w:rsid w:val="005E3F11"/>
    <w:rsid w:val="005E5AA2"/>
    <w:rsid w:val="005E71C0"/>
    <w:rsid w:val="005E723C"/>
    <w:rsid w:val="005F0631"/>
    <w:rsid w:val="005F0AF0"/>
    <w:rsid w:val="005F13CE"/>
    <w:rsid w:val="005F254B"/>
    <w:rsid w:val="005F4162"/>
    <w:rsid w:val="005F441E"/>
    <w:rsid w:val="005F55BD"/>
    <w:rsid w:val="005F7B8E"/>
    <w:rsid w:val="00600450"/>
    <w:rsid w:val="00600590"/>
    <w:rsid w:val="00601207"/>
    <w:rsid w:val="006051B7"/>
    <w:rsid w:val="006058A9"/>
    <w:rsid w:val="00605BAD"/>
    <w:rsid w:val="00607298"/>
    <w:rsid w:val="00607C5F"/>
    <w:rsid w:val="00607F84"/>
    <w:rsid w:val="006102A4"/>
    <w:rsid w:val="00610913"/>
    <w:rsid w:val="00611533"/>
    <w:rsid w:val="00611AFA"/>
    <w:rsid w:val="00612E42"/>
    <w:rsid w:val="0061384D"/>
    <w:rsid w:val="006159E3"/>
    <w:rsid w:val="00621CF6"/>
    <w:rsid w:val="00623933"/>
    <w:rsid w:val="00624A81"/>
    <w:rsid w:val="0062541A"/>
    <w:rsid w:val="006257A0"/>
    <w:rsid w:val="00625C1C"/>
    <w:rsid w:val="00626395"/>
    <w:rsid w:val="00632425"/>
    <w:rsid w:val="00632B19"/>
    <w:rsid w:val="006344E8"/>
    <w:rsid w:val="00634D8D"/>
    <w:rsid w:val="00635544"/>
    <w:rsid w:val="00637088"/>
    <w:rsid w:val="006400C4"/>
    <w:rsid w:val="00641233"/>
    <w:rsid w:val="0064166B"/>
    <w:rsid w:val="006434DB"/>
    <w:rsid w:val="006438B3"/>
    <w:rsid w:val="00643C93"/>
    <w:rsid w:val="00645F96"/>
    <w:rsid w:val="00646A68"/>
    <w:rsid w:val="00650C83"/>
    <w:rsid w:val="00650D0A"/>
    <w:rsid w:val="0065146F"/>
    <w:rsid w:val="00651EE0"/>
    <w:rsid w:val="00653070"/>
    <w:rsid w:val="00654D2E"/>
    <w:rsid w:val="00656DF2"/>
    <w:rsid w:val="00657F94"/>
    <w:rsid w:val="00660E02"/>
    <w:rsid w:val="00660E79"/>
    <w:rsid w:val="0066110E"/>
    <w:rsid w:val="00662D33"/>
    <w:rsid w:val="006635F6"/>
    <w:rsid w:val="00664581"/>
    <w:rsid w:val="0066466B"/>
    <w:rsid w:val="006649F0"/>
    <w:rsid w:val="00664E3C"/>
    <w:rsid w:val="006663C7"/>
    <w:rsid w:val="00670C24"/>
    <w:rsid w:val="00672142"/>
    <w:rsid w:val="00673E38"/>
    <w:rsid w:val="00674FC6"/>
    <w:rsid w:val="0067583E"/>
    <w:rsid w:val="00675DDE"/>
    <w:rsid w:val="00676323"/>
    <w:rsid w:val="00676443"/>
    <w:rsid w:val="00677BF3"/>
    <w:rsid w:val="00681273"/>
    <w:rsid w:val="00681769"/>
    <w:rsid w:val="00681DE7"/>
    <w:rsid w:val="00682033"/>
    <w:rsid w:val="00682CD0"/>
    <w:rsid w:val="0068691A"/>
    <w:rsid w:val="00687567"/>
    <w:rsid w:val="006876AD"/>
    <w:rsid w:val="00690E87"/>
    <w:rsid w:val="006910D2"/>
    <w:rsid w:val="0069124E"/>
    <w:rsid w:val="006919DF"/>
    <w:rsid w:val="0069434C"/>
    <w:rsid w:val="006975E6"/>
    <w:rsid w:val="006A236E"/>
    <w:rsid w:val="006A246D"/>
    <w:rsid w:val="006A276E"/>
    <w:rsid w:val="006A37B6"/>
    <w:rsid w:val="006A40BF"/>
    <w:rsid w:val="006A6464"/>
    <w:rsid w:val="006A6B61"/>
    <w:rsid w:val="006B00B9"/>
    <w:rsid w:val="006B0280"/>
    <w:rsid w:val="006B1600"/>
    <w:rsid w:val="006B2DDF"/>
    <w:rsid w:val="006B414A"/>
    <w:rsid w:val="006B4755"/>
    <w:rsid w:val="006B5316"/>
    <w:rsid w:val="006B63F5"/>
    <w:rsid w:val="006B694E"/>
    <w:rsid w:val="006B69C9"/>
    <w:rsid w:val="006C004B"/>
    <w:rsid w:val="006C138B"/>
    <w:rsid w:val="006C208E"/>
    <w:rsid w:val="006C2536"/>
    <w:rsid w:val="006C3167"/>
    <w:rsid w:val="006C321A"/>
    <w:rsid w:val="006C34F3"/>
    <w:rsid w:val="006C3B53"/>
    <w:rsid w:val="006C52DF"/>
    <w:rsid w:val="006C7B3B"/>
    <w:rsid w:val="006D01C9"/>
    <w:rsid w:val="006D034E"/>
    <w:rsid w:val="006D047E"/>
    <w:rsid w:val="006D0582"/>
    <w:rsid w:val="006D225D"/>
    <w:rsid w:val="006D231D"/>
    <w:rsid w:val="006D2446"/>
    <w:rsid w:val="006D4434"/>
    <w:rsid w:val="006D6200"/>
    <w:rsid w:val="006D73F4"/>
    <w:rsid w:val="006E0509"/>
    <w:rsid w:val="006E08C0"/>
    <w:rsid w:val="006E23A7"/>
    <w:rsid w:val="006E287E"/>
    <w:rsid w:val="006E3A7C"/>
    <w:rsid w:val="006E3BD7"/>
    <w:rsid w:val="006E703F"/>
    <w:rsid w:val="006F0AB0"/>
    <w:rsid w:val="006F3388"/>
    <w:rsid w:val="006F56EC"/>
    <w:rsid w:val="006F7271"/>
    <w:rsid w:val="0070121C"/>
    <w:rsid w:val="00701B9D"/>
    <w:rsid w:val="007029B2"/>
    <w:rsid w:val="0070365F"/>
    <w:rsid w:val="00704901"/>
    <w:rsid w:val="00704FEB"/>
    <w:rsid w:val="007053A4"/>
    <w:rsid w:val="00705D0E"/>
    <w:rsid w:val="00710E76"/>
    <w:rsid w:val="00712F34"/>
    <w:rsid w:val="007139B9"/>
    <w:rsid w:val="00713B20"/>
    <w:rsid w:val="00713F9A"/>
    <w:rsid w:val="007161C5"/>
    <w:rsid w:val="0071749D"/>
    <w:rsid w:val="007202D2"/>
    <w:rsid w:val="00720FCD"/>
    <w:rsid w:val="0072102C"/>
    <w:rsid w:val="00723667"/>
    <w:rsid w:val="007252F4"/>
    <w:rsid w:val="00725EEC"/>
    <w:rsid w:val="007274FE"/>
    <w:rsid w:val="007315E3"/>
    <w:rsid w:val="00732B9C"/>
    <w:rsid w:val="00735BC2"/>
    <w:rsid w:val="007360F1"/>
    <w:rsid w:val="007361FF"/>
    <w:rsid w:val="00737DC7"/>
    <w:rsid w:val="00741CA7"/>
    <w:rsid w:val="00742217"/>
    <w:rsid w:val="00743321"/>
    <w:rsid w:val="00743331"/>
    <w:rsid w:val="00743E41"/>
    <w:rsid w:val="00744B6C"/>
    <w:rsid w:val="00745218"/>
    <w:rsid w:val="007469AD"/>
    <w:rsid w:val="00750153"/>
    <w:rsid w:val="007504AE"/>
    <w:rsid w:val="00752294"/>
    <w:rsid w:val="007527DA"/>
    <w:rsid w:val="007548C1"/>
    <w:rsid w:val="00755AD2"/>
    <w:rsid w:val="007571B1"/>
    <w:rsid w:val="00757F27"/>
    <w:rsid w:val="007601B6"/>
    <w:rsid w:val="0076188A"/>
    <w:rsid w:val="007622DF"/>
    <w:rsid w:val="00766687"/>
    <w:rsid w:val="0077178B"/>
    <w:rsid w:val="00771C34"/>
    <w:rsid w:val="00771C6D"/>
    <w:rsid w:val="00771ECC"/>
    <w:rsid w:val="00772B9C"/>
    <w:rsid w:val="00773013"/>
    <w:rsid w:val="00773A0E"/>
    <w:rsid w:val="007752DF"/>
    <w:rsid w:val="00776F63"/>
    <w:rsid w:val="00781679"/>
    <w:rsid w:val="00782C5D"/>
    <w:rsid w:val="007832BD"/>
    <w:rsid w:val="00783E21"/>
    <w:rsid w:val="0078470A"/>
    <w:rsid w:val="00785CAF"/>
    <w:rsid w:val="00785E5C"/>
    <w:rsid w:val="00787428"/>
    <w:rsid w:val="007874CE"/>
    <w:rsid w:val="00790ADF"/>
    <w:rsid w:val="00791F92"/>
    <w:rsid w:val="00792C62"/>
    <w:rsid w:val="007949CF"/>
    <w:rsid w:val="007A11E2"/>
    <w:rsid w:val="007A23F1"/>
    <w:rsid w:val="007A2407"/>
    <w:rsid w:val="007A369F"/>
    <w:rsid w:val="007A3C2C"/>
    <w:rsid w:val="007A5888"/>
    <w:rsid w:val="007A668C"/>
    <w:rsid w:val="007B0777"/>
    <w:rsid w:val="007B18A9"/>
    <w:rsid w:val="007B236B"/>
    <w:rsid w:val="007B3039"/>
    <w:rsid w:val="007B3224"/>
    <w:rsid w:val="007B3BE1"/>
    <w:rsid w:val="007B4425"/>
    <w:rsid w:val="007B45D8"/>
    <w:rsid w:val="007B6537"/>
    <w:rsid w:val="007B7151"/>
    <w:rsid w:val="007B78B8"/>
    <w:rsid w:val="007B7C6B"/>
    <w:rsid w:val="007C09F4"/>
    <w:rsid w:val="007C188C"/>
    <w:rsid w:val="007C406F"/>
    <w:rsid w:val="007C4F51"/>
    <w:rsid w:val="007C56DD"/>
    <w:rsid w:val="007C576B"/>
    <w:rsid w:val="007C63EE"/>
    <w:rsid w:val="007C7187"/>
    <w:rsid w:val="007D0219"/>
    <w:rsid w:val="007D1552"/>
    <w:rsid w:val="007D288F"/>
    <w:rsid w:val="007D496F"/>
    <w:rsid w:val="007D6B81"/>
    <w:rsid w:val="007E02C0"/>
    <w:rsid w:val="007E1671"/>
    <w:rsid w:val="007E2DF0"/>
    <w:rsid w:val="007E53DE"/>
    <w:rsid w:val="007E729B"/>
    <w:rsid w:val="007F0B44"/>
    <w:rsid w:val="007F0F96"/>
    <w:rsid w:val="007F3211"/>
    <w:rsid w:val="007F3236"/>
    <w:rsid w:val="007F3CAB"/>
    <w:rsid w:val="007F4B14"/>
    <w:rsid w:val="007F6BCF"/>
    <w:rsid w:val="007F78EB"/>
    <w:rsid w:val="00801DB0"/>
    <w:rsid w:val="00802A6B"/>
    <w:rsid w:val="00802AB7"/>
    <w:rsid w:val="00802F73"/>
    <w:rsid w:val="008036DA"/>
    <w:rsid w:val="00803B71"/>
    <w:rsid w:val="00803E6D"/>
    <w:rsid w:val="00805078"/>
    <w:rsid w:val="00806B50"/>
    <w:rsid w:val="00806FC4"/>
    <w:rsid w:val="0081152F"/>
    <w:rsid w:val="00813487"/>
    <w:rsid w:val="00813832"/>
    <w:rsid w:val="00813A17"/>
    <w:rsid w:val="00813B00"/>
    <w:rsid w:val="008142E7"/>
    <w:rsid w:val="00814499"/>
    <w:rsid w:val="0081481C"/>
    <w:rsid w:val="00814A32"/>
    <w:rsid w:val="0081540A"/>
    <w:rsid w:val="00816F33"/>
    <w:rsid w:val="0082049D"/>
    <w:rsid w:val="00821DA8"/>
    <w:rsid w:val="00822213"/>
    <w:rsid w:val="00825756"/>
    <w:rsid w:val="00825D4F"/>
    <w:rsid w:val="008270FD"/>
    <w:rsid w:val="00827321"/>
    <w:rsid w:val="008309E5"/>
    <w:rsid w:val="00831D1C"/>
    <w:rsid w:val="00831DDC"/>
    <w:rsid w:val="008322F1"/>
    <w:rsid w:val="0083238C"/>
    <w:rsid w:val="0083269D"/>
    <w:rsid w:val="008344D9"/>
    <w:rsid w:val="008358A2"/>
    <w:rsid w:val="00835E1B"/>
    <w:rsid w:val="00835E56"/>
    <w:rsid w:val="00836ED4"/>
    <w:rsid w:val="00837D66"/>
    <w:rsid w:val="00840209"/>
    <w:rsid w:val="008406E6"/>
    <w:rsid w:val="0084087B"/>
    <w:rsid w:val="0084168B"/>
    <w:rsid w:val="00842DD8"/>
    <w:rsid w:val="00844EFE"/>
    <w:rsid w:val="00845410"/>
    <w:rsid w:val="0084702C"/>
    <w:rsid w:val="0085188A"/>
    <w:rsid w:val="00854680"/>
    <w:rsid w:val="008561AE"/>
    <w:rsid w:val="00861B42"/>
    <w:rsid w:val="008620E7"/>
    <w:rsid w:val="00862156"/>
    <w:rsid w:val="00864275"/>
    <w:rsid w:val="00864508"/>
    <w:rsid w:val="00865EDA"/>
    <w:rsid w:val="008679B8"/>
    <w:rsid w:val="0087070C"/>
    <w:rsid w:val="0087116C"/>
    <w:rsid w:val="0087274C"/>
    <w:rsid w:val="00872CD6"/>
    <w:rsid w:val="00874AED"/>
    <w:rsid w:val="00876773"/>
    <w:rsid w:val="00876A94"/>
    <w:rsid w:val="008777F0"/>
    <w:rsid w:val="00877BA3"/>
    <w:rsid w:val="00880072"/>
    <w:rsid w:val="00881B1A"/>
    <w:rsid w:val="00882B3D"/>
    <w:rsid w:val="00882D4F"/>
    <w:rsid w:val="00882F5E"/>
    <w:rsid w:val="0088349E"/>
    <w:rsid w:val="008851CF"/>
    <w:rsid w:val="00886072"/>
    <w:rsid w:val="0088741A"/>
    <w:rsid w:val="00890663"/>
    <w:rsid w:val="00891A2F"/>
    <w:rsid w:val="0089295C"/>
    <w:rsid w:val="00893278"/>
    <w:rsid w:val="008938EE"/>
    <w:rsid w:val="00896412"/>
    <w:rsid w:val="008A0224"/>
    <w:rsid w:val="008A13F0"/>
    <w:rsid w:val="008A2172"/>
    <w:rsid w:val="008A3450"/>
    <w:rsid w:val="008A35FA"/>
    <w:rsid w:val="008A44A8"/>
    <w:rsid w:val="008A4AA8"/>
    <w:rsid w:val="008A4E2A"/>
    <w:rsid w:val="008A538F"/>
    <w:rsid w:val="008A5C44"/>
    <w:rsid w:val="008A675F"/>
    <w:rsid w:val="008A7103"/>
    <w:rsid w:val="008A74E1"/>
    <w:rsid w:val="008B28B9"/>
    <w:rsid w:val="008B33F5"/>
    <w:rsid w:val="008B53E2"/>
    <w:rsid w:val="008B55F3"/>
    <w:rsid w:val="008B613F"/>
    <w:rsid w:val="008B6E97"/>
    <w:rsid w:val="008B7EEC"/>
    <w:rsid w:val="008C0ECB"/>
    <w:rsid w:val="008C1579"/>
    <w:rsid w:val="008C2505"/>
    <w:rsid w:val="008C49C9"/>
    <w:rsid w:val="008C55FB"/>
    <w:rsid w:val="008C5E6C"/>
    <w:rsid w:val="008C5F6D"/>
    <w:rsid w:val="008D28A8"/>
    <w:rsid w:val="008D35B7"/>
    <w:rsid w:val="008D4752"/>
    <w:rsid w:val="008E20F3"/>
    <w:rsid w:val="008E2CF4"/>
    <w:rsid w:val="008E5405"/>
    <w:rsid w:val="008E6628"/>
    <w:rsid w:val="008F0630"/>
    <w:rsid w:val="008F1AC2"/>
    <w:rsid w:val="008F2A92"/>
    <w:rsid w:val="008F4196"/>
    <w:rsid w:val="008F588A"/>
    <w:rsid w:val="008F5966"/>
    <w:rsid w:val="0090233B"/>
    <w:rsid w:val="009030A0"/>
    <w:rsid w:val="00903530"/>
    <w:rsid w:val="009054D6"/>
    <w:rsid w:val="00905BE1"/>
    <w:rsid w:val="00906097"/>
    <w:rsid w:val="00906B6C"/>
    <w:rsid w:val="00915221"/>
    <w:rsid w:val="009164C7"/>
    <w:rsid w:val="00923C22"/>
    <w:rsid w:val="00924C1A"/>
    <w:rsid w:val="0092510F"/>
    <w:rsid w:val="009251C8"/>
    <w:rsid w:val="00926CF1"/>
    <w:rsid w:val="0092710B"/>
    <w:rsid w:val="00927748"/>
    <w:rsid w:val="00931870"/>
    <w:rsid w:val="00931B0F"/>
    <w:rsid w:val="00931E2C"/>
    <w:rsid w:val="009334AF"/>
    <w:rsid w:val="0093368F"/>
    <w:rsid w:val="00935C72"/>
    <w:rsid w:val="00936927"/>
    <w:rsid w:val="009369AA"/>
    <w:rsid w:val="00940242"/>
    <w:rsid w:val="0094084E"/>
    <w:rsid w:val="00941093"/>
    <w:rsid w:val="00941E8E"/>
    <w:rsid w:val="0094363A"/>
    <w:rsid w:val="00943AF8"/>
    <w:rsid w:val="00944550"/>
    <w:rsid w:val="00944D3C"/>
    <w:rsid w:val="00946725"/>
    <w:rsid w:val="00946A03"/>
    <w:rsid w:val="00947C98"/>
    <w:rsid w:val="0095225D"/>
    <w:rsid w:val="00952C5D"/>
    <w:rsid w:val="00953164"/>
    <w:rsid w:val="009535C5"/>
    <w:rsid w:val="0095438C"/>
    <w:rsid w:val="00955A4A"/>
    <w:rsid w:val="00955B68"/>
    <w:rsid w:val="00957870"/>
    <w:rsid w:val="009628D9"/>
    <w:rsid w:val="00962FE1"/>
    <w:rsid w:val="00963544"/>
    <w:rsid w:val="009635CF"/>
    <w:rsid w:val="00964024"/>
    <w:rsid w:val="0096446A"/>
    <w:rsid w:val="00964E5A"/>
    <w:rsid w:val="00965A05"/>
    <w:rsid w:val="00971993"/>
    <w:rsid w:val="009719A6"/>
    <w:rsid w:val="00972BAD"/>
    <w:rsid w:val="00975443"/>
    <w:rsid w:val="00977844"/>
    <w:rsid w:val="00977FD1"/>
    <w:rsid w:val="009847C1"/>
    <w:rsid w:val="009853EE"/>
    <w:rsid w:val="00991569"/>
    <w:rsid w:val="00991998"/>
    <w:rsid w:val="00992777"/>
    <w:rsid w:val="009928BE"/>
    <w:rsid w:val="0099580A"/>
    <w:rsid w:val="00996301"/>
    <w:rsid w:val="00996B9D"/>
    <w:rsid w:val="009A0694"/>
    <w:rsid w:val="009A0D44"/>
    <w:rsid w:val="009A2234"/>
    <w:rsid w:val="009A31B0"/>
    <w:rsid w:val="009A45A3"/>
    <w:rsid w:val="009A7817"/>
    <w:rsid w:val="009B0AEC"/>
    <w:rsid w:val="009B0DD6"/>
    <w:rsid w:val="009B0FC6"/>
    <w:rsid w:val="009B105B"/>
    <w:rsid w:val="009B1079"/>
    <w:rsid w:val="009B15A7"/>
    <w:rsid w:val="009B1EA2"/>
    <w:rsid w:val="009B2D35"/>
    <w:rsid w:val="009B2E1E"/>
    <w:rsid w:val="009B3C47"/>
    <w:rsid w:val="009B46A8"/>
    <w:rsid w:val="009B4798"/>
    <w:rsid w:val="009B4DEC"/>
    <w:rsid w:val="009B4E1C"/>
    <w:rsid w:val="009B7B5D"/>
    <w:rsid w:val="009C03C9"/>
    <w:rsid w:val="009C23AF"/>
    <w:rsid w:val="009C3696"/>
    <w:rsid w:val="009C4EA6"/>
    <w:rsid w:val="009C56FB"/>
    <w:rsid w:val="009D020A"/>
    <w:rsid w:val="009D0AD4"/>
    <w:rsid w:val="009D117C"/>
    <w:rsid w:val="009D32B8"/>
    <w:rsid w:val="009D3A0E"/>
    <w:rsid w:val="009D40AC"/>
    <w:rsid w:val="009D487E"/>
    <w:rsid w:val="009E028E"/>
    <w:rsid w:val="009E0C1D"/>
    <w:rsid w:val="009E27DE"/>
    <w:rsid w:val="009E35A9"/>
    <w:rsid w:val="009E40B0"/>
    <w:rsid w:val="009E42A4"/>
    <w:rsid w:val="009E70FC"/>
    <w:rsid w:val="009F05C7"/>
    <w:rsid w:val="009F53FE"/>
    <w:rsid w:val="009F5507"/>
    <w:rsid w:val="009F5C7E"/>
    <w:rsid w:val="00A001AF"/>
    <w:rsid w:val="00A00CF8"/>
    <w:rsid w:val="00A019B4"/>
    <w:rsid w:val="00A0234B"/>
    <w:rsid w:val="00A0268C"/>
    <w:rsid w:val="00A036A9"/>
    <w:rsid w:val="00A03FFB"/>
    <w:rsid w:val="00A05FA5"/>
    <w:rsid w:val="00A10F78"/>
    <w:rsid w:val="00A15FBA"/>
    <w:rsid w:val="00A20531"/>
    <w:rsid w:val="00A21147"/>
    <w:rsid w:val="00A21323"/>
    <w:rsid w:val="00A219E7"/>
    <w:rsid w:val="00A21D45"/>
    <w:rsid w:val="00A22345"/>
    <w:rsid w:val="00A225D8"/>
    <w:rsid w:val="00A22F07"/>
    <w:rsid w:val="00A259F5"/>
    <w:rsid w:val="00A26105"/>
    <w:rsid w:val="00A27ACC"/>
    <w:rsid w:val="00A300D1"/>
    <w:rsid w:val="00A318D5"/>
    <w:rsid w:val="00A3581D"/>
    <w:rsid w:val="00A3719F"/>
    <w:rsid w:val="00A37593"/>
    <w:rsid w:val="00A37F75"/>
    <w:rsid w:val="00A4103C"/>
    <w:rsid w:val="00A415EA"/>
    <w:rsid w:val="00A41F19"/>
    <w:rsid w:val="00A4301A"/>
    <w:rsid w:val="00A438F6"/>
    <w:rsid w:val="00A44BB5"/>
    <w:rsid w:val="00A5101C"/>
    <w:rsid w:val="00A51D45"/>
    <w:rsid w:val="00A5372C"/>
    <w:rsid w:val="00A53745"/>
    <w:rsid w:val="00A5524E"/>
    <w:rsid w:val="00A56D3B"/>
    <w:rsid w:val="00A57635"/>
    <w:rsid w:val="00A60ADE"/>
    <w:rsid w:val="00A61074"/>
    <w:rsid w:val="00A6361B"/>
    <w:rsid w:val="00A63AD5"/>
    <w:rsid w:val="00A674C9"/>
    <w:rsid w:val="00A67804"/>
    <w:rsid w:val="00A7036B"/>
    <w:rsid w:val="00A723A0"/>
    <w:rsid w:val="00A762C8"/>
    <w:rsid w:val="00A76783"/>
    <w:rsid w:val="00A76A89"/>
    <w:rsid w:val="00A77F7B"/>
    <w:rsid w:val="00A81908"/>
    <w:rsid w:val="00A81BC2"/>
    <w:rsid w:val="00A82163"/>
    <w:rsid w:val="00A8322C"/>
    <w:rsid w:val="00A8357F"/>
    <w:rsid w:val="00A846F0"/>
    <w:rsid w:val="00A86B1C"/>
    <w:rsid w:val="00A871A1"/>
    <w:rsid w:val="00A91506"/>
    <w:rsid w:val="00A9266A"/>
    <w:rsid w:val="00A92FDC"/>
    <w:rsid w:val="00A95817"/>
    <w:rsid w:val="00A95825"/>
    <w:rsid w:val="00A95F68"/>
    <w:rsid w:val="00A96F15"/>
    <w:rsid w:val="00A97763"/>
    <w:rsid w:val="00AA0247"/>
    <w:rsid w:val="00AA0FA9"/>
    <w:rsid w:val="00AA1BC5"/>
    <w:rsid w:val="00AA279A"/>
    <w:rsid w:val="00AA45BE"/>
    <w:rsid w:val="00AA6CED"/>
    <w:rsid w:val="00AB0039"/>
    <w:rsid w:val="00AB043A"/>
    <w:rsid w:val="00AB08D9"/>
    <w:rsid w:val="00AB0A13"/>
    <w:rsid w:val="00AB20BE"/>
    <w:rsid w:val="00AB3714"/>
    <w:rsid w:val="00AB50A6"/>
    <w:rsid w:val="00AC0D84"/>
    <w:rsid w:val="00AC1412"/>
    <w:rsid w:val="00AC1A82"/>
    <w:rsid w:val="00AC23C7"/>
    <w:rsid w:val="00AC2A11"/>
    <w:rsid w:val="00AC31DE"/>
    <w:rsid w:val="00AC5020"/>
    <w:rsid w:val="00AC5F44"/>
    <w:rsid w:val="00AC7DA3"/>
    <w:rsid w:val="00AD27FA"/>
    <w:rsid w:val="00AD4E14"/>
    <w:rsid w:val="00AD6520"/>
    <w:rsid w:val="00AE161B"/>
    <w:rsid w:val="00AE42DC"/>
    <w:rsid w:val="00AE4A9E"/>
    <w:rsid w:val="00AE62BC"/>
    <w:rsid w:val="00AE727B"/>
    <w:rsid w:val="00AF0F24"/>
    <w:rsid w:val="00AF5AC2"/>
    <w:rsid w:val="00AF6389"/>
    <w:rsid w:val="00AF6DA2"/>
    <w:rsid w:val="00AF7148"/>
    <w:rsid w:val="00AF7D19"/>
    <w:rsid w:val="00B030CE"/>
    <w:rsid w:val="00B07772"/>
    <w:rsid w:val="00B07BD2"/>
    <w:rsid w:val="00B108EC"/>
    <w:rsid w:val="00B11255"/>
    <w:rsid w:val="00B1681F"/>
    <w:rsid w:val="00B17439"/>
    <w:rsid w:val="00B17B14"/>
    <w:rsid w:val="00B2067B"/>
    <w:rsid w:val="00B20BFE"/>
    <w:rsid w:val="00B20DE0"/>
    <w:rsid w:val="00B2403C"/>
    <w:rsid w:val="00B25163"/>
    <w:rsid w:val="00B2670D"/>
    <w:rsid w:val="00B26EB8"/>
    <w:rsid w:val="00B27DB3"/>
    <w:rsid w:val="00B30306"/>
    <w:rsid w:val="00B34CD6"/>
    <w:rsid w:val="00B34E51"/>
    <w:rsid w:val="00B373F0"/>
    <w:rsid w:val="00B4084C"/>
    <w:rsid w:val="00B4218F"/>
    <w:rsid w:val="00B42A20"/>
    <w:rsid w:val="00B42B15"/>
    <w:rsid w:val="00B42EFD"/>
    <w:rsid w:val="00B43955"/>
    <w:rsid w:val="00B46502"/>
    <w:rsid w:val="00B475A0"/>
    <w:rsid w:val="00B5048F"/>
    <w:rsid w:val="00B51255"/>
    <w:rsid w:val="00B51258"/>
    <w:rsid w:val="00B51730"/>
    <w:rsid w:val="00B56DAF"/>
    <w:rsid w:val="00B57AC0"/>
    <w:rsid w:val="00B61AAD"/>
    <w:rsid w:val="00B6324F"/>
    <w:rsid w:val="00B63735"/>
    <w:rsid w:val="00B64A2D"/>
    <w:rsid w:val="00B64C8B"/>
    <w:rsid w:val="00B65B44"/>
    <w:rsid w:val="00B65BD7"/>
    <w:rsid w:val="00B674F3"/>
    <w:rsid w:val="00B67E9D"/>
    <w:rsid w:val="00B707D4"/>
    <w:rsid w:val="00B71951"/>
    <w:rsid w:val="00B720E3"/>
    <w:rsid w:val="00B7237C"/>
    <w:rsid w:val="00B74E41"/>
    <w:rsid w:val="00B7582D"/>
    <w:rsid w:val="00B76839"/>
    <w:rsid w:val="00B77152"/>
    <w:rsid w:val="00B77511"/>
    <w:rsid w:val="00B77FD0"/>
    <w:rsid w:val="00B80982"/>
    <w:rsid w:val="00B80E8A"/>
    <w:rsid w:val="00B80F7D"/>
    <w:rsid w:val="00B81A7A"/>
    <w:rsid w:val="00B82126"/>
    <w:rsid w:val="00B822B1"/>
    <w:rsid w:val="00B829F9"/>
    <w:rsid w:val="00B83113"/>
    <w:rsid w:val="00B83EAC"/>
    <w:rsid w:val="00B85E08"/>
    <w:rsid w:val="00B86C96"/>
    <w:rsid w:val="00B86CB1"/>
    <w:rsid w:val="00B92133"/>
    <w:rsid w:val="00B92B04"/>
    <w:rsid w:val="00B93771"/>
    <w:rsid w:val="00B95390"/>
    <w:rsid w:val="00B964D6"/>
    <w:rsid w:val="00B97DA9"/>
    <w:rsid w:val="00BA1E39"/>
    <w:rsid w:val="00BA2FDE"/>
    <w:rsid w:val="00BA35F2"/>
    <w:rsid w:val="00BA3CE2"/>
    <w:rsid w:val="00BA4AB7"/>
    <w:rsid w:val="00BA5DA9"/>
    <w:rsid w:val="00BA6A1F"/>
    <w:rsid w:val="00BA7C1D"/>
    <w:rsid w:val="00BB0A9E"/>
    <w:rsid w:val="00BB17B2"/>
    <w:rsid w:val="00BB2115"/>
    <w:rsid w:val="00BB2627"/>
    <w:rsid w:val="00BB2D2F"/>
    <w:rsid w:val="00BB31C3"/>
    <w:rsid w:val="00BB3210"/>
    <w:rsid w:val="00BB429E"/>
    <w:rsid w:val="00BB5502"/>
    <w:rsid w:val="00BB62DF"/>
    <w:rsid w:val="00BB6A09"/>
    <w:rsid w:val="00BB6A4B"/>
    <w:rsid w:val="00BB7878"/>
    <w:rsid w:val="00BC194A"/>
    <w:rsid w:val="00BC31D6"/>
    <w:rsid w:val="00BC3434"/>
    <w:rsid w:val="00BC38A5"/>
    <w:rsid w:val="00BC3CB5"/>
    <w:rsid w:val="00BC40F6"/>
    <w:rsid w:val="00BC428B"/>
    <w:rsid w:val="00BC4F5D"/>
    <w:rsid w:val="00BC62A2"/>
    <w:rsid w:val="00BC6F4A"/>
    <w:rsid w:val="00BC70A5"/>
    <w:rsid w:val="00BC7EEF"/>
    <w:rsid w:val="00BD08F2"/>
    <w:rsid w:val="00BD1425"/>
    <w:rsid w:val="00BD3451"/>
    <w:rsid w:val="00BD36D5"/>
    <w:rsid w:val="00BD3F76"/>
    <w:rsid w:val="00BD502B"/>
    <w:rsid w:val="00BE03A1"/>
    <w:rsid w:val="00BE5212"/>
    <w:rsid w:val="00BE5EAD"/>
    <w:rsid w:val="00BE622C"/>
    <w:rsid w:val="00BE781F"/>
    <w:rsid w:val="00BE7A97"/>
    <w:rsid w:val="00BE7C39"/>
    <w:rsid w:val="00BE7F19"/>
    <w:rsid w:val="00BF023A"/>
    <w:rsid w:val="00BF54C1"/>
    <w:rsid w:val="00BF71D8"/>
    <w:rsid w:val="00C0021E"/>
    <w:rsid w:val="00C008B3"/>
    <w:rsid w:val="00C014A7"/>
    <w:rsid w:val="00C032A5"/>
    <w:rsid w:val="00C049DB"/>
    <w:rsid w:val="00C05068"/>
    <w:rsid w:val="00C06514"/>
    <w:rsid w:val="00C07805"/>
    <w:rsid w:val="00C07967"/>
    <w:rsid w:val="00C1141C"/>
    <w:rsid w:val="00C135CD"/>
    <w:rsid w:val="00C145F6"/>
    <w:rsid w:val="00C14F6E"/>
    <w:rsid w:val="00C15310"/>
    <w:rsid w:val="00C15D87"/>
    <w:rsid w:val="00C16402"/>
    <w:rsid w:val="00C20782"/>
    <w:rsid w:val="00C20EA3"/>
    <w:rsid w:val="00C21CE5"/>
    <w:rsid w:val="00C25C54"/>
    <w:rsid w:val="00C2735A"/>
    <w:rsid w:val="00C277FC"/>
    <w:rsid w:val="00C300A7"/>
    <w:rsid w:val="00C3260B"/>
    <w:rsid w:val="00C33259"/>
    <w:rsid w:val="00C3384F"/>
    <w:rsid w:val="00C3403D"/>
    <w:rsid w:val="00C34E12"/>
    <w:rsid w:val="00C404B6"/>
    <w:rsid w:val="00C40BD8"/>
    <w:rsid w:val="00C40D15"/>
    <w:rsid w:val="00C42AFF"/>
    <w:rsid w:val="00C4448B"/>
    <w:rsid w:val="00C45DA5"/>
    <w:rsid w:val="00C52B5F"/>
    <w:rsid w:val="00C52F90"/>
    <w:rsid w:val="00C53F41"/>
    <w:rsid w:val="00C54661"/>
    <w:rsid w:val="00C54EE4"/>
    <w:rsid w:val="00C55417"/>
    <w:rsid w:val="00C574B7"/>
    <w:rsid w:val="00C5777F"/>
    <w:rsid w:val="00C57C94"/>
    <w:rsid w:val="00C60973"/>
    <w:rsid w:val="00C62EFB"/>
    <w:rsid w:val="00C63BFE"/>
    <w:rsid w:val="00C645BF"/>
    <w:rsid w:val="00C64C09"/>
    <w:rsid w:val="00C64C32"/>
    <w:rsid w:val="00C65002"/>
    <w:rsid w:val="00C66884"/>
    <w:rsid w:val="00C674EE"/>
    <w:rsid w:val="00C70262"/>
    <w:rsid w:val="00C70BAF"/>
    <w:rsid w:val="00C70CB8"/>
    <w:rsid w:val="00C735D6"/>
    <w:rsid w:val="00C73A7A"/>
    <w:rsid w:val="00C74F60"/>
    <w:rsid w:val="00C75BBC"/>
    <w:rsid w:val="00C764B7"/>
    <w:rsid w:val="00C76A36"/>
    <w:rsid w:val="00C76EE9"/>
    <w:rsid w:val="00C77D73"/>
    <w:rsid w:val="00C77D7F"/>
    <w:rsid w:val="00C77EED"/>
    <w:rsid w:val="00C81ED6"/>
    <w:rsid w:val="00C85C2A"/>
    <w:rsid w:val="00C86579"/>
    <w:rsid w:val="00C875F2"/>
    <w:rsid w:val="00C90161"/>
    <w:rsid w:val="00C90AFF"/>
    <w:rsid w:val="00C91795"/>
    <w:rsid w:val="00C926EA"/>
    <w:rsid w:val="00C92913"/>
    <w:rsid w:val="00C92D9A"/>
    <w:rsid w:val="00C93B02"/>
    <w:rsid w:val="00C9516D"/>
    <w:rsid w:val="00C964A4"/>
    <w:rsid w:val="00C96896"/>
    <w:rsid w:val="00C971A0"/>
    <w:rsid w:val="00C9733E"/>
    <w:rsid w:val="00C97BCD"/>
    <w:rsid w:val="00CA18EC"/>
    <w:rsid w:val="00CA1F92"/>
    <w:rsid w:val="00CA302C"/>
    <w:rsid w:val="00CA381A"/>
    <w:rsid w:val="00CA3D00"/>
    <w:rsid w:val="00CA3D4E"/>
    <w:rsid w:val="00CA59E3"/>
    <w:rsid w:val="00CA6BB6"/>
    <w:rsid w:val="00CA7DD2"/>
    <w:rsid w:val="00CA7E3B"/>
    <w:rsid w:val="00CB12C4"/>
    <w:rsid w:val="00CB4538"/>
    <w:rsid w:val="00CB6A06"/>
    <w:rsid w:val="00CC3055"/>
    <w:rsid w:val="00CC309E"/>
    <w:rsid w:val="00CC45B7"/>
    <w:rsid w:val="00CC5C55"/>
    <w:rsid w:val="00CC62DF"/>
    <w:rsid w:val="00CC6387"/>
    <w:rsid w:val="00CC687E"/>
    <w:rsid w:val="00CC6B00"/>
    <w:rsid w:val="00CC6F11"/>
    <w:rsid w:val="00CD0817"/>
    <w:rsid w:val="00CD17CA"/>
    <w:rsid w:val="00CD1D7B"/>
    <w:rsid w:val="00CD42CC"/>
    <w:rsid w:val="00CD46B2"/>
    <w:rsid w:val="00CD7056"/>
    <w:rsid w:val="00CD7646"/>
    <w:rsid w:val="00CE1275"/>
    <w:rsid w:val="00CE2C27"/>
    <w:rsid w:val="00CE3644"/>
    <w:rsid w:val="00CE4D29"/>
    <w:rsid w:val="00CE5C78"/>
    <w:rsid w:val="00CF103F"/>
    <w:rsid w:val="00CF2360"/>
    <w:rsid w:val="00CF2BBA"/>
    <w:rsid w:val="00CF378D"/>
    <w:rsid w:val="00CF58A2"/>
    <w:rsid w:val="00CF5923"/>
    <w:rsid w:val="00CF6390"/>
    <w:rsid w:val="00CF683A"/>
    <w:rsid w:val="00CF68B0"/>
    <w:rsid w:val="00CF7BC8"/>
    <w:rsid w:val="00CF7D2F"/>
    <w:rsid w:val="00D0043E"/>
    <w:rsid w:val="00D023B3"/>
    <w:rsid w:val="00D048A9"/>
    <w:rsid w:val="00D04915"/>
    <w:rsid w:val="00D053D6"/>
    <w:rsid w:val="00D10A08"/>
    <w:rsid w:val="00D1168C"/>
    <w:rsid w:val="00D11DA3"/>
    <w:rsid w:val="00D11DCA"/>
    <w:rsid w:val="00D12255"/>
    <w:rsid w:val="00D13646"/>
    <w:rsid w:val="00D13DC4"/>
    <w:rsid w:val="00D15641"/>
    <w:rsid w:val="00D156B0"/>
    <w:rsid w:val="00D23AC9"/>
    <w:rsid w:val="00D273CF"/>
    <w:rsid w:val="00D279B9"/>
    <w:rsid w:val="00D27EAC"/>
    <w:rsid w:val="00D31138"/>
    <w:rsid w:val="00D312AF"/>
    <w:rsid w:val="00D315DB"/>
    <w:rsid w:val="00D33DE7"/>
    <w:rsid w:val="00D34F6F"/>
    <w:rsid w:val="00D350B2"/>
    <w:rsid w:val="00D350CD"/>
    <w:rsid w:val="00D357E5"/>
    <w:rsid w:val="00D359D6"/>
    <w:rsid w:val="00D3653D"/>
    <w:rsid w:val="00D41B5A"/>
    <w:rsid w:val="00D41D5C"/>
    <w:rsid w:val="00D422FD"/>
    <w:rsid w:val="00D448F3"/>
    <w:rsid w:val="00D44A34"/>
    <w:rsid w:val="00D44CDE"/>
    <w:rsid w:val="00D4696D"/>
    <w:rsid w:val="00D474E4"/>
    <w:rsid w:val="00D4773D"/>
    <w:rsid w:val="00D51BD5"/>
    <w:rsid w:val="00D52000"/>
    <w:rsid w:val="00D53942"/>
    <w:rsid w:val="00D53BF2"/>
    <w:rsid w:val="00D54857"/>
    <w:rsid w:val="00D55253"/>
    <w:rsid w:val="00D555D3"/>
    <w:rsid w:val="00D574F9"/>
    <w:rsid w:val="00D629C7"/>
    <w:rsid w:val="00D62D4D"/>
    <w:rsid w:val="00D64261"/>
    <w:rsid w:val="00D647CD"/>
    <w:rsid w:val="00D65E90"/>
    <w:rsid w:val="00D66B1C"/>
    <w:rsid w:val="00D677C6"/>
    <w:rsid w:val="00D72090"/>
    <w:rsid w:val="00D73330"/>
    <w:rsid w:val="00D76943"/>
    <w:rsid w:val="00D80242"/>
    <w:rsid w:val="00D815CE"/>
    <w:rsid w:val="00D81C36"/>
    <w:rsid w:val="00D81FF3"/>
    <w:rsid w:val="00D822E7"/>
    <w:rsid w:val="00D831A0"/>
    <w:rsid w:val="00D8367E"/>
    <w:rsid w:val="00D83D4F"/>
    <w:rsid w:val="00D84DDD"/>
    <w:rsid w:val="00D858DA"/>
    <w:rsid w:val="00D85A16"/>
    <w:rsid w:val="00D85AE6"/>
    <w:rsid w:val="00D86FD5"/>
    <w:rsid w:val="00D8738A"/>
    <w:rsid w:val="00D92C2C"/>
    <w:rsid w:val="00D93826"/>
    <w:rsid w:val="00D93FD0"/>
    <w:rsid w:val="00D95340"/>
    <w:rsid w:val="00D955DB"/>
    <w:rsid w:val="00D96056"/>
    <w:rsid w:val="00D9668F"/>
    <w:rsid w:val="00D96A72"/>
    <w:rsid w:val="00D97EAA"/>
    <w:rsid w:val="00DA3456"/>
    <w:rsid w:val="00DA4ABA"/>
    <w:rsid w:val="00DA4C3C"/>
    <w:rsid w:val="00DA504A"/>
    <w:rsid w:val="00DA5EC4"/>
    <w:rsid w:val="00DA75D8"/>
    <w:rsid w:val="00DB0E3C"/>
    <w:rsid w:val="00DB13AD"/>
    <w:rsid w:val="00DB3960"/>
    <w:rsid w:val="00DB48BA"/>
    <w:rsid w:val="00DB5159"/>
    <w:rsid w:val="00DB52A4"/>
    <w:rsid w:val="00DB5D94"/>
    <w:rsid w:val="00DB622F"/>
    <w:rsid w:val="00DB633A"/>
    <w:rsid w:val="00DB6BCF"/>
    <w:rsid w:val="00DB6F03"/>
    <w:rsid w:val="00DB7E99"/>
    <w:rsid w:val="00DC0690"/>
    <w:rsid w:val="00DC0A88"/>
    <w:rsid w:val="00DC0CAE"/>
    <w:rsid w:val="00DC2BA7"/>
    <w:rsid w:val="00DC2C5C"/>
    <w:rsid w:val="00DC5BC1"/>
    <w:rsid w:val="00DD0679"/>
    <w:rsid w:val="00DD1500"/>
    <w:rsid w:val="00DD1689"/>
    <w:rsid w:val="00DD3FFC"/>
    <w:rsid w:val="00DE0692"/>
    <w:rsid w:val="00DE2517"/>
    <w:rsid w:val="00DE2867"/>
    <w:rsid w:val="00DE290C"/>
    <w:rsid w:val="00DE2DF8"/>
    <w:rsid w:val="00DE4DF4"/>
    <w:rsid w:val="00DE6357"/>
    <w:rsid w:val="00DE677C"/>
    <w:rsid w:val="00DE67E6"/>
    <w:rsid w:val="00DE72F5"/>
    <w:rsid w:val="00DF0584"/>
    <w:rsid w:val="00DF13E9"/>
    <w:rsid w:val="00DF22BA"/>
    <w:rsid w:val="00DF3598"/>
    <w:rsid w:val="00DF4691"/>
    <w:rsid w:val="00DF4CF0"/>
    <w:rsid w:val="00DF7823"/>
    <w:rsid w:val="00E007CF"/>
    <w:rsid w:val="00E026D7"/>
    <w:rsid w:val="00E02E74"/>
    <w:rsid w:val="00E03D97"/>
    <w:rsid w:val="00E04284"/>
    <w:rsid w:val="00E044A3"/>
    <w:rsid w:val="00E04A28"/>
    <w:rsid w:val="00E04EE2"/>
    <w:rsid w:val="00E06B4B"/>
    <w:rsid w:val="00E100D4"/>
    <w:rsid w:val="00E13C27"/>
    <w:rsid w:val="00E155D8"/>
    <w:rsid w:val="00E15BDB"/>
    <w:rsid w:val="00E1602E"/>
    <w:rsid w:val="00E163D4"/>
    <w:rsid w:val="00E16AD6"/>
    <w:rsid w:val="00E20CE6"/>
    <w:rsid w:val="00E20F1E"/>
    <w:rsid w:val="00E21DF5"/>
    <w:rsid w:val="00E22178"/>
    <w:rsid w:val="00E258AE"/>
    <w:rsid w:val="00E30BC8"/>
    <w:rsid w:val="00E31B45"/>
    <w:rsid w:val="00E34228"/>
    <w:rsid w:val="00E34713"/>
    <w:rsid w:val="00E34C41"/>
    <w:rsid w:val="00E37718"/>
    <w:rsid w:val="00E37CC0"/>
    <w:rsid w:val="00E4146E"/>
    <w:rsid w:val="00E42114"/>
    <w:rsid w:val="00E42338"/>
    <w:rsid w:val="00E4250D"/>
    <w:rsid w:val="00E439D5"/>
    <w:rsid w:val="00E441B8"/>
    <w:rsid w:val="00E46027"/>
    <w:rsid w:val="00E465A3"/>
    <w:rsid w:val="00E46F07"/>
    <w:rsid w:val="00E50478"/>
    <w:rsid w:val="00E5125F"/>
    <w:rsid w:val="00E5250D"/>
    <w:rsid w:val="00E52DB0"/>
    <w:rsid w:val="00E53DD9"/>
    <w:rsid w:val="00E54E07"/>
    <w:rsid w:val="00E54E69"/>
    <w:rsid w:val="00E552D2"/>
    <w:rsid w:val="00E629CF"/>
    <w:rsid w:val="00E62C71"/>
    <w:rsid w:val="00E635A3"/>
    <w:rsid w:val="00E64C5B"/>
    <w:rsid w:val="00E65DF1"/>
    <w:rsid w:val="00E65E1F"/>
    <w:rsid w:val="00E6607A"/>
    <w:rsid w:val="00E71CB2"/>
    <w:rsid w:val="00E72E5A"/>
    <w:rsid w:val="00E737F6"/>
    <w:rsid w:val="00E74BC4"/>
    <w:rsid w:val="00E80EF3"/>
    <w:rsid w:val="00E8354F"/>
    <w:rsid w:val="00E83556"/>
    <w:rsid w:val="00E83688"/>
    <w:rsid w:val="00E841C0"/>
    <w:rsid w:val="00E852CC"/>
    <w:rsid w:val="00E85474"/>
    <w:rsid w:val="00E8594B"/>
    <w:rsid w:val="00E85C19"/>
    <w:rsid w:val="00E873F4"/>
    <w:rsid w:val="00E91737"/>
    <w:rsid w:val="00E91E34"/>
    <w:rsid w:val="00E9201C"/>
    <w:rsid w:val="00E92A50"/>
    <w:rsid w:val="00E92EC4"/>
    <w:rsid w:val="00E93D0C"/>
    <w:rsid w:val="00E94319"/>
    <w:rsid w:val="00E94AD7"/>
    <w:rsid w:val="00E95F0E"/>
    <w:rsid w:val="00E95F67"/>
    <w:rsid w:val="00E96B75"/>
    <w:rsid w:val="00E96C0D"/>
    <w:rsid w:val="00EA0A37"/>
    <w:rsid w:val="00EA24B9"/>
    <w:rsid w:val="00EA25F6"/>
    <w:rsid w:val="00EA3277"/>
    <w:rsid w:val="00EA4418"/>
    <w:rsid w:val="00EA6DED"/>
    <w:rsid w:val="00EA6FC6"/>
    <w:rsid w:val="00EA7CF8"/>
    <w:rsid w:val="00EB0897"/>
    <w:rsid w:val="00EB08BA"/>
    <w:rsid w:val="00EB1C0B"/>
    <w:rsid w:val="00EB2987"/>
    <w:rsid w:val="00EB686E"/>
    <w:rsid w:val="00EB7857"/>
    <w:rsid w:val="00EC043E"/>
    <w:rsid w:val="00EC0648"/>
    <w:rsid w:val="00EC49AF"/>
    <w:rsid w:val="00EC6C86"/>
    <w:rsid w:val="00ED1AE4"/>
    <w:rsid w:val="00ED22A6"/>
    <w:rsid w:val="00ED2332"/>
    <w:rsid w:val="00ED3E75"/>
    <w:rsid w:val="00ED5214"/>
    <w:rsid w:val="00ED55D0"/>
    <w:rsid w:val="00ED7841"/>
    <w:rsid w:val="00EE00B6"/>
    <w:rsid w:val="00EE1CF4"/>
    <w:rsid w:val="00EE2D7B"/>
    <w:rsid w:val="00EE315C"/>
    <w:rsid w:val="00EE3210"/>
    <w:rsid w:val="00EE354D"/>
    <w:rsid w:val="00EE48DB"/>
    <w:rsid w:val="00EE5745"/>
    <w:rsid w:val="00EE6108"/>
    <w:rsid w:val="00EE6524"/>
    <w:rsid w:val="00EE6BA0"/>
    <w:rsid w:val="00EE754F"/>
    <w:rsid w:val="00EF010C"/>
    <w:rsid w:val="00EF06A1"/>
    <w:rsid w:val="00EF08AC"/>
    <w:rsid w:val="00EF127A"/>
    <w:rsid w:val="00EF2515"/>
    <w:rsid w:val="00EF2B46"/>
    <w:rsid w:val="00EF3C4F"/>
    <w:rsid w:val="00EF48C7"/>
    <w:rsid w:val="00EF64D6"/>
    <w:rsid w:val="00EF709C"/>
    <w:rsid w:val="00EF71E4"/>
    <w:rsid w:val="00EF7D1F"/>
    <w:rsid w:val="00EF7E45"/>
    <w:rsid w:val="00F007B3"/>
    <w:rsid w:val="00F02456"/>
    <w:rsid w:val="00F04E09"/>
    <w:rsid w:val="00F053CB"/>
    <w:rsid w:val="00F11845"/>
    <w:rsid w:val="00F129D7"/>
    <w:rsid w:val="00F12BB8"/>
    <w:rsid w:val="00F1360E"/>
    <w:rsid w:val="00F14AD1"/>
    <w:rsid w:val="00F14FAC"/>
    <w:rsid w:val="00F1552B"/>
    <w:rsid w:val="00F15923"/>
    <w:rsid w:val="00F1647D"/>
    <w:rsid w:val="00F1676A"/>
    <w:rsid w:val="00F206D1"/>
    <w:rsid w:val="00F24108"/>
    <w:rsid w:val="00F24D33"/>
    <w:rsid w:val="00F2685D"/>
    <w:rsid w:val="00F269B1"/>
    <w:rsid w:val="00F26B2F"/>
    <w:rsid w:val="00F27018"/>
    <w:rsid w:val="00F277B5"/>
    <w:rsid w:val="00F3037B"/>
    <w:rsid w:val="00F30987"/>
    <w:rsid w:val="00F30D84"/>
    <w:rsid w:val="00F310F5"/>
    <w:rsid w:val="00F3126F"/>
    <w:rsid w:val="00F33204"/>
    <w:rsid w:val="00F34FB8"/>
    <w:rsid w:val="00F3631A"/>
    <w:rsid w:val="00F422AD"/>
    <w:rsid w:val="00F43682"/>
    <w:rsid w:val="00F449FE"/>
    <w:rsid w:val="00F46A13"/>
    <w:rsid w:val="00F471EF"/>
    <w:rsid w:val="00F510CE"/>
    <w:rsid w:val="00F524C3"/>
    <w:rsid w:val="00F52E08"/>
    <w:rsid w:val="00F53657"/>
    <w:rsid w:val="00F53810"/>
    <w:rsid w:val="00F54C9E"/>
    <w:rsid w:val="00F54F59"/>
    <w:rsid w:val="00F55D15"/>
    <w:rsid w:val="00F61726"/>
    <w:rsid w:val="00F61E8E"/>
    <w:rsid w:val="00F6308B"/>
    <w:rsid w:val="00F66A8F"/>
    <w:rsid w:val="00F702CE"/>
    <w:rsid w:val="00F70533"/>
    <w:rsid w:val="00F71321"/>
    <w:rsid w:val="00F71B19"/>
    <w:rsid w:val="00F71EBF"/>
    <w:rsid w:val="00F7385B"/>
    <w:rsid w:val="00F7479C"/>
    <w:rsid w:val="00F75CCC"/>
    <w:rsid w:val="00F77626"/>
    <w:rsid w:val="00F778D4"/>
    <w:rsid w:val="00F83DC5"/>
    <w:rsid w:val="00F858E4"/>
    <w:rsid w:val="00F85C96"/>
    <w:rsid w:val="00F8725E"/>
    <w:rsid w:val="00F92035"/>
    <w:rsid w:val="00F9234D"/>
    <w:rsid w:val="00F92BA9"/>
    <w:rsid w:val="00F92CD6"/>
    <w:rsid w:val="00F92F97"/>
    <w:rsid w:val="00F943E6"/>
    <w:rsid w:val="00F96279"/>
    <w:rsid w:val="00F976A9"/>
    <w:rsid w:val="00FA193D"/>
    <w:rsid w:val="00FA19E1"/>
    <w:rsid w:val="00FA1DAB"/>
    <w:rsid w:val="00FA317F"/>
    <w:rsid w:val="00FA4E00"/>
    <w:rsid w:val="00FA6F1F"/>
    <w:rsid w:val="00FB064C"/>
    <w:rsid w:val="00FB11D6"/>
    <w:rsid w:val="00FB19A2"/>
    <w:rsid w:val="00FB2291"/>
    <w:rsid w:val="00FB23B9"/>
    <w:rsid w:val="00FB266E"/>
    <w:rsid w:val="00FB2C06"/>
    <w:rsid w:val="00FB2D9D"/>
    <w:rsid w:val="00FB2DD4"/>
    <w:rsid w:val="00FB2F52"/>
    <w:rsid w:val="00FB4725"/>
    <w:rsid w:val="00FB4750"/>
    <w:rsid w:val="00FB621E"/>
    <w:rsid w:val="00FC22F6"/>
    <w:rsid w:val="00FC396E"/>
    <w:rsid w:val="00FC518A"/>
    <w:rsid w:val="00FC5828"/>
    <w:rsid w:val="00FC5CF9"/>
    <w:rsid w:val="00FC619E"/>
    <w:rsid w:val="00FC6F68"/>
    <w:rsid w:val="00FC74B4"/>
    <w:rsid w:val="00FD0BAD"/>
    <w:rsid w:val="00FE2217"/>
    <w:rsid w:val="00FE5DBC"/>
    <w:rsid w:val="00FF0445"/>
    <w:rsid w:val="00FF1678"/>
    <w:rsid w:val="00FF2E8A"/>
    <w:rsid w:val="00FF348E"/>
    <w:rsid w:val="00FF3A35"/>
    <w:rsid w:val="00FF3F76"/>
    <w:rsid w:val="00FF5A85"/>
    <w:rsid w:val="00FF7160"/>
    <w:rsid w:val="04001E75"/>
    <w:rsid w:val="043E4E21"/>
    <w:rsid w:val="06B55C8C"/>
    <w:rsid w:val="0822496A"/>
    <w:rsid w:val="084D1E2B"/>
    <w:rsid w:val="0BA3661B"/>
    <w:rsid w:val="0C2D392C"/>
    <w:rsid w:val="0C490294"/>
    <w:rsid w:val="0E53414E"/>
    <w:rsid w:val="11032CDC"/>
    <w:rsid w:val="12F52B2A"/>
    <w:rsid w:val="14204A44"/>
    <w:rsid w:val="14E9116F"/>
    <w:rsid w:val="17B967FC"/>
    <w:rsid w:val="19AB3FDC"/>
    <w:rsid w:val="233B0E5B"/>
    <w:rsid w:val="2C3032C8"/>
    <w:rsid w:val="2D2A7927"/>
    <w:rsid w:val="2F93021B"/>
    <w:rsid w:val="316B1837"/>
    <w:rsid w:val="325D4D33"/>
    <w:rsid w:val="329526B4"/>
    <w:rsid w:val="36167BC8"/>
    <w:rsid w:val="393F0F72"/>
    <w:rsid w:val="3AF01941"/>
    <w:rsid w:val="3B2865DB"/>
    <w:rsid w:val="3BE46B50"/>
    <w:rsid w:val="3E2326FD"/>
    <w:rsid w:val="3EFF7F8A"/>
    <w:rsid w:val="3F921836"/>
    <w:rsid w:val="40C21D4C"/>
    <w:rsid w:val="42034CCB"/>
    <w:rsid w:val="42C15095"/>
    <w:rsid w:val="430A1082"/>
    <w:rsid w:val="46C30AA8"/>
    <w:rsid w:val="4B751D8D"/>
    <w:rsid w:val="546700E9"/>
    <w:rsid w:val="57512E5B"/>
    <w:rsid w:val="57C16588"/>
    <w:rsid w:val="58C03090"/>
    <w:rsid w:val="59545B95"/>
    <w:rsid w:val="59FF34F9"/>
    <w:rsid w:val="5C391FDF"/>
    <w:rsid w:val="5E860E87"/>
    <w:rsid w:val="5F715936"/>
    <w:rsid w:val="5FA66C36"/>
    <w:rsid w:val="662D7BE2"/>
    <w:rsid w:val="666C4E98"/>
    <w:rsid w:val="694F469D"/>
    <w:rsid w:val="6D5E2420"/>
    <w:rsid w:val="6E4A107C"/>
    <w:rsid w:val="6EAC0BB8"/>
    <w:rsid w:val="734F3E3C"/>
    <w:rsid w:val="73E70B37"/>
    <w:rsid w:val="79B70C76"/>
    <w:rsid w:val="7DE44A0D"/>
    <w:rsid w:val="7E5A355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stroke="f">
      <v:fill color="white"/>
      <v:stroke on="f"/>
    </o:shapedefaults>
    <o:shapelayout v:ext="edit">
      <o:idmap v:ext="edit" data="1"/>
    </o:shapelayout>
  </w:shapeDefaults>
  <w:decimalSymbol w:val=","/>
  <w:listSeparator w:val=";"/>
  <w14:docId w14:val="4337F63C"/>
  <w15:docId w15:val="{E0340DBA-1E72-3D4B-BB6A-70EBDE5C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unhideWhenUsed="1" w:qFormat="1"/>
    <w:lsdException w:name="heading 8" w:uiPriority="0" w:unhideWhenUsed="1" w:qFormat="1"/>
    <w:lsdException w:name="heading 9" w:uiPriority="0" w:unhideWhenUsed="1" w:qFormat="1"/>
    <w:lsdException w:name="index 1"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lsdException w:name="toc 7" w:uiPriority="39" w:unhideWhenUsed="1" w:qFormat="1"/>
    <w:lsdException w:name="toc 8" w:uiPriority="39" w:unhideWhenUsed="1" w:qFormat="1"/>
    <w:lsdException w:name="toc 9" w:uiPriority="39" w:unhideWhenUsed="1"/>
    <w:lsdException w:name="Normal Indent" w:semiHidden="1" w:unhideWhenUsed="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0" w:unhideWhenUsed="1" w:qFormat="1"/>
    <w:lsdException w:name="table of figures" w:unhideWhenUsed="1" w:qFormat="1"/>
    <w:lsdException w:name="envelope address" w:semiHidden="1" w:unhideWhenUsed="1"/>
    <w:lsdException w:name="envelope return" w:semiHidden="1" w:unhideWhenUsed="1"/>
    <w:lsdException w:name="footnote reference"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imes New Roman"/>
      <w:sz w:val="24"/>
      <w:szCs w:val="24"/>
    </w:rPr>
  </w:style>
  <w:style w:type="paragraph" w:styleId="Titre1">
    <w:name w:val="heading 1"/>
    <w:basedOn w:val="Normal"/>
    <w:next w:val="Normal"/>
    <w:link w:val="Titre1Car"/>
    <w:uiPriority w:val="9"/>
    <w:qFormat/>
    <w:pPr>
      <w:keepNext/>
      <w:keepLines/>
      <w:pBdr>
        <w:bottom w:val="thickThinSmallGap" w:sz="24" w:space="1" w:color="C45911"/>
      </w:pBdr>
      <w:shd w:val="clear" w:color="auto" w:fill="D9E2F3"/>
      <w:outlineLvl w:val="0"/>
    </w:pPr>
    <w:rPr>
      <w:rFonts w:ascii="Arial" w:eastAsia="DengXian Light" w:hAnsi="Arial"/>
      <w:b/>
      <w:bCs/>
      <w:color w:val="000000"/>
      <w:sz w:val="32"/>
      <w:szCs w:val="28"/>
    </w:rPr>
  </w:style>
  <w:style w:type="paragraph" w:styleId="Titre2">
    <w:name w:val="heading 2"/>
    <w:basedOn w:val="Normal"/>
    <w:next w:val="Normal"/>
    <w:link w:val="Titre2Car"/>
    <w:uiPriority w:val="9"/>
    <w:unhideWhenUsed/>
    <w:qFormat/>
    <w:pPr>
      <w:keepNext/>
      <w:keepLines/>
      <w:outlineLvl w:val="1"/>
    </w:pPr>
    <w:rPr>
      <w:rFonts w:ascii="Cambria" w:eastAsia="DengXian Light" w:hAnsi="Cambria"/>
      <w:b/>
      <w:bCs/>
      <w:color w:val="0000CC"/>
      <w:sz w:val="28"/>
      <w:szCs w:val="26"/>
    </w:rPr>
  </w:style>
  <w:style w:type="paragraph" w:styleId="Titre3">
    <w:name w:val="heading 3"/>
    <w:basedOn w:val="Normal"/>
    <w:next w:val="Normal"/>
    <w:link w:val="Titre3Car"/>
    <w:uiPriority w:val="9"/>
    <w:unhideWhenUsed/>
    <w:qFormat/>
    <w:pPr>
      <w:keepNext/>
      <w:keepLines/>
      <w:outlineLvl w:val="2"/>
    </w:pPr>
    <w:rPr>
      <w:rFonts w:ascii="Georgia" w:eastAsia="SimSun" w:hAnsi="Georgia"/>
      <w:b/>
      <w:bCs/>
      <w:color w:val="0000CC"/>
      <w:sz w:val="26"/>
    </w:rPr>
  </w:style>
  <w:style w:type="paragraph" w:styleId="Titre4">
    <w:name w:val="heading 4"/>
    <w:basedOn w:val="Normal"/>
    <w:next w:val="Normal"/>
    <w:link w:val="Titre4Car"/>
    <w:uiPriority w:val="9"/>
    <w:semiHidden/>
    <w:unhideWhenUsed/>
    <w:qFormat/>
    <w:pPr>
      <w:keepNext/>
      <w:keepLines/>
      <w:spacing w:before="40"/>
      <w:outlineLvl w:val="3"/>
    </w:pPr>
    <w:rPr>
      <w:rFonts w:ascii="Cambria" w:eastAsia="DengXian Light" w:hAnsi="Cambria"/>
      <w:b/>
      <w:i/>
      <w:iCs/>
      <w:color w:val="0000CC"/>
    </w:rPr>
  </w:style>
  <w:style w:type="paragraph" w:styleId="Titre5">
    <w:name w:val="heading 5"/>
    <w:basedOn w:val="Normal"/>
    <w:next w:val="Normal"/>
    <w:link w:val="Titre5Car"/>
    <w:uiPriority w:val="9"/>
    <w:semiHidden/>
    <w:unhideWhenUsed/>
    <w:qFormat/>
    <w:pPr>
      <w:keepNext/>
      <w:keepLines/>
      <w:spacing w:before="200"/>
      <w:outlineLvl w:val="4"/>
    </w:pPr>
    <w:rPr>
      <w:rFonts w:ascii="Calibri Light" w:eastAsia="DengXian Light" w:hAnsi="Calibri Light"/>
      <w:color w:val="1F3864"/>
    </w:rPr>
  </w:style>
  <w:style w:type="paragraph" w:styleId="Titre6">
    <w:name w:val="heading 6"/>
    <w:basedOn w:val="Normal"/>
    <w:next w:val="Normal"/>
    <w:link w:val="Titre6Car"/>
    <w:uiPriority w:val="9"/>
    <w:semiHidden/>
    <w:unhideWhenUsed/>
    <w:qFormat/>
    <w:pPr>
      <w:keepNext/>
      <w:keepLines/>
      <w:spacing w:before="200"/>
      <w:outlineLvl w:val="5"/>
    </w:pPr>
    <w:rPr>
      <w:rFonts w:ascii="Calibri Light" w:eastAsia="DengXian Light" w:hAnsi="Calibri Light"/>
      <w:i/>
      <w:iCs/>
      <w:color w:val="1F3864"/>
    </w:rPr>
  </w:style>
  <w:style w:type="paragraph" w:styleId="Titre7">
    <w:name w:val="heading 7"/>
    <w:basedOn w:val="Normal"/>
    <w:next w:val="Normal"/>
    <w:link w:val="Titre7Car"/>
    <w:unhideWhenUsed/>
    <w:qFormat/>
    <w:pPr>
      <w:keepNext/>
      <w:keepLines/>
      <w:spacing w:before="200"/>
      <w:outlineLvl w:val="6"/>
    </w:pPr>
    <w:rPr>
      <w:rFonts w:ascii="Calibri Light" w:eastAsia="DengXian Light" w:hAnsi="Calibri Light"/>
      <w:i/>
      <w:iCs/>
      <w:color w:val="000000"/>
    </w:rPr>
  </w:style>
  <w:style w:type="paragraph" w:styleId="Titre8">
    <w:name w:val="heading 8"/>
    <w:basedOn w:val="Normal"/>
    <w:next w:val="Normal"/>
    <w:link w:val="Titre8Car"/>
    <w:unhideWhenUsed/>
    <w:qFormat/>
    <w:pPr>
      <w:keepNext/>
      <w:keepLines/>
      <w:spacing w:before="40"/>
      <w:outlineLvl w:val="7"/>
    </w:pPr>
    <w:rPr>
      <w:rFonts w:ascii="Calibri Light" w:eastAsia="DengXian Light" w:hAnsi="Calibri Light"/>
      <w:color w:val="000000"/>
      <w:sz w:val="21"/>
      <w:szCs w:val="21"/>
    </w:rPr>
  </w:style>
  <w:style w:type="paragraph" w:styleId="Titre9">
    <w:name w:val="heading 9"/>
    <w:basedOn w:val="Normal"/>
    <w:next w:val="Normal"/>
    <w:link w:val="Titre9Car"/>
    <w:unhideWhenUsed/>
    <w:qFormat/>
    <w:pPr>
      <w:keepNext/>
      <w:keepLines/>
      <w:spacing w:before="40"/>
      <w:outlineLvl w:val="8"/>
    </w:pPr>
    <w:rPr>
      <w:rFonts w:ascii="Calibri Light" w:eastAsia="DengXian Light" w:hAnsi="Calibri Light"/>
      <w:i/>
      <w:iCs/>
      <w:color w:val="000000"/>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qFormat/>
    <w:rPr>
      <w:color w:val="0563C1"/>
      <w:u w:val="single"/>
    </w:rPr>
  </w:style>
  <w:style w:type="character" w:styleId="CitationHTML">
    <w:name w:val="HTML Cite"/>
    <w:uiPriority w:val="99"/>
    <w:unhideWhenUsed/>
    <w:qFormat/>
    <w:rPr>
      <w:i/>
      <w:iCs/>
    </w:rPr>
  </w:style>
  <w:style w:type="character" w:styleId="Appelnotedebasdep">
    <w:name w:val="footnote reference"/>
    <w:link w:val="BVI"/>
    <w:uiPriority w:val="99"/>
    <w:unhideWhenUsed/>
    <w:qFormat/>
    <w:rPr>
      <w:rFonts w:ascii="Times New Roman" w:eastAsia="Times New Roman" w:hAnsi="Times New Roman" w:cs="Times New Roman"/>
      <w:sz w:val="24"/>
      <w:szCs w:val="24"/>
      <w:vertAlign w:val="superscript"/>
      <w:lang w:eastAsia="fr-FR"/>
    </w:rPr>
  </w:style>
  <w:style w:type="paragraph" w:customStyle="1" w:styleId="BVI">
    <w:name w:val="BVI"/>
    <w:basedOn w:val="Normal"/>
    <w:next w:val="Retrait1religne"/>
    <w:link w:val="Appelnotedebasdep"/>
    <w:uiPriority w:val="99"/>
    <w:qFormat/>
    <w:pPr>
      <w:spacing w:before="120" w:line="240" w:lineRule="exact"/>
      <w:jc w:val="both"/>
    </w:pPr>
    <w:rPr>
      <w:rFonts w:eastAsia="SimSun"/>
      <w:vertAlign w:val="superscript"/>
    </w:rPr>
  </w:style>
  <w:style w:type="paragraph" w:styleId="Retrait1religne">
    <w:name w:val="Body Text First Indent"/>
    <w:basedOn w:val="Corpsdetexte"/>
    <w:link w:val="Retrait1religneCar"/>
    <w:uiPriority w:val="99"/>
    <w:semiHidden/>
    <w:unhideWhenUsed/>
    <w:qFormat/>
    <w:pPr>
      <w:spacing w:after="0" w:line="240" w:lineRule="auto"/>
      <w:ind w:firstLine="360"/>
    </w:pPr>
    <w:rPr>
      <w:rFonts w:ascii="Times New Roman" w:eastAsia="Times New Roman" w:hAnsi="Times New Roman"/>
    </w:rPr>
  </w:style>
  <w:style w:type="paragraph" w:styleId="Corpsdetexte">
    <w:name w:val="Body Text"/>
    <w:basedOn w:val="Normal"/>
    <w:link w:val="CorpsdetexteCar"/>
    <w:uiPriority w:val="1"/>
    <w:unhideWhenUsed/>
    <w:qFormat/>
    <w:pPr>
      <w:spacing w:after="120" w:line="276" w:lineRule="auto"/>
    </w:pPr>
    <w:rPr>
      <w:rFonts w:ascii="Calibri" w:eastAsia="Calibri" w:hAnsi="Calibri"/>
    </w:rPr>
  </w:style>
  <w:style w:type="character" w:styleId="Appeldenotedefin">
    <w:name w:val="endnote reference"/>
    <w:uiPriority w:val="99"/>
    <w:semiHidden/>
    <w:unhideWhenUsed/>
    <w:qFormat/>
    <w:rPr>
      <w:vertAlign w:val="superscript"/>
    </w:rPr>
  </w:style>
  <w:style w:type="character" w:styleId="lev">
    <w:name w:val="Strong"/>
    <w:uiPriority w:val="22"/>
    <w:qFormat/>
    <w:rPr>
      <w:b/>
      <w:bCs/>
    </w:rPr>
  </w:style>
  <w:style w:type="character" w:styleId="Marquedecommentaire">
    <w:name w:val="annotation reference"/>
    <w:uiPriority w:val="99"/>
    <w:semiHidden/>
    <w:unhideWhenUsed/>
    <w:qFormat/>
    <w:rPr>
      <w:sz w:val="16"/>
      <w:szCs w:val="16"/>
    </w:rPr>
  </w:style>
  <w:style w:type="character" w:styleId="Numrodepage">
    <w:name w:val="page number"/>
    <w:basedOn w:val="Policepardfaut"/>
    <w:uiPriority w:val="99"/>
    <w:semiHidden/>
    <w:unhideWhenUsed/>
    <w:qFormat/>
  </w:style>
  <w:style w:type="character" w:styleId="Accentuation">
    <w:name w:val="Emphasis"/>
    <w:basedOn w:val="Policepardfaut"/>
    <w:uiPriority w:val="20"/>
    <w:qFormat/>
    <w:rPr>
      <w:i/>
      <w:iCs/>
    </w:rPr>
  </w:style>
  <w:style w:type="character" w:styleId="Lienhypertextesuivivisit">
    <w:name w:val="FollowedHyperlink"/>
    <w:uiPriority w:val="99"/>
    <w:semiHidden/>
    <w:unhideWhenUsed/>
    <w:qFormat/>
    <w:rPr>
      <w:color w:val="954F72"/>
      <w:u w:val="single"/>
    </w:rPr>
  </w:style>
  <w:style w:type="paragraph" w:styleId="TM9">
    <w:name w:val="toc 9"/>
    <w:basedOn w:val="Normal"/>
    <w:next w:val="Normal"/>
    <w:autoRedefine/>
    <w:uiPriority w:val="39"/>
    <w:unhideWhenUsed/>
    <w:pPr>
      <w:ind w:left="1920"/>
    </w:pPr>
    <w:rPr>
      <w:rFonts w:ascii="Calibri" w:eastAsia="SimSun" w:hAnsi="Calibri" w:cs="Calibri"/>
      <w:sz w:val="20"/>
      <w:szCs w:val="20"/>
    </w:rPr>
  </w:style>
  <w:style w:type="paragraph" w:styleId="TM5">
    <w:name w:val="toc 5"/>
    <w:basedOn w:val="Normal"/>
    <w:next w:val="Normal"/>
    <w:autoRedefine/>
    <w:uiPriority w:val="39"/>
    <w:unhideWhenUsed/>
    <w:qFormat/>
    <w:pPr>
      <w:ind w:left="960"/>
    </w:pPr>
    <w:rPr>
      <w:rFonts w:ascii="Calibri" w:eastAsia="SimSun" w:hAnsi="Calibri" w:cs="Calibri"/>
      <w:sz w:val="20"/>
      <w:szCs w:val="20"/>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rformatHTML">
    <w:name w:val="HTML Preformatted"/>
    <w:basedOn w:val="Normal"/>
    <w:link w:val="PrformatHTMLCar"/>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val="en-US" w:eastAsia="zh-CN"/>
    </w:rPr>
  </w:style>
  <w:style w:type="paragraph" w:styleId="Notedefin">
    <w:name w:val="endnote text"/>
    <w:basedOn w:val="Normal"/>
    <w:link w:val="NotedefinCar"/>
    <w:uiPriority w:val="99"/>
    <w:semiHidden/>
    <w:unhideWhenUsed/>
    <w:qFormat/>
    <w:rPr>
      <w:rFonts w:eastAsia="SimSun"/>
      <w:sz w:val="20"/>
      <w:szCs w:val="20"/>
    </w:rPr>
  </w:style>
  <w:style w:type="paragraph" w:styleId="Notedebasdepage">
    <w:name w:val="footnote text"/>
    <w:basedOn w:val="Normal"/>
    <w:link w:val="NotedebasdepageCar"/>
    <w:uiPriority w:val="99"/>
    <w:unhideWhenUsed/>
    <w:qFormat/>
    <w:rPr>
      <w:rFonts w:ascii="Calibri" w:eastAsia="Calibri" w:hAnsi="Calibri"/>
      <w:sz w:val="20"/>
      <w:szCs w:val="20"/>
    </w:rPr>
  </w:style>
  <w:style w:type="paragraph" w:styleId="Objetducommentaire">
    <w:name w:val="annotation subject"/>
    <w:basedOn w:val="Commentaire"/>
    <w:next w:val="Commentaire"/>
    <w:link w:val="ObjetducommentaireCar"/>
    <w:uiPriority w:val="99"/>
    <w:semiHidden/>
    <w:unhideWhenUsed/>
    <w:qFormat/>
    <w:pPr>
      <w:spacing w:after="200"/>
    </w:pPr>
    <w:rPr>
      <w:b/>
      <w:bCs/>
    </w:rPr>
  </w:style>
  <w:style w:type="paragraph" w:styleId="Commentaire">
    <w:name w:val="annotation text"/>
    <w:basedOn w:val="Normal"/>
    <w:link w:val="CommentaireCar"/>
    <w:uiPriority w:val="99"/>
    <w:unhideWhenUsed/>
    <w:qFormat/>
    <w:rPr>
      <w:rFonts w:ascii="Calibri" w:eastAsia="Calibri" w:hAnsi="Calibri"/>
      <w:sz w:val="20"/>
      <w:szCs w:val="20"/>
    </w:rPr>
  </w:style>
  <w:style w:type="paragraph" w:styleId="Lgende">
    <w:name w:val="caption"/>
    <w:basedOn w:val="Normal"/>
    <w:next w:val="Normal"/>
    <w:unhideWhenUsed/>
    <w:qFormat/>
    <w:rPr>
      <w:rFonts w:ascii="Cambria" w:eastAsia="SimSun" w:hAnsi="Cambria"/>
      <w:b/>
      <w:i/>
      <w:iCs/>
      <w:color w:val="0000CC"/>
      <w:szCs w:val="18"/>
    </w:rPr>
  </w:style>
  <w:style w:type="paragraph" w:styleId="Index1">
    <w:name w:val="index 1"/>
    <w:basedOn w:val="Normal"/>
    <w:next w:val="Normal"/>
    <w:autoRedefine/>
    <w:uiPriority w:val="99"/>
    <w:semiHidden/>
    <w:unhideWhenUsed/>
    <w:qFormat/>
    <w:pPr>
      <w:ind w:left="240" w:hanging="240"/>
    </w:pPr>
    <w:rPr>
      <w:rFonts w:eastAsia="SimSun"/>
    </w:rPr>
  </w:style>
  <w:style w:type="paragraph" w:styleId="Textedebulles">
    <w:name w:val="Balloon Text"/>
    <w:basedOn w:val="Normal"/>
    <w:link w:val="TextedebullesCar"/>
    <w:uiPriority w:val="99"/>
    <w:semiHidden/>
    <w:unhideWhenUsed/>
    <w:qFormat/>
    <w:rPr>
      <w:rFonts w:ascii="Tahoma" w:eastAsia="SimSun" w:hAnsi="Tahoma" w:cs="Tahoma"/>
      <w:sz w:val="16"/>
      <w:szCs w:val="16"/>
    </w:rPr>
  </w:style>
  <w:style w:type="paragraph" w:styleId="TM8">
    <w:name w:val="toc 8"/>
    <w:basedOn w:val="Normal"/>
    <w:next w:val="Normal"/>
    <w:autoRedefine/>
    <w:uiPriority w:val="39"/>
    <w:unhideWhenUsed/>
    <w:qFormat/>
    <w:pPr>
      <w:ind w:left="1680"/>
    </w:pPr>
    <w:rPr>
      <w:rFonts w:ascii="Calibri" w:eastAsia="SimSun" w:hAnsi="Calibri" w:cs="Calibri"/>
      <w:sz w:val="20"/>
      <w:szCs w:val="20"/>
    </w:rPr>
  </w:style>
  <w:style w:type="paragraph" w:styleId="TitreTR">
    <w:name w:val="toa heading"/>
    <w:basedOn w:val="Normal"/>
    <w:next w:val="Normal"/>
    <w:uiPriority w:val="99"/>
    <w:semiHidden/>
    <w:unhideWhenUsed/>
    <w:qFormat/>
    <w:pPr>
      <w:spacing w:before="120"/>
    </w:pPr>
    <w:rPr>
      <w:rFonts w:ascii="Calibri Light" w:eastAsia="DengXian Light" w:hAnsi="Calibri Light"/>
      <w:b/>
      <w:bCs/>
    </w:rPr>
  </w:style>
  <w:style w:type="paragraph" w:styleId="Textebrut">
    <w:name w:val="Plain Text"/>
    <w:basedOn w:val="Normal"/>
    <w:link w:val="TextebrutCar"/>
    <w:unhideWhenUsed/>
    <w:qFormat/>
    <w:rPr>
      <w:rFonts w:ascii="Courier New" w:eastAsia="SimSun" w:hAnsi="Courier New"/>
      <w:sz w:val="20"/>
      <w:szCs w:val="20"/>
    </w:rPr>
  </w:style>
  <w:style w:type="paragraph" w:styleId="TM4">
    <w:name w:val="toc 4"/>
    <w:basedOn w:val="Normal"/>
    <w:next w:val="Normal"/>
    <w:autoRedefine/>
    <w:uiPriority w:val="39"/>
    <w:unhideWhenUsed/>
    <w:qFormat/>
    <w:pPr>
      <w:ind w:left="720"/>
    </w:pPr>
    <w:rPr>
      <w:rFonts w:ascii="Calibri" w:eastAsia="SimSun" w:hAnsi="Calibri" w:cs="Calibri"/>
      <w:sz w:val="20"/>
      <w:szCs w:val="20"/>
    </w:rPr>
  </w:style>
  <w:style w:type="paragraph" w:styleId="TM7">
    <w:name w:val="toc 7"/>
    <w:basedOn w:val="Normal"/>
    <w:next w:val="Normal"/>
    <w:autoRedefine/>
    <w:uiPriority w:val="39"/>
    <w:unhideWhenUsed/>
    <w:qFormat/>
    <w:pPr>
      <w:ind w:left="1440"/>
    </w:pPr>
    <w:rPr>
      <w:rFonts w:ascii="Calibri" w:eastAsia="SimSun" w:hAnsi="Calibri" w:cs="Calibri"/>
      <w:sz w:val="20"/>
      <w:szCs w:val="20"/>
    </w:rPr>
  </w:style>
  <w:style w:type="paragraph" w:styleId="TM3">
    <w:name w:val="toc 3"/>
    <w:basedOn w:val="Normal"/>
    <w:next w:val="Normal"/>
    <w:autoRedefine/>
    <w:uiPriority w:val="39"/>
    <w:unhideWhenUsed/>
    <w:qFormat/>
    <w:pPr>
      <w:ind w:left="480"/>
    </w:pPr>
    <w:rPr>
      <w:rFonts w:ascii="Calibri" w:eastAsia="SimSun" w:hAnsi="Calibri" w:cs="Calibri"/>
      <w:sz w:val="20"/>
      <w:szCs w:val="20"/>
    </w:rPr>
  </w:style>
  <w:style w:type="paragraph" w:styleId="NormalWeb">
    <w:name w:val="Normal (Web)"/>
    <w:basedOn w:val="Normal"/>
    <w:uiPriority w:val="99"/>
    <w:unhideWhenUsed/>
    <w:qFormat/>
    <w:pPr>
      <w:spacing w:before="100" w:beforeAutospacing="1" w:after="100" w:afterAutospacing="1"/>
    </w:pPr>
    <w:rPr>
      <w:rFonts w:eastAsia="SimSun"/>
    </w:rPr>
  </w:style>
  <w:style w:type="paragraph" w:styleId="Pieddepage">
    <w:name w:val="footer"/>
    <w:basedOn w:val="Normal"/>
    <w:link w:val="PieddepageCar"/>
    <w:uiPriority w:val="99"/>
    <w:unhideWhenUsed/>
    <w:qFormat/>
    <w:pPr>
      <w:tabs>
        <w:tab w:val="center" w:pos="4536"/>
        <w:tab w:val="right" w:pos="9072"/>
      </w:tabs>
    </w:pPr>
    <w:rPr>
      <w:rFonts w:ascii="Calibri" w:eastAsia="Calibri" w:hAnsi="Calibri"/>
    </w:rPr>
  </w:style>
  <w:style w:type="paragraph" w:styleId="En-tte">
    <w:name w:val="header"/>
    <w:basedOn w:val="Normal"/>
    <w:link w:val="En-tteCar"/>
    <w:uiPriority w:val="99"/>
    <w:unhideWhenUsed/>
    <w:qFormat/>
    <w:pPr>
      <w:tabs>
        <w:tab w:val="center" w:pos="4536"/>
        <w:tab w:val="right" w:pos="9072"/>
      </w:tabs>
    </w:pPr>
    <w:rPr>
      <w:rFonts w:eastAsia="SimSun"/>
    </w:rPr>
  </w:style>
  <w:style w:type="paragraph" w:styleId="TM6">
    <w:name w:val="toc 6"/>
    <w:basedOn w:val="Normal"/>
    <w:next w:val="Normal"/>
    <w:autoRedefine/>
    <w:uiPriority w:val="39"/>
    <w:unhideWhenUsed/>
    <w:pPr>
      <w:ind w:left="1200"/>
    </w:pPr>
    <w:rPr>
      <w:rFonts w:ascii="Calibri" w:eastAsia="SimSun" w:hAnsi="Calibri" w:cs="Calibri"/>
      <w:sz w:val="20"/>
      <w:szCs w:val="20"/>
    </w:rPr>
  </w:style>
  <w:style w:type="paragraph" w:styleId="TM2">
    <w:name w:val="toc 2"/>
    <w:basedOn w:val="Normal"/>
    <w:next w:val="Normal"/>
    <w:autoRedefine/>
    <w:uiPriority w:val="39"/>
    <w:unhideWhenUsed/>
    <w:qFormat/>
    <w:pPr>
      <w:spacing w:before="120"/>
      <w:ind w:left="240"/>
    </w:pPr>
    <w:rPr>
      <w:rFonts w:ascii="Calibri" w:eastAsia="SimSun" w:hAnsi="Calibri" w:cs="Calibri"/>
      <w:b/>
      <w:bCs/>
      <w:sz w:val="22"/>
      <w:szCs w:val="22"/>
    </w:rPr>
  </w:style>
  <w:style w:type="paragraph" w:styleId="Tabledesillustrations">
    <w:name w:val="table of figures"/>
    <w:basedOn w:val="Normal"/>
    <w:next w:val="Normal"/>
    <w:uiPriority w:val="99"/>
    <w:unhideWhenUsed/>
    <w:qFormat/>
    <w:rPr>
      <w:rFonts w:eastAsia="SimSun"/>
    </w:rPr>
  </w:style>
  <w:style w:type="paragraph" w:styleId="Titre">
    <w:name w:val="Title"/>
    <w:basedOn w:val="Normal"/>
    <w:next w:val="En-tte"/>
    <w:link w:val="TitreCar"/>
    <w:uiPriority w:val="10"/>
    <w:qFormat/>
    <w:pPr>
      <w:widowControl w:val="0"/>
      <w:autoSpaceDE w:val="0"/>
      <w:autoSpaceDN w:val="0"/>
      <w:spacing w:before="81"/>
      <w:ind w:right="112"/>
      <w:jc w:val="center"/>
    </w:pPr>
    <w:rPr>
      <w:rFonts w:ascii="Arial" w:eastAsia="Carlito" w:hAnsi="Arial" w:cs="Carlito"/>
      <w:b/>
      <w:color w:val="FFFFFF"/>
      <w:sz w:val="28"/>
      <w:szCs w:val="96"/>
      <w:lang w:val="en-US" w:eastAsia="en-US"/>
    </w:rPr>
  </w:style>
  <w:style w:type="paragraph" w:styleId="TM1">
    <w:name w:val="toc 1"/>
    <w:basedOn w:val="Normal"/>
    <w:next w:val="Normal"/>
    <w:autoRedefine/>
    <w:uiPriority w:val="39"/>
    <w:unhideWhenUsed/>
    <w:pPr>
      <w:spacing w:before="120"/>
    </w:pPr>
    <w:rPr>
      <w:rFonts w:ascii="Calibri" w:eastAsia="SimSun" w:hAnsi="Calibri" w:cs="Calibri"/>
      <w:b/>
      <w:bCs/>
      <w:i/>
      <w:iCs/>
    </w:rPr>
  </w:style>
  <w:style w:type="table" w:customStyle="1" w:styleId="TableNormal1">
    <w:name w:val="Table Normal1"/>
    <w:qFormat/>
    <w:tblPr>
      <w:tblCellMar>
        <w:top w:w="0" w:type="dxa"/>
        <w:left w:w="0" w:type="dxa"/>
        <w:bottom w:w="0" w:type="dxa"/>
        <w:right w:w="0" w:type="dxa"/>
      </w:tblCellMar>
    </w:tblPr>
  </w:style>
  <w:style w:type="table" w:customStyle="1" w:styleId="TableNormal11">
    <w:name w:val="Table Normal11"/>
    <w:qFormat/>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character" w:customStyle="1" w:styleId="Titre3Car">
    <w:name w:val="Titre 3 Car"/>
    <w:link w:val="Titre3"/>
    <w:uiPriority w:val="9"/>
    <w:rPr>
      <w:rFonts w:ascii="Georgia" w:eastAsia="Times New Roman" w:hAnsi="Georgia" w:cs="Times New Roman"/>
      <w:b/>
      <w:bCs/>
      <w:color w:val="0000CC"/>
      <w:sz w:val="26"/>
      <w:szCs w:val="24"/>
      <w:lang w:eastAsia="fr-FR"/>
    </w:rPr>
  </w:style>
  <w:style w:type="character" w:customStyle="1" w:styleId="Titre5Car">
    <w:name w:val="Titre 5 Car"/>
    <w:link w:val="Titre5"/>
    <w:uiPriority w:val="9"/>
    <w:semiHidden/>
    <w:rPr>
      <w:rFonts w:ascii="Calibri Light" w:eastAsia="DengXian Light" w:hAnsi="Calibri Light" w:cs="Times New Roman"/>
      <w:color w:val="1F3864"/>
    </w:rPr>
  </w:style>
  <w:style w:type="character" w:customStyle="1" w:styleId="Titre7Car">
    <w:name w:val="Titre 7 Car"/>
    <w:link w:val="Titre7"/>
    <w:uiPriority w:val="9"/>
    <w:semiHidden/>
    <w:qFormat/>
    <w:rPr>
      <w:rFonts w:ascii="Calibri Light" w:eastAsia="DengXian Light" w:hAnsi="Calibri Light" w:cs="Times New Roman"/>
      <w:i/>
      <w:iCs/>
      <w:color w:val="000000"/>
    </w:rPr>
  </w:style>
  <w:style w:type="character" w:customStyle="1" w:styleId="TextedebullesCar">
    <w:name w:val="Texte de bulles Car"/>
    <w:link w:val="Textedebulles"/>
    <w:uiPriority w:val="99"/>
    <w:semiHidden/>
    <w:qFormat/>
    <w:rPr>
      <w:rFonts w:ascii="Tahoma" w:hAnsi="Tahoma" w:cs="Tahoma"/>
      <w:sz w:val="16"/>
      <w:szCs w:val="16"/>
    </w:rPr>
  </w:style>
  <w:style w:type="paragraph" w:styleId="Paragraphedeliste">
    <w:name w:val="List Paragraph"/>
    <w:basedOn w:val="Normal"/>
    <w:link w:val="ParagraphedelisteCar"/>
    <w:uiPriority w:val="34"/>
    <w:qFormat/>
    <w:pPr>
      <w:ind w:left="720"/>
      <w:contextualSpacing/>
    </w:pPr>
    <w:rPr>
      <w:rFonts w:eastAsia="SimSun"/>
    </w:rPr>
  </w:style>
  <w:style w:type="character" w:customStyle="1" w:styleId="Titre1Car">
    <w:name w:val="Titre 1 Car"/>
    <w:link w:val="Titre1"/>
    <w:uiPriority w:val="9"/>
    <w:qFormat/>
    <w:rPr>
      <w:rFonts w:ascii="Arial" w:eastAsia="DengXian Light" w:hAnsi="Arial" w:cs="Times New Roman"/>
      <w:b/>
      <w:bCs/>
      <w:color w:val="000000"/>
      <w:sz w:val="32"/>
      <w:szCs w:val="28"/>
      <w:shd w:val="clear" w:color="auto" w:fill="D9E2F3"/>
      <w:lang w:eastAsia="fr-FR"/>
    </w:rPr>
  </w:style>
  <w:style w:type="character" w:customStyle="1" w:styleId="Titre2Car">
    <w:name w:val="Titre 2 Car"/>
    <w:link w:val="Titre2"/>
    <w:uiPriority w:val="9"/>
    <w:qFormat/>
    <w:rPr>
      <w:rFonts w:ascii="Cambria" w:eastAsia="DengXian Light" w:hAnsi="Cambria" w:cs="Times New Roman"/>
      <w:b/>
      <w:bCs/>
      <w:color w:val="0000CC"/>
      <w:sz w:val="28"/>
      <w:szCs w:val="26"/>
      <w:lang w:eastAsia="fr-FR"/>
    </w:rPr>
  </w:style>
  <w:style w:type="character" w:customStyle="1" w:styleId="Titre6Car">
    <w:name w:val="Titre 6 Car"/>
    <w:link w:val="Titre6"/>
    <w:uiPriority w:val="9"/>
    <w:qFormat/>
    <w:rPr>
      <w:rFonts w:ascii="Calibri Light" w:eastAsia="DengXian Light" w:hAnsi="Calibri Light" w:cs="Times New Roman"/>
      <w:i/>
      <w:iCs/>
      <w:color w:val="1F3864"/>
    </w:rPr>
  </w:style>
  <w:style w:type="character" w:customStyle="1" w:styleId="ParagraphedelisteCar">
    <w:name w:val="Paragraphe de liste Car"/>
    <w:link w:val="Paragraphedeliste"/>
    <w:uiPriority w:val="34"/>
    <w:qFormat/>
    <w:locked/>
  </w:style>
  <w:style w:type="paragraph" w:customStyle="1" w:styleId="Default">
    <w:name w:val="Default"/>
    <w:link w:val="DefaultChar"/>
    <w:qFormat/>
    <w:pPr>
      <w:autoSpaceDE w:val="0"/>
      <w:autoSpaceDN w:val="0"/>
      <w:adjustRightInd w:val="0"/>
    </w:pPr>
    <w:rPr>
      <w:rFonts w:ascii="Book Antiqua" w:eastAsia="Calibri" w:hAnsi="Book Antiqua" w:cs="Book Antiqua"/>
      <w:color w:val="000000"/>
      <w:sz w:val="24"/>
      <w:szCs w:val="24"/>
    </w:rPr>
  </w:style>
  <w:style w:type="character" w:customStyle="1" w:styleId="DefaultChar">
    <w:name w:val="Default Char"/>
    <w:link w:val="Default"/>
    <w:qFormat/>
    <w:rPr>
      <w:rFonts w:ascii="Book Antiqua" w:eastAsia="Calibri" w:hAnsi="Book Antiqua" w:cs="Book Antiqua"/>
      <w:color w:val="000000"/>
      <w:sz w:val="24"/>
      <w:szCs w:val="24"/>
    </w:rPr>
  </w:style>
  <w:style w:type="character" w:customStyle="1" w:styleId="CorpsdetexteCar">
    <w:name w:val="Corps de texte Car"/>
    <w:link w:val="Corpsdetexte"/>
    <w:uiPriority w:val="1"/>
    <w:qFormat/>
    <w:rPr>
      <w:rFonts w:ascii="Calibri" w:eastAsia="Calibri" w:hAnsi="Calibri" w:cs="Times New Roman"/>
      <w:sz w:val="24"/>
      <w:szCs w:val="24"/>
      <w:lang w:eastAsia="fr-FR"/>
    </w:rPr>
  </w:style>
  <w:style w:type="character" w:customStyle="1" w:styleId="PieddepageCar">
    <w:name w:val="Pied de page Car"/>
    <w:link w:val="Pieddepage"/>
    <w:uiPriority w:val="99"/>
    <w:rPr>
      <w:rFonts w:ascii="Calibri" w:eastAsia="Calibri" w:hAnsi="Calibri" w:cs="Times New Roman"/>
    </w:rPr>
  </w:style>
  <w:style w:type="table" w:styleId="Grilledutableau">
    <w:name w:val="Table Grid"/>
    <w:basedOn w:val="Tableau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aireCar">
    <w:name w:val="Commentaire Car"/>
    <w:link w:val="Commentaire"/>
    <w:uiPriority w:val="99"/>
    <w:qFormat/>
    <w:rPr>
      <w:rFonts w:ascii="Calibri" w:eastAsia="Calibri" w:hAnsi="Calibri" w:cs="Times New Roman"/>
      <w:sz w:val="20"/>
      <w:szCs w:val="20"/>
    </w:rPr>
  </w:style>
  <w:style w:type="paragraph" w:customStyle="1" w:styleId="TOCHeading1">
    <w:name w:val="TOC Heading1"/>
    <w:basedOn w:val="Titre1"/>
    <w:next w:val="Normal"/>
    <w:autoRedefine/>
    <w:uiPriority w:val="39"/>
    <w:unhideWhenUsed/>
    <w:qFormat/>
    <w:pPr>
      <w:shd w:val="clear" w:color="auto" w:fill="auto"/>
      <w:spacing w:line="276" w:lineRule="auto"/>
      <w:outlineLvl w:val="9"/>
    </w:pPr>
  </w:style>
  <w:style w:type="character" w:customStyle="1" w:styleId="En-tteCar">
    <w:name w:val="En-tête Car"/>
    <w:basedOn w:val="Policepardfaut"/>
    <w:link w:val="En-tte"/>
    <w:uiPriority w:val="99"/>
  </w:style>
  <w:style w:type="character" w:customStyle="1" w:styleId="NotedebasdepageCar">
    <w:name w:val="Note de bas de page Car"/>
    <w:link w:val="Notedebasdepage"/>
    <w:uiPriority w:val="99"/>
    <w:qFormat/>
    <w:rPr>
      <w:rFonts w:ascii="Calibri" w:eastAsia="Calibri" w:hAnsi="Calibri" w:cs="Times New Roman"/>
      <w:sz w:val="20"/>
      <w:szCs w:val="20"/>
    </w:rPr>
  </w:style>
  <w:style w:type="table" w:customStyle="1" w:styleId="ListTable3-Accent41">
    <w:name w:val="List Table 3 - Accent 41"/>
    <w:basedOn w:val="TableauNormal"/>
    <w:uiPriority w:val="48"/>
    <w:qFormat/>
    <w:tblPr>
      <w:tblBorders>
        <w:top w:val="single" w:sz="4" w:space="0" w:color="FFC000"/>
        <w:left w:val="single" w:sz="4" w:space="0" w:color="FFC000"/>
        <w:bottom w:val="single" w:sz="4" w:space="0" w:color="FFC000"/>
        <w:right w:val="single" w:sz="4" w:space="0" w:color="FFC000"/>
      </w:tblBorders>
    </w:tblPr>
    <w:tblStylePr w:type="firstRow">
      <w:rPr>
        <w:b/>
        <w:bCs/>
        <w:color w:val="FFFFFF"/>
      </w:rPr>
      <w:tblPr/>
      <w:tcPr>
        <w:shd w:val="clear" w:color="auto" w:fill="FFC000"/>
      </w:tcPr>
    </w:tblStylePr>
    <w:tblStylePr w:type="lastRow">
      <w:rPr>
        <w:b/>
        <w:bCs/>
      </w:rPr>
      <w:tblPr/>
      <w:tcPr>
        <w:tcBorders>
          <w:top w:val="double" w:sz="4" w:space="0" w:color="FFC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FC000"/>
          <w:right w:val="single" w:sz="4" w:space="0" w:color="FFC000"/>
        </w:tcBorders>
      </w:tcPr>
    </w:tblStylePr>
    <w:tblStylePr w:type="band1Horz">
      <w:tblPr/>
      <w:tcPr>
        <w:tcBorders>
          <w:top w:val="single" w:sz="4" w:space="0" w:color="FFC000"/>
          <w:bottom w:val="single" w:sz="4" w:space="0" w:color="FFC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left w:val="nil"/>
        </w:tcBorders>
      </w:tcPr>
    </w:tblStylePr>
    <w:tblStylePr w:type="swCell">
      <w:tblPr/>
      <w:tcPr>
        <w:tcBorders>
          <w:top w:val="double" w:sz="4" w:space="0" w:color="FFC000"/>
          <w:right w:val="nil"/>
        </w:tcBorders>
      </w:tcPr>
    </w:tblStylePr>
  </w:style>
  <w:style w:type="table" w:customStyle="1" w:styleId="GridTable4-Accent11">
    <w:name w:val="Grid Table 4 - Accent 11"/>
    <w:basedOn w:val="TableauNormal"/>
    <w:uiPriority w:val="49"/>
    <w:tblP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character" w:customStyle="1" w:styleId="ObjetducommentaireCar">
    <w:name w:val="Objet du commentaire Car"/>
    <w:link w:val="Objetducommentaire"/>
    <w:uiPriority w:val="99"/>
    <w:semiHidden/>
    <w:qFormat/>
    <w:rPr>
      <w:rFonts w:ascii="Calibri" w:eastAsia="Calibri" w:hAnsi="Calibri" w:cs="Times New Roman"/>
      <w:b/>
      <w:bCs/>
      <w:sz w:val="20"/>
      <w:szCs w:val="20"/>
    </w:rPr>
  </w:style>
  <w:style w:type="character" w:customStyle="1" w:styleId="fontstyle01">
    <w:name w:val="fontstyle01"/>
    <w:uiPriority w:val="1"/>
    <w:qFormat/>
    <w:rPr>
      <w:rFonts w:ascii="Garamond" w:hAnsi="Garamond" w:hint="default"/>
      <w:color w:val="000000"/>
      <w:sz w:val="24"/>
      <w:szCs w:val="24"/>
    </w:rPr>
  </w:style>
  <w:style w:type="character" w:customStyle="1" w:styleId="style6">
    <w:name w:val="style6"/>
    <w:basedOn w:val="Policepardfaut"/>
    <w:qFormat/>
  </w:style>
  <w:style w:type="table" w:customStyle="1" w:styleId="GridTable5Dark-Accent51">
    <w:name w:val="Grid Table 5 Dark - Accent 51"/>
    <w:basedOn w:val="TableauNormal"/>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character" w:customStyle="1" w:styleId="apple-converted-space">
    <w:name w:val="apple-converted-space"/>
    <w:basedOn w:val="Policepardfaut"/>
  </w:style>
  <w:style w:type="paragraph" w:customStyle="1" w:styleId="Style2">
    <w:name w:val="Style2"/>
    <w:basedOn w:val="Titre3"/>
    <w:link w:val="Style2Car"/>
    <w:qFormat/>
    <w:rPr>
      <w:rFonts w:ascii="Cambria" w:eastAsia="DengXian Light" w:hAnsi="Cambria"/>
      <w:bCs w:val="0"/>
    </w:rPr>
  </w:style>
  <w:style w:type="character" w:customStyle="1" w:styleId="Style2Car">
    <w:name w:val="Style2 Car"/>
    <w:link w:val="Style2"/>
    <w:rPr>
      <w:rFonts w:ascii="Cambria" w:eastAsia="DengXian Light" w:hAnsi="Cambria" w:cs="Times New Roman"/>
      <w:b/>
      <w:color w:val="0000CC"/>
      <w:sz w:val="26"/>
      <w:szCs w:val="24"/>
      <w:lang w:eastAsia="fr-FR"/>
    </w:rPr>
  </w:style>
  <w:style w:type="character" w:customStyle="1" w:styleId="Titre4Car">
    <w:name w:val="Titre 4 Car"/>
    <w:link w:val="Titre4"/>
    <w:rPr>
      <w:rFonts w:ascii="Cambria" w:eastAsia="DengXian Light" w:hAnsi="Cambria" w:cs="Times New Roman"/>
      <w:b/>
      <w:i/>
      <w:iCs/>
      <w:color w:val="0000CC"/>
      <w:sz w:val="24"/>
      <w:szCs w:val="24"/>
      <w:lang w:eastAsia="fr-FR"/>
    </w:rPr>
  </w:style>
  <w:style w:type="character" w:customStyle="1" w:styleId="Titre8Car">
    <w:name w:val="Titre 8 Car"/>
    <w:link w:val="Titre8"/>
    <w:uiPriority w:val="9"/>
    <w:semiHidden/>
    <w:rPr>
      <w:rFonts w:ascii="Calibri Light" w:eastAsia="DengXian Light" w:hAnsi="Calibri Light" w:cs="Times New Roman"/>
      <w:color w:val="000000"/>
      <w:sz w:val="21"/>
      <w:szCs w:val="21"/>
    </w:rPr>
  </w:style>
  <w:style w:type="character" w:customStyle="1" w:styleId="Titre9Car">
    <w:name w:val="Titre 9 Car"/>
    <w:link w:val="Titre9"/>
    <w:uiPriority w:val="9"/>
    <w:semiHidden/>
    <w:rPr>
      <w:rFonts w:ascii="Calibri Light" w:eastAsia="DengXian Light" w:hAnsi="Calibri Light" w:cs="Times New Roman"/>
      <w:i/>
      <w:iCs/>
      <w:color w:val="000000"/>
      <w:sz w:val="21"/>
      <w:szCs w:val="21"/>
    </w:rPr>
  </w:style>
  <w:style w:type="character" w:customStyle="1" w:styleId="Style1Car">
    <w:name w:val="Style1 Car"/>
    <w:uiPriority w:val="1"/>
    <w:rPr>
      <w:rFonts w:ascii="Times New Roman" w:eastAsia="DengXian Light" w:hAnsi="Times New Roman" w:cs="Times New Roman"/>
      <w:b/>
      <w:bCs/>
      <w:color w:val="2F5496"/>
      <w:sz w:val="28"/>
      <w:szCs w:val="28"/>
      <w:shd w:val="clear" w:color="auto" w:fill="D9E2F3"/>
      <w:lang w:eastAsia="fr-FR"/>
    </w:rPr>
  </w:style>
  <w:style w:type="character" w:customStyle="1" w:styleId="PrformatHTMLCar">
    <w:name w:val="Préformaté HTML Car"/>
    <w:link w:val="PrformatHTML"/>
    <w:uiPriority w:val="99"/>
    <w:semiHidden/>
    <w:rPr>
      <w:rFonts w:ascii="Courier New" w:eastAsia="Times New Roman" w:hAnsi="Courier New" w:cs="Courier New"/>
      <w:sz w:val="20"/>
      <w:szCs w:val="20"/>
      <w:lang w:val="en-US" w:eastAsia="zh-CN"/>
    </w:rPr>
  </w:style>
  <w:style w:type="paragraph" w:customStyle="1" w:styleId="paragraph">
    <w:name w:val="paragraph"/>
    <w:basedOn w:val="Normal"/>
    <w:link w:val="paragraphCar"/>
    <w:pPr>
      <w:spacing w:before="100" w:beforeAutospacing="1" w:after="100" w:afterAutospacing="1"/>
    </w:pPr>
    <w:rPr>
      <w:rFonts w:eastAsia="SimSun"/>
      <w:lang w:val="en-US" w:eastAsia="zh-CN"/>
    </w:rPr>
  </w:style>
  <w:style w:type="character" w:customStyle="1" w:styleId="normaltextrun">
    <w:name w:val="normaltextrun"/>
    <w:basedOn w:val="Policepardfaut"/>
    <w:uiPriority w:val="1"/>
  </w:style>
  <w:style w:type="character" w:customStyle="1" w:styleId="TextebrutCar">
    <w:name w:val="Texte brut Car"/>
    <w:link w:val="Textebrut"/>
    <w:rPr>
      <w:rFonts w:ascii="Courier New" w:eastAsia="Times New Roman" w:hAnsi="Courier New" w:cs="Times New Roman"/>
      <w:sz w:val="20"/>
      <w:szCs w:val="20"/>
      <w:lang w:eastAsia="fr-FR"/>
    </w:rPr>
  </w:style>
  <w:style w:type="character" w:customStyle="1" w:styleId="A6">
    <w:name w:val="A6"/>
    <w:uiPriority w:val="99"/>
    <w:rPr>
      <w:rFonts w:cs="RotisSerif"/>
      <w:color w:val="000000"/>
      <w:sz w:val="19"/>
      <w:szCs w:val="19"/>
    </w:rPr>
  </w:style>
  <w:style w:type="paragraph" w:customStyle="1" w:styleId="Numberednormal">
    <w:name w:val="Numbered normal"/>
    <w:basedOn w:val="Normal"/>
    <w:link w:val="NumberednormalChar"/>
    <w:uiPriority w:val="1"/>
    <w:qFormat/>
    <w:pPr>
      <w:numPr>
        <w:numId w:val="1"/>
      </w:numPr>
      <w:spacing w:before="120" w:after="120"/>
      <w:jc w:val="both"/>
    </w:pPr>
    <w:rPr>
      <w:rFonts w:ascii="Calibri" w:eastAsia="SimSun" w:hAnsi="Calibri"/>
    </w:rPr>
  </w:style>
  <w:style w:type="character" w:customStyle="1" w:styleId="NumberednormalChar">
    <w:name w:val="Numbered normal Char"/>
    <w:link w:val="Numberednormal"/>
    <w:uiPriority w:val="1"/>
    <w:rPr>
      <w:rFonts w:ascii="Calibri" w:hAnsi="Calibri"/>
      <w:sz w:val="24"/>
      <w:szCs w:val="24"/>
      <w:lang w:val="fr-FR" w:eastAsia="fr-FR"/>
    </w:rPr>
  </w:style>
  <w:style w:type="paragraph" w:customStyle="1" w:styleId="Char2">
    <w:name w:val="Char2"/>
    <w:basedOn w:val="Normal"/>
    <w:uiPriority w:val="99"/>
    <w:pPr>
      <w:spacing w:line="240" w:lineRule="exact"/>
      <w:jc w:val="both"/>
    </w:pPr>
    <w:rPr>
      <w:rFonts w:eastAsia="SimSun"/>
      <w:vertAlign w:val="superscript"/>
    </w:rPr>
  </w:style>
  <w:style w:type="table" w:customStyle="1" w:styleId="TableGrid1">
    <w:name w:val="Table Grid1"/>
    <w:basedOn w:val="Tableau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vision1">
    <w:name w:val="Revision1"/>
    <w:hidden/>
    <w:uiPriority w:val="99"/>
    <w:semiHidden/>
    <w:rPr>
      <w:sz w:val="24"/>
      <w:szCs w:val="24"/>
    </w:rPr>
  </w:style>
  <w:style w:type="character" w:customStyle="1" w:styleId="dyjrff">
    <w:name w:val="dyjrff"/>
    <w:basedOn w:val="Policepardfaut"/>
    <w:uiPriority w:val="1"/>
  </w:style>
  <w:style w:type="character" w:customStyle="1" w:styleId="TitreCar">
    <w:name w:val="Titre Car"/>
    <w:link w:val="Titre"/>
    <w:uiPriority w:val="10"/>
    <w:rPr>
      <w:rFonts w:ascii="Arial" w:eastAsia="Carlito" w:hAnsi="Arial" w:cs="Carlito"/>
      <w:b/>
      <w:color w:val="FFFFFF"/>
      <w:sz w:val="28"/>
      <w:szCs w:val="96"/>
      <w:lang w:val="en-US"/>
    </w:rPr>
  </w:style>
  <w:style w:type="table" w:customStyle="1" w:styleId="GridTable3-Accent11">
    <w:name w:val="Grid Table 3 - Accent 11"/>
    <w:basedOn w:val="TableauNormal"/>
    <w:uiPriority w:val="48"/>
    <w:qFormat/>
    <w:tblP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paragraph" w:styleId="Citation">
    <w:name w:val="Quote"/>
    <w:basedOn w:val="Normal"/>
    <w:next w:val="Normal"/>
    <w:link w:val="CitationCar"/>
    <w:uiPriority w:val="29"/>
    <w:qFormat/>
    <w:pPr>
      <w:ind w:left="862" w:right="862"/>
      <w:jc w:val="center"/>
    </w:pPr>
    <w:rPr>
      <w:rFonts w:ascii="Cambria" w:eastAsia="SimSun" w:hAnsi="Cambria"/>
      <w:b/>
      <w:iCs/>
      <w:color w:val="0000CC"/>
    </w:rPr>
  </w:style>
  <w:style w:type="character" w:customStyle="1" w:styleId="CitationCar">
    <w:name w:val="Citation Car"/>
    <w:link w:val="Citation"/>
    <w:uiPriority w:val="29"/>
    <w:rPr>
      <w:rFonts w:ascii="Cambria" w:eastAsia="Times New Roman" w:hAnsi="Cambria" w:cs="Times New Roman"/>
      <w:b/>
      <w:iCs/>
      <w:color w:val="0000CC"/>
      <w:sz w:val="24"/>
      <w:szCs w:val="24"/>
      <w:lang w:eastAsia="fr-FR"/>
    </w:rPr>
  </w:style>
  <w:style w:type="table" w:customStyle="1" w:styleId="GridTable5Dark-Accent11">
    <w:name w:val="Grid Table 5 Dark - Accent 11"/>
    <w:basedOn w:val="TableauNormal"/>
    <w:uiPriority w:val="50"/>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IntenseReference1">
    <w:name w:val="Intense Reference1"/>
    <w:qFormat/>
    <w:rPr>
      <w:rFonts w:ascii="Cambria" w:hAnsi="Cambria"/>
      <w:b/>
      <w:bCs/>
      <w:color w:val="0070C0"/>
      <w:spacing w:val="5"/>
      <w:sz w:val="24"/>
    </w:rPr>
  </w:style>
  <w:style w:type="paragraph" w:customStyle="1" w:styleId="msonormal0">
    <w:name w:val="msonormal"/>
    <w:basedOn w:val="Normal"/>
    <w:pPr>
      <w:spacing w:before="100" w:beforeAutospacing="1" w:after="100" w:afterAutospacing="1"/>
    </w:pPr>
    <w:rPr>
      <w:rFonts w:eastAsia="SimSun"/>
    </w:rPr>
  </w:style>
  <w:style w:type="paragraph" w:customStyle="1" w:styleId="font5">
    <w:name w:val="font5"/>
    <w:basedOn w:val="Normal"/>
    <w:pPr>
      <w:spacing w:before="100" w:beforeAutospacing="1" w:after="100" w:afterAutospacing="1"/>
    </w:pPr>
    <w:rPr>
      <w:rFonts w:ascii="Castellar" w:eastAsia="SimSun" w:hAnsi="Castellar"/>
      <w:b/>
      <w:bCs/>
      <w:color w:val="000000"/>
      <w:sz w:val="20"/>
      <w:szCs w:val="20"/>
    </w:rPr>
  </w:style>
  <w:style w:type="paragraph" w:customStyle="1" w:styleId="font6">
    <w:name w:val="font6"/>
    <w:basedOn w:val="Normal"/>
    <w:qFormat/>
    <w:pPr>
      <w:spacing w:before="100" w:beforeAutospacing="1" w:after="100" w:afterAutospacing="1"/>
    </w:pPr>
    <w:rPr>
      <w:rFonts w:ascii="Castellar" w:eastAsia="SimSun" w:hAnsi="Castellar"/>
      <w:b/>
      <w:bCs/>
      <w:color w:val="000000"/>
      <w:sz w:val="20"/>
      <w:szCs w:val="20"/>
    </w:rPr>
  </w:style>
  <w:style w:type="paragraph" w:customStyle="1" w:styleId="xl66">
    <w:name w:val="xl66"/>
    <w:basedOn w:val="Normal"/>
    <w:semiHidden/>
    <w:pPr>
      <w:spacing w:before="100" w:beforeAutospacing="1" w:after="100" w:afterAutospacing="1"/>
    </w:pPr>
    <w:rPr>
      <w:rFonts w:eastAsia="SimSun"/>
    </w:rPr>
  </w:style>
  <w:style w:type="paragraph" w:customStyle="1" w:styleId="xl67">
    <w:name w:val="xl67"/>
    <w:basedOn w:val="Normal"/>
    <w:semiHidden/>
    <w:pPr>
      <w:spacing w:before="100" w:beforeAutospacing="1" w:after="100" w:afterAutospacing="1"/>
      <w:textAlignment w:val="top"/>
    </w:pPr>
    <w:rPr>
      <w:rFonts w:eastAsia="SimSun"/>
    </w:rPr>
  </w:style>
  <w:style w:type="paragraph" w:customStyle="1" w:styleId="xl68">
    <w:name w:val="xl68"/>
    <w:basedOn w:val="Normal"/>
    <w:semiHidden/>
    <w:qFormat/>
    <w:pPr>
      <w:spacing w:before="100" w:beforeAutospacing="1" w:after="100" w:afterAutospacing="1"/>
      <w:textAlignment w:val="top"/>
    </w:pPr>
    <w:rPr>
      <w:rFonts w:eastAsia="SimSun"/>
    </w:rPr>
  </w:style>
  <w:style w:type="paragraph" w:customStyle="1" w:styleId="xl69">
    <w:name w:val="xl69"/>
    <w:basedOn w:val="Normal"/>
    <w:semiHidden/>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pPr>
    <w:rPr>
      <w:rFonts w:eastAsia="SimSun"/>
    </w:rPr>
  </w:style>
  <w:style w:type="paragraph" w:customStyle="1" w:styleId="xl70">
    <w:name w:val="xl70"/>
    <w:basedOn w:val="Normal"/>
    <w:semiHidden/>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pPr>
    <w:rPr>
      <w:rFonts w:eastAsia="SimSun"/>
    </w:rPr>
  </w:style>
  <w:style w:type="paragraph" w:customStyle="1" w:styleId="xl71">
    <w:name w:val="xl71"/>
    <w:basedOn w:val="Normal"/>
    <w:semiHidden/>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eastAsia="SimSun"/>
      <w:color w:val="FF0000"/>
    </w:rPr>
  </w:style>
  <w:style w:type="paragraph" w:customStyle="1" w:styleId="xl72">
    <w:name w:val="xl72"/>
    <w:basedOn w:val="Normal"/>
    <w:semiHidden/>
    <w:pPr>
      <w:pBdr>
        <w:top w:val="single" w:sz="4" w:space="0" w:color="auto"/>
        <w:left w:val="single" w:sz="4" w:space="0" w:color="auto"/>
        <w:bottom w:val="single" w:sz="4" w:space="0" w:color="auto"/>
        <w:right w:val="single" w:sz="4" w:space="0" w:color="auto"/>
      </w:pBdr>
      <w:shd w:val="clear" w:color="000000" w:fill="D6DCE4"/>
      <w:spacing w:before="100" w:beforeAutospacing="1" w:after="100" w:afterAutospacing="1"/>
    </w:pPr>
    <w:rPr>
      <w:rFonts w:eastAsia="SimSun"/>
    </w:rPr>
  </w:style>
  <w:style w:type="paragraph" w:customStyle="1" w:styleId="xl73">
    <w:name w:val="xl73"/>
    <w:basedOn w:val="Normal"/>
    <w:semiHidden/>
    <w:pPr>
      <w:pBdr>
        <w:top w:val="single" w:sz="4" w:space="0" w:color="auto"/>
        <w:left w:val="single" w:sz="4" w:space="0" w:color="auto"/>
        <w:bottom w:val="single" w:sz="4" w:space="0" w:color="auto"/>
        <w:right w:val="single" w:sz="4" w:space="0" w:color="auto"/>
      </w:pBdr>
      <w:shd w:val="clear" w:color="000000" w:fill="FFD966"/>
      <w:spacing w:before="100" w:beforeAutospacing="1" w:after="100" w:afterAutospacing="1"/>
    </w:pPr>
    <w:rPr>
      <w:rFonts w:eastAsia="SimSun"/>
    </w:rPr>
  </w:style>
  <w:style w:type="paragraph" w:customStyle="1" w:styleId="xl74">
    <w:name w:val="xl74"/>
    <w:basedOn w:val="Normal"/>
    <w:semiHidden/>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pPr>
    <w:rPr>
      <w:rFonts w:eastAsia="SimSun"/>
    </w:rPr>
  </w:style>
  <w:style w:type="paragraph" w:customStyle="1" w:styleId="xl75">
    <w:name w:val="xl75"/>
    <w:basedOn w:val="Normal"/>
    <w:semiHidden/>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textAlignment w:val="center"/>
    </w:pPr>
    <w:rPr>
      <w:rFonts w:eastAsia="SimSun"/>
    </w:rPr>
  </w:style>
  <w:style w:type="paragraph" w:customStyle="1" w:styleId="xl76">
    <w:name w:val="xl76"/>
    <w:basedOn w:val="Normal"/>
    <w:semiHidden/>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eastAsia="SimSun"/>
    </w:rPr>
  </w:style>
  <w:style w:type="paragraph" w:customStyle="1" w:styleId="xl77">
    <w:name w:val="xl77"/>
    <w:basedOn w:val="Normal"/>
    <w:semiHidden/>
    <w:pPr>
      <w:pBdr>
        <w:top w:val="single" w:sz="4" w:space="0" w:color="auto"/>
        <w:left w:val="single" w:sz="4" w:space="0" w:color="auto"/>
        <w:bottom w:val="single" w:sz="4" w:space="0" w:color="auto"/>
        <w:right w:val="single" w:sz="4" w:space="0" w:color="auto"/>
      </w:pBdr>
      <w:shd w:val="clear" w:color="000000" w:fill="D6DCE4"/>
      <w:spacing w:before="100" w:beforeAutospacing="1" w:after="100" w:afterAutospacing="1"/>
      <w:textAlignment w:val="center"/>
    </w:pPr>
    <w:rPr>
      <w:rFonts w:eastAsia="SimSun"/>
    </w:rPr>
  </w:style>
  <w:style w:type="paragraph" w:customStyle="1" w:styleId="xl78">
    <w:name w:val="xl78"/>
    <w:basedOn w:val="Normal"/>
    <w:semiHidden/>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rFonts w:eastAsia="SimSun"/>
    </w:rPr>
  </w:style>
  <w:style w:type="paragraph" w:customStyle="1" w:styleId="xl79">
    <w:name w:val="xl79"/>
    <w:basedOn w:val="Normal"/>
    <w:semiHidden/>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center"/>
    </w:pPr>
    <w:rPr>
      <w:rFonts w:eastAsia="SimSun"/>
    </w:rPr>
  </w:style>
  <w:style w:type="paragraph" w:customStyle="1" w:styleId="xl80">
    <w:name w:val="xl80"/>
    <w:basedOn w:val="Normal"/>
    <w:semiHidden/>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eastAsia="SimSun"/>
    </w:rPr>
  </w:style>
  <w:style w:type="paragraph" w:customStyle="1" w:styleId="xl81">
    <w:name w:val="xl81"/>
    <w:basedOn w:val="Normal"/>
    <w:semiHidden/>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eastAsia="SimSun"/>
    </w:rPr>
  </w:style>
  <w:style w:type="paragraph" w:customStyle="1" w:styleId="xl82">
    <w:name w:val="xl82"/>
    <w:basedOn w:val="Normal"/>
    <w:semiHidden/>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textAlignment w:val="center"/>
    </w:pPr>
    <w:rPr>
      <w:rFonts w:eastAsia="SimSun"/>
      <w:color w:val="FF0000"/>
    </w:rPr>
  </w:style>
  <w:style w:type="paragraph" w:customStyle="1" w:styleId="xl83">
    <w:name w:val="xl83"/>
    <w:basedOn w:val="Normal"/>
    <w:semiHidden/>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eastAsia="SimSun"/>
    </w:rPr>
  </w:style>
  <w:style w:type="paragraph" w:customStyle="1" w:styleId="xl84">
    <w:name w:val="xl84"/>
    <w:basedOn w:val="Normal"/>
    <w:semiHidden/>
    <w:pPr>
      <w:pBdr>
        <w:top w:val="single" w:sz="4" w:space="0" w:color="auto"/>
        <w:left w:val="single" w:sz="4" w:space="0" w:color="auto"/>
        <w:bottom w:val="single" w:sz="4" w:space="0" w:color="auto"/>
        <w:right w:val="single" w:sz="4" w:space="0" w:color="auto"/>
      </w:pBdr>
      <w:shd w:val="clear" w:color="000000" w:fill="DBDBDB"/>
      <w:spacing w:before="100" w:beforeAutospacing="1" w:after="100" w:afterAutospacing="1"/>
      <w:textAlignment w:val="center"/>
    </w:pPr>
    <w:rPr>
      <w:rFonts w:eastAsia="SimSun"/>
    </w:rPr>
  </w:style>
  <w:style w:type="paragraph" w:customStyle="1" w:styleId="xl85">
    <w:name w:val="xl85"/>
    <w:basedOn w:val="Normal"/>
    <w:semiHidden/>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pPr>
    <w:rPr>
      <w:rFonts w:eastAsia="SimSun"/>
    </w:rPr>
  </w:style>
  <w:style w:type="paragraph" w:customStyle="1" w:styleId="xl86">
    <w:name w:val="xl86"/>
    <w:basedOn w:val="Normal"/>
    <w:semiHidden/>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pPr>
    <w:rPr>
      <w:rFonts w:eastAsia="SimSun"/>
    </w:rPr>
  </w:style>
  <w:style w:type="paragraph" w:customStyle="1" w:styleId="xl87">
    <w:name w:val="xl87"/>
    <w:basedOn w:val="Normal"/>
    <w:semiHidden/>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pPr>
    <w:rPr>
      <w:rFonts w:eastAsia="SimSun"/>
    </w:rPr>
  </w:style>
  <w:style w:type="paragraph" w:customStyle="1" w:styleId="xl88">
    <w:name w:val="xl88"/>
    <w:basedOn w:val="Normal"/>
    <w:semiHidden/>
    <w:qFormat/>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pPr>
    <w:rPr>
      <w:rFonts w:eastAsia="SimSun"/>
    </w:rPr>
  </w:style>
  <w:style w:type="paragraph" w:customStyle="1" w:styleId="xl89">
    <w:name w:val="xl89"/>
    <w:basedOn w:val="Normal"/>
    <w:semiHidden/>
    <w:pPr>
      <w:spacing w:before="100" w:beforeAutospacing="1" w:after="100" w:afterAutospacing="1"/>
      <w:jc w:val="center"/>
      <w:textAlignment w:val="center"/>
    </w:pPr>
    <w:rPr>
      <w:rFonts w:eastAsia="SimSun"/>
    </w:rPr>
  </w:style>
  <w:style w:type="paragraph" w:customStyle="1" w:styleId="xl90">
    <w:name w:val="xl90"/>
    <w:basedOn w:val="Normal"/>
    <w:semiHidden/>
    <w:pPr>
      <w:pBdr>
        <w:top w:val="single" w:sz="8" w:space="0" w:color="auto"/>
        <w:left w:val="single" w:sz="8" w:space="0" w:color="auto"/>
        <w:bottom w:val="single" w:sz="8" w:space="0" w:color="auto"/>
        <w:right w:val="single" w:sz="8" w:space="0" w:color="auto"/>
      </w:pBdr>
      <w:shd w:val="clear" w:color="000000" w:fill="00B0F0"/>
      <w:spacing w:before="100" w:beforeAutospacing="1" w:after="100" w:afterAutospacing="1"/>
      <w:jc w:val="center"/>
      <w:textAlignment w:val="center"/>
    </w:pPr>
    <w:rPr>
      <w:rFonts w:ascii="Castellar" w:eastAsia="SimSun" w:hAnsi="Castellar"/>
      <w:b/>
      <w:bCs/>
      <w:sz w:val="20"/>
      <w:szCs w:val="20"/>
    </w:rPr>
  </w:style>
  <w:style w:type="paragraph" w:customStyle="1" w:styleId="xl91">
    <w:name w:val="xl91"/>
    <w:basedOn w:val="Normal"/>
    <w:semiHidden/>
    <w:pPr>
      <w:pBdr>
        <w:top w:val="single" w:sz="8" w:space="0" w:color="auto"/>
        <w:bottom w:val="single" w:sz="8" w:space="0" w:color="auto"/>
        <w:right w:val="single" w:sz="8" w:space="0" w:color="auto"/>
      </w:pBdr>
      <w:shd w:val="clear" w:color="000000" w:fill="00B0F0"/>
      <w:spacing w:before="100" w:beforeAutospacing="1" w:after="100" w:afterAutospacing="1"/>
      <w:jc w:val="center"/>
      <w:textAlignment w:val="top"/>
    </w:pPr>
    <w:rPr>
      <w:rFonts w:ascii="Castellar" w:eastAsia="SimSun" w:hAnsi="Castellar"/>
      <w:b/>
      <w:bCs/>
      <w:color w:val="000000"/>
      <w:sz w:val="20"/>
      <w:szCs w:val="20"/>
    </w:rPr>
  </w:style>
  <w:style w:type="paragraph" w:customStyle="1" w:styleId="xl92">
    <w:name w:val="xl92"/>
    <w:basedOn w:val="Normal"/>
    <w:semiHidden/>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rFonts w:ascii="Castellar" w:eastAsia="SimSun" w:hAnsi="Castellar"/>
      <w:b/>
      <w:bCs/>
      <w:color w:val="000000"/>
      <w:sz w:val="20"/>
      <w:szCs w:val="20"/>
    </w:rPr>
  </w:style>
  <w:style w:type="paragraph" w:customStyle="1" w:styleId="xl93">
    <w:name w:val="xl93"/>
    <w:basedOn w:val="Normal"/>
    <w:semiHidden/>
    <w:pPr>
      <w:pBdr>
        <w:top w:val="single" w:sz="8" w:space="0" w:color="auto"/>
        <w:bottom w:val="single" w:sz="8" w:space="0" w:color="auto"/>
        <w:right w:val="single" w:sz="8" w:space="0" w:color="auto"/>
      </w:pBdr>
      <w:shd w:val="clear" w:color="000000" w:fill="00B0F0"/>
      <w:spacing w:before="100" w:beforeAutospacing="1" w:after="100" w:afterAutospacing="1"/>
      <w:jc w:val="center"/>
      <w:textAlignment w:val="top"/>
    </w:pPr>
    <w:rPr>
      <w:rFonts w:ascii="Castellar" w:eastAsia="SimSun" w:hAnsi="Castellar"/>
      <w:b/>
      <w:bCs/>
      <w:sz w:val="20"/>
      <w:szCs w:val="20"/>
    </w:rPr>
  </w:style>
  <w:style w:type="paragraph" w:customStyle="1" w:styleId="xl94">
    <w:name w:val="xl94"/>
    <w:basedOn w:val="Normal"/>
    <w:semiHidden/>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textAlignment w:val="top"/>
    </w:pPr>
    <w:rPr>
      <w:rFonts w:ascii="Castellar" w:eastAsia="SimSun" w:hAnsi="Castellar"/>
      <w:b/>
      <w:bCs/>
      <w:sz w:val="20"/>
      <w:szCs w:val="20"/>
    </w:rPr>
  </w:style>
  <w:style w:type="paragraph" w:customStyle="1" w:styleId="xl95">
    <w:name w:val="xl95"/>
    <w:basedOn w:val="Normal"/>
    <w:semiHidden/>
    <w:pPr>
      <w:pBdr>
        <w:bottom w:val="single" w:sz="8" w:space="0" w:color="auto"/>
        <w:right w:val="single" w:sz="8" w:space="0" w:color="auto"/>
      </w:pBdr>
      <w:shd w:val="clear" w:color="000000" w:fill="FFFF00"/>
      <w:spacing w:before="100" w:beforeAutospacing="1" w:after="100" w:afterAutospacing="1"/>
      <w:jc w:val="center"/>
      <w:textAlignment w:val="center"/>
    </w:pPr>
    <w:rPr>
      <w:rFonts w:eastAsia="SimSun"/>
    </w:rPr>
  </w:style>
  <w:style w:type="paragraph" w:customStyle="1" w:styleId="xl96">
    <w:name w:val="xl96"/>
    <w:basedOn w:val="Normal"/>
    <w:semiHidden/>
    <w:pPr>
      <w:pBdr>
        <w:bottom w:val="single" w:sz="8" w:space="0" w:color="auto"/>
        <w:right w:val="single" w:sz="8" w:space="0" w:color="auto"/>
      </w:pBdr>
      <w:shd w:val="clear" w:color="000000" w:fill="FFFF00"/>
      <w:spacing w:before="100" w:beforeAutospacing="1" w:after="100" w:afterAutospacing="1"/>
      <w:jc w:val="center"/>
      <w:textAlignment w:val="top"/>
    </w:pPr>
    <w:rPr>
      <w:rFonts w:eastAsia="SimSun"/>
    </w:rPr>
  </w:style>
  <w:style w:type="paragraph" w:customStyle="1" w:styleId="xl97">
    <w:name w:val="xl97"/>
    <w:basedOn w:val="Normal"/>
    <w:semiHidden/>
    <w:pPr>
      <w:pBdr>
        <w:bottom w:val="single" w:sz="8" w:space="0" w:color="auto"/>
        <w:right w:val="single" w:sz="8" w:space="0" w:color="auto"/>
      </w:pBdr>
      <w:shd w:val="clear" w:color="000000" w:fill="92D050"/>
      <w:spacing w:before="100" w:beforeAutospacing="1" w:after="100" w:afterAutospacing="1"/>
      <w:jc w:val="center"/>
      <w:textAlignment w:val="center"/>
    </w:pPr>
    <w:rPr>
      <w:rFonts w:eastAsia="SimSun"/>
    </w:rPr>
  </w:style>
  <w:style w:type="paragraph" w:customStyle="1" w:styleId="xl98">
    <w:name w:val="xl98"/>
    <w:basedOn w:val="Normal"/>
    <w:semiHidden/>
    <w:pPr>
      <w:pBdr>
        <w:bottom w:val="single" w:sz="8" w:space="0" w:color="auto"/>
        <w:right w:val="single" w:sz="8" w:space="0" w:color="auto"/>
      </w:pBdr>
      <w:shd w:val="clear" w:color="000000" w:fill="92D050"/>
      <w:spacing w:before="100" w:beforeAutospacing="1" w:after="100" w:afterAutospacing="1"/>
      <w:jc w:val="center"/>
      <w:textAlignment w:val="top"/>
    </w:pPr>
    <w:rPr>
      <w:rFonts w:eastAsia="SimSun"/>
    </w:rPr>
  </w:style>
  <w:style w:type="paragraph" w:customStyle="1" w:styleId="xl99">
    <w:name w:val="xl99"/>
    <w:basedOn w:val="Normal"/>
    <w:semiHidden/>
    <w:pPr>
      <w:pBdr>
        <w:right w:val="single" w:sz="8" w:space="0" w:color="auto"/>
      </w:pBdr>
      <w:shd w:val="clear" w:color="000000" w:fill="92D050"/>
      <w:spacing w:before="100" w:beforeAutospacing="1" w:after="100" w:afterAutospacing="1"/>
      <w:jc w:val="center"/>
      <w:textAlignment w:val="top"/>
    </w:pPr>
    <w:rPr>
      <w:rFonts w:eastAsia="SimSun"/>
    </w:rPr>
  </w:style>
  <w:style w:type="paragraph" w:customStyle="1" w:styleId="xl100">
    <w:name w:val="xl100"/>
    <w:basedOn w:val="Normal"/>
    <w:semiHidden/>
    <w:pPr>
      <w:pBdr>
        <w:bottom w:val="single" w:sz="8" w:space="0" w:color="auto"/>
      </w:pBdr>
      <w:shd w:val="clear" w:color="000000" w:fill="FCE4D6"/>
      <w:spacing w:before="100" w:beforeAutospacing="1" w:after="100" w:afterAutospacing="1"/>
      <w:jc w:val="center"/>
      <w:textAlignment w:val="center"/>
    </w:pPr>
    <w:rPr>
      <w:rFonts w:eastAsia="SimSun"/>
    </w:rPr>
  </w:style>
  <w:style w:type="paragraph" w:customStyle="1" w:styleId="xl101">
    <w:name w:val="xl101"/>
    <w:basedOn w:val="Normal"/>
    <w:semiHidden/>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pPr>
    <w:rPr>
      <w:rFonts w:eastAsia="SimSun"/>
    </w:rPr>
  </w:style>
  <w:style w:type="paragraph" w:customStyle="1" w:styleId="xl102">
    <w:name w:val="xl102"/>
    <w:basedOn w:val="Normal"/>
    <w:semiHidden/>
    <w:pPr>
      <w:pBdr>
        <w:bottom w:val="single" w:sz="8" w:space="0" w:color="auto"/>
      </w:pBdr>
      <w:shd w:val="clear" w:color="000000" w:fill="D9E1F2"/>
      <w:spacing w:before="100" w:beforeAutospacing="1" w:after="100" w:afterAutospacing="1"/>
      <w:jc w:val="center"/>
      <w:textAlignment w:val="center"/>
    </w:pPr>
    <w:rPr>
      <w:rFonts w:eastAsia="SimSun"/>
    </w:rPr>
  </w:style>
  <w:style w:type="paragraph" w:customStyle="1" w:styleId="xl103">
    <w:name w:val="xl103"/>
    <w:basedOn w:val="Normal"/>
    <w:semiHidden/>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top"/>
    </w:pPr>
    <w:rPr>
      <w:rFonts w:eastAsia="SimSun"/>
    </w:rPr>
  </w:style>
  <w:style w:type="paragraph" w:customStyle="1" w:styleId="xl104">
    <w:name w:val="xl104"/>
    <w:basedOn w:val="Normal"/>
    <w:semiHidden/>
    <w:pPr>
      <w:pBdr>
        <w:bottom w:val="single" w:sz="8" w:space="0" w:color="auto"/>
        <w:right w:val="single" w:sz="8" w:space="0" w:color="auto"/>
      </w:pBdr>
      <w:shd w:val="clear" w:color="000000" w:fill="D9E1F2"/>
      <w:spacing w:before="100" w:beforeAutospacing="1" w:after="100" w:afterAutospacing="1"/>
      <w:jc w:val="center"/>
      <w:textAlignment w:val="center"/>
    </w:pPr>
    <w:rPr>
      <w:rFonts w:eastAsia="SimSun"/>
    </w:rPr>
  </w:style>
  <w:style w:type="paragraph" w:customStyle="1" w:styleId="xl105">
    <w:name w:val="xl105"/>
    <w:basedOn w:val="Normal"/>
    <w:semiHidden/>
    <w:pPr>
      <w:pBdr>
        <w:right w:val="single" w:sz="8" w:space="0" w:color="auto"/>
      </w:pBdr>
      <w:shd w:val="clear" w:color="000000" w:fill="D9E1F2"/>
      <w:spacing w:before="100" w:beforeAutospacing="1" w:after="100" w:afterAutospacing="1"/>
      <w:jc w:val="center"/>
      <w:textAlignment w:val="center"/>
    </w:pPr>
    <w:rPr>
      <w:rFonts w:eastAsia="SimSun"/>
    </w:rPr>
  </w:style>
  <w:style w:type="paragraph" w:customStyle="1" w:styleId="xl106">
    <w:name w:val="xl106"/>
    <w:basedOn w:val="Normal"/>
    <w:semiHidden/>
    <w:pPr>
      <w:pBdr>
        <w:right w:val="single" w:sz="8" w:space="0" w:color="auto"/>
      </w:pBdr>
      <w:shd w:val="clear" w:color="000000" w:fill="D9E1F2"/>
      <w:spacing w:before="100" w:beforeAutospacing="1" w:after="100" w:afterAutospacing="1"/>
      <w:jc w:val="center"/>
      <w:textAlignment w:val="top"/>
    </w:pPr>
    <w:rPr>
      <w:rFonts w:eastAsia="SimSun"/>
    </w:rPr>
  </w:style>
  <w:style w:type="paragraph" w:customStyle="1" w:styleId="xl107">
    <w:name w:val="xl107"/>
    <w:basedOn w:val="Normal"/>
    <w:semiHidden/>
    <w:pPr>
      <w:pBdr>
        <w:top w:val="single" w:sz="4" w:space="0" w:color="auto"/>
        <w:left w:val="single" w:sz="4" w:space="0" w:color="auto"/>
        <w:bottom w:val="single" w:sz="4" w:space="0" w:color="auto"/>
      </w:pBdr>
      <w:shd w:val="clear" w:color="000000" w:fill="D9E1F2"/>
      <w:spacing w:before="100" w:beforeAutospacing="1" w:after="100" w:afterAutospacing="1"/>
      <w:jc w:val="center"/>
    </w:pPr>
    <w:rPr>
      <w:rFonts w:eastAsia="SimSun"/>
    </w:rPr>
  </w:style>
  <w:style w:type="paragraph" w:customStyle="1" w:styleId="xl108">
    <w:name w:val="xl108"/>
    <w:basedOn w:val="Normal"/>
    <w:semiHidden/>
    <w:pPr>
      <w:pBdr>
        <w:bottom w:val="single" w:sz="8" w:space="0" w:color="auto"/>
      </w:pBdr>
      <w:shd w:val="clear" w:color="000000" w:fill="FFF2CC"/>
      <w:spacing w:before="100" w:beforeAutospacing="1" w:after="100" w:afterAutospacing="1"/>
      <w:jc w:val="center"/>
      <w:textAlignment w:val="center"/>
    </w:pPr>
    <w:rPr>
      <w:rFonts w:eastAsia="SimSun"/>
    </w:rPr>
  </w:style>
  <w:style w:type="paragraph" w:customStyle="1" w:styleId="xl109">
    <w:name w:val="xl109"/>
    <w:basedOn w:val="Normal"/>
    <w:semiHidden/>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top"/>
    </w:pPr>
    <w:rPr>
      <w:rFonts w:eastAsia="SimSun"/>
    </w:rPr>
  </w:style>
  <w:style w:type="paragraph" w:customStyle="1" w:styleId="xl110">
    <w:name w:val="xl110"/>
    <w:basedOn w:val="Normal"/>
    <w:semiHidden/>
    <w:pPr>
      <w:pBdr>
        <w:bottom w:val="single" w:sz="8" w:space="0" w:color="auto"/>
        <w:right w:val="single" w:sz="8" w:space="0" w:color="auto"/>
      </w:pBdr>
      <w:shd w:val="clear" w:color="000000" w:fill="FFF2CC"/>
      <w:spacing w:before="100" w:beforeAutospacing="1" w:after="100" w:afterAutospacing="1"/>
      <w:jc w:val="center"/>
      <w:textAlignment w:val="center"/>
    </w:pPr>
    <w:rPr>
      <w:rFonts w:eastAsia="SimSun"/>
      <w:color w:val="FF0000"/>
    </w:rPr>
  </w:style>
  <w:style w:type="paragraph" w:customStyle="1" w:styleId="xl111">
    <w:name w:val="xl111"/>
    <w:basedOn w:val="Normal"/>
    <w:semiHidden/>
    <w:pPr>
      <w:pBdr>
        <w:bottom w:val="single" w:sz="8" w:space="0" w:color="auto"/>
        <w:right w:val="single" w:sz="8" w:space="0" w:color="auto"/>
      </w:pBdr>
      <w:shd w:val="clear" w:color="000000" w:fill="E2EFDA"/>
      <w:spacing w:before="100" w:beforeAutospacing="1" w:after="100" w:afterAutospacing="1"/>
      <w:jc w:val="center"/>
      <w:textAlignment w:val="center"/>
    </w:pPr>
    <w:rPr>
      <w:rFonts w:eastAsia="SimSun"/>
    </w:rPr>
  </w:style>
  <w:style w:type="paragraph" w:customStyle="1" w:styleId="xl112">
    <w:name w:val="xl112"/>
    <w:basedOn w:val="Normal"/>
    <w:semiHidden/>
    <w:pPr>
      <w:pBdr>
        <w:bottom w:val="single" w:sz="8" w:space="0" w:color="auto"/>
        <w:right w:val="single" w:sz="8" w:space="0" w:color="auto"/>
      </w:pBdr>
      <w:shd w:val="clear" w:color="000000" w:fill="E2EFDA"/>
      <w:spacing w:before="100" w:beforeAutospacing="1" w:after="100" w:afterAutospacing="1"/>
      <w:jc w:val="center"/>
      <w:textAlignment w:val="top"/>
    </w:pPr>
    <w:rPr>
      <w:rFonts w:eastAsia="SimSun"/>
    </w:rPr>
  </w:style>
  <w:style w:type="paragraph" w:customStyle="1" w:styleId="xl113">
    <w:name w:val="xl113"/>
    <w:basedOn w:val="Normal"/>
    <w:semiHidden/>
    <w:pPr>
      <w:pBdr>
        <w:bottom w:val="single" w:sz="8" w:space="0" w:color="auto"/>
        <w:right w:val="single" w:sz="8" w:space="0" w:color="auto"/>
      </w:pBdr>
      <w:shd w:val="clear" w:color="000000" w:fill="DBDBDB"/>
      <w:spacing w:before="100" w:beforeAutospacing="1" w:after="100" w:afterAutospacing="1"/>
      <w:jc w:val="center"/>
      <w:textAlignment w:val="center"/>
    </w:pPr>
    <w:rPr>
      <w:rFonts w:eastAsia="SimSun"/>
    </w:rPr>
  </w:style>
  <w:style w:type="paragraph" w:customStyle="1" w:styleId="xl114">
    <w:name w:val="xl114"/>
    <w:basedOn w:val="Normal"/>
    <w:semiHidden/>
    <w:pPr>
      <w:pBdr>
        <w:right w:val="single" w:sz="8" w:space="0" w:color="auto"/>
      </w:pBdr>
      <w:shd w:val="clear" w:color="000000" w:fill="DBDBDB"/>
      <w:spacing w:before="100" w:beforeAutospacing="1" w:after="100" w:afterAutospacing="1"/>
      <w:jc w:val="center"/>
      <w:textAlignment w:val="center"/>
    </w:pPr>
    <w:rPr>
      <w:rFonts w:eastAsia="SimSun"/>
    </w:rPr>
  </w:style>
  <w:style w:type="paragraph" w:customStyle="1" w:styleId="xl115">
    <w:name w:val="xl115"/>
    <w:basedOn w:val="Normal"/>
    <w:semiHidden/>
    <w:pPr>
      <w:pBdr>
        <w:top w:val="single" w:sz="4" w:space="0" w:color="auto"/>
        <w:left w:val="single" w:sz="4" w:space="0" w:color="auto"/>
        <w:bottom w:val="single" w:sz="4" w:space="0" w:color="auto"/>
        <w:right w:val="single" w:sz="4" w:space="0" w:color="auto"/>
      </w:pBdr>
      <w:shd w:val="clear" w:color="000000" w:fill="DBDBDB"/>
      <w:spacing w:before="100" w:beforeAutospacing="1" w:after="100" w:afterAutospacing="1"/>
      <w:jc w:val="center"/>
    </w:pPr>
    <w:rPr>
      <w:rFonts w:eastAsia="SimSun"/>
    </w:rPr>
  </w:style>
  <w:style w:type="paragraph" w:customStyle="1" w:styleId="xl116">
    <w:name w:val="xl116"/>
    <w:basedOn w:val="Normal"/>
    <w:semiHidden/>
    <w:pPr>
      <w:shd w:val="clear" w:color="000000" w:fill="FFD966"/>
      <w:spacing w:before="100" w:beforeAutospacing="1" w:after="100" w:afterAutospacing="1"/>
      <w:jc w:val="center"/>
    </w:pPr>
    <w:rPr>
      <w:rFonts w:eastAsia="SimSun"/>
    </w:rPr>
  </w:style>
  <w:style w:type="paragraph" w:customStyle="1" w:styleId="xl117">
    <w:name w:val="xl117"/>
    <w:basedOn w:val="Normal"/>
    <w:semiHidden/>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center"/>
      <w:textAlignment w:val="center"/>
    </w:pPr>
    <w:rPr>
      <w:rFonts w:eastAsia="SimSun"/>
    </w:rPr>
  </w:style>
  <w:style w:type="paragraph" w:customStyle="1" w:styleId="xl118">
    <w:name w:val="xl118"/>
    <w:basedOn w:val="Normal"/>
    <w:semiHidden/>
    <w:pPr>
      <w:shd w:val="clear" w:color="000000" w:fill="A9D08E"/>
      <w:spacing w:before="100" w:beforeAutospacing="1" w:after="100" w:afterAutospacing="1"/>
      <w:jc w:val="center"/>
    </w:pPr>
    <w:rPr>
      <w:rFonts w:eastAsia="SimSun"/>
    </w:rPr>
  </w:style>
  <w:style w:type="paragraph" w:customStyle="1" w:styleId="xl119">
    <w:name w:val="xl119"/>
    <w:basedOn w:val="Normal"/>
    <w:semiHidden/>
    <w:pPr>
      <w:pBdr>
        <w:bottom w:val="single" w:sz="8" w:space="0" w:color="auto"/>
        <w:right w:val="single" w:sz="8" w:space="0" w:color="auto"/>
      </w:pBdr>
      <w:shd w:val="clear" w:color="000000" w:fill="A9D08E"/>
      <w:spacing w:before="100" w:beforeAutospacing="1" w:after="100" w:afterAutospacing="1"/>
      <w:jc w:val="center"/>
      <w:textAlignment w:val="center"/>
    </w:pPr>
    <w:rPr>
      <w:rFonts w:eastAsia="SimSun"/>
    </w:rPr>
  </w:style>
  <w:style w:type="paragraph" w:customStyle="1" w:styleId="xl120">
    <w:name w:val="xl120"/>
    <w:basedOn w:val="Normal"/>
    <w:semiHidden/>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center"/>
    </w:pPr>
    <w:rPr>
      <w:rFonts w:eastAsia="SimSun"/>
    </w:rPr>
  </w:style>
  <w:style w:type="paragraph" w:customStyle="1" w:styleId="xl121">
    <w:name w:val="xl121"/>
    <w:basedOn w:val="Normal"/>
    <w:semiHidden/>
    <w:pPr>
      <w:pBdr>
        <w:top w:val="single" w:sz="4" w:space="0" w:color="auto"/>
        <w:left w:val="single" w:sz="4" w:space="0" w:color="auto"/>
        <w:bottom w:val="single" w:sz="4" w:space="0" w:color="auto"/>
      </w:pBdr>
      <w:shd w:val="clear" w:color="000000" w:fill="A9D08E"/>
      <w:spacing w:before="100" w:beforeAutospacing="1" w:after="100" w:afterAutospacing="1"/>
      <w:jc w:val="center"/>
    </w:pPr>
    <w:rPr>
      <w:rFonts w:eastAsia="SimSun"/>
    </w:rPr>
  </w:style>
  <w:style w:type="paragraph" w:customStyle="1" w:styleId="xl122">
    <w:name w:val="xl122"/>
    <w:basedOn w:val="Normal"/>
    <w:semiHidden/>
    <w:pPr>
      <w:pBdr>
        <w:right w:val="single" w:sz="8" w:space="0" w:color="auto"/>
      </w:pBdr>
      <w:shd w:val="clear" w:color="000000" w:fill="A9D08E"/>
      <w:spacing w:before="100" w:beforeAutospacing="1" w:after="100" w:afterAutospacing="1"/>
      <w:jc w:val="center"/>
      <w:textAlignment w:val="center"/>
    </w:pPr>
    <w:rPr>
      <w:rFonts w:eastAsia="SimSun"/>
    </w:rPr>
  </w:style>
  <w:style w:type="paragraph" w:customStyle="1" w:styleId="xl123">
    <w:name w:val="xl123"/>
    <w:basedOn w:val="Normal"/>
    <w:semiHidden/>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eastAsia="SimSun"/>
      <w:color w:val="FF0000"/>
    </w:rPr>
  </w:style>
  <w:style w:type="paragraph" w:customStyle="1" w:styleId="xl124">
    <w:name w:val="xl124"/>
    <w:basedOn w:val="Normal"/>
    <w:semiHidden/>
    <w:pPr>
      <w:shd w:val="clear" w:color="000000" w:fill="F8CBAD"/>
      <w:spacing w:before="100" w:beforeAutospacing="1" w:after="100" w:afterAutospacing="1"/>
      <w:jc w:val="center"/>
    </w:pPr>
    <w:rPr>
      <w:rFonts w:eastAsia="SimSun"/>
    </w:rPr>
  </w:style>
  <w:style w:type="paragraph" w:customStyle="1" w:styleId="xl125">
    <w:name w:val="xl125"/>
    <w:basedOn w:val="Normal"/>
    <w:semiHidden/>
    <w:pPr>
      <w:pBdr>
        <w:top w:val="single" w:sz="4" w:space="0" w:color="auto"/>
        <w:bottom w:val="single" w:sz="4" w:space="0" w:color="auto"/>
        <w:right w:val="single" w:sz="4" w:space="0" w:color="auto"/>
      </w:pBdr>
      <w:shd w:val="clear" w:color="000000" w:fill="F8CBAD"/>
      <w:spacing w:before="100" w:beforeAutospacing="1" w:after="100" w:afterAutospacing="1"/>
      <w:jc w:val="center"/>
    </w:pPr>
    <w:rPr>
      <w:rFonts w:eastAsia="SimSun"/>
    </w:rPr>
  </w:style>
  <w:style w:type="paragraph" w:customStyle="1" w:styleId="xl126">
    <w:name w:val="xl126"/>
    <w:basedOn w:val="Normal"/>
    <w:semiHidden/>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pPr>
    <w:rPr>
      <w:rFonts w:eastAsia="SimSun"/>
    </w:rPr>
  </w:style>
  <w:style w:type="paragraph" w:customStyle="1" w:styleId="xl127">
    <w:name w:val="xl127"/>
    <w:basedOn w:val="Normal"/>
    <w:semiHidden/>
    <w:pPr>
      <w:pBdr>
        <w:right w:val="single" w:sz="8" w:space="0" w:color="auto"/>
      </w:pBdr>
      <w:shd w:val="clear" w:color="000000" w:fill="F8CBAD"/>
      <w:spacing w:before="100" w:beforeAutospacing="1" w:after="100" w:afterAutospacing="1"/>
      <w:jc w:val="center"/>
      <w:textAlignment w:val="center"/>
    </w:pPr>
    <w:rPr>
      <w:rFonts w:eastAsia="SimSun"/>
    </w:rPr>
  </w:style>
  <w:style w:type="paragraph" w:customStyle="1" w:styleId="xl128">
    <w:name w:val="xl128"/>
    <w:basedOn w:val="Normal"/>
    <w:semiHidden/>
    <w:pPr>
      <w:pBdr>
        <w:top w:val="single" w:sz="4" w:space="0" w:color="auto"/>
        <w:left w:val="single" w:sz="4" w:space="0" w:color="auto"/>
        <w:bottom w:val="single" w:sz="4" w:space="0" w:color="auto"/>
        <w:right w:val="single" w:sz="4" w:space="0" w:color="auto"/>
      </w:pBdr>
      <w:shd w:val="clear" w:color="000000" w:fill="D6DCE4"/>
      <w:spacing w:before="100" w:beforeAutospacing="1" w:after="100" w:afterAutospacing="1"/>
      <w:jc w:val="center"/>
      <w:textAlignment w:val="center"/>
    </w:pPr>
    <w:rPr>
      <w:rFonts w:eastAsia="SimSun"/>
    </w:rPr>
  </w:style>
  <w:style w:type="paragraph" w:customStyle="1" w:styleId="xl129">
    <w:name w:val="xl129"/>
    <w:basedOn w:val="Normal"/>
    <w:semiHidden/>
    <w:pPr>
      <w:pBdr>
        <w:top w:val="single" w:sz="4" w:space="0" w:color="auto"/>
        <w:left w:val="single" w:sz="4" w:space="0" w:color="auto"/>
        <w:bottom w:val="single" w:sz="4" w:space="0" w:color="auto"/>
        <w:right w:val="single" w:sz="4" w:space="0" w:color="auto"/>
      </w:pBdr>
      <w:shd w:val="clear" w:color="000000" w:fill="D6DCE4"/>
      <w:spacing w:before="100" w:beforeAutospacing="1" w:after="100" w:afterAutospacing="1"/>
      <w:jc w:val="center"/>
    </w:pPr>
    <w:rPr>
      <w:rFonts w:eastAsia="SimSun"/>
    </w:rPr>
  </w:style>
  <w:style w:type="paragraph" w:customStyle="1" w:styleId="xl130">
    <w:name w:val="xl130"/>
    <w:basedOn w:val="Normal"/>
    <w:semiHidden/>
    <w:pPr>
      <w:pBdr>
        <w:bottom w:val="single" w:sz="8" w:space="0" w:color="auto"/>
        <w:right w:val="single" w:sz="8" w:space="0" w:color="auto"/>
      </w:pBdr>
      <w:shd w:val="clear" w:color="000000" w:fill="D6DCE4"/>
      <w:spacing w:before="100" w:beforeAutospacing="1" w:after="100" w:afterAutospacing="1"/>
      <w:jc w:val="center"/>
      <w:textAlignment w:val="center"/>
    </w:pPr>
    <w:rPr>
      <w:rFonts w:eastAsia="SimSun"/>
    </w:rPr>
  </w:style>
  <w:style w:type="paragraph" w:customStyle="1" w:styleId="xl131">
    <w:name w:val="xl131"/>
    <w:basedOn w:val="Normal"/>
    <w:semiHidden/>
    <w:pPr>
      <w:pBdr>
        <w:right w:val="single" w:sz="8" w:space="0" w:color="auto"/>
      </w:pBdr>
      <w:shd w:val="clear" w:color="000000" w:fill="D6DCE4"/>
      <w:spacing w:before="100" w:beforeAutospacing="1" w:after="100" w:afterAutospacing="1"/>
      <w:jc w:val="center"/>
      <w:textAlignment w:val="center"/>
    </w:pPr>
    <w:rPr>
      <w:rFonts w:eastAsia="SimSun"/>
    </w:rPr>
  </w:style>
  <w:style w:type="paragraph" w:customStyle="1" w:styleId="xl132">
    <w:name w:val="xl132"/>
    <w:basedOn w:val="Normal"/>
    <w:semiHidden/>
    <w:pPr>
      <w:pBdr>
        <w:top w:val="single" w:sz="4" w:space="0" w:color="auto"/>
        <w:left w:val="single" w:sz="4" w:space="0" w:color="auto"/>
        <w:bottom w:val="single" w:sz="4" w:space="0" w:color="auto"/>
        <w:right w:val="single" w:sz="4" w:space="0" w:color="auto"/>
      </w:pBdr>
      <w:shd w:val="clear" w:color="000000" w:fill="FFD966"/>
      <w:spacing w:before="100" w:beforeAutospacing="1" w:after="100" w:afterAutospacing="1"/>
      <w:jc w:val="center"/>
    </w:pPr>
    <w:rPr>
      <w:rFonts w:eastAsia="SimSun"/>
    </w:rPr>
  </w:style>
  <w:style w:type="paragraph" w:customStyle="1" w:styleId="xl133">
    <w:name w:val="xl133"/>
    <w:basedOn w:val="Normal"/>
    <w:semiHidden/>
    <w:pPr>
      <w:pBdr>
        <w:top w:val="single" w:sz="4" w:space="0" w:color="auto"/>
        <w:left w:val="single" w:sz="4" w:space="0" w:color="auto"/>
        <w:bottom w:val="single" w:sz="4" w:space="0" w:color="auto"/>
        <w:right w:val="single" w:sz="4" w:space="0" w:color="auto"/>
      </w:pBdr>
      <w:shd w:val="clear" w:color="000000" w:fill="FFD966"/>
      <w:spacing w:before="100" w:beforeAutospacing="1" w:after="100" w:afterAutospacing="1"/>
      <w:jc w:val="center"/>
      <w:textAlignment w:val="top"/>
    </w:pPr>
    <w:rPr>
      <w:rFonts w:eastAsia="SimSun"/>
    </w:rPr>
  </w:style>
  <w:style w:type="paragraph" w:customStyle="1" w:styleId="xl134">
    <w:name w:val="xl134"/>
    <w:basedOn w:val="Normal"/>
    <w:semiHidden/>
    <w:pPr>
      <w:pBdr>
        <w:top w:val="single" w:sz="4" w:space="0" w:color="auto"/>
        <w:left w:val="single" w:sz="4" w:space="0" w:color="auto"/>
        <w:right w:val="single" w:sz="4" w:space="0" w:color="auto"/>
      </w:pBdr>
      <w:shd w:val="clear" w:color="000000" w:fill="F8CBAD"/>
      <w:spacing w:before="100" w:beforeAutospacing="1" w:after="100" w:afterAutospacing="1"/>
      <w:jc w:val="center"/>
    </w:pPr>
    <w:rPr>
      <w:rFonts w:eastAsia="SimSun"/>
    </w:rPr>
  </w:style>
  <w:style w:type="paragraph" w:customStyle="1" w:styleId="xl135">
    <w:name w:val="xl135"/>
    <w:basedOn w:val="Normal"/>
    <w:semiHidden/>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center"/>
      <w:textAlignment w:val="top"/>
    </w:pPr>
    <w:rPr>
      <w:rFonts w:eastAsia="SimSun"/>
    </w:rPr>
  </w:style>
  <w:style w:type="paragraph" w:customStyle="1" w:styleId="xl136">
    <w:name w:val="xl136"/>
    <w:basedOn w:val="Normal"/>
    <w:semiHidden/>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jc w:val="center"/>
    </w:pPr>
    <w:rPr>
      <w:rFonts w:eastAsia="SimSun"/>
    </w:rPr>
  </w:style>
  <w:style w:type="paragraph" w:customStyle="1" w:styleId="xl137">
    <w:name w:val="xl137"/>
    <w:basedOn w:val="Normal"/>
    <w:semiHidden/>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jc w:val="center"/>
      <w:textAlignment w:val="top"/>
    </w:pPr>
    <w:rPr>
      <w:rFonts w:eastAsia="SimSun"/>
    </w:rPr>
  </w:style>
  <w:style w:type="paragraph" w:customStyle="1" w:styleId="xl138">
    <w:name w:val="xl138"/>
    <w:basedOn w:val="Normal"/>
    <w:semiHidden/>
    <w:pPr>
      <w:shd w:val="clear" w:color="000000" w:fill="DDEBF7"/>
      <w:spacing w:before="100" w:beforeAutospacing="1" w:after="100" w:afterAutospacing="1"/>
      <w:jc w:val="center"/>
    </w:pPr>
    <w:rPr>
      <w:rFonts w:eastAsia="SimSun"/>
    </w:rPr>
  </w:style>
  <w:style w:type="paragraph" w:customStyle="1" w:styleId="xl139">
    <w:name w:val="xl139"/>
    <w:basedOn w:val="Normal"/>
    <w:semiHidden/>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eastAsia="SimSun"/>
    </w:rPr>
  </w:style>
  <w:style w:type="paragraph" w:customStyle="1" w:styleId="xl140">
    <w:name w:val="xl140"/>
    <w:basedOn w:val="Normal"/>
    <w:semiHidden/>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textAlignment w:val="top"/>
    </w:pPr>
    <w:rPr>
      <w:rFonts w:eastAsia="SimSun"/>
    </w:rPr>
  </w:style>
  <w:style w:type="paragraph" w:customStyle="1" w:styleId="xl141">
    <w:name w:val="xl141"/>
    <w:basedOn w:val="Normal"/>
    <w:semiHidden/>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pPr>
    <w:rPr>
      <w:rFonts w:eastAsia="SimSun"/>
    </w:rPr>
  </w:style>
  <w:style w:type="paragraph" w:customStyle="1" w:styleId="xl142">
    <w:name w:val="xl142"/>
    <w:basedOn w:val="Normal"/>
    <w:semiHidden/>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pPr>
    <w:rPr>
      <w:rFonts w:eastAsia="SimSun"/>
    </w:rPr>
  </w:style>
  <w:style w:type="paragraph" w:customStyle="1" w:styleId="xl143">
    <w:name w:val="xl143"/>
    <w:basedOn w:val="Normal"/>
    <w:semiHidden/>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top"/>
    </w:pPr>
    <w:rPr>
      <w:rFonts w:eastAsia="SimSun"/>
    </w:rPr>
  </w:style>
  <w:style w:type="paragraph" w:customStyle="1" w:styleId="xl144">
    <w:name w:val="xl144"/>
    <w:basedOn w:val="Normal"/>
    <w:semiHidden/>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eastAsia="SimSun"/>
    </w:rPr>
  </w:style>
  <w:style w:type="paragraph" w:customStyle="1" w:styleId="xl145">
    <w:name w:val="xl145"/>
    <w:basedOn w:val="Normal"/>
    <w:semiHidden/>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top"/>
    </w:pPr>
    <w:rPr>
      <w:rFonts w:eastAsia="SimSun"/>
    </w:rPr>
  </w:style>
  <w:style w:type="paragraph" w:customStyle="1" w:styleId="xl146">
    <w:name w:val="xl146"/>
    <w:basedOn w:val="Normal"/>
    <w:semiHidden/>
    <w:pPr>
      <w:shd w:val="clear" w:color="000000" w:fill="A9D08E"/>
      <w:spacing w:before="100" w:beforeAutospacing="1" w:after="100" w:afterAutospacing="1"/>
      <w:jc w:val="center"/>
    </w:pPr>
    <w:rPr>
      <w:rFonts w:eastAsia="SimSun"/>
    </w:rPr>
  </w:style>
  <w:style w:type="paragraph" w:customStyle="1" w:styleId="xl147">
    <w:name w:val="xl147"/>
    <w:basedOn w:val="Normal"/>
    <w:semiHidden/>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eastAsia="SimSun"/>
    </w:rPr>
  </w:style>
  <w:style w:type="paragraph" w:customStyle="1" w:styleId="xl148">
    <w:name w:val="xl148"/>
    <w:basedOn w:val="Normal"/>
    <w:semiHidden/>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rFonts w:eastAsia="SimSun"/>
    </w:rPr>
  </w:style>
  <w:style w:type="paragraph" w:customStyle="1" w:styleId="xl149">
    <w:name w:val="xl149"/>
    <w:basedOn w:val="Normal"/>
    <w:semiHidden/>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eastAsia="SimSun"/>
    </w:rPr>
  </w:style>
  <w:style w:type="paragraph" w:customStyle="1" w:styleId="xl150">
    <w:name w:val="xl150"/>
    <w:basedOn w:val="Normal"/>
    <w:semiHidden/>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eastAsia="SimSun"/>
      <w:color w:val="0563C1"/>
      <w:u w:val="single"/>
    </w:rPr>
  </w:style>
  <w:style w:type="paragraph" w:customStyle="1" w:styleId="xl151">
    <w:name w:val="xl151"/>
    <w:basedOn w:val="Normal"/>
    <w:semiHidden/>
    <w:pPr>
      <w:pBdr>
        <w:top w:val="single" w:sz="8" w:space="0" w:color="auto"/>
        <w:bottom w:val="single" w:sz="8" w:space="0" w:color="auto"/>
        <w:right w:val="single" w:sz="8" w:space="0" w:color="auto"/>
      </w:pBdr>
      <w:shd w:val="clear" w:color="000000" w:fill="00B0F0"/>
      <w:spacing w:before="100" w:beforeAutospacing="1" w:after="100" w:afterAutospacing="1"/>
      <w:textAlignment w:val="top"/>
    </w:pPr>
    <w:rPr>
      <w:rFonts w:ascii="Castellar" w:eastAsia="SimSun" w:hAnsi="Castellar"/>
      <w:b/>
      <w:bCs/>
      <w:color w:val="000000"/>
      <w:sz w:val="20"/>
      <w:szCs w:val="20"/>
    </w:rPr>
  </w:style>
  <w:style w:type="paragraph" w:customStyle="1" w:styleId="xl152">
    <w:name w:val="xl152"/>
    <w:basedOn w:val="Normal"/>
    <w:semiHidden/>
    <w:pPr>
      <w:pBdr>
        <w:bottom w:val="single" w:sz="8" w:space="0" w:color="auto"/>
        <w:right w:val="single" w:sz="8" w:space="0" w:color="auto"/>
      </w:pBdr>
      <w:shd w:val="clear" w:color="000000" w:fill="FFFF00"/>
      <w:spacing w:before="100" w:beforeAutospacing="1" w:after="100" w:afterAutospacing="1"/>
      <w:textAlignment w:val="center"/>
    </w:pPr>
    <w:rPr>
      <w:rFonts w:eastAsia="SimSun"/>
    </w:rPr>
  </w:style>
  <w:style w:type="paragraph" w:customStyle="1" w:styleId="xl153">
    <w:name w:val="xl153"/>
    <w:basedOn w:val="Normal"/>
    <w:semiHidden/>
    <w:pPr>
      <w:pBdr>
        <w:bottom w:val="single" w:sz="8" w:space="0" w:color="auto"/>
        <w:right w:val="single" w:sz="8" w:space="0" w:color="auto"/>
      </w:pBdr>
      <w:shd w:val="clear" w:color="000000" w:fill="92D050"/>
      <w:spacing w:before="100" w:beforeAutospacing="1" w:after="100" w:afterAutospacing="1"/>
      <w:textAlignment w:val="center"/>
    </w:pPr>
    <w:rPr>
      <w:rFonts w:eastAsia="SimSun"/>
    </w:rPr>
  </w:style>
  <w:style w:type="paragraph" w:customStyle="1" w:styleId="xl154">
    <w:name w:val="xl154"/>
    <w:basedOn w:val="Normal"/>
    <w:semiHidden/>
    <w:pPr>
      <w:pBdr>
        <w:bottom w:val="single" w:sz="8" w:space="0" w:color="auto"/>
        <w:right w:val="single" w:sz="8" w:space="0" w:color="auto"/>
      </w:pBdr>
      <w:shd w:val="clear" w:color="000000" w:fill="D9E1F2"/>
      <w:spacing w:before="100" w:beforeAutospacing="1" w:after="100" w:afterAutospacing="1"/>
      <w:textAlignment w:val="center"/>
    </w:pPr>
    <w:rPr>
      <w:rFonts w:eastAsia="SimSun"/>
    </w:rPr>
  </w:style>
  <w:style w:type="paragraph" w:customStyle="1" w:styleId="xl155">
    <w:name w:val="xl155"/>
    <w:basedOn w:val="Normal"/>
    <w:semiHidden/>
    <w:pPr>
      <w:pBdr>
        <w:bottom w:val="single" w:sz="8" w:space="0" w:color="auto"/>
        <w:right w:val="single" w:sz="8" w:space="0" w:color="auto"/>
      </w:pBdr>
      <w:shd w:val="clear" w:color="000000" w:fill="FFF2CC"/>
      <w:spacing w:before="100" w:beforeAutospacing="1" w:after="100" w:afterAutospacing="1"/>
      <w:textAlignment w:val="center"/>
    </w:pPr>
    <w:rPr>
      <w:rFonts w:eastAsia="SimSun"/>
      <w:color w:val="FF0000"/>
    </w:rPr>
  </w:style>
  <w:style w:type="paragraph" w:customStyle="1" w:styleId="xl156">
    <w:name w:val="xl156"/>
    <w:basedOn w:val="Normal"/>
    <w:semiHidden/>
    <w:pPr>
      <w:pBdr>
        <w:bottom w:val="single" w:sz="8" w:space="0" w:color="auto"/>
        <w:right w:val="single" w:sz="8" w:space="0" w:color="auto"/>
      </w:pBdr>
      <w:shd w:val="clear" w:color="000000" w:fill="E2EFDA"/>
      <w:spacing w:before="100" w:beforeAutospacing="1" w:after="100" w:afterAutospacing="1"/>
      <w:textAlignment w:val="center"/>
    </w:pPr>
    <w:rPr>
      <w:rFonts w:eastAsia="SimSun"/>
    </w:rPr>
  </w:style>
  <w:style w:type="paragraph" w:customStyle="1" w:styleId="xl157">
    <w:name w:val="xl157"/>
    <w:basedOn w:val="Normal"/>
    <w:semiHidden/>
    <w:pPr>
      <w:pBdr>
        <w:bottom w:val="single" w:sz="8" w:space="0" w:color="auto"/>
        <w:right w:val="single" w:sz="8" w:space="0" w:color="auto"/>
      </w:pBdr>
      <w:shd w:val="clear" w:color="000000" w:fill="DBDBDB"/>
      <w:spacing w:before="100" w:beforeAutospacing="1" w:after="100" w:afterAutospacing="1"/>
      <w:textAlignment w:val="center"/>
    </w:pPr>
    <w:rPr>
      <w:rFonts w:eastAsia="SimSun"/>
    </w:rPr>
  </w:style>
  <w:style w:type="paragraph" w:customStyle="1" w:styleId="xl158">
    <w:name w:val="xl158"/>
    <w:basedOn w:val="Normal"/>
    <w:semiHidden/>
    <w:pPr>
      <w:pBdr>
        <w:bottom w:val="single" w:sz="8" w:space="0" w:color="auto"/>
        <w:right w:val="single" w:sz="8" w:space="0" w:color="auto"/>
      </w:pBdr>
      <w:shd w:val="clear" w:color="000000" w:fill="A9D08E"/>
      <w:spacing w:before="100" w:beforeAutospacing="1" w:after="100" w:afterAutospacing="1"/>
      <w:textAlignment w:val="center"/>
    </w:pPr>
    <w:rPr>
      <w:rFonts w:eastAsia="SimSun"/>
    </w:rPr>
  </w:style>
  <w:style w:type="paragraph" w:customStyle="1" w:styleId="xl159">
    <w:name w:val="xl159"/>
    <w:basedOn w:val="Normal"/>
    <w:semiHidden/>
    <w:pPr>
      <w:pBdr>
        <w:bottom w:val="single" w:sz="8" w:space="0" w:color="auto"/>
        <w:right w:val="single" w:sz="8" w:space="0" w:color="auto"/>
      </w:pBdr>
      <w:shd w:val="clear" w:color="000000" w:fill="F8CBAD"/>
      <w:spacing w:before="100" w:beforeAutospacing="1" w:after="100" w:afterAutospacing="1"/>
      <w:textAlignment w:val="center"/>
    </w:pPr>
    <w:rPr>
      <w:rFonts w:eastAsia="SimSun"/>
      <w:color w:val="FF0000"/>
    </w:rPr>
  </w:style>
  <w:style w:type="paragraph" w:customStyle="1" w:styleId="xl160">
    <w:name w:val="xl160"/>
    <w:basedOn w:val="Normal"/>
    <w:semiHidden/>
    <w:pPr>
      <w:pBdr>
        <w:bottom w:val="single" w:sz="8" w:space="0" w:color="auto"/>
        <w:right w:val="single" w:sz="8" w:space="0" w:color="auto"/>
      </w:pBdr>
      <w:shd w:val="clear" w:color="000000" w:fill="F8CBAD"/>
      <w:spacing w:before="100" w:beforeAutospacing="1" w:after="100" w:afterAutospacing="1"/>
      <w:textAlignment w:val="center"/>
    </w:pPr>
    <w:rPr>
      <w:rFonts w:eastAsia="SimSun"/>
    </w:rPr>
  </w:style>
  <w:style w:type="paragraph" w:customStyle="1" w:styleId="xl161">
    <w:name w:val="xl161"/>
    <w:basedOn w:val="Normal"/>
    <w:semiHidden/>
    <w:pPr>
      <w:pBdr>
        <w:bottom w:val="single" w:sz="8" w:space="0" w:color="auto"/>
        <w:right w:val="single" w:sz="8" w:space="0" w:color="auto"/>
      </w:pBdr>
      <w:shd w:val="clear" w:color="000000" w:fill="D6DCE4"/>
      <w:spacing w:before="100" w:beforeAutospacing="1" w:after="100" w:afterAutospacing="1"/>
      <w:textAlignment w:val="center"/>
    </w:pPr>
    <w:rPr>
      <w:rFonts w:eastAsia="SimSun"/>
    </w:rPr>
  </w:style>
  <w:style w:type="paragraph" w:customStyle="1" w:styleId="xl162">
    <w:name w:val="xl162"/>
    <w:basedOn w:val="Normal"/>
    <w:semiHidden/>
    <w:pPr>
      <w:pBdr>
        <w:right w:val="single" w:sz="8" w:space="0" w:color="auto"/>
      </w:pBdr>
      <w:shd w:val="clear" w:color="000000" w:fill="D6DCE4"/>
      <w:spacing w:before="100" w:beforeAutospacing="1" w:after="100" w:afterAutospacing="1"/>
      <w:textAlignment w:val="center"/>
    </w:pPr>
    <w:rPr>
      <w:rFonts w:eastAsia="SimSun"/>
    </w:rPr>
  </w:style>
  <w:style w:type="paragraph" w:customStyle="1" w:styleId="xl163">
    <w:name w:val="xl163"/>
    <w:basedOn w:val="Normal"/>
    <w:semiHidden/>
    <w:pPr>
      <w:pBdr>
        <w:top w:val="single" w:sz="4" w:space="0" w:color="auto"/>
        <w:left w:val="single" w:sz="4" w:space="0" w:color="auto"/>
        <w:bottom w:val="single" w:sz="4" w:space="0" w:color="auto"/>
        <w:right w:val="single" w:sz="4" w:space="0" w:color="auto"/>
      </w:pBdr>
      <w:shd w:val="clear" w:color="000000" w:fill="D6DCE4"/>
      <w:spacing w:before="100" w:beforeAutospacing="1" w:after="100" w:afterAutospacing="1"/>
    </w:pPr>
    <w:rPr>
      <w:rFonts w:eastAsia="SimSun"/>
    </w:rPr>
  </w:style>
  <w:style w:type="paragraph" w:customStyle="1" w:styleId="xl164">
    <w:name w:val="xl164"/>
    <w:basedOn w:val="Normal"/>
    <w:semiHidden/>
    <w:pPr>
      <w:pBdr>
        <w:top w:val="single" w:sz="4" w:space="0" w:color="auto"/>
        <w:left w:val="single" w:sz="4" w:space="0" w:color="auto"/>
        <w:bottom w:val="single" w:sz="4" w:space="0" w:color="auto"/>
        <w:right w:val="single" w:sz="4" w:space="0" w:color="auto"/>
      </w:pBdr>
      <w:shd w:val="clear" w:color="000000" w:fill="FFD966"/>
      <w:spacing w:before="100" w:beforeAutospacing="1" w:after="100" w:afterAutospacing="1"/>
    </w:pPr>
    <w:rPr>
      <w:rFonts w:eastAsia="SimSun"/>
    </w:rPr>
  </w:style>
  <w:style w:type="paragraph" w:customStyle="1" w:styleId="xl165">
    <w:name w:val="xl165"/>
    <w:basedOn w:val="Normal"/>
    <w:semiHidden/>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pPr>
    <w:rPr>
      <w:rFonts w:eastAsia="SimSun"/>
    </w:rPr>
  </w:style>
  <w:style w:type="paragraph" w:customStyle="1" w:styleId="xl166">
    <w:name w:val="xl166"/>
    <w:basedOn w:val="Normal"/>
    <w:semiHidden/>
    <w:pPr>
      <w:pBdr>
        <w:top w:val="single" w:sz="4" w:space="0" w:color="auto"/>
        <w:left w:val="single" w:sz="4" w:space="0" w:color="auto"/>
        <w:right w:val="single" w:sz="4" w:space="0" w:color="auto"/>
      </w:pBdr>
      <w:shd w:val="clear" w:color="000000" w:fill="F8CBAD"/>
      <w:spacing w:before="100" w:beforeAutospacing="1" w:after="100" w:afterAutospacing="1"/>
    </w:pPr>
    <w:rPr>
      <w:rFonts w:eastAsia="SimSun"/>
    </w:rPr>
  </w:style>
  <w:style w:type="paragraph" w:customStyle="1" w:styleId="xl167">
    <w:name w:val="xl167"/>
    <w:basedOn w:val="Normal"/>
    <w:semiHidden/>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pPr>
    <w:rPr>
      <w:rFonts w:eastAsia="SimSun"/>
    </w:rPr>
  </w:style>
  <w:style w:type="paragraph" w:customStyle="1" w:styleId="xl168">
    <w:name w:val="xl168"/>
    <w:basedOn w:val="Normal"/>
    <w:semiHidden/>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pPr>
    <w:rPr>
      <w:rFonts w:eastAsia="SimSun"/>
    </w:rPr>
  </w:style>
  <w:style w:type="paragraph" w:customStyle="1" w:styleId="xl169">
    <w:name w:val="xl169"/>
    <w:basedOn w:val="Normal"/>
    <w:semiHidden/>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pPr>
    <w:rPr>
      <w:rFonts w:eastAsia="SimSun"/>
    </w:rPr>
  </w:style>
  <w:style w:type="paragraph" w:customStyle="1" w:styleId="xl170">
    <w:name w:val="xl170"/>
    <w:basedOn w:val="Normal"/>
    <w:semiHidden/>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pPr>
    <w:rPr>
      <w:rFonts w:eastAsia="SimSun"/>
    </w:rPr>
  </w:style>
  <w:style w:type="paragraph" w:customStyle="1" w:styleId="xl171">
    <w:name w:val="xl171"/>
    <w:basedOn w:val="Normal"/>
    <w:semiHidden/>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pPr>
    <w:rPr>
      <w:rFonts w:eastAsia="SimSun"/>
    </w:rPr>
  </w:style>
  <w:style w:type="paragraph" w:customStyle="1" w:styleId="xl172">
    <w:name w:val="xl172"/>
    <w:basedOn w:val="Normal"/>
    <w:semiHidden/>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pPr>
    <w:rPr>
      <w:rFonts w:eastAsia="SimSun"/>
    </w:rPr>
  </w:style>
  <w:style w:type="paragraph" w:customStyle="1" w:styleId="xl173">
    <w:name w:val="xl173"/>
    <w:basedOn w:val="Normal"/>
    <w:semiHidden/>
    <w:qFormat/>
    <w:pPr>
      <w:pBdr>
        <w:top w:val="single" w:sz="8" w:space="0" w:color="auto"/>
        <w:bottom w:val="single" w:sz="8" w:space="0" w:color="auto"/>
      </w:pBdr>
      <w:shd w:val="clear" w:color="000000" w:fill="00B0F0"/>
      <w:spacing w:before="100" w:beforeAutospacing="1" w:after="100" w:afterAutospacing="1"/>
      <w:textAlignment w:val="top"/>
    </w:pPr>
    <w:rPr>
      <w:rFonts w:ascii="Castellar" w:eastAsia="SimSun" w:hAnsi="Castellar"/>
      <w:b/>
      <w:bCs/>
      <w:sz w:val="20"/>
      <w:szCs w:val="20"/>
    </w:rPr>
  </w:style>
  <w:style w:type="paragraph" w:customStyle="1" w:styleId="xl174">
    <w:name w:val="xl174"/>
    <w:basedOn w:val="Normal"/>
    <w:semiHidden/>
    <w:pPr>
      <w:pBdr>
        <w:bottom w:val="single" w:sz="8" w:space="0" w:color="auto"/>
        <w:right w:val="single" w:sz="8" w:space="0" w:color="auto"/>
      </w:pBdr>
      <w:shd w:val="clear" w:color="000000" w:fill="FFFF00"/>
      <w:spacing w:before="100" w:beforeAutospacing="1" w:after="100" w:afterAutospacing="1"/>
      <w:textAlignment w:val="top"/>
    </w:pPr>
    <w:rPr>
      <w:rFonts w:eastAsia="SimSun"/>
    </w:rPr>
  </w:style>
  <w:style w:type="paragraph" w:customStyle="1" w:styleId="xl175">
    <w:name w:val="xl175"/>
    <w:basedOn w:val="Normal"/>
    <w:semiHidden/>
    <w:pPr>
      <w:pBdr>
        <w:bottom w:val="single" w:sz="8" w:space="0" w:color="auto"/>
      </w:pBdr>
      <w:shd w:val="clear" w:color="000000" w:fill="FFF2CC"/>
      <w:spacing w:before="100" w:beforeAutospacing="1" w:after="100" w:afterAutospacing="1"/>
      <w:textAlignment w:val="center"/>
    </w:pPr>
    <w:rPr>
      <w:rFonts w:eastAsia="SimSun"/>
      <w:color w:val="FF0000"/>
    </w:rPr>
  </w:style>
  <w:style w:type="paragraph" w:customStyle="1" w:styleId="xl176">
    <w:name w:val="xl176"/>
    <w:basedOn w:val="Normal"/>
    <w:semiHidden/>
    <w:pPr>
      <w:pBdr>
        <w:bottom w:val="single" w:sz="8" w:space="0" w:color="auto"/>
      </w:pBdr>
      <w:shd w:val="clear" w:color="000000" w:fill="DBDBDB"/>
      <w:spacing w:before="100" w:beforeAutospacing="1" w:after="100" w:afterAutospacing="1"/>
      <w:textAlignment w:val="center"/>
    </w:pPr>
    <w:rPr>
      <w:rFonts w:eastAsia="SimSun"/>
    </w:rPr>
  </w:style>
  <w:style w:type="paragraph" w:customStyle="1" w:styleId="xl177">
    <w:name w:val="xl177"/>
    <w:basedOn w:val="Normal"/>
    <w:semiHidden/>
    <w:pPr>
      <w:pBdr>
        <w:bottom w:val="single" w:sz="8" w:space="0" w:color="auto"/>
      </w:pBdr>
      <w:shd w:val="clear" w:color="000000" w:fill="A9D08E"/>
      <w:spacing w:before="100" w:beforeAutospacing="1" w:after="100" w:afterAutospacing="1"/>
      <w:textAlignment w:val="center"/>
    </w:pPr>
    <w:rPr>
      <w:rFonts w:eastAsia="SimSun"/>
    </w:rPr>
  </w:style>
  <w:style w:type="paragraph" w:customStyle="1" w:styleId="xl178">
    <w:name w:val="xl178"/>
    <w:basedOn w:val="Normal"/>
    <w:semiHidden/>
    <w:pPr>
      <w:pBdr>
        <w:bottom w:val="single" w:sz="8" w:space="0" w:color="auto"/>
      </w:pBdr>
      <w:shd w:val="clear" w:color="000000" w:fill="D6DCE4"/>
      <w:spacing w:before="100" w:beforeAutospacing="1" w:after="100" w:afterAutospacing="1"/>
      <w:textAlignment w:val="center"/>
    </w:pPr>
    <w:rPr>
      <w:rFonts w:eastAsia="SimSun"/>
    </w:rPr>
  </w:style>
  <w:style w:type="paragraph" w:customStyle="1" w:styleId="xl179">
    <w:name w:val="xl179"/>
    <w:basedOn w:val="Normal"/>
    <w:semiHidden/>
    <w:qFormat/>
    <w:pPr>
      <w:pBdr>
        <w:top w:val="single" w:sz="4" w:space="0" w:color="auto"/>
        <w:left w:val="single" w:sz="4" w:space="0" w:color="auto"/>
        <w:bottom w:val="single" w:sz="4" w:space="0" w:color="auto"/>
      </w:pBdr>
      <w:shd w:val="clear" w:color="000000" w:fill="D6DCE4"/>
      <w:spacing w:before="100" w:beforeAutospacing="1" w:after="100" w:afterAutospacing="1"/>
    </w:pPr>
    <w:rPr>
      <w:rFonts w:eastAsia="SimSun"/>
    </w:rPr>
  </w:style>
  <w:style w:type="paragraph" w:customStyle="1" w:styleId="xl180">
    <w:name w:val="xl180"/>
    <w:basedOn w:val="Normal"/>
    <w:semiHidden/>
    <w:qFormat/>
    <w:pPr>
      <w:pBdr>
        <w:top w:val="single" w:sz="4" w:space="0" w:color="auto"/>
        <w:left w:val="single" w:sz="4" w:space="0" w:color="auto"/>
        <w:bottom w:val="single" w:sz="4" w:space="0" w:color="auto"/>
      </w:pBdr>
      <w:shd w:val="clear" w:color="000000" w:fill="FFD966"/>
      <w:spacing w:before="100" w:beforeAutospacing="1" w:after="100" w:afterAutospacing="1"/>
    </w:pPr>
    <w:rPr>
      <w:rFonts w:eastAsia="SimSun"/>
    </w:rPr>
  </w:style>
  <w:style w:type="paragraph" w:customStyle="1" w:styleId="xl181">
    <w:name w:val="xl181"/>
    <w:basedOn w:val="Normal"/>
    <w:semiHidden/>
    <w:pPr>
      <w:pBdr>
        <w:top w:val="single" w:sz="4" w:space="0" w:color="auto"/>
        <w:left w:val="single" w:sz="4" w:space="0" w:color="auto"/>
        <w:bottom w:val="single" w:sz="4" w:space="0" w:color="auto"/>
      </w:pBdr>
      <w:shd w:val="clear" w:color="000000" w:fill="F8CBAD"/>
      <w:spacing w:before="100" w:beforeAutospacing="1" w:after="100" w:afterAutospacing="1"/>
    </w:pPr>
    <w:rPr>
      <w:rFonts w:eastAsia="SimSun"/>
    </w:rPr>
  </w:style>
  <w:style w:type="paragraph" w:customStyle="1" w:styleId="xl182">
    <w:name w:val="xl182"/>
    <w:basedOn w:val="Normal"/>
    <w:semiHidden/>
    <w:pPr>
      <w:pBdr>
        <w:top w:val="single" w:sz="4" w:space="0" w:color="auto"/>
        <w:left w:val="single" w:sz="4" w:space="0" w:color="auto"/>
        <w:bottom w:val="single" w:sz="4" w:space="0" w:color="auto"/>
      </w:pBdr>
      <w:shd w:val="clear" w:color="000000" w:fill="A9D08E"/>
      <w:spacing w:before="100" w:beforeAutospacing="1" w:after="100" w:afterAutospacing="1"/>
    </w:pPr>
    <w:rPr>
      <w:rFonts w:eastAsia="SimSun"/>
    </w:rPr>
  </w:style>
  <w:style w:type="paragraph" w:customStyle="1" w:styleId="xl183">
    <w:name w:val="xl183"/>
    <w:basedOn w:val="Normal"/>
    <w:semiHidden/>
    <w:pPr>
      <w:pBdr>
        <w:top w:val="single" w:sz="4" w:space="0" w:color="auto"/>
        <w:left w:val="single" w:sz="4" w:space="0" w:color="auto"/>
        <w:bottom w:val="single" w:sz="4" w:space="0" w:color="auto"/>
      </w:pBdr>
      <w:shd w:val="clear" w:color="000000" w:fill="DDEBF7"/>
      <w:spacing w:before="100" w:beforeAutospacing="1" w:after="100" w:afterAutospacing="1"/>
    </w:pPr>
    <w:rPr>
      <w:rFonts w:eastAsia="SimSun"/>
    </w:rPr>
  </w:style>
  <w:style w:type="paragraph" w:customStyle="1" w:styleId="xl184">
    <w:name w:val="xl184"/>
    <w:basedOn w:val="Normal"/>
    <w:semiHidden/>
    <w:pPr>
      <w:pBdr>
        <w:bottom w:val="single" w:sz="8" w:space="0" w:color="auto"/>
        <w:right w:val="single" w:sz="8" w:space="0" w:color="auto"/>
      </w:pBdr>
      <w:shd w:val="clear" w:color="000000" w:fill="FCE4D6"/>
      <w:spacing w:before="100" w:beforeAutospacing="1" w:after="100" w:afterAutospacing="1"/>
      <w:jc w:val="center"/>
      <w:textAlignment w:val="top"/>
    </w:pPr>
    <w:rPr>
      <w:rFonts w:ascii="Castellar" w:eastAsia="SimSun" w:hAnsi="Castellar"/>
      <w:b/>
      <w:bCs/>
      <w:color w:val="000000"/>
      <w:sz w:val="20"/>
      <w:szCs w:val="20"/>
    </w:rPr>
  </w:style>
  <w:style w:type="paragraph" w:customStyle="1" w:styleId="xl185">
    <w:name w:val="xl185"/>
    <w:basedOn w:val="Normal"/>
    <w:semiHidden/>
    <w:pPr>
      <w:pBdr>
        <w:bottom w:val="single" w:sz="8" w:space="0" w:color="auto"/>
        <w:right w:val="single" w:sz="8" w:space="0" w:color="auto"/>
      </w:pBdr>
      <w:shd w:val="clear" w:color="000000" w:fill="FCE4D6"/>
      <w:spacing w:before="100" w:beforeAutospacing="1" w:after="100" w:afterAutospacing="1"/>
      <w:textAlignment w:val="top"/>
    </w:pPr>
    <w:rPr>
      <w:rFonts w:ascii="Castellar" w:eastAsia="SimSun" w:hAnsi="Castellar"/>
      <w:b/>
      <w:bCs/>
      <w:color w:val="000000"/>
      <w:sz w:val="20"/>
      <w:szCs w:val="20"/>
    </w:rPr>
  </w:style>
  <w:style w:type="paragraph" w:customStyle="1" w:styleId="xl186">
    <w:name w:val="xl186"/>
    <w:basedOn w:val="Normal"/>
    <w:semiHidden/>
    <w:pPr>
      <w:pBdr>
        <w:bottom w:val="single" w:sz="8" w:space="0" w:color="auto"/>
        <w:right w:val="single" w:sz="8" w:space="0" w:color="auto"/>
      </w:pBdr>
      <w:shd w:val="clear" w:color="000000" w:fill="FCE4D6"/>
      <w:spacing w:before="100" w:beforeAutospacing="1" w:after="100" w:afterAutospacing="1"/>
      <w:jc w:val="center"/>
      <w:textAlignment w:val="top"/>
    </w:pPr>
    <w:rPr>
      <w:rFonts w:ascii="Castellar" w:eastAsia="SimSun" w:hAnsi="Castellar"/>
      <w:b/>
      <w:bCs/>
      <w:sz w:val="20"/>
      <w:szCs w:val="20"/>
    </w:rPr>
  </w:style>
  <w:style w:type="paragraph" w:customStyle="1" w:styleId="xl187">
    <w:name w:val="xl187"/>
    <w:basedOn w:val="Normal"/>
    <w:semiHidden/>
    <w:pPr>
      <w:pBdr>
        <w:bottom w:val="single" w:sz="8" w:space="0" w:color="auto"/>
      </w:pBdr>
      <w:shd w:val="clear" w:color="000000" w:fill="FCE4D6"/>
      <w:spacing w:before="100" w:beforeAutospacing="1" w:after="100" w:afterAutospacing="1"/>
      <w:textAlignment w:val="top"/>
    </w:pPr>
    <w:rPr>
      <w:rFonts w:ascii="Castellar" w:eastAsia="SimSun" w:hAnsi="Castellar"/>
      <w:b/>
      <w:bCs/>
      <w:sz w:val="20"/>
      <w:szCs w:val="20"/>
    </w:rPr>
  </w:style>
  <w:style w:type="paragraph" w:customStyle="1" w:styleId="xl188">
    <w:name w:val="xl188"/>
    <w:basedOn w:val="Normal"/>
    <w:semiHidden/>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top"/>
    </w:pPr>
    <w:rPr>
      <w:rFonts w:ascii="Castellar" w:eastAsia="SimSun" w:hAnsi="Castellar"/>
      <w:b/>
      <w:bCs/>
      <w:color w:val="000000"/>
      <w:sz w:val="20"/>
      <w:szCs w:val="20"/>
    </w:rPr>
  </w:style>
  <w:style w:type="paragraph" w:customStyle="1" w:styleId="xl189">
    <w:name w:val="xl189"/>
    <w:basedOn w:val="Normal"/>
    <w:semiHidden/>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top"/>
    </w:pPr>
    <w:rPr>
      <w:rFonts w:ascii="Castellar" w:eastAsia="SimSun" w:hAnsi="Castellar"/>
      <w:b/>
      <w:bCs/>
      <w:sz w:val="20"/>
      <w:szCs w:val="20"/>
    </w:rPr>
  </w:style>
  <w:style w:type="paragraph" w:customStyle="1" w:styleId="xl190">
    <w:name w:val="xl190"/>
    <w:basedOn w:val="Normal"/>
    <w:semiHidden/>
    <w:pPr>
      <w:pBdr>
        <w:top w:val="single" w:sz="8" w:space="0" w:color="auto"/>
        <w:right w:val="single" w:sz="8" w:space="0" w:color="auto"/>
      </w:pBdr>
      <w:shd w:val="clear" w:color="000000" w:fill="00B0F0"/>
      <w:spacing w:before="100" w:beforeAutospacing="1" w:after="100" w:afterAutospacing="1"/>
      <w:jc w:val="center"/>
      <w:textAlignment w:val="top"/>
    </w:pPr>
    <w:rPr>
      <w:rFonts w:ascii="Castellar" w:eastAsia="SimSun" w:hAnsi="Castellar"/>
      <w:b/>
      <w:bCs/>
      <w:color w:val="000000"/>
      <w:sz w:val="20"/>
      <w:szCs w:val="20"/>
    </w:rPr>
  </w:style>
  <w:style w:type="paragraph" w:customStyle="1" w:styleId="xl191">
    <w:name w:val="xl191"/>
    <w:basedOn w:val="Normal"/>
    <w:semiHidden/>
    <w:pPr>
      <w:pBdr>
        <w:bottom w:val="single" w:sz="8" w:space="0" w:color="auto"/>
      </w:pBdr>
      <w:shd w:val="clear" w:color="000000" w:fill="FCE4D6"/>
      <w:spacing w:before="100" w:beforeAutospacing="1" w:after="100" w:afterAutospacing="1"/>
      <w:jc w:val="center"/>
      <w:textAlignment w:val="top"/>
    </w:pPr>
    <w:rPr>
      <w:rFonts w:ascii="Castellar" w:eastAsia="SimSun" w:hAnsi="Castellar"/>
      <w:b/>
      <w:bCs/>
      <w:color w:val="000000"/>
      <w:sz w:val="20"/>
      <w:szCs w:val="20"/>
    </w:rPr>
  </w:style>
  <w:style w:type="paragraph" w:customStyle="1" w:styleId="xl192">
    <w:name w:val="xl192"/>
    <w:basedOn w:val="Normal"/>
    <w:semiHidden/>
    <w:pPr>
      <w:pBdr>
        <w:top w:val="single" w:sz="8" w:space="0" w:color="auto"/>
        <w:left w:val="single" w:sz="8" w:space="0" w:color="auto"/>
        <w:right w:val="single" w:sz="8" w:space="0" w:color="auto"/>
      </w:pBdr>
      <w:spacing w:before="100" w:beforeAutospacing="1" w:after="100" w:afterAutospacing="1"/>
      <w:jc w:val="center"/>
      <w:textAlignment w:val="center"/>
    </w:pPr>
    <w:rPr>
      <w:rFonts w:ascii="Castellar" w:eastAsia="SimSun" w:hAnsi="Castellar"/>
      <w:b/>
      <w:bCs/>
      <w:sz w:val="20"/>
      <w:szCs w:val="20"/>
    </w:rPr>
  </w:style>
  <w:style w:type="paragraph" w:customStyle="1" w:styleId="xl193">
    <w:name w:val="xl193"/>
    <w:basedOn w:val="Normal"/>
    <w:semiHidden/>
    <w:pPr>
      <w:spacing w:before="100" w:beforeAutospacing="1" w:after="100" w:afterAutospacing="1"/>
    </w:pPr>
    <w:rPr>
      <w:rFonts w:ascii="Castellar" w:eastAsia="SimSun" w:hAnsi="Castellar"/>
      <w:b/>
      <w:bCs/>
    </w:rPr>
  </w:style>
  <w:style w:type="paragraph" w:customStyle="1" w:styleId="xl194">
    <w:name w:val="xl194"/>
    <w:basedOn w:val="Normal"/>
    <w:semiHidden/>
    <w:pPr>
      <w:spacing w:before="100" w:beforeAutospacing="1" w:after="100" w:afterAutospacing="1"/>
      <w:textAlignment w:val="top"/>
    </w:pPr>
    <w:rPr>
      <w:rFonts w:ascii="Castellar" w:eastAsia="SimSun" w:hAnsi="Castellar"/>
    </w:rPr>
  </w:style>
  <w:style w:type="paragraph" w:customStyle="1" w:styleId="xl195">
    <w:name w:val="xl195"/>
    <w:basedOn w:val="Normal"/>
    <w:semiHidden/>
    <w:pPr>
      <w:pBdr>
        <w:bottom w:val="single" w:sz="8" w:space="0" w:color="auto"/>
        <w:right w:val="single" w:sz="8" w:space="0" w:color="auto"/>
      </w:pBdr>
      <w:shd w:val="clear" w:color="000000" w:fill="E2EFDA"/>
      <w:spacing w:before="100" w:beforeAutospacing="1" w:after="100" w:afterAutospacing="1"/>
      <w:jc w:val="center"/>
      <w:textAlignment w:val="center"/>
    </w:pPr>
    <w:rPr>
      <w:rFonts w:eastAsia="SimSun"/>
      <w:color w:val="0563C1"/>
      <w:u w:val="single"/>
    </w:rPr>
  </w:style>
  <w:style w:type="paragraph" w:customStyle="1" w:styleId="xl196">
    <w:name w:val="xl196"/>
    <w:basedOn w:val="Normal"/>
    <w:semiHidden/>
    <w:pPr>
      <w:pBdr>
        <w:bottom w:val="single" w:sz="8" w:space="0" w:color="auto"/>
        <w:right w:val="single" w:sz="8" w:space="0" w:color="auto"/>
      </w:pBdr>
      <w:shd w:val="clear" w:color="000000" w:fill="E2EFDA"/>
      <w:spacing w:before="100" w:beforeAutospacing="1" w:after="100" w:afterAutospacing="1"/>
      <w:jc w:val="center"/>
      <w:textAlignment w:val="center"/>
    </w:pPr>
    <w:rPr>
      <w:rFonts w:eastAsia="SimSun"/>
    </w:rPr>
  </w:style>
  <w:style w:type="paragraph" w:customStyle="1" w:styleId="xl197">
    <w:name w:val="xl197"/>
    <w:basedOn w:val="Normal"/>
    <w:semiHidden/>
    <w:pPr>
      <w:pBdr>
        <w:bottom w:val="single" w:sz="8" w:space="0" w:color="auto"/>
        <w:right w:val="single" w:sz="8" w:space="0" w:color="auto"/>
      </w:pBdr>
      <w:shd w:val="clear" w:color="000000" w:fill="FFFF00"/>
      <w:spacing w:before="100" w:beforeAutospacing="1" w:after="100" w:afterAutospacing="1"/>
      <w:jc w:val="center"/>
      <w:textAlignment w:val="center"/>
    </w:pPr>
    <w:rPr>
      <w:rFonts w:eastAsia="SimSun"/>
      <w:color w:val="0563C1"/>
      <w:u w:val="single"/>
    </w:rPr>
  </w:style>
  <w:style w:type="paragraph" w:customStyle="1" w:styleId="xl198">
    <w:name w:val="xl198"/>
    <w:basedOn w:val="Normal"/>
    <w:semiHidden/>
    <w:pPr>
      <w:pBdr>
        <w:top w:val="single" w:sz="8" w:space="0" w:color="auto"/>
        <w:left w:val="single" w:sz="8"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eastAsia="SimSun"/>
    </w:rPr>
  </w:style>
  <w:style w:type="paragraph" w:customStyle="1" w:styleId="xl199">
    <w:name w:val="xl199"/>
    <w:basedOn w:val="Normal"/>
    <w:semiHidden/>
    <w:pPr>
      <w:pBdr>
        <w:top w:val="single" w:sz="8" w:space="0" w:color="auto"/>
        <w:left w:val="single" w:sz="4" w:space="0" w:color="auto"/>
        <w:bottom w:val="single" w:sz="4" w:space="0" w:color="auto"/>
        <w:right w:val="single" w:sz="4" w:space="0" w:color="auto"/>
      </w:pBdr>
      <w:shd w:val="clear" w:color="000000" w:fill="FCE4D6"/>
      <w:spacing w:before="100" w:beforeAutospacing="1" w:after="100" w:afterAutospacing="1"/>
      <w:jc w:val="center"/>
    </w:pPr>
    <w:rPr>
      <w:rFonts w:eastAsia="SimSun"/>
    </w:rPr>
  </w:style>
  <w:style w:type="paragraph" w:customStyle="1" w:styleId="xl200">
    <w:name w:val="xl200"/>
    <w:basedOn w:val="Normal"/>
    <w:semiHidden/>
    <w:pPr>
      <w:pBdr>
        <w:top w:val="single" w:sz="8"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eastAsia="SimSun"/>
    </w:rPr>
  </w:style>
  <w:style w:type="paragraph" w:customStyle="1" w:styleId="xl201">
    <w:name w:val="xl201"/>
    <w:basedOn w:val="Normal"/>
    <w:semiHidden/>
    <w:pPr>
      <w:pBdr>
        <w:top w:val="single" w:sz="8"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eastAsia="SimSun"/>
    </w:rPr>
  </w:style>
  <w:style w:type="paragraph" w:customStyle="1" w:styleId="xl202">
    <w:name w:val="xl202"/>
    <w:basedOn w:val="Normal"/>
    <w:semiHidden/>
    <w:pPr>
      <w:pBdr>
        <w:top w:val="single" w:sz="4" w:space="0" w:color="auto"/>
        <w:left w:val="single" w:sz="8"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eastAsia="SimSun"/>
    </w:rPr>
  </w:style>
  <w:style w:type="paragraph" w:customStyle="1" w:styleId="xl203">
    <w:name w:val="xl203"/>
    <w:basedOn w:val="Normal"/>
    <w:semiHidden/>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eastAsia="SimSun"/>
    </w:rPr>
  </w:style>
  <w:style w:type="paragraph" w:customStyle="1" w:styleId="xl204">
    <w:name w:val="xl204"/>
    <w:basedOn w:val="Normal"/>
    <w:semiHidden/>
    <w:pPr>
      <w:pBdr>
        <w:top w:val="single" w:sz="4" w:space="0" w:color="auto"/>
        <w:left w:val="single" w:sz="8" w:space="0" w:color="auto"/>
        <w:bottom w:val="single" w:sz="8" w:space="0" w:color="auto"/>
        <w:right w:val="single" w:sz="4" w:space="0" w:color="auto"/>
      </w:pBdr>
      <w:shd w:val="clear" w:color="000000" w:fill="FCE4D6"/>
      <w:spacing w:before="100" w:beforeAutospacing="1" w:after="100" w:afterAutospacing="1"/>
      <w:jc w:val="center"/>
      <w:textAlignment w:val="center"/>
    </w:pPr>
    <w:rPr>
      <w:rFonts w:eastAsia="SimSun"/>
    </w:rPr>
  </w:style>
  <w:style w:type="paragraph" w:customStyle="1" w:styleId="xl205">
    <w:name w:val="xl205"/>
    <w:basedOn w:val="Normal"/>
    <w:semiHidden/>
    <w:pPr>
      <w:pBdr>
        <w:top w:val="single" w:sz="4" w:space="0" w:color="auto"/>
        <w:left w:val="single" w:sz="4" w:space="0" w:color="auto"/>
        <w:bottom w:val="single" w:sz="8" w:space="0" w:color="auto"/>
        <w:right w:val="single" w:sz="4" w:space="0" w:color="auto"/>
      </w:pBdr>
      <w:shd w:val="clear" w:color="000000" w:fill="FCE4D6"/>
      <w:spacing w:before="100" w:beforeAutospacing="1" w:after="100" w:afterAutospacing="1"/>
      <w:jc w:val="center"/>
    </w:pPr>
    <w:rPr>
      <w:rFonts w:eastAsia="SimSun"/>
    </w:rPr>
  </w:style>
  <w:style w:type="paragraph" w:customStyle="1" w:styleId="xl206">
    <w:name w:val="xl206"/>
    <w:basedOn w:val="Normal"/>
    <w:semiHidden/>
    <w:pPr>
      <w:pBdr>
        <w:top w:val="single" w:sz="4" w:space="0" w:color="auto"/>
        <w:left w:val="single" w:sz="4" w:space="0" w:color="auto"/>
        <w:bottom w:val="single" w:sz="8" w:space="0" w:color="auto"/>
        <w:right w:val="single" w:sz="4" w:space="0" w:color="auto"/>
      </w:pBdr>
      <w:shd w:val="clear" w:color="000000" w:fill="FCE4D6"/>
      <w:spacing w:before="100" w:beforeAutospacing="1" w:after="100" w:afterAutospacing="1"/>
      <w:jc w:val="center"/>
      <w:textAlignment w:val="center"/>
    </w:pPr>
    <w:rPr>
      <w:rFonts w:eastAsia="SimSun"/>
    </w:rPr>
  </w:style>
  <w:style w:type="paragraph" w:customStyle="1" w:styleId="xl207">
    <w:name w:val="xl207"/>
    <w:basedOn w:val="Normal"/>
    <w:semiHidden/>
    <w:pPr>
      <w:pBdr>
        <w:top w:val="single" w:sz="4" w:space="0" w:color="auto"/>
        <w:left w:val="single" w:sz="4" w:space="0" w:color="auto"/>
        <w:right w:val="single" w:sz="4" w:space="0" w:color="auto"/>
      </w:pBdr>
      <w:shd w:val="clear" w:color="000000" w:fill="FCE4D6"/>
      <w:spacing w:before="100" w:beforeAutospacing="1" w:after="100" w:afterAutospacing="1"/>
      <w:jc w:val="center"/>
    </w:pPr>
    <w:rPr>
      <w:rFonts w:eastAsia="SimSun"/>
    </w:rPr>
  </w:style>
  <w:style w:type="paragraph" w:customStyle="1" w:styleId="xl208">
    <w:name w:val="xl208"/>
    <w:basedOn w:val="Normal"/>
    <w:semiHidden/>
    <w:pPr>
      <w:pBdr>
        <w:top w:val="single" w:sz="4" w:space="0" w:color="auto"/>
        <w:left w:val="single" w:sz="4" w:space="0" w:color="auto"/>
        <w:right w:val="single" w:sz="4" w:space="0" w:color="auto"/>
      </w:pBdr>
      <w:shd w:val="clear" w:color="000000" w:fill="FCE4D6"/>
      <w:spacing w:before="100" w:beforeAutospacing="1" w:after="100" w:afterAutospacing="1"/>
      <w:jc w:val="center"/>
      <w:textAlignment w:val="center"/>
    </w:pPr>
    <w:rPr>
      <w:rFonts w:eastAsia="SimSun"/>
    </w:rPr>
  </w:style>
  <w:style w:type="paragraph" w:customStyle="1" w:styleId="xl209">
    <w:name w:val="xl209"/>
    <w:basedOn w:val="Normal"/>
    <w:semiHidden/>
    <w:pPr>
      <w:pBdr>
        <w:top w:val="single" w:sz="4" w:space="0" w:color="auto"/>
        <w:left w:val="single" w:sz="4" w:space="0" w:color="auto"/>
        <w:right w:val="single" w:sz="4" w:space="0" w:color="auto"/>
      </w:pBdr>
      <w:shd w:val="clear" w:color="000000" w:fill="92D050"/>
      <w:spacing w:before="100" w:beforeAutospacing="1" w:after="100" w:afterAutospacing="1"/>
      <w:textAlignment w:val="center"/>
    </w:pPr>
    <w:rPr>
      <w:rFonts w:eastAsia="SimSun"/>
    </w:rPr>
  </w:style>
  <w:style w:type="paragraph" w:customStyle="1" w:styleId="xl210">
    <w:name w:val="xl210"/>
    <w:basedOn w:val="Normal"/>
    <w:semiHidden/>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top"/>
    </w:pPr>
    <w:rPr>
      <w:rFonts w:eastAsia="SimSun"/>
      <w:color w:val="0563C1"/>
      <w:u w:val="single"/>
    </w:rPr>
  </w:style>
  <w:style w:type="paragraph" w:customStyle="1" w:styleId="xl211">
    <w:name w:val="xl211"/>
    <w:basedOn w:val="Normal"/>
    <w:semiHidden/>
    <w:pPr>
      <w:pBdr>
        <w:bottom w:val="single" w:sz="8" w:space="0" w:color="auto"/>
        <w:right w:val="single" w:sz="8" w:space="0" w:color="auto"/>
      </w:pBdr>
      <w:shd w:val="clear" w:color="000000" w:fill="FFF2CC"/>
      <w:spacing w:before="100" w:beforeAutospacing="1" w:after="100" w:afterAutospacing="1"/>
      <w:jc w:val="center"/>
      <w:textAlignment w:val="center"/>
    </w:pPr>
    <w:rPr>
      <w:rFonts w:eastAsia="SimSun"/>
      <w:color w:val="0563C1"/>
      <w:u w:val="single"/>
    </w:rPr>
  </w:style>
  <w:style w:type="paragraph" w:customStyle="1" w:styleId="xl212">
    <w:name w:val="xl212"/>
    <w:basedOn w:val="Normal"/>
    <w:semiHidden/>
    <w:pPr>
      <w:pBdr>
        <w:bottom w:val="single" w:sz="8" w:space="0" w:color="auto"/>
        <w:right w:val="single" w:sz="8" w:space="0" w:color="auto"/>
      </w:pBdr>
      <w:shd w:val="clear" w:color="000000" w:fill="FFF2CC"/>
      <w:spacing w:before="100" w:beforeAutospacing="1" w:after="100" w:afterAutospacing="1"/>
      <w:textAlignment w:val="center"/>
    </w:pPr>
    <w:rPr>
      <w:rFonts w:eastAsia="SimSun"/>
      <w:color w:val="0563C1"/>
      <w:u w:val="single"/>
    </w:rPr>
  </w:style>
  <w:style w:type="paragraph" w:customStyle="1" w:styleId="xl213">
    <w:name w:val="xl213"/>
    <w:basedOn w:val="Normal"/>
    <w:semiHidden/>
    <w:pPr>
      <w:pBdr>
        <w:right w:val="single" w:sz="8" w:space="0" w:color="auto"/>
      </w:pBdr>
      <w:shd w:val="clear" w:color="000000" w:fill="DBDBDB"/>
      <w:spacing w:before="100" w:beforeAutospacing="1" w:after="100" w:afterAutospacing="1"/>
      <w:textAlignment w:val="center"/>
    </w:pPr>
    <w:rPr>
      <w:rFonts w:eastAsia="SimSun"/>
    </w:rPr>
  </w:style>
  <w:style w:type="paragraph" w:customStyle="1" w:styleId="xl214">
    <w:name w:val="xl214"/>
    <w:basedOn w:val="Normal"/>
    <w:semiHidden/>
    <w:pPr>
      <w:pBdr>
        <w:right w:val="single" w:sz="8" w:space="0" w:color="auto"/>
      </w:pBdr>
      <w:shd w:val="clear" w:color="000000" w:fill="DBDBDB"/>
      <w:spacing w:before="100" w:beforeAutospacing="1" w:after="100" w:afterAutospacing="1"/>
      <w:jc w:val="center"/>
      <w:textAlignment w:val="center"/>
    </w:pPr>
    <w:rPr>
      <w:rFonts w:eastAsia="SimSun"/>
      <w:color w:val="0563C1"/>
      <w:u w:val="single"/>
    </w:rPr>
  </w:style>
  <w:style w:type="paragraph" w:customStyle="1" w:styleId="xl215">
    <w:name w:val="xl215"/>
    <w:basedOn w:val="Normal"/>
    <w:semiHidden/>
    <w:pPr>
      <w:pBdr>
        <w:bottom w:val="single" w:sz="8" w:space="0" w:color="auto"/>
        <w:right w:val="single" w:sz="8" w:space="0" w:color="auto"/>
      </w:pBdr>
      <w:shd w:val="clear" w:color="000000" w:fill="DBDBDB"/>
      <w:spacing w:before="100" w:beforeAutospacing="1" w:after="100" w:afterAutospacing="1"/>
      <w:jc w:val="center"/>
      <w:textAlignment w:val="center"/>
    </w:pPr>
    <w:rPr>
      <w:rFonts w:eastAsia="SimSun"/>
      <w:color w:val="0563C1"/>
      <w:u w:val="single"/>
    </w:rPr>
  </w:style>
  <w:style w:type="paragraph" w:customStyle="1" w:styleId="xl216">
    <w:name w:val="xl216"/>
    <w:basedOn w:val="Normal"/>
    <w:semiHidden/>
    <w:pPr>
      <w:pBdr>
        <w:top w:val="single" w:sz="8" w:space="0" w:color="auto"/>
        <w:left w:val="single" w:sz="8" w:space="0" w:color="auto"/>
        <w:bottom w:val="single" w:sz="4" w:space="0" w:color="auto"/>
        <w:right w:val="single" w:sz="8" w:space="0" w:color="auto"/>
      </w:pBdr>
      <w:shd w:val="clear" w:color="000000" w:fill="DBDBDB"/>
      <w:spacing w:before="100" w:beforeAutospacing="1" w:after="100" w:afterAutospacing="1"/>
      <w:jc w:val="center"/>
      <w:textAlignment w:val="center"/>
    </w:pPr>
    <w:rPr>
      <w:rFonts w:eastAsia="SimSun"/>
    </w:rPr>
  </w:style>
  <w:style w:type="paragraph" w:customStyle="1" w:styleId="xl217">
    <w:name w:val="xl217"/>
    <w:basedOn w:val="Normal"/>
    <w:semiHidden/>
    <w:pPr>
      <w:pBdr>
        <w:top w:val="single" w:sz="4" w:space="0" w:color="auto"/>
        <w:left w:val="single" w:sz="4" w:space="0" w:color="auto"/>
        <w:bottom w:val="single" w:sz="4" w:space="0" w:color="auto"/>
        <w:right w:val="single" w:sz="4" w:space="0" w:color="auto"/>
      </w:pBdr>
      <w:shd w:val="clear" w:color="000000" w:fill="DBDBDB"/>
      <w:spacing w:before="100" w:beforeAutospacing="1" w:after="100" w:afterAutospacing="1"/>
      <w:textAlignment w:val="center"/>
    </w:pPr>
    <w:rPr>
      <w:rFonts w:eastAsia="SimSun"/>
    </w:rPr>
  </w:style>
  <w:style w:type="paragraph" w:customStyle="1" w:styleId="xl218">
    <w:name w:val="xl218"/>
    <w:basedOn w:val="Normal"/>
    <w:semiHidden/>
    <w:pPr>
      <w:pBdr>
        <w:top w:val="single" w:sz="4" w:space="0" w:color="auto"/>
        <w:left w:val="single" w:sz="4" w:space="0" w:color="auto"/>
        <w:bottom w:val="single" w:sz="4" w:space="0" w:color="auto"/>
        <w:right w:val="single" w:sz="4" w:space="0" w:color="auto"/>
      </w:pBdr>
      <w:shd w:val="clear" w:color="000000" w:fill="DBDBDB"/>
      <w:spacing w:before="100" w:beforeAutospacing="1" w:after="100" w:afterAutospacing="1"/>
      <w:jc w:val="center"/>
      <w:textAlignment w:val="center"/>
    </w:pPr>
    <w:rPr>
      <w:rFonts w:eastAsia="SimSun"/>
    </w:rPr>
  </w:style>
  <w:style w:type="paragraph" w:customStyle="1" w:styleId="xl219">
    <w:name w:val="xl219"/>
    <w:basedOn w:val="Normal"/>
    <w:semiHidden/>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pPr>
    <w:rPr>
      <w:rFonts w:eastAsia="SimSun"/>
      <w:color w:val="0563C1"/>
      <w:u w:val="single"/>
    </w:rPr>
  </w:style>
  <w:style w:type="paragraph" w:customStyle="1" w:styleId="xl220">
    <w:name w:val="xl220"/>
    <w:basedOn w:val="Normal"/>
    <w:semiHidden/>
    <w:pPr>
      <w:pBdr>
        <w:top w:val="single" w:sz="4" w:space="0" w:color="auto"/>
        <w:left w:val="single" w:sz="4" w:space="0" w:color="auto"/>
        <w:right w:val="single" w:sz="4" w:space="0" w:color="auto"/>
      </w:pBdr>
      <w:shd w:val="clear" w:color="000000" w:fill="F8CBAD"/>
      <w:spacing w:before="100" w:beforeAutospacing="1" w:after="100" w:afterAutospacing="1"/>
      <w:jc w:val="center"/>
    </w:pPr>
    <w:rPr>
      <w:rFonts w:eastAsia="SimSun"/>
      <w:color w:val="0563C1"/>
      <w:u w:val="single"/>
    </w:rPr>
  </w:style>
  <w:style w:type="paragraph" w:customStyle="1" w:styleId="xl221">
    <w:name w:val="xl221"/>
    <w:basedOn w:val="Normal"/>
    <w:semiHidden/>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pPr>
    <w:rPr>
      <w:rFonts w:eastAsia="SimSun"/>
    </w:rPr>
  </w:style>
  <w:style w:type="paragraph" w:customStyle="1" w:styleId="xl222">
    <w:name w:val="xl222"/>
    <w:basedOn w:val="Normal"/>
    <w:semiHidden/>
    <w:pPr>
      <w:pBdr>
        <w:top w:val="single" w:sz="4" w:space="0" w:color="auto"/>
        <w:left w:val="single" w:sz="4" w:space="0" w:color="auto"/>
        <w:right w:val="single" w:sz="4" w:space="0" w:color="auto"/>
      </w:pBdr>
      <w:shd w:val="clear" w:color="000000" w:fill="F8CBAD"/>
      <w:spacing w:before="100" w:beforeAutospacing="1" w:after="100" w:afterAutospacing="1"/>
      <w:jc w:val="center"/>
    </w:pPr>
    <w:rPr>
      <w:rFonts w:eastAsia="SimSun"/>
    </w:rPr>
  </w:style>
  <w:style w:type="paragraph" w:customStyle="1" w:styleId="xl223">
    <w:name w:val="xl223"/>
    <w:basedOn w:val="Normal"/>
    <w:semiHidden/>
    <w:pPr>
      <w:pBdr>
        <w:top w:val="single" w:sz="4" w:space="0" w:color="000000"/>
        <w:left w:val="single" w:sz="4" w:space="0" w:color="000000"/>
        <w:bottom w:val="single" w:sz="4" w:space="0" w:color="000000"/>
        <w:right w:val="single" w:sz="4" w:space="0" w:color="000000"/>
      </w:pBdr>
      <w:shd w:val="clear" w:color="9CC2E5" w:fill="9CC2E5"/>
      <w:spacing w:before="100" w:beforeAutospacing="1" w:after="100" w:afterAutospacing="1"/>
      <w:jc w:val="center"/>
    </w:pPr>
    <w:rPr>
      <w:rFonts w:eastAsia="SimSun"/>
    </w:rPr>
  </w:style>
  <w:style w:type="paragraph" w:customStyle="1" w:styleId="xl224">
    <w:name w:val="xl224"/>
    <w:basedOn w:val="Normal"/>
    <w:semiHidden/>
    <w:pPr>
      <w:pBdr>
        <w:top w:val="single" w:sz="4" w:space="0" w:color="000000"/>
        <w:left w:val="single" w:sz="4" w:space="0" w:color="000000"/>
        <w:bottom w:val="single" w:sz="4" w:space="0" w:color="000000"/>
        <w:right w:val="single" w:sz="4" w:space="0" w:color="000000"/>
      </w:pBdr>
      <w:shd w:val="clear" w:color="9CC2E5" w:fill="9CC2E5"/>
      <w:spacing w:before="100" w:beforeAutospacing="1" w:after="100" w:afterAutospacing="1"/>
      <w:jc w:val="center"/>
      <w:textAlignment w:val="top"/>
    </w:pPr>
    <w:rPr>
      <w:rFonts w:eastAsia="SimSun"/>
    </w:rPr>
  </w:style>
  <w:style w:type="paragraph" w:customStyle="1" w:styleId="xl225">
    <w:name w:val="xl225"/>
    <w:basedOn w:val="Normal"/>
    <w:semiHidden/>
    <w:pPr>
      <w:pBdr>
        <w:top w:val="single" w:sz="4" w:space="0" w:color="000000"/>
        <w:left w:val="single" w:sz="4" w:space="0" w:color="000000"/>
        <w:bottom w:val="single" w:sz="4" w:space="0" w:color="000000"/>
        <w:right w:val="single" w:sz="4" w:space="0" w:color="000000"/>
      </w:pBdr>
      <w:shd w:val="clear" w:color="9CC2E5" w:fill="9CC2E5"/>
      <w:spacing w:before="100" w:beforeAutospacing="1" w:after="100" w:afterAutospacing="1"/>
    </w:pPr>
    <w:rPr>
      <w:rFonts w:eastAsia="SimSun"/>
    </w:rPr>
  </w:style>
  <w:style w:type="paragraph" w:customStyle="1" w:styleId="xl226">
    <w:name w:val="xl226"/>
    <w:basedOn w:val="Normal"/>
    <w:semiHidden/>
    <w:pPr>
      <w:pBdr>
        <w:top w:val="single" w:sz="4" w:space="0" w:color="000000"/>
        <w:left w:val="single" w:sz="4" w:space="0" w:color="000000"/>
        <w:bottom w:val="single" w:sz="4" w:space="0" w:color="000000"/>
        <w:right w:val="single" w:sz="4" w:space="0" w:color="000000"/>
      </w:pBdr>
      <w:shd w:val="clear" w:color="9CC2E5" w:fill="9CC2E5"/>
      <w:spacing w:before="100" w:beforeAutospacing="1" w:after="100" w:afterAutospacing="1"/>
    </w:pPr>
    <w:rPr>
      <w:rFonts w:eastAsia="SimSun"/>
    </w:rPr>
  </w:style>
  <w:style w:type="paragraph" w:customStyle="1" w:styleId="xl227">
    <w:name w:val="xl227"/>
    <w:basedOn w:val="Normal"/>
    <w:semiHidden/>
    <w:pPr>
      <w:shd w:val="clear" w:color="9CC2E5" w:fill="9CC2E5"/>
      <w:spacing w:before="100" w:beforeAutospacing="1" w:after="100" w:afterAutospacing="1"/>
      <w:jc w:val="center"/>
    </w:pPr>
    <w:rPr>
      <w:rFonts w:ascii="&quot;Times New Roman&quot;" w:eastAsia="SimSun" w:hAnsi="&quot;Times New Roman&quot;"/>
      <w:color w:val="000000"/>
    </w:rPr>
  </w:style>
  <w:style w:type="paragraph" w:customStyle="1" w:styleId="xl228">
    <w:name w:val="xl228"/>
    <w:basedOn w:val="Normal"/>
    <w:semiHidden/>
    <w:pPr>
      <w:shd w:val="clear" w:color="000000" w:fill="D6DCE4"/>
      <w:spacing w:before="100" w:beforeAutospacing="1" w:after="100" w:afterAutospacing="1"/>
      <w:textAlignment w:val="center"/>
    </w:pPr>
    <w:rPr>
      <w:rFonts w:eastAsia="SimSun"/>
    </w:rPr>
  </w:style>
  <w:style w:type="paragraph" w:customStyle="1" w:styleId="xl229">
    <w:name w:val="xl229"/>
    <w:basedOn w:val="Normal"/>
    <w:semiHidden/>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pPr>
    <w:rPr>
      <w:rFonts w:eastAsia="SimSun"/>
    </w:rPr>
  </w:style>
  <w:style w:type="paragraph" w:customStyle="1" w:styleId="xl230">
    <w:name w:val="xl230"/>
    <w:basedOn w:val="Normal"/>
    <w:semiHidden/>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top"/>
    </w:pPr>
    <w:rPr>
      <w:rFonts w:eastAsia="SimSun"/>
    </w:rPr>
  </w:style>
  <w:style w:type="paragraph" w:customStyle="1" w:styleId="xl231">
    <w:name w:val="xl231"/>
    <w:basedOn w:val="Normal"/>
    <w:semiHidden/>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pPr>
    <w:rPr>
      <w:rFonts w:eastAsia="SimSun"/>
    </w:rPr>
  </w:style>
  <w:style w:type="paragraph" w:customStyle="1" w:styleId="xl232">
    <w:name w:val="xl232"/>
    <w:basedOn w:val="Normal"/>
    <w:semiHidden/>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pPr>
    <w:rPr>
      <w:rFonts w:eastAsia="SimSun"/>
      <w:color w:val="0563C1"/>
      <w:u w:val="single"/>
    </w:rPr>
  </w:style>
  <w:style w:type="paragraph" w:customStyle="1" w:styleId="xl233">
    <w:name w:val="xl233"/>
    <w:basedOn w:val="Normal"/>
    <w:semiHidden/>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pPr>
    <w:rPr>
      <w:rFonts w:eastAsia="SimSun"/>
    </w:rPr>
  </w:style>
  <w:style w:type="paragraph" w:customStyle="1" w:styleId="xl234">
    <w:name w:val="xl234"/>
    <w:basedOn w:val="Normal"/>
    <w:semiHidden/>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pPr>
    <w:rPr>
      <w:rFonts w:eastAsia="SimSun"/>
    </w:rPr>
  </w:style>
  <w:style w:type="paragraph" w:customStyle="1" w:styleId="xl235">
    <w:name w:val="xl235"/>
    <w:basedOn w:val="Normal"/>
    <w:semiHidden/>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textAlignment w:val="top"/>
    </w:pPr>
    <w:rPr>
      <w:rFonts w:eastAsia="SimSun"/>
    </w:rPr>
  </w:style>
  <w:style w:type="paragraph" w:customStyle="1" w:styleId="xl236">
    <w:name w:val="xl236"/>
    <w:basedOn w:val="Normal"/>
    <w:semiHidden/>
    <w:pPr>
      <w:spacing w:before="100" w:beforeAutospacing="1" w:after="100" w:afterAutospacing="1"/>
      <w:jc w:val="center"/>
    </w:pPr>
    <w:rPr>
      <w:rFonts w:eastAsia="SimSun"/>
    </w:rPr>
  </w:style>
  <w:style w:type="paragraph" w:customStyle="1" w:styleId="xl237">
    <w:name w:val="xl237"/>
    <w:basedOn w:val="Normal"/>
    <w:semiHidden/>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SimSun"/>
    </w:rPr>
  </w:style>
  <w:style w:type="paragraph" w:customStyle="1" w:styleId="xl238">
    <w:name w:val="xl238"/>
    <w:basedOn w:val="Normal"/>
    <w:semiHidden/>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eastAsia="SimSun"/>
    </w:rPr>
  </w:style>
  <w:style w:type="paragraph" w:customStyle="1" w:styleId="xl239">
    <w:name w:val="xl239"/>
    <w:basedOn w:val="Normal"/>
    <w:semiHidden/>
    <w:pPr>
      <w:pBdr>
        <w:top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eastAsia="SimSun"/>
    </w:rPr>
  </w:style>
  <w:style w:type="paragraph" w:customStyle="1" w:styleId="xl240">
    <w:name w:val="xl240"/>
    <w:basedOn w:val="Normal"/>
    <w:semiHidden/>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rFonts w:eastAsia="SimSun"/>
      <w:color w:val="FF0000"/>
    </w:rPr>
  </w:style>
  <w:style w:type="paragraph" w:customStyle="1" w:styleId="xl241">
    <w:name w:val="xl241"/>
    <w:basedOn w:val="Normal"/>
    <w:semiHidden/>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eastAsia="SimSun"/>
    </w:rPr>
  </w:style>
  <w:style w:type="paragraph" w:customStyle="1" w:styleId="xl242">
    <w:name w:val="xl242"/>
    <w:basedOn w:val="Normal"/>
    <w:semiHidden/>
    <w:pPr>
      <w:pBdr>
        <w:top w:val="single" w:sz="4" w:space="0" w:color="auto"/>
        <w:left w:val="single" w:sz="4" w:space="0" w:color="auto"/>
        <w:bottom w:val="single" w:sz="4" w:space="0" w:color="auto"/>
        <w:right w:val="single" w:sz="4" w:space="0" w:color="auto"/>
      </w:pBdr>
      <w:shd w:val="clear" w:color="000000" w:fill="DBDBDB"/>
      <w:spacing w:before="100" w:beforeAutospacing="1" w:after="100" w:afterAutospacing="1"/>
      <w:jc w:val="center"/>
      <w:textAlignment w:val="center"/>
    </w:pPr>
    <w:rPr>
      <w:rFonts w:eastAsia="SimSun"/>
    </w:rPr>
  </w:style>
  <w:style w:type="paragraph" w:customStyle="1" w:styleId="xl243">
    <w:name w:val="xl243"/>
    <w:basedOn w:val="Normal"/>
    <w:semiHidden/>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center"/>
      <w:textAlignment w:val="center"/>
    </w:pPr>
    <w:rPr>
      <w:rFonts w:eastAsia="SimSun"/>
    </w:rPr>
  </w:style>
  <w:style w:type="paragraph" w:customStyle="1" w:styleId="xl244">
    <w:name w:val="xl244"/>
    <w:basedOn w:val="Normal"/>
    <w:semiHidden/>
    <w:pPr>
      <w:pBdr>
        <w:top w:val="single" w:sz="4" w:space="0" w:color="auto"/>
        <w:left w:val="single" w:sz="4" w:space="0" w:color="auto"/>
        <w:bottom w:val="single" w:sz="4" w:space="0" w:color="auto"/>
        <w:right w:val="single" w:sz="4" w:space="0" w:color="auto"/>
      </w:pBdr>
      <w:shd w:val="clear" w:color="000000" w:fill="D6DCE4"/>
      <w:spacing w:before="100" w:beforeAutospacing="1" w:after="100" w:afterAutospacing="1"/>
      <w:jc w:val="center"/>
    </w:pPr>
    <w:rPr>
      <w:rFonts w:eastAsia="SimSun"/>
    </w:rPr>
  </w:style>
  <w:style w:type="paragraph" w:customStyle="1" w:styleId="xl245">
    <w:name w:val="xl245"/>
    <w:basedOn w:val="Normal"/>
    <w:semiHidden/>
    <w:pPr>
      <w:pBdr>
        <w:top w:val="single" w:sz="4" w:space="0" w:color="auto"/>
        <w:left w:val="single" w:sz="4" w:space="0" w:color="auto"/>
        <w:bottom w:val="single" w:sz="4" w:space="0" w:color="auto"/>
        <w:right w:val="single" w:sz="4" w:space="0" w:color="auto"/>
      </w:pBdr>
      <w:shd w:val="clear" w:color="000000" w:fill="FFD966"/>
      <w:spacing w:before="100" w:beforeAutospacing="1" w:after="100" w:afterAutospacing="1"/>
      <w:jc w:val="center"/>
    </w:pPr>
    <w:rPr>
      <w:rFonts w:eastAsia="SimSun"/>
    </w:rPr>
  </w:style>
  <w:style w:type="paragraph" w:customStyle="1" w:styleId="xl246">
    <w:name w:val="xl246"/>
    <w:basedOn w:val="Normal"/>
    <w:semiHidden/>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pPr>
    <w:rPr>
      <w:rFonts w:eastAsia="SimSun"/>
    </w:rPr>
  </w:style>
  <w:style w:type="paragraph" w:customStyle="1" w:styleId="xl247">
    <w:name w:val="xl247"/>
    <w:basedOn w:val="Normal"/>
    <w:semiHidden/>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center"/>
    </w:pPr>
    <w:rPr>
      <w:rFonts w:eastAsia="SimSun"/>
    </w:rPr>
  </w:style>
  <w:style w:type="paragraph" w:customStyle="1" w:styleId="xl248">
    <w:name w:val="xl248"/>
    <w:basedOn w:val="Normal"/>
    <w:semiHidden/>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jc w:val="center"/>
    </w:pPr>
    <w:rPr>
      <w:rFonts w:eastAsia="SimSun"/>
    </w:rPr>
  </w:style>
  <w:style w:type="paragraph" w:customStyle="1" w:styleId="xl249">
    <w:name w:val="xl249"/>
    <w:basedOn w:val="Normal"/>
    <w:semiHidden/>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eastAsia="SimSun"/>
    </w:rPr>
  </w:style>
  <w:style w:type="paragraph" w:customStyle="1" w:styleId="xl250">
    <w:name w:val="xl250"/>
    <w:basedOn w:val="Normal"/>
    <w:semiHidden/>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pPr>
    <w:rPr>
      <w:rFonts w:eastAsia="SimSun"/>
    </w:rPr>
  </w:style>
  <w:style w:type="paragraph" w:customStyle="1" w:styleId="xl251">
    <w:name w:val="xl251"/>
    <w:basedOn w:val="Normal"/>
    <w:semiHidden/>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pPr>
    <w:rPr>
      <w:rFonts w:eastAsia="SimSun"/>
    </w:rPr>
  </w:style>
  <w:style w:type="paragraph" w:customStyle="1" w:styleId="xl252">
    <w:name w:val="xl252"/>
    <w:basedOn w:val="Normal"/>
    <w:semiHidden/>
    <w:pPr>
      <w:pBdr>
        <w:top w:val="single" w:sz="4" w:space="0" w:color="000000"/>
        <w:left w:val="single" w:sz="4" w:space="0" w:color="000000"/>
        <w:bottom w:val="single" w:sz="4" w:space="0" w:color="000000"/>
        <w:right w:val="single" w:sz="4" w:space="0" w:color="000000"/>
      </w:pBdr>
      <w:shd w:val="clear" w:color="9CC2E5" w:fill="9CC2E5"/>
      <w:spacing w:before="100" w:beforeAutospacing="1" w:after="100" w:afterAutospacing="1"/>
      <w:jc w:val="center"/>
    </w:pPr>
    <w:rPr>
      <w:rFonts w:eastAsia="SimSun"/>
    </w:rPr>
  </w:style>
  <w:style w:type="paragraph" w:customStyle="1" w:styleId="xl253">
    <w:name w:val="xl253"/>
    <w:basedOn w:val="Normal"/>
    <w:semiHidden/>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eastAsia="SimSun"/>
    </w:rPr>
  </w:style>
  <w:style w:type="paragraph" w:customStyle="1" w:styleId="xl254">
    <w:name w:val="xl254"/>
    <w:basedOn w:val="Normal"/>
    <w:semiHidden/>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pPr>
    <w:rPr>
      <w:rFonts w:eastAsia="SimSun"/>
    </w:rPr>
  </w:style>
  <w:style w:type="paragraph" w:customStyle="1" w:styleId="xl255">
    <w:name w:val="xl255"/>
    <w:basedOn w:val="Normal"/>
    <w:semiHidden/>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pPr>
    <w:rPr>
      <w:rFonts w:eastAsia="SimSun"/>
      <w:color w:val="0563C1"/>
      <w:u w:val="single"/>
    </w:rPr>
  </w:style>
  <w:style w:type="paragraph" w:customStyle="1" w:styleId="xl256">
    <w:name w:val="xl256"/>
    <w:basedOn w:val="Normal"/>
    <w:semiHidden/>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pPr>
    <w:rPr>
      <w:rFonts w:eastAsia="SimSun"/>
    </w:rPr>
  </w:style>
  <w:style w:type="paragraph" w:customStyle="1" w:styleId="xl257">
    <w:name w:val="xl257"/>
    <w:basedOn w:val="Normal"/>
    <w:semiHidden/>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pPr>
    <w:rPr>
      <w:rFonts w:eastAsia="SimSun"/>
      <w:color w:val="0563C1"/>
      <w:u w:val="single"/>
    </w:rPr>
  </w:style>
  <w:style w:type="paragraph" w:customStyle="1" w:styleId="xl258">
    <w:name w:val="xl258"/>
    <w:basedOn w:val="Normal"/>
    <w:semiHidden/>
    <w:pPr>
      <w:shd w:val="clear" w:color="000000" w:fill="D9E1F2"/>
      <w:spacing w:before="100" w:beforeAutospacing="1" w:after="100" w:afterAutospacing="1"/>
      <w:jc w:val="center"/>
      <w:textAlignment w:val="center"/>
    </w:pPr>
    <w:rPr>
      <w:rFonts w:eastAsia="SimSun"/>
    </w:rPr>
  </w:style>
  <w:style w:type="paragraph" w:customStyle="1" w:styleId="xl259">
    <w:name w:val="xl259"/>
    <w:basedOn w:val="Normal"/>
    <w:semiHidden/>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eastAsia="SimSun"/>
    </w:rPr>
  </w:style>
  <w:style w:type="paragraph" w:customStyle="1" w:styleId="xl260">
    <w:name w:val="xl260"/>
    <w:basedOn w:val="Normal"/>
    <w:semiHidden/>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pPr>
    <w:rPr>
      <w:rFonts w:eastAsia="SimSun"/>
    </w:rPr>
  </w:style>
  <w:style w:type="paragraph" w:customStyle="1" w:styleId="xl261">
    <w:name w:val="xl261"/>
    <w:basedOn w:val="Normal"/>
    <w:semiHidden/>
    <w:pPr>
      <w:pBdr>
        <w:right w:val="single" w:sz="8" w:space="0" w:color="auto"/>
      </w:pBdr>
      <w:shd w:val="clear" w:color="000000" w:fill="D9E1F2"/>
      <w:spacing w:before="100" w:beforeAutospacing="1" w:after="100" w:afterAutospacing="1"/>
      <w:textAlignment w:val="center"/>
    </w:pPr>
    <w:rPr>
      <w:rFonts w:eastAsia="SimSun"/>
    </w:rPr>
  </w:style>
  <w:style w:type="paragraph" w:customStyle="1" w:styleId="xl262">
    <w:name w:val="xl262"/>
    <w:basedOn w:val="Normal"/>
    <w:semiHidden/>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eastAsia="SimSun"/>
    </w:rPr>
  </w:style>
  <w:style w:type="paragraph" w:customStyle="1" w:styleId="xl263">
    <w:name w:val="xl263"/>
    <w:basedOn w:val="Normal"/>
    <w:semiHidden/>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pPr>
    <w:rPr>
      <w:rFonts w:eastAsia="SimSun"/>
    </w:rPr>
  </w:style>
  <w:style w:type="paragraph" w:customStyle="1" w:styleId="xl264">
    <w:name w:val="xl264"/>
    <w:basedOn w:val="Normal"/>
    <w:semiHidden/>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pPr>
    <w:rPr>
      <w:rFonts w:eastAsia="SimSun"/>
      <w:color w:val="0563C1"/>
      <w:u w:val="single"/>
    </w:rPr>
  </w:style>
  <w:style w:type="paragraph" w:customStyle="1" w:styleId="xl265">
    <w:name w:val="xl265"/>
    <w:basedOn w:val="Normal"/>
    <w:semiHidden/>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pPr>
    <w:rPr>
      <w:rFonts w:eastAsia="SimSun"/>
    </w:rPr>
  </w:style>
  <w:style w:type="paragraph" w:customStyle="1" w:styleId="xl266">
    <w:name w:val="xl266"/>
    <w:basedOn w:val="Normal"/>
    <w:semiHidden/>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eastAsia="SimSun"/>
      <w:color w:val="000000"/>
      <w:sz w:val="20"/>
      <w:szCs w:val="20"/>
    </w:rPr>
  </w:style>
  <w:style w:type="paragraph" w:customStyle="1" w:styleId="xl267">
    <w:name w:val="xl267"/>
    <w:basedOn w:val="Normal"/>
    <w:semiHidden/>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eastAsia="SimSun"/>
      <w:color w:val="0563C1"/>
      <w:u w:val="single"/>
    </w:rPr>
  </w:style>
  <w:style w:type="paragraph" w:customStyle="1" w:styleId="xl268">
    <w:name w:val="xl268"/>
    <w:basedOn w:val="Normal"/>
    <w:semiHidden/>
    <w:pPr>
      <w:pBdr>
        <w:bottom w:val="single" w:sz="8" w:space="0" w:color="auto"/>
        <w:right w:val="single" w:sz="8" w:space="0" w:color="auto"/>
      </w:pBdr>
      <w:shd w:val="clear" w:color="000000" w:fill="F8CBAD"/>
      <w:spacing w:before="100" w:beforeAutospacing="1" w:after="100" w:afterAutospacing="1"/>
      <w:textAlignment w:val="center"/>
    </w:pPr>
    <w:rPr>
      <w:rFonts w:eastAsia="SimSun"/>
      <w:color w:val="0563C1"/>
      <w:u w:val="single"/>
    </w:rPr>
  </w:style>
  <w:style w:type="paragraph" w:customStyle="1" w:styleId="xl269">
    <w:name w:val="xl269"/>
    <w:basedOn w:val="Normal"/>
    <w:semiHidden/>
    <w:pPr>
      <w:pBdr>
        <w:top w:val="single" w:sz="8" w:space="0" w:color="auto"/>
        <w:left w:val="single" w:sz="8" w:space="0" w:color="auto"/>
        <w:bottom w:val="single" w:sz="8" w:space="0" w:color="auto"/>
      </w:pBdr>
      <w:shd w:val="clear" w:color="000000" w:fill="FFD966"/>
      <w:spacing w:before="100" w:beforeAutospacing="1" w:after="100" w:afterAutospacing="1"/>
      <w:jc w:val="center"/>
      <w:textAlignment w:val="center"/>
    </w:pPr>
    <w:rPr>
      <w:rFonts w:eastAsia="SimSun"/>
    </w:rPr>
  </w:style>
  <w:style w:type="paragraph" w:customStyle="1" w:styleId="xl270">
    <w:name w:val="xl270"/>
    <w:basedOn w:val="Normal"/>
    <w:semiHidden/>
    <w:pPr>
      <w:pBdr>
        <w:bottom w:val="single" w:sz="8" w:space="0" w:color="auto"/>
      </w:pBdr>
      <w:shd w:val="clear" w:color="000000" w:fill="FFD966"/>
      <w:spacing w:before="100" w:beforeAutospacing="1" w:after="100" w:afterAutospacing="1"/>
      <w:jc w:val="center"/>
      <w:textAlignment w:val="top"/>
    </w:pPr>
    <w:rPr>
      <w:rFonts w:eastAsia="SimSun"/>
    </w:rPr>
  </w:style>
  <w:style w:type="paragraph" w:customStyle="1" w:styleId="xl271">
    <w:name w:val="xl271"/>
    <w:basedOn w:val="Normal"/>
    <w:semiHidden/>
    <w:pPr>
      <w:pBdr>
        <w:top w:val="single" w:sz="4" w:space="0" w:color="auto"/>
        <w:left w:val="single" w:sz="4" w:space="0" w:color="auto"/>
        <w:right w:val="single" w:sz="4" w:space="0" w:color="auto"/>
      </w:pBdr>
      <w:shd w:val="clear" w:color="000000" w:fill="D0CECE"/>
      <w:spacing w:before="100" w:beforeAutospacing="1" w:after="100" w:afterAutospacing="1"/>
      <w:jc w:val="center"/>
      <w:textAlignment w:val="center"/>
    </w:pPr>
    <w:rPr>
      <w:rFonts w:ascii="Castellar" w:eastAsia="SimSun" w:hAnsi="Castellar"/>
    </w:rPr>
  </w:style>
  <w:style w:type="paragraph" w:customStyle="1" w:styleId="xl272">
    <w:name w:val="xl272"/>
    <w:basedOn w:val="Normal"/>
    <w:semiHidden/>
    <w:pPr>
      <w:pBdr>
        <w:left w:val="single" w:sz="4" w:space="0" w:color="auto"/>
        <w:right w:val="single" w:sz="4" w:space="0" w:color="auto"/>
      </w:pBdr>
      <w:shd w:val="clear" w:color="000000" w:fill="D0CECE"/>
      <w:spacing w:before="100" w:beforeAutospacing="1" w:after="100" w:afterAutospacing="1"/>
      <w:jc w:val="center"/>
      <w:textAlignment w:val="center"/>
    </w:pPr>
    <w:rPr>
      <w:rFonts w:ascii="Castellar" w:eastAsia="SimSun" w:hAnsi="Castellar"/>
    </w:rPr>
  </w:style>
  <w:style w:type="paragraph" w:customStyle="1" w:styleId="xl273">
    <w:name w:val="xl273"/>
    <w:basedOn w:val="Normal"/>
    <w:semiHidden/>
    <w:pPr>
      <w:pBdr>
        <w:left w:val="single" w:sz="4" w:space="0" w:color="auto"/>
        <w:bottom w:val="single" w:sz="4" w:space="0" w:color="auto"/>
        <w:right w:val="single" w:sz="4" w:space="0" w:color="auto"/>
      </w:pBdr>
      <w:shd w:val="clear" w:color="000000" w:fill="D0CECE"/>
      <w:spacing w:before="100" w:beforeAutospacing="1" w:after="100" w:afterAutospacing="1"/>
      <w:jc w:val="center"/>
      <w:textAlignment w:val="center"/>
    </w:pPr>
    <w:rPr>
      <w:rFonts w:ascii="Castellar" w:eastAsia="SimSun" w:hAnsi="Castellar"/>
    </w:rPr>
  </w:style>
  <w:style w:type="paragraph" w:customStyle="1" w:styleId="xl274">
    <w:name w:val="xl274"/>
    <w:basedOn w:val="Normal"/>
    <w:semiHidden/>
    <w:pPr>
      <w:pBdr>
        <w:top w:val="single" w:sz="4" w:space="0" w:color="auto"/>
        <w:left w:val="single" w:sz="4" w:space="0" w:color="auto"/>
        <w:right w:val="single" w:sz="4" w:space="0" w:color="auto"/>
      </w:pBdr>
      <w:shd w:val="clear" w:color="000000" w:fill="FFF2CC"/>
      <w:spacing w:before="100" w:beforeAutospacing="1" w:after="100" w:afterAutospacing="1"/>
      <w:jc w:val="center"/>
      <w:textAlignment w:val="center"/>
    </w:pPr>
    <w:rPr>
      <w:rFonts w:ascii="Castellar" w:eastAsia="SimSun" w:hAnsi="Castellar"/>
    </w:rPr>
  </w:style>
  <w:style w:type="paragraph" w:customStyle="1" w:styleId="xl275">
    <w:name w:val="xl275"/>
    <w:basedOn w:val="Normal"/>
    <w:semiHidden/>
    <w:pPr>
      <w:pBdr>
        <w:left w:val="single" w:sz="4" w:space="0" w:color="auto"/>
        <w:right w:val="single" w:sz="4" w:space="0" w:color="auto"/>
      </w:pBdr>
      <w:shd w:val="clear" w:color="000000" w:fill="FFF2CC"/>
      <w:spacing w:before="100" w:beforeAutospacing="1" w:after="100" w:afterAutospacing="1"/>
      <w:jc w:val="center"/>
      <w:textAlignment w:val="center"/>
    </w:pPr>
    <w:rPr>
      <w:rFonts w:ascii="Castellar" w:eastAsia="SimSun" w:hAnsi="Castellar"/>
    </w:rPr>
  </w:style>
  <w:style w:type="paragraph" w:customStyle="1" w:styleId="xl276">
    <w:name w:val="xl276"/>
    <w:basedOn w:val="Normal"/>
    <w:semiHidden/>
    <w:pPr>
      <w:pBdr>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rFonts w:ascii="Castellar" w:eastAsia="SimSun" w:hAnsi="Castellar"/>
    </w:rPr>
  </w:style>
  <w:style w:type="paragraph" w:customStyle="1" w:styleId="xl277">
    <w:name w:val="xl277"/>
    <w:basedOn w:val="Normal"/>
    <w:semiHidden/>
    <w:pPr>
      <w:pBdr>
        <w:top w:val="single" w:sz="4" w:space="0" w:color="auto"/>
        <w:left w:val="single" w:sz="4" w:space="0" w:color="auto"/>
        <w:right w:val="single" w:sz="4" w:space="0" w:color="auto"/>
      </w:pBdr>
      <w:shd w:val="clear" w:color="000000" w:fill="E2EFDA"/>
      <w:spacing w:before="100" w:beforeAutospacing="1" w:after="100" w:afterAutospacing="1"/>
      <w:jc w:val="center"/>
      <w:textAlignment w:val="center"/>
    </w:pPr>
    <w:rPr>
      <w:rFonts w:ascii="Castellar" w:eastAsia="SimSun" w:hAnsi="Castellar"/>
    </w:rPr>
  </w:style>
  <w:style w:type="paragraph" w:customStyle="1" w:styleId="xl278">
    <w:name w:val="xl278"/>
    <w:basedOn w:val="Normal"/>
    <w:semiHidden/>
    <w:pPr>
      <w:pBdr>
        <w:left w:val="single" w:sz="4" w:space="0" w:color="auto"/>
        <w:right w:val="single" w:sz="4" w:space="0" w:color="auto"/>
      </w:pBdr>
      <w:shd w:val="clear" w:color="000000" w:fill="E2EFDA"/>
      <w:spacing w:before="100" w:beforeAutospacing="1" w:after="100" w:afterAutospacing="1"/>
      <w:jc w:val="center"/>
      <w:textAlignment w:val="center"/>
    </w:pPr>
    <w:rPr>
      <w:rFonts w:ascii="Castellar" w:eastAsia="SimSun" w:hAnsi="Castellar"/>
    </w:rPr>
  </w:style>
  <w:style w:type="paragraph" w:customStyle="1" w:styleId="xl279">
    <w:name w:val="xl279"/>
    <w:basedOn w:val="Normal"/>
    <w:semiHidden/>
    <w:pPr>
      <w:pBdr>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Castellar" w:eastAsia="SimSun" w:hAnsi="Castellar"/>
    </w:rPr>
  </w:style>
  <w:style w:type="paragraph" w:customStyle="1" w:styleId="xl280">
    <w:name w:val="xl280"/>
    <w:basedOn w:val="Normal"/>
    <w:semiHidden/>
    <w:pPr>
      <w:pBdr>
        <w:top w:val="single" w:sz="8" w:space="0" w:color="auto"/>
      </w:pBdr>
      <w:shd w:val="clear" w:color="000000" w:fill="D6DCE4"/>
      <w:spacing w:before="100" w:beforeAutospacing="1" w:after="100" w:afterAutospacing="1"/>
      <w:jc w:val="center"/>
      <w:textAlignment w:val="center"/>
    </w:pPr>
    <w:rPr>
      <w:rFonts w:ascii="Castellar" w:eastAsia="SimSun" w:hAnsi="Castellar"/>
    </w:rPr>
  </w:style>
  <w:style w:type="paragraph" w:customStyle="1" w:styleId="xl281">
    <w:name w:val="xl281"/>
    <w:basedOn w:val="Normal"/>
    <w:semiHidden/>
    <w:pPr>
      <w:shd w:val="clear" w:color="000000" w:fill="D6DCE4"/>
      <w:spacing w:before="100" w:beforeAutospacing="1" w:after="100" w:afterAutospacing="1"/>
      <w:jc w:val="center"/>
      <w:textAlignment w:val="center"/>
    </w:pPr>
    <w:rPr>
      <w:rFonts w:ascii="Castellar" w:eastAsia="SimSun" w:hAnsi="Castellar"/>
    </w:rPr>
  </w:style>
  <w:style w:type="paragraph" w:customStyle="1" w:styleId="xl282">
    <w:name w:val="xl282"/>
    <w:basedOn w:val="Normal"/>
    <w:semiHidden/>
    <w:pPr>
      <w:pBdr>
        <w:bottom w:val="single" w:sz="4" w:space="0" w:color="auto"/>
      </w:pBdr>
      <w:shd w:val="clear" w:color="000000" w:fill="D6DCE4"/>
      <w:spacing w:before="100" w:beforeAutospacing="1" w:after="100" w:afterAutospacing="1"/>
      <w:jc w:val="center"/>
      <w:textAlignment w:val="center"/>
    </w:pPr>
    <w:rPr>
      <w:rFonts w:ascii="Castellar" w:eastAsia="SimSun" w:hAnsi="Castellar"/>
    </w:rPr>
  </w:style>
  <w:style w:type="paragraph" w:customStyle="1" w:styleId="xl283">
    <w:name w:val="xl283"/>
    <w:basedOn w:val="Normal"/>
    <w:semiHidden/>
    <w:pPr>
      <w:pBdr>
        <w:top w:val="single" w:sz="4" w:space="0" w:color="auto"/>
        <w:left w:val="single" w:sz="4" w:space="0" w:color="auto"/>
        <w:right w:val="single" w:sz="4" w:space="0" w:color="auto"/>
      </w:pBdr>
      <w:shd w:val="clear" w:color="000000" w:fill="FFD966"/>
      <w:spacing w:before="100" w:beforeAutospacing="1" w:after="100" w:afterAutospacing="1"/>
      <w:jc w:val="center"/>
      <w:textAlignment w:val="center"/>
    </w:pPr>
    <w:rPr>
      <w:rFonts w:ascii="Castellar" w:eastAsia="SimSun" w:hAnsi="Castellar"/>
    </w:rPr>
  </w:style>
  <w:style w:type="paragraph" w:customStyle="1" w:styleId="xl284">
    <w:name w:val="xl284"/>
    <w:basedOn w:val="Normal"/>
    <w:semiHidden/>
    <w:pPr>
      <w:pBdr>
        <w:left w:val="single" w:sz="4" w:space="0" w:color="auto"/>
        <w:right w:val="single" w:sz="4" w:space="0" w:color="auto"/>
      </w:pBdr>
      <w:shd w:val="clear" w:color="000000" w:fill="FFD966"/>
      <w:spacing w:before="100" w:beforeAutospacing="1" w:after="100" w:afterAutospacing="1"/>
      <w:jc w:val="center"/>
      <w:textAlignment w:val="center"/>
    </w:pPr>
    <w:rPr>
      <w:rFonts w:ascii="Castellar" w:eastAsia="SimSun" w:hAnsi="Castellar"/>
    </w:rPr>
  </w:style>
  <w:style w:type="paragraph" w:customStyle="1" w:styleId="xl285">
    <w:name w:val="xl285"/>
    <w:basedOn w:val="Normal"/>
    <w:semiHidden/>
    <w:pPr>
      <w:pBdr>
        <w:left w:val="single" w:sz="4" w:space="0" w:color="auto"/>
        <w:bottom w:val="single" w:sz="4" w:space="0" w:color="auto"/>
        <w:right w:val="single" w:sz="4" w:space="0" w:color="auto"/>
      </w:pBdr>
      <w:shd w:val="clear" w:color="000000" w:fill="FFD966"/>
      <w:spacing w:before="100" w:beforeAutospacing="1" w:after="100" w:afterAutospacing="1"/>
      <w:jc w:val="center"/>
      <w:textAlignment w:val="center"/>
    </w:pPr>
    <w:rPr>
      <w:rFonts w:ascii="Castellar" w:eastAsia="SimSun" w:hAnsi="Castellar"/>
    </w:rPr>
  </w:style>
  <w:style w:type="paragraph" w:customStyle="1" w:styleId="xl286">
    <w:name w:val="xl286"/>
    <w:basedOn w:val="Normal"/>
    <w:semiHidden/>
    <w:pPr>
      <w:pBdr>
        <w:top w:val="single" w:sz="4" w:space="0" w:color="auto"/>
        <w:left w:val="single" w:sz="4" w:space="0" w:color="auto"/>
        <w:right w:val="single" w:sz="4" w:space="0" w:color="auto"/>
      </w:pBdr>
      <w:shd w:val="clear" w:color="000000" w:fill="F8CBAD"/>
      <w:spacing w:before="100" w:beforeAutospacing="1" w:after="100" w:afterAutospacing="1"/>
      <w:jc w:val="center"/>
      <w:textAlignment w:val="center"/>
    </w:pPr>
    <w:rPr>
      <w:rFonts w:ascii="Castellar" w:eastAsia="SimSun" w:hAnsi="Castellar"/>
    </w:rPr>
  </w:style>
  <w:style w:type="paragraph" w:customStyle="1" w:styleId="xl287">
    <w:name w:val="xl287"/>
    <w:basedOn w:val="Normal"/>
    <w:semiHidden/>
    <w:pPr>
      <w:pBdr>
        <w:left w:val="single" w:sz="4" w:space="0" w:color="auto"/>
        <w:right w:val="single" w:sz="4" w:space="0" w:color="auto"/>
      </w:pBdr>
      <w:shd w:val="clear" w:color="000000" w:fill="F8CBAD"/>
      <w:spacing w:before="100" w:beforeAutospacing="1" w:after="100" w:afterAutospacing="1"/>
      <w:jc w:val="center"/>
      <w:textAlignment w:val="center"/>
    </w:pPr>
    <w:rPr>
      <w:rFonts w:ascii="Castellar" w:eastAsia="SimSun" w:hAnsi="Castellar"/>
    </w:rPr>
  </w:style>
  <w:style w:type="paragraph" w:customStyle="1" w:styleId="xl288">
    <w:name w:val="xl288"/>
    <w:basedOn w:val="Normal"/>
    <w:semiHidden/>
    <w:pPr>
      <w:pBdr>
        <w:top w:val="single" w:sz="4" w:space="0" w:color="auto"/>
        <w:left w:val="single" w:sz="4" w:space="0" w:color="auto"/>
        <w:right w:val="single" w:sz="4" w:space="0" w:color="auto"/>
      </w:pBdr>
      <w:shd w:val="clear" w:color="000000" w:fill="A9D08E"/>
      <w:spacing w:before="100" w:beforeAutospacing="1" w:after="100" w:afterAutospacing="1"/>
      <w:jc w:val="center"/>
      <w:textAlignment w:val="center"/>
    </w:pPr>
    <w:rPr>
      <w:rFonts w:ascii="Castellar" w:eastAsia="SimSun" w:hAnsi="Castellar"/>
    </w:rPr>
  </w:style>
  <w:style w:type="paragraph" w:customStyle="1" w:styleId="xl289">
    <w:name w:val="xl289"/>
    <w:basedOn w:val="Normal"/>
    <w:semiHidden/>
    <w:pPr>
      <w:pBdr>
        <w:left w:val="single" w:sz="4" w:space="0" w:color="auto"/>
        <w:right w:val="single" w:sz="4" w:space="0" w:color="auto"/>
      </w:pBdr>
      <w:shd w:val="clear" w:color="000000" w:fill="A9D08E"/>
      <w:spacing w:before="100" w:beforeAutospacing="1" w:after="100" w:afterAutospacing="1"/>
      <w:jc w:val="center"/>
      <w:textAlignment w:val="center"/>
    </w:pPr>
    <w:rPr>
      <w:rFonts w:ascii="Castellar" w:eastAsia="SimSun" w:hAnsi="Castellar"/>
    </w:rPr>
  </w:style>
  <w:style w:type="paragraph" w:customStyle="1" w:styleId="xl290">
    <w:name w:val="xl290"/>
    <w:basedOn w:val="Normal"/>
    <w:semiHidden/>
    <w:pPr>
      <w:pBdr>
        <w:left w:val="single" w:sz="4" w:space="0" w:color="auto"/>
        <w:bottom w:val="single" w:sz="4" w:space="0" w:color="auto"/>
        <w:right w:val="single" w:sz="4" w:space="0" w:color="auto"/>
      </w:pBdr>
      <w:shd w:val="clear" w:color="000000" w:fill="A9D08E"/>
      <w:spacing w:before="100" w:beforeAutospacing="1" w:after="100" w:afterAutospacing="1"/>
      <w:jc w:val="center"/>
      <w:textAlignment w:val="center"/>
    </w:pPr>
    <w:rPr>
      <w:rFonts w:ascii="Castellar" w:eastAsia="SimSun" w:hAnsi="Castellar"/>
    </w:rPr>
  </w:style>
  <w:style w:type="paragraph" w:customStyle="1" w:styleId="xl291">
    <w:name w:val="xl291"/>
    <w:basedOn w:val="Normal"/>
    <w:semiHidden/>
    <w:pPr>
      <w:pBdr>
        <w:top w:val="single" w:sz="4" w:space="0" w:color="auto"/>
        <w:left w:val="single" w:sz="4" w:space="0" w:color="auto"/>
        <w:right w:val="single" w:sz="4" w:space="0" w:color="auto"/>
      </w:pBdr>
      <w:shd w:val="clear" w:color="000000" w:fill="DDEBF7"/>
      <w:spacing w:before="100" w:beforeAutospacing="1" w:after="100" w:afterAutospacing="1"/>
      <w:jc w:val="center"/>
      <w:textAlignment w:val="center"/>
    </w:pPr>
    <w:rPr>
      <w:rFonts w:ascii="Castellar" w:eastAsia="SimSun" w:hAnsi="Castellar"/>
    </w:rPr>
  </w:style>
  <w:style w:type="paragraph" w:customStyle="1" w:styleId="xl292">
    <w:name w:val="xl292"/>
    <w:basedOn w:val="Normal"/>
    <w:semiHidden/>
    <w:pPr>
      <w:pBdr>
        <w:left w:val="single" w:sz="4" w:space="0" w:color="auto"/>
        <w:right w:val="single" w:sz="4" w:space="0" w:color="auto"/>
      </w:pBdr>
      <w:shd w:val="clear" w:color="000000" w:fill="DDEBF7"/>
      <w:spacing w:before="100" w:beforeAutospacing="1" w:after="100" w:afterAutospacing="1"/>
      <w:jc w:val="center"/>
      <w:textAlignment w:val="center"/>
    </w:pPr>
    <w:rPr>
      <w:rFonts w:ascii="Castellar" w:eastAsia="SimSun" w:hAnsi="Castellar"/>
    </w:rPr>
  </w:style>
  <w:style w:type="paragraph" w:customStyle="1" w:styleId="xl293">
    <w:name w:val="xl293"/>
    <w:basedOn w:val="Normal"/>
    <w:semiHidden/>
    <w:pPr>
      <w:pBdr>
        <w:left w:val="single" w:sz="4" w:space="0" w:color="auto"/>
        <w:bottom w:val="single" w:sz="4" w:space="0" w:color="auto"/>
        <w:right w:val="single" w:sz="4" w:space="0" w:color="auto"/>
      </w:pBdr>
      <w:shd w:val="clear" w:color="000000" w:fill="DDEBF7"/>
      <w:spacing w:before="100" w:beforeAutospacing="1" w:after="100" w:afterAutospacing="1"/>
      <w:jc w:val="center"/>
      <w:textAlignment w:val="center"/>
    </w:pPr>
    <w:rPr>
      <w:rFonts w:ascii="Castellar" w:eastAsia="SimSun" w:hAnsi="Castellar"/>
    </w:rPr>
  </w:style>
  <w:style w:type="paragraph" w:customStyle="1" w:styleId="xl294">
    <w:name w:val="xl294"/>
    <w:basedOn w:val="Normal"/>
    <w:semiHidden/>
    <w:pPr>
      <w:pBdr>
        <w:top w:val="single" w:sz="8" w:space="0" w:color="auto"/>
        <w:left w:val="single" w:sz="8" w:space="0" w:color="auto"/>
      </w:pBdr>
      <w:shd w:val="clear" w:color="000000" w:fill="D9E1F2"/>
      <w:spacing w:before="100" w:beforeAutospacing="1" w:after="100" w:afterAutospacing="1"/>
      <w:jc w:val="center"/>
      <w:textAlignment w:val="center"/>
    </w:pPr>
    <w:rPr>
      <w:rFonts w:ascii="Castellar" w:eastAsia="SimSun" w:hAnsi="Castellar"/>
    </w:rPr>
  </w:style>
  <w:style w:type="paragraph" w:customStyle="1" w:styleId="xl295">
    <w:name w:val="xl295"/>
    <w:basedOn w:val="Normal"/>
    <w:semiHidden/>
    <w:pPr>
      <w:pBdr>
        <w:left w:val="single" w:sz="8" w:space="0" w:color="auto"/>
      </w:pBdr>
      <w:shd w:val="clear" w:color="000000" w:fill="D9E1F2"/>
      <w:spacing w:before="100" w:beforeAutospacing="1" w:after="100" w:afterAutospacing="1"/>
      <w:jc w:val="center"/>
      <w:textAlignment w:val="center"/>
    </w:pPr>
    <w:rPr>
      <w:rFonts w:ascii="Castellar" w:eastAsia="SimSun" w:hAnsi="Castellar"/>
    </w:rPr>
  </w:style>
  <w:style w:type="paragraph" w:customStyle="1" w:styleId="xl296">
    <w:name w:val="xl296"/>
    <w:basedOn w:val="Normal"/>
    <w:semiHidden/>
    <w:pPr>
      <w:pBdr>
        <w:left w:val="single" w:sz="8" w:space="0" w:color="auto"/>
        <w:bottom w:val="single" w:sz="8" w:space="0" w:color="auto"/>
      </w:pBdr>
      <w:shd w:val="clear" w:color="000000" w:fill="D9E1F2"/>
      <w:spacing w:before="100" w:beforeAutospacing="1" w:after="100" w:afterAutospacing="1"/>
      <w:jc w:val="center"/>
      <w:textAlignment w:val="center"/>
    </w:pPr>
    <w:rPr>
      <w:rFonts w:ascii="Castellar" w:eastAsia="SimSun" w:hAnsi="Castellar"/>
    </w:rPr>
  </w:style>
  <w:style w:type="paragraph" w:customStyle="1" w:styleId="xl297">
    <w:name w:val="xl297"/>
    <w:basedOn w:val="Normal"/>
    <w:semiHidden/>
    <w:pPr>
      <w:pBdr>
        <w:top w:val="single" w:sz="4" w:space="0" w:color="auto"/>
        <w:left w:val="single" w:sz="4" w:space="0" w:color="auto"/>
        <w:right w:val="single" w:sz="4" w:space="0" w:color="auto"/>
      </w:pBdr>
      <w:shd w:val="clear" w:color="000000" w:fill="DDEBF7"/>
      <w:spacing w:before="100" w:beforeAutospacing="1" w:after="100" w:afterAutospacing="1"/>
      <w:jc w:val="center"/>
      <w:textAlignment w:val="center"/>
    </w:pPr>
    <w:rPr>
      <w:rFonts w:eastAsia="SimSun"/>
    </w:rPr>
  </w:style>
  <w:style w:type="paragraph" w:customStyle="1" w:styleId="xl298">
    <w:name w:val="xl298"/>
    <w:basedOn w:val="Normal"/>
    <w:semiHidden/>
    <w:pPr>
      <w:pBdr>
        <w:left w:val="single" w:sz="4" w:space="0" w:color="auto"/>
        <w:right w:val="single" w:sz="4" w:space="0" w:color="auto"/>
      </w:pBdr>
      <w:shd w:val="clear" w:color="000000" w:fill="DDEBF7"/>
      <w:spacing w:before="100" w:beforeAutospacing="1" w:after="100" w:afterAutospacing="1"/>
      <w:jc w:val="center"/>
      <w:textAlignment w:val="center"/>
    </w:pPr>
    <w:rPr>
      <w:rFonts w:eastAsia="SimSun"/>
    </w:rPr>
  </w:style>
  <w:style w:type="paragraph" w:customStyle="1" w:styleId="xl299">
    <w:name w:val="xl299"/>
    <w:basedOn w:val="Normal"/>
    <w:semiHidden/>
    <w:pPr>
      <w:pBdr>
        <w:left w:val="single" w:sz="4" w:space="0" w:color="auto"/>
        <w:bottom w:val="single" w:sz="4" w:space="0" w:color="auto"/>
        <w:right w:val="single" w:sz="4" w:space="0" w:color="auto"/>
      </w:pBdr>
      <w:shd w:val="clear" w:color="000000" w:fill="DDEBF7"/>
      <w:spacing w:before="100" w:beforeAutospacing="1" w:after="100" w:afterAutospacing="1"/>
      <w:jc w:val="center"/>
      <w:textAlignment w:val="center"/>
    </w:pPr>
    <w:rPr>
      <w:rFonts w:eastAsia="SimSun"/>
    </w:rPr>
  </w:style>
  <w:style w:type="paragraph" w:customStyle="1" w:styleId="xl300">
    <w:name w:val="xl300"/>
    <w:basedOn w:val="Normal"/>
    <w:semiHidden/>
    <w:pPr>
      <w:pBdr>
        <w:top w:val="single" w:sz="4" w:space="0" w:color="auto"/>
        <w:left w:val="single" w:sz="4" w:space="0" w:color="auto"/>
        <w:right w:val="single" w:sz="4" w:space="0" w:color="auto"/>
      </w:pBdr>
      <w:shd w:val="clear" w:color="000000" w:fill="C6E0B4"/>
      <w:spacing w:before="100" w:beforeAutospacing="1" w:after="100" w:afterAutospacing="1"/>
      <w:jc w:val="center"/>
      <w:textAlignment w:val="center"/>
    </w:pPr>
    <w:rPr>
      <w:rFonts w:ascii="Castellar" w:eastAsia="SimSun" w:hAnsi="Castellar"/>
    </w:rPr>
  </w:style>
  <w:style w:type="paragraph" w:customStyle="1" w:styleId="xl301">
    <w:name w:val="xl301"/>
    <w:basedOn w:val="Normal"/>
    <w:semiHidden/>
    <w:pPr>
      <w:pBdr>
        <w:left w:val="single" w:sz="4" w:space="0" w:color="auto"/>
        <w:right w:val="single" w:sz="4" w:space="0" w:color="auto"/>
      </w:pBdr>
      <w:shd w:val="clear" w:color="000000" w:fill="C6E0B4"/>
      <w:spacing w:before="100" w:beforeAutospacing="1" w:after="100" w:afterAutospacing="1"/>
      <w:jc w:val="center"/>
      <w:textAlignment w:val="center"/>
    </w:pPr>
    <w:rPr>
      <w:rFonts w:ascii="Castellar" w:eastAsia="SimSun" w:hAnsi="Castellar"/>
    </w:rPr>
  </w:style>
  <w:style w:type="paragraph" w:customStyle="1" w:styleId="xl302">
    <w:name w:val="xl302"/>
    <w:basedOn w:val="Normal"/>
    <w:semiHidden/>
    <w:pPr>
      <w:pBdr>
        <w:left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Castellar" w:eastAsia="SimSun" w:hAnsi="Castellar"/>
    </w:rPr>
  </w:style>
  <w:style w:type="paragraph" w:customStyle="1" w:styleId="xl303">
    <w:name w:val="xl303"/>
    <w:basedOn w:val="Normal"/>
    <w:semiHidden/>
    <w:pPr>
      <w:pBdr>
        <w:top w:val="single" w:sz="4" w:space="0" w:color="auto"/>
        <w:left w:val="single" w:sz="4" w:space="0" w:color="auto"/>
        <w:right w:val="single" w:sz="4" w:space="0" w:color="auto"/>
      </w:pBdr>
      <w:shd w:val="clear" w:color="000000" w:fill="FCE4D6"/>
      <w:spacing w:before="100" w:beforeAutospacing="1" w:after="100" w:afterAutospacing="1"/>
      <w:jc w:val="center"/>
      <w:textAlignment w:val="center"/>
    </w:pPr>
    <w:rPr>
      <w:rFonts w:eastAsia="SimSun"/>
    </w:rPr>
  </w:style>
  <w:style w:type="paragraph" w:customStyle="1" w:styleId="xl304">
    <w:name w:val="xl304"/>
    <w:basedOn w:val="Normal"/>
    <w:semiHidden/>
    <w:pPr>
      <w:pBdr>
        <w:left w:val="single" w:sz="4" w:space="0" w:color="auto"/>
        <w:right w:val="single" w:sz="4" w:space="0" w:color="auto"/>
      </w:pBdr>
      <w:shd w:val="clear" w:color="000000" w:fill="FCE4D6"/>
      <w:spacing w:before="100" w:beforeAutospacing="1" w:after="100" w:afterAutospacing="1"/>
      <w:jc w:val="center"/>
      <w:textAlignment w:val="center"/>
    </w:pPr>
    <w:rPr>
      <w:rFonts w:eastAsia="SimSun"/>
    </w:rPr>
  </w:style>
  <w:style w:type="paragraph" w:customStyle="1" w:styleId="xl305">
    <w:name w:val="xl305"/>
    <w:basedOn w:val="Normal"/>
    <w:semiHidden/>
    <w:pPr>
      <w:pBdr>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eastAsia="SimSun"/>
    </w:rPr>
  </w:style>
  <w:style w:type="paragraph" w:customStyle="1" w:styleId="xl306">
    <w:name w:val="xl306"/>
    <w:basedOn w:val="Normal"/>
    <w:semiHidden/>
    <w:pPr>
      <w:pBdr>
        <w:top w:val="single" w:sz="8" w:space="0" w:color="auto"/>
        <w:left w:val="single" w:sz="8" w:space="0" w:color="auto"/>
        <w:right w:val="single" w:sz="8" w:space="0" w:color="auto"/>
      </w:pBdr>
      <w:shd w:val="clear" w:color="000000" w:fill="FFFF00"/>
      <w:spacing w:before="100" w:beforeAutospacing="1" w:after="100" w:afterAutospacing="1"/>
      <w:jc w:val="center"/>
      <w:textAlignment w:val="center"/>
    </w:pPr>
    <w:rPr>
      <w:rFonts w:ascii="Castellar" w:eastAsia="SimSun" w:hAnsi="Castellar"/>
    </w:rPr>
  </w:style>
  <w:style w:type="paragraph" w:customStyle="1" w:styleId="xl307">
    <w:name w:val="xl307"/>
    <w:basedOn w:val="Normal"/>
    <w:semiHidden/>
    <w:pPr>
      <w:pBdr>
        <w:left w:val="single" w:sz="8" w:space="0" w:color="auto"/>
        <w:right w:val="single" w:sz="8" w:space="0" w:color="auto"/>
      </w:pBdr>
      <w:shd w:val="clear" w:color="000000" w:fill="FFFF00"/>
      <w:spacing w:before="100" w:beforeAutospacing="1" w:after="100" w:afterAutospacing="1"/>
      <w:jc w:val="center"/>
      <w:textAlignment w:val="center"/>
    </w:pPr>
    <w:rPr>
      <w:rFonts w:ascii="Castellar" w:eastAsia="SimSun" w:hAnsi="Castellar"/>
    </w:rPr>
  </w:style>
  <w:style w:type="paragraph" w:customStyle="1" w:styleId="xl308">
    <w:name w:val="xl308"/>
    <w:basedOn w:val="Normal"/>
    <w:semiHidden/>
    <w:pPr>
      <w:pBdr>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rFonts w:ascii="Castellar" w:eastAsia="SimSun" w:hAnsi="Castellar"/>
    </w:rPr>
  </w:style>
  <w:style w:type="paragraph" w:customStyle="1" w:styleId="xl309">
    <w:name w:val="xl309"/>
    <w:basedOn w:val="Normal"/>
    <w:semiHidden/>
    <w:pPr>
      <w:pBdr>
        <w:top w:val="single" w:sz="8" w:space="0" w:color="auto"/>
        <w:left w:val="single" w:sz="8" w:space="0" w:color="auto"/>
        <w:right w:val="single" w:sz="8" w:space="0" w:color="auto"/>
      </w:pBdr>
      <w:shd w:val="clear" w:color="000000" w:fill="92D050"/>
      <w:spacing w:before="100" w:beforeAutospacing="1" w:after="100" w:afterAutospacing="1"/>
      <w:jc w:val="center"/>
      <w:textAlignment w:val="center"/>
    </w:pPr>
    <w:rPr>
      <w:rFonts w:ascii="Castellar" w:eastAsia="SimSun" w:hAnsi="Castellar"/>
    </w:rPr>
  </w:style>
  <w:style w:type="paragraph" w:customStyle="1" w:styleId="xl310">
    <w:name w:val="xl310"/>
    <w:basedOn w:val="Normal"/>
    <w:semiHidden/>
    <w:pPr>
      <w:pBdr>
        <w:left w:val="single" w:sz="8" w:space="0" w:color="auto"/>
        <w:right w:val="single" w:sz="8" w:space="0" w:color="auto"/>
      </w:pBdr>
      <w:shd w:val="clear" w:color="000000" w:fill="92D050"/>
      <w:spacing w:before="100" w:beforeAutospacing="1" w:after="100" w:afterAutospacing="1"/>
      <w:jc w:val="center"/>
      <w:textAlignment w:val="center"/>
    </w:pPr>
    <w:rPr>
      <w:rFonts w:ascii="Castellar" w:eastAsia="SimSun" w:hAnsi="Castellar"/>
    </w:rPr>
  </w:style>
  <w:style w:type="paragraph" w:customStyle="1" w:styleId="xl311">
    <w:name w:val="xl311"/>
    <w:basedOn w:val="Normal"/>
    <w:semiHidden/>
    <w:pPr>
      <w:pBdr>
        <w:left w:val="single" w:sz="8" w:space="0" w:color="auto"/>
        <w:bottom w:val="single" w:sz="8" w:space="0" w:color="auto"/>
        <w:right w:val="single" w:sz="8" w:space="0" w:color="auto"/>
      </w:pBdr>
      <w:shd w:val="clear" w:color="000000" w:fill="92D050"/>
      <w:spacing w:before="100" w:beforeAutospacing="1" w:after="100" w:afterAutospacing="1"/>
      <w:jc w:val="center"/>
      <w:textAlignment w:val="center"/>
    </w:pPr>
    <w:rPr>
      <w:rFonts w:ascii="Castellar" w:eastAsia="SimSun" w:hAnsi="Castellar"/>
    </w:rPr>
  </w:style>
  <w:style w:type="paragraph" w:customStyle="1" w:styleId="xl312">
    <w:name w:val="xl312"/>
    <w:basedOn w:val="Normal"/>
    <w:semiHidden/>
    <w:pPr>
      <w:pBdr>
        <w:top w:val="single" w:sz="8" w:space="0" w:color="auto"/>
        <w:left w:val="single" w:sz="8" w:space="0" w:color="auto"/>
        <w:right w:val="single" w:sz="8" w:space="0" w:color="auto"/>
      </w:pBdr>
      <w:shd w:val="clear" w:color="000000" w:fill="FFF2CC"/>
      <w:spacing w:before="100" w:beforeAutospacing="1" w:after="100" w:afterAutospacing="1"/>
      <w:jc w:val="center"/>
      <w:textAlignment w:val="center"/>
    </w:pPr>
    <w:rPr>
      <w:rFonts w:ascii="Castellar" w:eastAsia="SimSun" w:hAnsi="Castellar"/>
    </w:rPr>
  </w:style>
  <w:style w:type="paragraph" w:customStyle="1" w:styleId="xl313">
    <w:name w:val="xl313"/>
    <w:basedOn w:val="Normal"/>
    <w:semiHidden/>
    <w:pPr>
      <w:pBdr>
        <w:left w:val="single" w:sz="8" w:space="0" w:color="auto"/>
        <w:right w:val="single" w:sz="8" w:space="0" w:color="auto"/>
      </w:pBdr>
      <w:shd w:val="clear" w:color="000000" w:fill="FFF2CC"/>
      <w:spacing w:before="100" w:beforeAutospacing="1" w:after="100" w:afterAutospacing="1"/>
      <w:jc w:val="center"/>
      <w:textAlignment w:val="center"/>
    </w:pPr>
    <w:rPr>
      <w:rFonts w:ascii="Castellar" w:eastAsia="SimSun" w:hAnsi="Castellar"/>
    </w:rPr>
  </w:style>
  <w:style w:type="paragraph" w:customStyle="1" w:styleId="xl314">
    <w:name w:val="xl314"/>
    <w:basedOn w:val="Normal"/>
    <w:semiHidden/>
    <w:pPr>
      <w:pBdr>
        <w:left w:val="single" w:sz="8" w:space="0" w:color="auto"/>
        <w:bottom w:val="single" w:sz="8" w:space="0" w:color="auto"/>
        <w:right w:val="single" w:sz="8" w:space="0" w:color="auto"/>
      </w:pBdr>
      <w:shd w:val="clear" w:color="000000" w:fill="FFF2CC"/>
      <w:spacing w:before="100" w:beforeAutospacing="1" w:after="100" w:afterAutospacing="1"/>
      <w:jc w:val="center"/>
      <w:textAlignment w:val="center"/>
    </w:pPr>
    <w:rPr>
      <w:rFonts w:ascii="Castellar" w:eastAsia="SimSun" w:hAnsi="Castellar"/>
    </w:rPr>
  </w:style>
  <w:style w:type="paragraph" w:customStyle="1" w:styleId="xl315">
    <w:name w:val="xl315"/>
    <w:basedOn w:val="Normal"/>
    <w:semiHidden/>
    <w:pPr>
      <w:pBdr>
        <w:top w:val="single" w:sz="4" w:space="0" w:color="auto"/>
        <w:left w:val="single" w:sz="4" w:space="0" w:color="auto"/>
        <w:right w:val="single" w:sz="4" w:space="0" w:color="auto"/>
      </w:pBdr>
      <w:shd w:val="clear" w:color="000000" w:fill="9BC2E6"/>
      <w:spacing w:before="100" w:beforeAutospacing="1" w:after="100" w:afterAutospacing="1"/>
      <w:jc w:val="center"/>
      <w:textAlignment w:val="center"/>
    </w:pPr>
    <w:rPr>
      <w:rFonts w:ascii="Castellar" w:eastAsia="SimSun" w:hAnsi="Castellar"/>
    </w:rPr>
  </w:style>
  <w:style w:type="paragraph" w:customStyle="1" w:styleId="xl316">
    <w:name w:val="xl316"/>
    <w:basedOn w:val="Normal"/>
    <w:semiHidden/>
    <w:pPr>
      <w:pBdr>
        <w:left w:val="single" w:sz="4" w:space="0" w:color="auto"/>
        <w:right w:val="single" w:sz="4" w:space="0" w:color="auto"/>
      </w:pBdr>
      <w:shd w:val="clear" w:color="000000" w:fill="9BC2E6"/>
      <w:spacing w:before="100" w:beforeAutospacing="1" w:after="100" w:afterAutospacing="1"/>
      <w:jc w:val="center"/>
      <w:textAlignment w:val="center"/>
    </w:pPr>
    <w:rPr>
      <w:rFonts w:ascii="Castellar" w:eastAsia="SimSun" w:hAnsi="Castellar"/>
    </w:rPr>
  </w:style>
  <w:style w:type="paragraph" w:customStyle="1" w:styleId="xl317">
    <w:name w:val="xl317"/>
    <w:basedOn w:val="Normal"/>
    <w:semiHidden/>
    <w:pPr>
      <w:pBdr>
        <w:left w:val="single" w:sz="4" w:space="0" w:color="auto"/>
        <w:bottom w:val="single" w:sz="4" w:space="0" w:color="auto"/>
        <w:right w:val="single" w:sz="4" w:space="0" w:color="auto"/>
      </w:pBdr>
      <w:shd w:val="clear" w:color="000000" w:fill="9BC2E6"/>
      <w:spacing w:before="100" w:beforeAutospacing="1" w:after="100" w:afterAutospacing="1"/>
      <w:jc w:val="center"/>
      <w:textAlignment w:val="center"/>
    </w:pPr>
    <w:rPr>
      <w:rFonts w:ascii="Castellar" w:eastAsia="SimSun" w:hAnsi="Castellar"/>
    </w:rPr>
  </w:style>
  <w:style w:type="paragraph" w:customStyle="1" w:styleId="xl318">
    <w:name w:val="xl318"/>
    <w:basedOn w:val="Normal"/>
    <w:semiHidden/>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rFonts w:ascii="Castellar" w:eastAsia="SimSun" w:hAnsi="Castellar"/>
    </w:rPr>
  </w:style>
  <w:style w:type="paragraph" w:customStyle="1" w:styleId="xl319">
    <w:name w:val="xl319"/>
    <w:basedOn w:val="Normal"/>
    <w:semiHidden/>
    <w:pPr>
      <w:pBdr>
        <w:left w:val="single" w:sz="4" w:space="0" w:color="auto"/>
        <w:right w:val="single" w:sz="4" w:space="0" w:color="auto"/>
      </w:pBdr>
      <w:shd w:val="clear" w:color="000000" w:fill="FFC000"/>
      <w:spacing w:before="100" w:beforeAutospacing="1" w:after="100" w:afterAutospacing="1"/>
      <w:jc w:val="center"/>
      <w:textAlignment w:val="center"/>
    </w:pPr>
    <w:rPr>
      <w:rFonts w:ascii="Castellar" w:eastAsia="SimSun" w:hAnsi="Castellar"/>
    </w:rPr>
  </w:style>
  <w:style w:type="paragraph" w:customStyle="1" w:styleId="xl320">
    <w:name w:val="xl320"/>
    <w:basedOn w:val="Normal"/>
    <w:semiHidden/>
    <w:pPr>
      <w:pBdr>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astellar" w:eastAsia="SimSun" w:hAnsi="Castellar"/>
    </w:rPr>
  </w:style>
  <w:style w:type="paragraph" w:customStyle="1" w:styleId="xl321">
    <w:name w:val="xl321"/>
    <w:basedOn w:val="Normal"/>
    <w:semiHidden/>
    <w:pPr>
      <w:pBdr>
        <w:top w:val="single" w:sz="8" w:space="0" w:color="auto"/>
        <w:left w:val="single" w:sz="8" w:space="0" w:color="auto"/>
        <w:right w:val="single" w:sz="8" w:space="0" w:color="auto"/>
      </w:pBdr>
      <w:shd w:val="clear" w:color="000000" w:fill="E2EFDA"/>
      <w:spacing w:before="100" w:beforeAutospacing="1" w:after="100" w:afterAutospacing="1"/>
      <w:jc w:val="center"/>
      <w:textAlignment w:val="center"/>
    </w:pPr>
    <w:rPr>
      <w:rFonts w:ascii="Castellar" w:eastAsia="SimSun" w:hAnsi="Castellar"/>
    </w:rPr>
  </w:style>
  <w:style w:type="paragraph" w:customStyle="1" w:styleId="xl322">
    <w:name w:val="xl322"/>
    <w:basedOn w:val="Normal"/>
    <w:semiHidden/>
    <w:pPr>
      <w:pBdr>
        <w:left w:val="single" w:sz="8" w:space="0" w:color="auto"/>
        <w:right w:val="single" w:sz="8" w:space="0" w:color="auto"/>
      </w:pBdr>
      <w:shd w:val="clear" w:color="000000" w:fill="E2EFDA"/>
      <w:spacing w:before="100" w:beforeAutospacing="1" w:after="100" w:afterAutospacing="1"/>
      <w:jc w:val="center"/>
      <w:textAlignment w:val="center"/>
    </w:pPr>
    <w:rPr>
      <w:rFonts w:ascii="Castellar" w:eastAsia="SimSun" w:hAnsi="Castellar"/>
    </w:rPr>
  </w:style>
  <w:style w:type="paragraph" w:customStyle="1" w:styleId="xl323">
    <w:name w:val="xl323"/>
    <w:basedOn w:val="Normal"/>
    <w:semiHidden/>
    <w:pPr>
      <w:pBdr>
        <w:top w:val="single" w:sz="8" w:space="0" w:color="auto"/>
        <w:left w:val="single" w:sz="8" w:space="0" w:color="auto"/>
        <w:right w:val="single" w:sz="8" w:space="0" w:color="auto"/>
      </w:pBdr>
      <w:shd w:val="clear" w:color="000000" w:fill="DBDBDB"/>
      <w:spacing w:before="100" w:beforeAutospacing="1" w:after="100" w:afterAutospacing="1"/>
      <w:jc w:val="center"/>
      <w:textAlignment w:val="center"/>
    </w:pPr>
    <w:rPr>
      <w:rFonts w:ascii="Castellar" w:eastAsia="SimSun" w:hAnsi="Castellar"/>
    </w:rPr>
  </w:style>
  <w:style w:type="paragraph" w:customStyle="1" w:styleId="xl324">
    <w:name w:val="xl324"/>
    <w:basedOn w:val="Normal"/>
    <w:semiHidden/>
    <w:pPr>
      <w:pBdr>
        <w:left w:val="single" w:sz="8" w:space="0" w:color="auto"/>
        <w:right w:val="single" w:sz="8" w:space="0" w:color="auto"/>
      </w:pBdr>
      <w:shd w:val="clear" w:color="000000" w:fill="DBDBDB"/>
      <w:spacing w:before="100" w:beforeAutospacing="1" w:after="100" w:afterAutospacing="1"/>
      <w:jc w:val="center"/>
      <w:textAlignment w:val="center"/>
    </w:pPr>
    <w:rPr>
      <w:rFonts w:ascii="Castellar" w:eastAsia="SimSun" w:hAnsi="Castellar"/>
    </w:rPr>
  </w:style>
  <w:style w:type="paragraph" w:customStyle="1" w:styleId="xl325">
    <w:name w:val="xl325"/>
    <w:basedOn w:val="Normal"/>
    <w:semiHidden/>
    <w:pPr>
      <w:pBdr>
        <w:left w:val="single" w:sz="8" w:space="0" w:color="auto"/>
        <w:bottom w:val="single" w:sz="8" w:space="0" w:color="auto"/>
      </w:pBdr>
      <w:shd w:val="clear" w:color="000000" w:fill="DBDBDB"/>
      <w:spacing w:before="100" w:beforeAutospacing="1" w:after="100" w:afterAutospacing="1"/>
      <w:jc w:val="center"/>
      <w:textAlignment w:val="center"/>
    </w:pPr>
    <w:rPr>
      <w:rFonts w:ascii="Castellar" w:eastAsia="SimSun" w:hAnsi="Castellar"/>
    </w:rPr>
  </w:style>
  <w:style w:type="paragraph" w:customStyle="1" w:styleId="xl326">
    <w:name w:val="xl326"/>
    <w:basedOn w:val="Normal"/>
    <w:semiHidden/>
    <w:pPr>
      <w:pBdr>
        <w:top w:val="single" w:sz="8" w:space="0" w:color="auto"/>
        <w:left w:val="single" w:sz="8" w:space="0" w:color="auto"/>
        <w:right w:val="single" w:sz="8" w:space="0" w:color="auto"/>
      </w:pBdr>
      <w:shd w:val="clear" w:color="000000" w:fill="FFD966"/>
      <w:spacing w:before="100" w:beforeAutospacing="1" w:after="100" w:afterAutospacing="1"/>
      <w:jc w:val="center"/>
      <w:textAlignment w:val="center"/>
    </w:pPr>
    <w:rPr>
      <w:rFonts w:ascii="Castellar" w:eastAsia="SimSun" w:hAnsi="Castellar"/>
    </w:rPr>
  </w:style>
  <w:style w:type="paragraph" w:customStyle="1" w:styleId="xl327">
    <w:name w:val="xl327"/>
    <w:basedOn w:val="Normal"/>
    <w:semiHidden/>
    <w:pPr>
      <w:pBdr>
        <w:left w:val="single" w:sz="8" w:space="0" w:color="auto"/>
        <w:right w:val="single" w:sz="8" w:space="0" w:color="auto"/>
      </w:pBdr>
      <w:shd w:val="clear" w:color="000000" w:fill="FFD966"/>
      <w:spacing w:before="100" w:beforeAutospacing="1" w:after="100" w:afterAutospacing="1"/>
      <w:jc w:val="center"/>
      <w:textAlignment w:val="center"/>
    </w:pPr>
    <w:rPr>
      <w:rFonts w:ascii="Castellar" w:eastAsia="SimSun" w:hAnsi="Castellar"/>
    </w:rPr>
  </w:style>
  <w:style w:type="paragraph" w:customStyle="1" w:styleId="xl328">
    <w:name w:val="xl328"/>
    <w:basedOn w:val="Normal"/>
    <w:semiHidden/>
    <w:pPr>
      <w:pBdr>
        <w:top w:val="single" w:sz="4" w:space="0" w:color="auto"/>
        <w:left w:val="single" w:sz="4" w:space="0" w:color="auto"/>
        <w:right w:val="single" w:sz="4" w:space="0" w:color="auto"/>
      </w:pBdr>
      <w:shd w:val="clear" w:color="000000" w:fill="A9D08E"/>
      <w:spacing w:before="100" w:beforeAutospacing="1" w:after="100" w:afterAutospacing="1"/>
      <w:jc w:val="center"/>
      <w:textAlignment w:val="center"/>
    </w:pPr>
    <w:rPr>
      <w:rFonts w:ascii="Castellar" w:eastAsia="SimSun" w:hAnsi="Castellar"/>
    </w:rPr>
  </w:style>
  <w:style w:type="paragraph" w:customStyle="1" w:styleId="xl329">
    <w:name w:val="xl329"/>
    <w:basedOn w:val="Normal"/>
    <w:semiHidden/>
    <w:pPr>
      <w:pBdr>
        <w:left w:val="single" w:sz="4" w:space="0" w:color="auto"/>
        <w:right w:val="single" w:sz="4" w:space="0" w:color="auto"/>
      </w:pBdr>
      <w:shd w:val="clear" w:color="000000" w:fill="A9D08E"/>
      <w:spacing w:before="100" w:beforeAutospacing="1" w:after="100" w:afterAutospacing="1"/>
      <w:jc w:val="center"/>
      <w:textAlignment w:val="center"/>
    </w:pPr>
    <w:rPr>
      <w:rFonts w:ascii="Castellar" w:eastAsia="SimSun" w:hAnsi="Castellar"/>
    </w:rPr>
  </w:style>
  <w:style w:type="paragraph" w:customStyle="1" w:styleId="xl330">
    <w:name w:val="xl330"/>
    <w:basedOn w:val="Normal"/>
    <w:semiHidden/>
    <w:pPr>
      <w:pBdr>
        <w:left w:val="single" w:sz="4" w:space="0" w:color="auto"/>
        <w:bottom w:val="single" w:sz="4" w:space="0" w:color="auto"/>
        <w:right w:val="single" w:sz="4" w:space="0" w:color="auto"/>
      </w:pBdr>
      <w:shd w:val="clear" w:color="000000" w:fill="A9D08E"/>
      <w:spacing w:before="100" w:beforeAutospacing="1" w:after="100" w:afterAutospacing="1"/>
      <w:jc w:val="center"/>
      <w:textAlignment w:val="center"/>
    </w:pPr>
    <w:rPr>
      <w:rFonts w:ascii="Castellar" w:eastAsia="SimSun" w:hAnsi="Castellar"/>
    </w:rPr>
  </w:style>
  <w:style w:type="paragraph" w:customStyle="1" w:styleId="xl331">
    <w:name w:val="xl331"/>
    <w:basedOn w:val="Normal"/>
    <w:semiHidden/>
    <w:pPr>
      <w:pBdr>
        <w:top w:val="single" w:sz="4" w:space="0" w:color="auto"/>
      </w:pBdr>
      <w:shd w:val="clear" w:color="000000" w:fill="F8CBAD"/>
      <w:spacing w:before="100" w:beforeAutospacing="1" w:after="100" w:afterAutospacing="1"/>
      <w:jc w:val="center"/>
      <w:textAlignment w:val="center"/>
    </w:pPr>
    <w:rPr>
      <w:rFonts w:ascii="Castellar" w:eastAsia="SimSun" w:hAnsi="Castellar"/>
    </w:rPr>
  </w:style>
  <w:style w:type="paragraph" w:customStyle="1" w:styleId="xl332">
    <w:name w:val="xl332"/>
    <w:basedOn w:val="Normal"/>
    <w:semiHidden/>
    <w:pPr>
      <w:shd w:val="clear" w:color="000000" w:fill="F8CBAD"/>
      <w:spacing w:before="100" w:beforeAutospacing="1" w:after="100" w:afterAutospacing="1"/>
      <w:jc w:val="center"/>
      <w:textAlignment w:val="center"/>
    </w:pPr>
    <w:rPr>
      <w:rFonts w:ascii="Castellar" w:eastAsia="SimSun" w:hAnsi="Castellar"/>
    </w:rPr>
  </w:style>
  <w:style w:type="paragraph" w:customStyle="1" w:styleId="xl333">
    <w:name w:val="xl333"/>
    <w:basedOn w:val="Normal"/>
    <w:semiHidden/>
    <w:pPr>
      <w:pBdr>
        <w:bottom w:val="single" w:sz="8" w:space="0" w:color="auto"/>
      </w:pBdr>
      <w:shd w:val="clear" w:color="000000" w:fill="F8CBAD"/>
      <w:spacing w:before="100" w:beforeAutospacing="1" w:after="100" w:afterAutospacing="1"/>
      <w:jc w:val="center"/>
      <w:textAlignment w:val="center"/>
    </w:pPr>
    <w:rPr>
      <w:rFonts w:ascii="Castellar" w:eastAsia="SimSun" w:hAnsi="Castellar"/>
    </w:rPr>
  </w:style>
  <w:style w:type="paragraph" w:customStyle="1" w:styleId="xl334">
    <w:name w:val="xl334"/>
    <w:basedOn w:val="Normal"/>
    <w:semiHidden/>
    <w:pPr>
      <w:pBdr>
        <w:top w:val="single" w:sz="8" w:space="0" w:color="auto"/>
        <w:left w:val="single" w:sz="8" w:space="0" w:color="auto"/>
        <w:right w:val="single" w:sz="8" w:space="0" w:color="auto"/>
      </w:pBdr>
      <w:shd w:val="clear" w:color="000000" w:fill="FCE4D6"/>
      <w:spacing w:before="100" w:beforeAutospacing="1" w:after="100" w:afterAutospacing="1"/>
      <w:jc w:val="center"/>
      <w:textAlignment w:val="center"/>
    </w:pPr>
    <w:rPr>
      <w:rFonts w:ascii="Castellar" w:eastAsia="SimSun" w:hAnsi="Castellar"/>
    </w:rPr>
  </w:style>
  <w:style w:type="paragraph" w:customStyle="1" w:styleId="xl335">
    <w:name w:val="xl335"/>
    <w:basedOn w:val="Normal"/>
    <w:semiHidden/>
    <w:pPr>
      <w:pBdr>
        <w:left w:val="single" w:sz="8" w:space="0" w:color="auto"/>
        <w:right w:val="single" w:sz="8" w:space="0" w:color="auto"/>
      </w:pBdr>
      <w:shd w:val="clear" w:color="000000" w:fill="FCE4D6"/>
      <w:spacing w:before="100" w:beforeAutospacing="1" w:after="100" w:afterAutospacing="1"/>
      <w:jc w:val="center"/>
      <w:textAlignment w:val="center"/>
    </w:pPr>
    <w:rPr>
      <w:rFonts w:ascii="Castellar" w:eastAsia="SimSun" w:hAnsi="Castellar"/>
    </w:rPr>
  </w:style>
  <w:style w:type="paragraph" w:customStyle="1" w:styleId="xl336">
    <w:name w:val="xl336"/>
    <w:basedOn w:val="Normal"/>
    <w:semiHidden/>
    <w:pPr>
      <w:pBdr>
        <w:left w:val="single" w:sz="8" w:space="0" w:color="auto"/>
        <w:bottom w:val="single" w:sz="8" w:space="0" w:color="auto"/>
        <w:right w:val="single" w:sz="8" w:space="0" w:color="auto"/>
      </w:pBdr>
      <w:shd w:val="clear" w:color="000000" w:fill="FCE4D6"/>
      <w:spacing w:before="100" w:beforeAutospacing="1" w:after="100" w:afterAutospacing="1"/>
      <w:jc w:val="center"/>
      <w:textAlignment w:val="center"/>
    </w:pPr>
    <w:rPr>
      <w:rFonts w:ascii="Castellar" w:eastAsia="SimSun" w:hAnsi="Castellar"/>
    </w:rPr>
  </w:style>
  <w:style w:type="character" w:customStyle="1" w:styleId="Mentionnonrsolue1">
    <w:name w:val="Mention non résolue1"/>
    <w:uiPriority w:val="99"/>
    <w:semiHidden/>
    <w:unhideWhenUsed/>
    <w:rPr>
      <w:color w:val="605E5C"/>
      <w:shd w:val="clear" w:color="auto" w:fill="E1DFDD"/>
    </w:rPr>
  </w:style>
  <w:style w:type="table" w:customStyle="1" w:styleId="PlainTable31">
    <w:name w:val="Plain Table 31"/>
    <w:basedOn w:val="TableauNormal"/>
    <w:uiPriority w:val="43"/>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Retrait1religneCar">
    <w:name w:val="Retrait 1re ligne Car"/>
    <w:link w:val="Retrait1religne"/>
    <w:uiPriority w:val="99"/>
    <w:semiHidden/>
    <w:rPr>
      <w:rFonts w:ascii="Times New Roman" w:eastAsia="Times New Roman" w:hAnsi="Times New Roman" w:cs="Times New Roman"/>
      <w:sz w:val="24"/>
      <w:szCs w:val="24"/>
      <w:lang w:eastAsia="fr-FR"/>
    </w:rPr>
  </w:style>
  <w:style w:type="character" w:customStyle="1" w:styleId="Mentionnonrsolue2">
    <w:name w:val="Mention non résolue2"/>
    <w:uiPriority w:val="99"/>
    <w:semiHidden/>
    <w:unhideWhenUsed/>
    <w:rPr>
      <w:color w:val="605E5C"/>
      <w:shd w:val="clear" w:color="auto" w:fill="E1DFDD"/>
    </w:rPr>
  </w:style>
  <w:style w:type="paragraph" w:customStyle="1" w:styleId="FNRefeCharChar">
    <w:name w:val="FNRefe Char Char"/>
    <w:basedOn w:val="Normal"/>
    <w:uiPriority w:val="99"/>
    <w:pPr>
      <w:spacing w:after="160" w:line="240" w:lineRule="exact"/>
    </w:pPr>
    <w:rPr>
      <w:rFonts w:ascii="Calibri" w:eastAsia="Calibri" w:hAnsi="Calibri"/>
      <w:vertAlign w:val="superscript"/>
      <w:lang w:val="en-US" w:eastAsia="en-US"/>
    </w:rPr>
  </w:style>
  <w:style w:type="character" w:customStyle="1" w:styleId="cf01">
    <w:name w:val="cf01"/>
    <w:rPr>
      <w:rFonts w:ascii="Segoe UI" w:hAnsi="Segoe UI" w:cs="Segoe UI" w:hint="default"/>
      <w:b/>
      <w:bCs/>
      <w:color w:val="082A75"/>
      <w:sz w:val="18"/>
      <w:szCs w:val="18"/>
    </w:rPr>
  </w:style>
  <w:style w:type="table" w:customStyle="1" w:styleId="TableNormal4">
    <w:name w:val="Table Normal4"/>
    <w:uiPriority w:val="2"/>
    <w:semiHidden/>
    <w:unhideWhenUsed/>
    <w:qFormat/>
    <w:pPr>
      <w:widowControl w:val="0"/>
      <w:autoSpaceDE w:val="0"/>
      <w:autoSpaceDN w:val="0"/>
    </w:pPr>
    <w:rPr>
      <w:lang w:val="en-US"/>
    </w:rPr>
    <w:tblPr>
      <w:tblCellMar>
        <w:top w:w="0" w:type="dxa"/>
        <w:left w:w="0" w:type="dxa"/>
        <w:bottom w:w="0" w:type="dxa"/>
        <w:right w:w="0" w:type="dxa"/>
      </w:tblCellMar>
    </w:tblPr>
  </w:style>
  <w:style w:type="paragraph" w:customStyle="1" w:styleId="TableParagraph">
    <w:name w:val="Table Paragraph"/>
    <w:basedOn w:val="Normal"/>
    <w:uiPriority w:val="1"/>
    <w:qFormat/>
    <w:pPr>
      <w:widowControl w:val="0"/>
      <w:autoSpaceDE w:val="0"/>
      <w:autoSpaceDN w:val="0"/>
    </w:pPr>
    <w:rPr>
      <w:rFonts w:eastAsia="SimSun"/>
      <w:sz w:val="22"/>
      <w:szCs w:val="22"/>
      <w:lang w:eastAsia="en-US"/>
    </w:rPr>
  </w:style>
  <w:style w:type="table" w:customStyle="1" w:styleId="GridTable1Light-Accent51">
    <w:name w:val="Grid Table 1 Light - Accent 51"/>
    <w:basedOn w:val="TableauNormal"/>
    <w:uiPriority w:val="46"/>
    <w:tblPr>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paragraph" w:customStyle="1" w:styleId="Bodycopy">
    <w:name w:val="Body copy"/>
    <w:basedOn w:val="Normal"/>
    <w:link w:val="BodycopyChar"/>
    <w:qFormat/>
    <w:pPr>
      <w:spacing w:after="120"/>
    </w:pPr>
    <w:rPr>
      <w:rFonts w:ascii="Candara" w:eastAsia="Cambria" w:hAnsi="Candara"/>
      <w:sz w:val="22"/>
      <w:lang w:val="en-GB" w:eastAsia="en-US"/>
    </w:rPr>
  </w:style>
  <w:style w:type="character" w:customStyle="1" w:styleId="BodycopyChar">
    <w:name w:val="Body copy Char"/>
    <w:link w:val="Bodycopy"/>
    <w:rPr>
      <w:rFonts w:ascii="Candara" w:eastAsia="Cambria" w:hAnsi="Candara" w:cs="Times New Roman"/>
      <w:szCs w:val="24"/>
      <w:lang w:val="en-GB"/>
    </w:rPr>
  </w:style>
  <w:style w:type="character" w:customStyle="1" w:styleId="NotedefinCar">
    <w:name w:val="Note de fin Car"/>
    <w:link w:val="Notedefin"/>
    <w:uiPriority w:val="99"/>
    <w:semiHidden/>
    <w:rPr>
      <w:rFonts w:ascii="Times New Roman" w:eastAsia="Times New Roman" w:hAnsi="Times New Roman" w:cs="Times New Roman"/>
      <w:sz w:val="20"/>
      <w:szCs w:val="20"/>
      <w:lang w:eastAsia="fr-FR"/>
    </w:rPr>
  </w:style>
  <w:style w:type="table" w:customStyle="1" w:styleId="ListTable1Light-Accent51">
    <w:name w:val="List Table 1 Light - Accent 51"/>
    <w:basedOn w:val="TableauNormal"/>
    <w:uiPriority w:val="46"/>
    <w:tblPr/>
    <w:tblStylePr w:type="firstRow">
      <w:rPr>
        <w:b/>
        <w:bCs/>
      </w:rPr>
      <w:tblPr/>
      <w:tcPr>
        <w:tcBorders>
          <w:bottom w:val="single" w:sz="4" w:space="0" w:color="9CC2E5"/>
        </w:tcBorders>
      </w:tcPr>
    </w:tblStylePr>
    <w:tblStylePr w:type="lastRow">
      <w:rPr>
        <w:b/>
        <w:bCs/>
      </w:rPr>
      <w:tblPr/>
      <w:tcPr>
        <w:tcBorders>
          <w:top w:val="sing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ListTable6Colorful-Accent11">
    <w:name w:val="List Table 6 Colorful - Accent 11"/>
    <w:basedOn w:val="TableauNormal"/>
    <w:uiPriority w:val="51"/>
    <w:rPr>
      <w:color w:val="2F5496"/>
    </w:rPr>
    <w:tblPr>
      <w:tblBorders>
        <w:top w:val="single" w:sz="4" w:space="0" w:color="4472C4"/>
        <w:bottom w:val="single" w:sz="4" w:space="0" w:color="4472C4"/>
      </w:tblBorders>
    </w:tblPr>
    <w:tblStylePr w:type="firstRow">
      <w:rPr>
        <w:b/>
        <w:bCs/>
      </w:rPr>
      <w:tblPr/>
      <w:tcPr>
        <w:tcBorders>
          <w:bottom w:val="single" w:sz="4" w:space="0" w:color="4472C4"/>
        </w:tcBorders>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character" w:customStyle="1" w:styleId="SubtleReference1">
    <w:name w:val="Subtle Reference1"/>
    <w:uiPriority w:val="31"/>
    <w:qFormat/>
    <w:rPr>
      <w:smallCaps/>
      <w:color w:val="000000"/>
    </w:rPr>
  </w:style>
  <w:style w:type="character" w:customStyle="1" w:styleId="BookTitle1">
    <w:name w:val="Book Title1"/>
    <w:uiPriority w:val="33"/>
    <w:qFormat/>
    <w:rPr>
      <w:bCs/>
      <w:iCs/>
      <w:spacing w:val="5"/>
    </w:rPr>
  </w:style>
  <w:style w:type="paragraph" w:customStyle="1" w:styleId="Style41">
    <w:name w:val="Style4.1"/>
    <w:basedOn w:val="paragraph"/>
    <w:link w:val="Style41Car"/>
    <w:autoRedefine/>
    <w:qFormat/>
    <w:pPr>
      <w:jc w:val="center"/>
    </w:pPr>
    <w:rPr>
      <w:rFonts w:ascii="Arial" w:hAnsi="Arial"/>
      <w:b/>
      <w:color w:val="FFFFFF"/>
      <w:sz w:val="28"/>
    </w:rPr>
  </w:style>
  <w:style w:type="character" w:customStyle="1" w:styleId="paragraphCar">
    <w:name w:val="paragraph Car"/>
    <w:link w:val="paragraph"/>
    <w:rPr>
      <w:rFonts w:ascii="Times New Roman" w:eastAsia="Times New Roman" w:hAnsi="Times New Roman" w:cs="Times New Roman"/>
      <w:sz w:val="24"/>
      <w:szCs w:val="24"/>
      <w:lang w:val="en-US" w:eastAsia="zh-CN"/>
    </w:rPr>
  </w:style>
  <w:style w:type="character" w:customStyle="1" w:styleId="Style41Car">
    <w:name w:val="Style4.1 Car"/>
    <w:link w:val="Style41"/>
    <w:rPr>
      <w:rFonts w:ascii="Arial" w:eastAsia="Times New Roman" w:hAnsi="Arial" w:cs="Times New Roman"/>
      <w:b/>
      <w:color w:val="FFFFFF"/>
      <w:sz w:val="28"/>
      <w:szCs w:val="24"/>
      <w:lang w:val="en-US" w:eastAsia="zh-CN"/>
    </w:rPr>
  </w:style>
  <w:style w:type="paragraph" w:customStyle="1" w:styleId="trt0xe">
    <w:name w:val="trt0xe"/>
    <w:basedOn w:val="Normal"/>
    <w:pPr>
      <w:spacing w:before="100" w:beforeAutospacing="1" w:after="100" w:afterAutospacing="1"/>
    </w:pPr>
    <w:rPr>
      <w:rFonts w:eastAsia="SimSun"/>
    </w:rPr>
  </w:style>
  <w:style w:type="table" w:customStyle="1" w:styleId="71">
    <w:name w:val="71"/>
    <w:basedOn w:val="TableNormal4"/>
    <w:rPr>
      <w:color w:val="2F5496"/>
    </w:rPr>
    <w:tblPr>
      <w:tblCellMar>
        <w:left w:w="115" w:type="dxa"/>
        <w:right w:w="115" w:type="dxa"/>
      </w:tblCellMar>
    </w:tblPr>
    <w:tcPr>
      <w:shd w:val="clear" w:color="auto" w:fill="D9E2F3"/>
    </w:tcPr>
    <w:tblStylePr w:type="firstRow">
      <w:rPr>
        <w:b/>
      </w:rPr>
      <w:tblPr/>
      <w:tcPr>
        <w:tcBorders>
          <w:bottom w:val="single" w:sz="4"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70">
    <w:name w:val="70"/>
    <w:basedOn w:val="TableNormal4"/>
    <w:rPr>
      <w:color w:val="2F5496"/>
    </w:rPr>
    <w:tblPr>
      <w:tblCellMar>
        <w:left w:w="115" w:type="dxa"/>
        <w:right w:w="115" w:type="dxa"/>
      </w:tblCellMar>
    </w:tblPr>
    <w:tcPr>
      <w:shd w:val="clear" w:color="auto" w:fill="D9E2F3"/>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69">
    <w:name w:val="69"/>
    <w:basedOn w:val="TableNormal4"/>
    <w:tblPr/>
  </w:style>
  <w:style w:type="table" w:customStyle="1" w:styleId="68">
    <w:name w:val="68"/>
    <w:basedOn w:val="TableNormal4"/>
    <w:tblPr>
      <w:tblCellMar>
        <w:top w:w="100" w:type="dxa"/>
        <w:left w:w="100" w:type="dxa"/>
        <w:bottom w:w="100" w:type="dxa"/>
        <w:right w:w="100" w:type="dxa"/>
      </w:tblCellMar>
    </w:tblPr>
  </w:style>
  <w:style w:type="table" w:customStyle="1" w:styleId="67">
    <w:name w:val="67"/>
    <w:basedOn w:val="TableNormal4"/>
    <w:tblPr/>
  </w:style>
  <w:style w:type="table" w:customStyle="1" w:styleId="66">
    <w:name w:val="66"/>
    <w:basedOn w:val="TableNormal4"/>
    <w:rPr>
      <w:color w:val="2F5496"/>
    </w:rPr>
    <w:tblPr>
      <w:tblCellMar>
        <w:left w:w="115" w:type="dxa"/>
        <w:right w:w="115" w:type="dxa"/>
      </w:tblCellMar>
    </w:tblPr>
    <w:tcPr>
      <w:shd w:val="clear" w:color="auto" w:fill="D9E2F3"/>
    </w:tcPr>
    <w:tblStylePr w:type="firstRow">
      <w:rPr>
        <w:b/>
      </w:rPr>
      <w:tblPr/>
      <w:tcPr>
        <w:tcBorders>
          <w:bottom w:val="single" w:sz="4" w:space="0" w:color="4472C4"/>
        </w:tcBorders>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65">
    <w:name w:val="65"/>
    <w:basedOn w:val="TableNormal4"/>
    <w:rPr>
      <w:color w:val="2F5496"/>
    </w:rPr>
    <w:tblPr>
      <w:tblCellMar>
        <w:left w:w="115" w:type="dxa"/>
        <w:right w:w="115" w:type="dxa"/>
      </w:tblCellMar>
    </w:tblPr>
    <w:tcPr>
      <w:shd w:val="clear" w:color="auto" w:fill="D9E2F3"/>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64">
    <w:name w:val="64"/>
    <w:basedOn w:val="TableNormal4"/>
    <w:rPr>
      <w:color w:val="2F5496"/>
    </w:rPr>
    <w:tblPr>
      <w:tblCellMar>
        <w:left w:w="115" w:type="dxa"/>
        <w:right w:w="115" w:type="dxa"/>
      </w:tblCellMar>
    </w:tblPr>
    <w:tcPr>
      <w:shd w:val="clear" w:color="auto" w:fill="D9E2F3"/>
    </w:tcPr>
  </w:style>
  <w:style w:type="table" w:customStyle="1" w:styleId="63">
    <w:name w:val="63"/>
    <w:basedOn w:val="TableNormal4"/>
    <w:rPr>
      <w:color w:val="2F5496"/>
    </w:rPr>
    <w:tblPr>
      <w:tblCellMar>
        <w:left w:w="115" w:type="dxa"/>
        <w:right w:w="115" w:type="dxa"/>
      </w:tblCellMar>
    </w:tblPr>
    <w:tcPr>
      <w:shd w:val="clear" w:color="auto" w:fill="D9E2F3"/>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62">
    <w:name w:val="62"/>
    <w:basedOn w:val="TableNormal4"/>
    <w:tblPr>
      <w:tblCellMar>
        <w:top w:w="100" w:type="dxa"/>
        <w:left w:w="100" w:type="dxa"/>
        <w:bottom w:w="100" w:type="dxa"/>
        <w:right w:w="100" w:type="dxa"/>
      </w:tblCellMar>
    </w:tblPr>
  </w:style>
  <w:style w:type="table" w:customStyle="1" w:styleId="61">
    <w:name w:val="61"/>
    <w:basedOn w:val="TableNormal4"/>
    <w:tblPr>
      <w:tblCellMar>
        <w:top w:w="100" w:type="dxa"/>
        <w:left w:w="100" w:type="dxa"/>
        <w:bottom w:w="100" w:type="dxa"/>
        <w:right w:w="100" w:type="dxa"/>
      </w:tblCellMar>
    </w:tblPr>
  </w:style>
  <w:style w:type="table" w:customStyle="1" w:styleId="60">
    <w:name w:val="60"/>
    <w:basedOn w:val="TableNormal3"/>
    <w:pPr>
      <w:widowControl w:val="0"/>
    </w:pPr>
    <w:rPr>
      <w:color w:val="2F5496"/>
    </w:rPr>
    <w:tblPr>
      <w:tblCellMar>
        <w:top w:w="100" w:type="dxa"/>
        <w:left w:w="100" w:type="dxa"/>
        <w:bottom w:w="100" w:type="dxa"/>
        <w:right w:w="100" w:type="dxa"/>
      </w:tblCellMar>
    </w:tblPr>
    <w:tcPr>
      <w:shd w:val="clear" w:color="auto" w:fill="D9E2F3"/>
    </w:tcPr>
    <w:tblStylePr w:type="firstRow">
      <w:rPr>
        <w:b/>
      </w:rPr>
      <w:tblPr/>
      <w:tcPr>
        <w:tcBorders>
          <w:bottom w:val="single" w:sz="4"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59">
    <w:name w:val="59"/>
    <w:basedOn w:val="TableNormal3"/>
    <w:pPr>
      <w:widowControl w:val="0"/>
    </w:pPr>
    <w:rPr>
      <w:color w:val="2F5496"/>
    </w:rPr>
    <w:tblPr>
      <w:tblCellMar>
        <w:top w:w="100" w:type="dxa"/>
        <w:left w:w="100" w:type="dxa"/>
        <w:bottom w:w="100" w:type="dxa"/>
        <w:right w:w="100" w:type="dxa"/>
      </w:tblCellMar>
    </w:tblPr>
    <w:tcPr>
      <w:shd w:val="clear" w:color="auto" w:fill="D9E2F3"/>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58">
    <w:name w:val="58"/>
    <w:basedOn w:val="TableNormal3"/>
    <w:pPr>
      <w:widowControl w:val="0"/>
    </w:pPr>
    <w:rPr>
      <w:color w:val="2F5496"/>
    </w:rPr>
    <w:tblPr>
      <w:tblCellMar>
        <w:top w:w="100" w:type="dxa"/>
        <w:left w:w="100" w:type="dxa"/>
        <w:bottom w:w="100" w:type="dxa"/>
        <w:right w:w="100" w:type="dxa"/>
      </w:tblCellMar>
    </w:tblPr>
    <w:tcPr>
      <w:shd w:val="clear" w:color="auto" w:fill="D9E2F3"/>
    </w:tcPr>
  </w:style>
  <w:style w:type="table" w:customStyle="1" w:styleId="57">
    <w:name w:val="57"/>
    <w:basedOn w:val="TableNormal3"/>
    <w:pPr>
      <w:widowControl w:val="0"/>
    </w:pPr>
    <w:rPr>
      <w:color w:val="2F5496"/>
    </w:rPr>
    <w:tblPr>
      <w:tblCellMar>
        <w:top w:w="100" w:type="dxa"/>
        <w:left w:w="100" w:type="dxa"/>
        <w:bottom w:w="100" w:type="dxa"/>
        <w:right w:w="100" w:type="dxa"/>
      </w:tblCellMar>
    </w:tblPr>
    <w:tcPr>
      <w:shd w:val="clear" w:color="auto" w:fill="D9E2F3"/>
    </w:tcPr>
  </w:style>
  <w:style w:type="table" w:customStyle="1" w:styleId="56">
    <w:name w:val="56"/>
    <w:basedOn w:val="TableNormal3"/>
    <w:pPr>
      <w:widowControl w:val="0"/>
    </w:pPr>
    <w:rPr>
      <w:color w:val="2F5496"/>
    </w:rPr>
    <w:tblPr>
      <w:tblCellMar>
        <w:top w:w="100" w:type="dxa"/>
        <w:left w:w="100" w:type="dxa"/>
        <w:bottom w:w="100" w:type="dxa"/>
        <w:right w:w="100" w:type="dxa"/>
      </w:tblCellMar>
    </w:tblPr>
    <w:tcPr>
      <w:shd w:val="clear" w:color="auto" w:fill="D9E2F3"/>
    </w:tcPr>
    <w:tblStylePr w:type="firstRow">
      <w:rPr>
        <w:b/>
      </w:rPr>
      <w:tblPr/>
      <w:tcPr>
        <w:tcBorders>
          <w:bottom w:val="single" w:sz="4" w:space="0" w:color="4472C4"/>
        </w:tcBorders>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55">
    <w:name w:val="55"/>
    <w:basedOn w:val="TableNormal3"/>
    <w:tblPr>
      <w:tblCellMar>
        <w:top w:w="100" w:type="dxa"/>
        <w:left w:w="100" w:type="dxa"/>
        <w:bottom w:w="100" w:type="dxa"/>
        <w:right w:w="100" w:type="dxa"/>
      </w:tblCellMar>
    </w:tblPr>
  </w:style>
  <w:style w:type="table" w:customStyle="1" w:styleId="54">
    <w:name w:val="54"/>
    <w:basedOn w:val="TableNormal3"/>
    <w:pPr>
      <w:widowControl w:val="0"/>
    </w:pPr>
    <w:rPr>
      <w:color w:val="2F5496"/>
    </w:rPr>
    <w:tblPr>
      <w:tblCellMar>
        <w:top w:w="100" w:type="dxa"/>
        <w:left w:w="100" w:type="dxa"/>
        <w:bottom w:w="100" w:type="dxa"/>
        <w:right w:w="100" w:type="dxa"/>
      </w:tblCellMar>
    </w:tblPr>
    <w:tcPr>
      <w:shd w:val="clear" w:color="auto" w:fill="D9E2F3"/>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3">
    <w:name w:val="53"/>
    <w:basedOn w:val="TableNormal3"/>
    <w:pPr>
      <w:widowControl w:val="0"/>
    </w:pPr>
    <w:rPr>
      <w:color w:val="2F5496"/>
    </w:rPr>
    <w:tblPr>
      <w:tblCellMar>
        <w:top w:w="100" w:type="dxa"/>
        <w:left w:w="100" w:type="dxa"/>
        <w:bottom w:w="100" w:type="dxa"/>
        <w:right w:w="100" w:type="dxa"/>
      </w:tblCellMar>
    </w:tblPr>
    <w:tcPr>
      <w:shd w:val="clear" w:color="auto" w:fill="D9E2F3"/>
    </w:tcPr>
  </w:style>
  <w:style w:type="table" w:customStyle="1" w:styleId="52">
    <w:name w:val="52"/>
    <w:basedOn w:val="TableNormal3"/>
    <w:pPr>
      <w:widowControl w:val="0"/>
    </w:pPr>
    <w:rPr>
      <w:color w:val="2F5496"/>
    </w:rPr>
    <w:tblPr>
      <w:tblCellMar>
        <w:top w:w="100" w:type="dxa"/>
        <w:left w:w="100" w:type="dxa"/>
        <w:bottom w:w="100" w:type="dxa"/>
        <w:right w:w="100" w:type="dxa"/>
      </w:tblCellMar>
    </w:tblPr>
    <w:tcPr>
      <w:shd w:val="clear" w:color="auto" w:fill="D9E2F3"/>
    </w:tcPr>
  </w:style>
  <w:style w:type="table" w:customStyle="1" w:styleId="51">
    <w:name w:val="51"/>
    <w:basedOn w:val="TableNormal3"/>
    <w:pPr>
      <w:widowControl w:val="0"/>
    </w:pPr>
    <w:rPr>
      <w:color w:val="2F5496"/>
    </w:rPr>
    <w:tblPr>
      <w:tblCellMar>
        <w:top w:w="100" w:type="dxa"/>
        <w:left w:w="100" w:type="dxa"/>
        <w:bottom w:w="100" w:type="dxa"/>
        <w:right w:w="100" w:type="dxa"/>
      </w:tblCellMar>
    </w:tblPr>
    <w:tcPr>
      <w:shd w:val="clear" w:color="auto" w:fill="D9E2F3"/>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0">
    <w:name w:val="50"/>
    <w:basedOn w:val="TableNormal3"/>
    <w:pPr>
      <w:widowControl w:val="0"/>
    </w:pPr>
    <w:rPr>
      <w:color w:val="2F5496"/>
    </w:rPr>
    <w:tblPr>
      <w:tblCellMar>
        <w:top w:w="100" w:type="dxa"/>
        <w:left w:w="100" w:type="dxa"/>
        <w:bottom w:w="100" w:type="dxa"/>
        <w:right w:w="100" w:type="dxa"/>
      </w:tblCellMar>
    </w:tblPr>
    <w:tcPr>
      <w:shd w:val="clear" w:color="auto" w:fill="D9E2F3"/>
    </w:tcPr>
  </w:style>
  <w:style w:type="table" w:customStyle="1" w:styleId="49">
    <w:name w:val="49"/>
    <w:basedOn w:val="TableNormal3"/>
    <w:tblPr>
      <w:tblCellMar>
        <w:top w:w="15" w:type="dxa"/>
        <w:left w:w="15" w:type="dxa"/>
        <w:bottom w:w="15" w:type="dxa"/>
        <w:right w:w="15" w:type="dxa"/>
      </w:tblCellMar>
    </w:tblPr>
  </w:style>
  <w:style w:type="table" w:customStyle="1" w:styleId="48">
    <w:name w:val="48"/>
    <w:basedOn w:val="TableNormal3"/>
    <w:tblPr>
      <w:tblCellMar>
        <w:top w:w="100" w:type="dxa"/>
        <w:left w:w="100" w:type="dxa"/>
        <w:bottom w:w="100" w:type="dxa"/>
        <w:right w:w="100" w:type="dxa"/>
      </w:tblCellMar>
    </w:tblPr>
  </w:style>
  <w:style w:type="table" w:customStyle="1" w:styleId="47">
    <w:name w:val="47"/>
    <w:basedOn w:val="TableNormal2"/>
    <w:pPr>
      <w:widowControl w:val="0"/>
    </w:pPr>
    <w:rPr>
      <w:color w:val="2F5496"/>
    </w:rPr>
    <w:tblPr>
      <w:tblCellMar>
        <w:top w:w="100" w:type="dxa"/>
        <w:left w:w="100" w:type="dxa"/>
        <w:bottom w:w="100" w:type="dxa"/>
        <w:right w:w="100" w:type="dxa"/>
      </w:tblCellMar>
    </w:tblPr>
    <w:tcPr>
      <w:shd w:val="clear" w:color="auto" w:fill="D9E2F3"/>
    </w:tcPr>
    <w:tblStylePr w:type="firstRow">
      <w:rPr>
        <w:b/>
      </w:rPr>
      <w:tblPr/>
      <w:tcPr>
        <w:tcBorders>
          <w:bottom w:val="single" w:sz="4"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46">
    <w:name w:val="46"/>
    <w:basedOn w:val="TableNormal2"/>
    <w:pPr>
      <w:widowControl w:val="0"/>
    </w:pPr>
    <w:rPr>
      <w:color w:val="2F5496"/>
    </w:rPr>
    <w:tblPr>
      <w:tblCellMar>
        <w:top w:w="100" w:type="dxa"/>
        <w:left w:w="100" w:type="dxa"/>
        <w:bottom w:w="100" w:type="dxa"/>
        <w:right w:w="100" w:type="dxa"/>
      </w:tblCellMar>
    </w:tblPr>
    <w:tcPr>
      <w:shd w:val="clear" w:color="auto" w:fill="D9E2F3"/>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45">
    <w:name w:val="45"/>
    <w:basedOn w:val="TableNormal2"/>
    <w:pPr>
      <w:widowControl w:val="0"/>
    </w:pPr>
    <w:rPr>
      <w:color w:val="2F5496"/>
    </w:rPr>
    <w:tblPr>
      <w:tblCellMar>
        <w:top w:w="100" w:type="dxa"/>
        <w:left w:w="100" w:type="dxa"/>
        <w:bottom w:w="100" w:type="dxa"/>
        <w:right w:w="100" w:type="dxa"/>
      </w:tblCellMar>
    </w:tblPr>
    <w:tcPr>
      <w:shd w:val="clear" w:color="auto" w:fill="D9E2F3"/>
    </w:tcPr>
  </w:style>
  <w:style w:type="table" w:customStyle="1" w:styleId="44">
    <w:name w:val="44"/>
    <w:basedOn w:val="TableNormal2"/>
    <w:pPr>
      <w:widowControl w:val="0"/>
    </w:pPr>
    <w:rPr>
      <w:color w:val="2F5496"/>
    </w:rPr>
    <w:tblPr>
      <w:tblCellMar>
        <w:top w:w="100" w:type="dxa"/>
        <w:left w:w="100" w:type="dxa"/>
        <w:bottom w:w="100" w:type="dxa"/>
        <w:right w:w="100" w:type="dxa"/>
      </w:tblCellMar>
    </w:tblPr>
    <w:tcPr>
      <w:shd w:val="clear" w:color="auto" w:fill="D9E2F3"/>
    </w:tcPr>
  </w:style>
  <w:style w:type="table" w:customStyle="1" w:styleId="43">
    <w:name w:val="43"/>
    <w:basedOn w:val="TableNormal2"/>
    <w:pPr>
      <w:widowControl w:val="0"/>
    </w:pPr>
    <w:rPr>
      <w:color w:val="2F5496"/>
    </w:rPr>
    <w:tblPr>
      <w:tblCellMar>
        <w:top w:w="100" w:type="dxa"/>
        <w:left w:w="100" w:type="dxa"/>
        <w:bottom w:w="100" w:type="dxa"/>
        <w:right w:w="100" w:type="dxa"/>
      </w:tblCellMar>
    </w:tblPr>
    <w:tcPr>
      <w:shd w:val="clear" w:color="auto" w:fill="D9E2F3"/>
    </w:tcPr>
    <w:tblStylePr w:type="firstRow">
      <w:rPr>
        <w:b/>
      </w:rPr>
      <w:tblPr/>
      <w:tcPr>
        <w:tcBorders>
          <w:bottom w:val="single" w:sz="4" w:space="0" w:color="4472C4"/>
        </w:tcBorders>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42">
    <w:name w:val="42"/>
    <w:basedOn w:val="TableNormal2"/>
    <w:pPr>
      <w:widowControl w:val="0"/>
    </w:pPr>
    <w:rPr>
      <w:color w:val="2F5496"/>
    </w:rPr>
    <w:tblPr>
      <w:tblCellMar>
        <w:top w:w="100" w:type="dxa"/>
        <w:left w:w="100" w:type="dxa"/>
        <w:bottom w:w="100" w:type="dxa"/>
        <w:right w:w="100" w:type="dxa"/>
      </w:tblCellMar>
    </w:tblPr>
    <w:tcPr>
      <w:shd w:val="clear" w:color="auto" w:fill="D9E2F3"/>
    </w:tcPr>
  </w:style>
  <w:style w:type="table" w:customStyle="1" w:styleId="41">
    <w:name w:val="41"/>
    <w:basedOn w:val="TableNormal2"/>
    <w:pPr>
      <w:widowControl w:val="0"/>
    </w:pPr>
    <w:rPr>
      <w:color w:val="2F5496"/>
    </w:rPr>
    <w:tblPr>
      <w:tblCellMar>
        <w:top w:w="100" w:type="dxa"/>
        <w:left w:w="100" w:type="dxa"/>
        <w:bottom w:w="100" w:type="dxa"/>
        <w:right w:w="100" w:type="dxa"/>
      </w:tblCellMar>
    </w:tblPr>
    <w:tcPr>
      <w:shd w:val="clear" w:color="auto" w:fill="D9E2F3"/>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40">
    <w:name w:val="40"/>
    <w:basedOn w:val="TableNormal2"/>
    <w:pPr>
      <w:widowControl w:val="0"/>
    </w:pPr>
    <w:rPr>
      <w:color w:val="2F5496"/>
    </w:rPr>
    <w:tblPr>
      <w:tblCellMar>
        <w:top w:w="100" w:type="dxa"/>
        <w:left w:w="100" w:type="dxa"/>
        <w:bottom w:w="100" w:type="dxa"/>
        <w:right w:w="100" w:type="dxa"/>
      </w:tblCellMar>
    </w:tblPr>
    <w:tcPr>
      <w:shd w:val="clear" w:color="auto" w:fill="D9E2F3"/>
    </w:tcPr>
  </w:style>
  <w:style w:type="table" w:customStyle="1" w:styleId="39">
    <w:name w:val="39"/>
    <w:basedOn w:val="TableNormal2"/>
    <w:pPr>
      <w:widowControl w:val="0"/>
    </w:pPr>
    <w:rPr>
      <w:color w:val="2F5496"/>
    </w:rPr>
    <w:tblPr>
      <w:tblCellMar>
        <w:top w:w="100" w:type="dxa"/>
        <w:left w:w="100" w:type="dxa"/>
        <w:bottom w:w="100" w:type="dxa"/>
        <w:right w:w="100" w:type="dxa"/>
      </w:tblCellMar>
    </w:tblPr>
    <w:tcPr>
      <w:shd w:val="clear" w:color="auto" w:fill="D9E2F3"/>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8">
    <w:name w:val="38"/>
    <w:basedOn w:val="TableNormal2"/>
    <w:pPr>
      <w:widowControl w:val="0"/>
    </w:pPr>
    <w:rPr>
      <w:color w:val="2F5496"/>
    </w:rPr>
    <w:tblPr>
      <w:tblCellMar>
        <w:top w:w="100" w:type="dxa"/>
        <w:left w:w="100" w:type="dxa"/>
        <w:bottom w:w="100" w:type="dxa"/>
        <w:right w:w="100" w:type="dxa"/>
      </w:tblCellMar>
    </w:tblPr>
    <w:tcPr>
      <w:shd w:val="clear" w:color="auto" w:fill="D9E2F3"/>
    </w:tcPr>
  </w:style>
  <w:style w:type="table" w:customStyle="1" w:styleId="37">
    <w:name w:val="37"/>
    <w:basedOn w:val="TableNormal2"/>
    <w:pPr>
      <w:widowControl w:val="0"/>
    </w:pPr>
    <w:rPr>
      <w:color w:val="2F5496"/>
    </w:rPr>
    <w:tblPr>
      <w:tblCellMar>
        <w:top w:w="100" w:type="dxa"/>
        <w:left w:w="100" w:type="dxa"/>
        <w:bottom w:w="100" w:type="dxa"/>
        <w:right w:w="100" w:type="dxa"/>
      </w:tblCellMar>
    </w:tblPr>
    <w:tcPr>
      <w:shd w:val="clear" w:color="auto" w:fill="D9E2F3"/>
    </w:tcPr>
  </w:style>
  <w:style w:type="table" w:customStyle="1" w:styleId="36">
    <w:name w:val="36"/>
    <w:basedOn w:val="TableNormal2"/>
    <w:rPr>
      <w:color w:val="2F5496"/>
    </w:rPr>
    <w:tblPr>
      <w:tblCellMar>
        <w:left w:w="115" w:type="dxa"/>
        <w:right w:w="115" w:type="dxa"/>
      </w:tblCellMar>
    </w:tblPr>
    <w:tcPr>
      <w:shd w:val="clear" w:color="auto" w:fill="D9E2F3"/>
    </w:tcPr>
  </w:style>
  <w:style w:type="table" w:customStyle="1" w:styleId="GridTable4-Accent61">
    <w:name w:val="Grid Table 4 - Accent 61"/>
    <w:basedOn w:val="TableauNormal"/>
    <w:uiPriority w:val="49"/>
    <w:tblPr>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GridTable6Colorful-Accent61">
    <w:name w:val="Grid Table 6 Colorful - Accent 61"/>
    <w:basedOn w:val="TableauNormal"/>
    <w:uiPriority w:val="51"/>
    <w:rPr>
      <w:color w:val="538135"/>
    </w:rPr>
    <w:tblPr>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rPr>
      <w:tblPr/>
      <w:tcPr>
        <w:tcBorders>
          <w:bottom w:val="single" w:sz="12" w:space="0" w:color="A8D08D"/>
        </w:tcBorders>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GridTable6Colorful-Accent11">
    <w:name w:val="Grid Table 6 Colorful - Accent 11"/>
    <w:basedOn w:val="TableauNormal"/>
    <w:uiPriority w:val="51"/>
    <w:rPr>
      <w:color w:val="2F5496"/>
    </w:rPr>
    <w:tblPr>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34">
    <w:name w:val="34"/>
    <w:basedOn w:val="TableNormal5"/>
    <w:rPr>
      <w:color w:val="2F5496"/>
      <w:sz w:val="20"/>
      <w:szCs w:val="20"/>
    </w:rPr>
    <w:tblPr>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33">
    <w:name w:val="33"/>
    <w:basedOn w:val="TableNormal5"/>
    <w:rPr>
      <w:color w:val="2F5496"/>
      <w:sz w:val="20"/>
      <w:szCs w:val="20"/>
    </w:rPr>
    <w:tblPr>
      <w:tblCellMar>
        <w:left w:w="115" w:type="dxa"/>
        <w:right w:w="115" w:type="dxa"/>
      </w:tblCellMar>
    </w:tblPr>
    <w:tcPr>
      <w:shd w:val="clear" w:color="auto" w:fill="D9E2F3"/>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1">
    <w:name w:val="31"/>
    <w:basedOn w:val="TableNormal5"/>
    <w:rPr>
      <w:color w:val="2F5496"/>
      <w:sz w:val="20"/>
      <w:szCs w:val="20"/>
    </w:rPr>
    <w:tblPr>
      <w:tblCellMar>
        <w:left w:w="115" w:type="dxa"/>
        <w:right w:w="115" w:type="dxa"/>
      </w:tblCellMar>
    </w:tblPr>
    <w:tcPr>
      <w:shd w:val="clear" w:color="auto" w:fill="D9E2F3"/>
    </w:tcPr>
  </w:style>
  <w:style w:type="table" w:customStyle="1" w:styleId="30">
    <w:name w:val="30"/>
    <w:basedOn w:val="TableNormal5"/>
    <w:tblPr>
      <w:tblCellMar>
        <w:top w:w="100" w:type="dxa"/>
        <w:left w:w="100" w:type="dxa"/>
        <w:bottom w:w="100" w:type="dxa"/>
        <w:right w:w="100" w:type="dxa"/>
      </w:tblCellMar>
    </w:tblPr>
  </w:style>
  <w:style w:type="table" w:customStyle="1" w:styleId="29">
    <w:name w:val="29"/>
    <w:basedOn w:val="TableNormal5"/>
    <w:tblPr>
      <w:tblCellMar>
        <w:top w:w="100" w:type="dxa"/>
        <w:left w:w="100" w:type="dxa"/>
        <w:bottom w:w="100" w:type="dxa"/>
        <w:right w:w="100" w:type="dxa"/>
      </w:tblCellMar>
    </w:tblPr>
  </w:style>
  <w:style w:type="table" w:customStyle="1" w:styleId="28">
    <w:name w:val="28"/>
    <w:basedOn w:val="TableNormal5"/>
    <w:tblPr>
      <w:tblCellMar>
        <w:top w:w="100" w:type="dxa"/>
        <w:left w:w="100" w:type="dxa"/>
        <w:bottom w:w="100" w:type="dxa"/>
        <w:right w:w="100" w:type="dxa"/>
      </w:tblCellMar>
    </w:tblPr>
  </w:style>
  <w:style w:type="table" w:customStyle="1" w:styleId="27">
    <w:name w:val="27"/>
    <w:basedOn w:val="TableNormal5"/>
    <w:tblPr>
      <w:tblCellMar>
        <w:top w:w="100" w:type="dxa"/>
        <w:left w:w="100" w:type="dxa"/>
        <w:bottom w:w="100" w:type="dxa"/>
        <w:right w:w="100" w:type="dxa"/>
      </w:tblCellMar>
    </w:tblPr>
  </w:style>
  <w:style w:type="table" w:customStyle="1" w:styleId="26">
    <w:name w:val="26"/>
    <w:basedOn w:val="TableNormal5"/>
    <w:tblPr>
      <w:tblCellMar>
        <w:top w:w="100" w:type="dxa"/>
        <w:left w:w="100" w:type="dxa"/>
        <w:bottom w:w="100" w:type="dxa"/>
        <w:right w:w="100" w:type="dxa"/>
      </w:tblCellMar>
    </w:tblPr>
  </w:style>
  <w:style w:type="table" w:customStyle="1" w:styleId="25">
    <w:name w:val="25"/>
    <w:basedOn w:val="TableNormal5"/>
    <w:rPr>
      <w:color w:val="2F5496"/>
      <w:sz w:val="20"/>
      <w:szCs w:val="20"/>
    </w:rPr>
    <w:tblPr>
      <w:tblCellMar>
        <w:left w:w="115" w:type="dxa"/>
        <w:right w:w="115" w:type="dxa"/>
      </w:tblCellMar>
    </w:tblPr>
    <w:tcPr>
      <w:shd w:val="clear" w:color="auto" w:fill="D9E2F3"/>
    </w:tcPr>
  </w:style>
  <w:style w:type="table" w:customStyle="1" w:styleId="24">
    <w:name w:val="24"/>
    <w:basedOn w:val="TableNormal5"/>
    <w:rPr>
      <w:color w:val="2F5496"/>
      <w:sz w:val="20"/>
      <w:szCs w:val="20"/>
    </w:rPr>
    <w:tblPr>
      <w:tblCellMar>
        <w:left w:w="115" w:type="dxa"/>
        <w:right w:w="115" w:type="dxa"/>
      </w:tblCellMar>
    </w:tblPr>
    <w:tcPr>
      <w:shd w:val="clear" w:color="auto" w:fill="D9E2F3"/>
    </w:tcPr>
  </w:style>
  <w:style w:type="table" w:customStyle="1" w:styleId="23">
    <w:name w:val="23"/>
    <w:basedOn w:val="TableNormal5"/>
    <w:rPr>
      <w:color w:val="2F5496"/>
      <w:sz w:val="20"/>
      <w:szCs w:val="20"/>
    </w:rPr>
    <w:tblPr>
      <w:tblCellMar>
        <w:left w:w="115" w:type="dxa"/>
        <w:right w:w="115" w:type="dxa"/>
      </w:tblCellMar>
    </w:tblPr>
    <w:tcPr>
      <w:shd w:val="clear" w:color="auto" w:fill="D9E2F3"/>
    </w:tcPr>
  </w:style>
  <w:style w:type="table" w:customStyle="1" w:styleId="22">
    <w:name w:val="22"/>
    <w:basedOn w:val="TableNormal5"/>
    <w:tblPr>
      <w:tblCellMar>
        <w:left w:w="70" w:type="dxa"/>
        <w:right w:w="70" w:type="dxa"/>
      </w:tblCellMar>
    </w:tblPr>
  </w:style>
  <w:style w:type="table" w:customStyle="1" w:styleId="21">
    <w:name w:val="21"/>
    <w:basedOn w:val="TableNormal5"/>
    <w:tblPr>
      <w:tblCellMar>
        <w:left w:w="70" w:type="dxa"/>
        <w:right w:w="70" w:type="dxa"/>
      </w:tblCellMar>
    </w:tblPr>
  </w:style>
  <w:style w:type="table" w:customStyle="1" w:styleId="20">
    <w:name w:val="20"/>
    <w:basedOn w:val="TableNormal5"/>
    <w:tblPr>
      <w:tblCellMar>
        <w:left w:w="70" w:type="dxa"/>
        <w:right w:w="70" w:type="dxa"/>
      </w:tblCellMar>
    </w:tblPr>
  </w:style>
  <w:style w:type="table" w:customStyle="1" w:styleId="19">
    <w:name w:val="19"/>
    <w:basedOn w:val="TableNormal5"/>
    <w:tblPr>
      <w:tblCellMar>
        <w:left w:w="70" w:type="dxa"/>
        <w:right w:w="70" w:type="dxa"/>
      </w:tblCellMar>
    </w:tblPr>
  </w:style>
  <w:style w:type="table" w:customStyle="1" w:styleId="18">
    <w:name w:val="18"/>
    <w:basedOn w:val="TableNormal5"/>
    <w:tblPr>
      <w:tblCellMar>
        <w:left w:w="70" w:type="dxa"/>
        <w:right w:w="70" w:type="dxa"/>
      </w:tblCellMar>
    </w:tblPr>
  </w:style>
  <w:style w:type="table" w:customStyle="1" w:styleId="17">
    <w:name w:val="17"/>
    <w:basedOn w:val="TableNormal5"/>
    <w:tblPr>
      <w:tblCellMar>
        <w:left w:w="70" w:type="dxa"/>
        <w:right w:w="70" w:type="dxa"/>
      </w:tblCellMar>
    </w:tblPr>
  </w:style>
  <w:style w:type="table" w:customStyle="1" w:styleId="16">
    <w:name w:val="16"/>
    <w:basedOn w:val="TableNormal5"/>
    <w:tblPr>
      <w:tblCellMar>
        <w:left w:w="70" w:type="dxa"/>
        <w:right w:w="70" w:type="dxa"/>
      </w:tblCellMar>
    </w:tblPr>
  </w:style>
  <w:style w:type="table" w:customStyle="1" w:styleId="15">
    <w:name w:val="15"/>
    <w:basedOn w:val="TableNormal5"/>
    <w:tblPr>
      <w:tblCellMar>
        <w:left w:w="70" w:type="dxa"/>
        <w:right w:w="70" w:type="dxa"/>
      </w:tblCellMar>
    </w:tblPr>
  </w:style>
  <w:style w:type="table" w:customStyle="1" w:styleId="14">
    <w:name w:val="14"/>
    <w:basedOn w:val="TableNormal5"/>
    <w:rPr>
      <w:color w:val="2F5496"/>
      <w:sz w:val="20"/>
      <w:szCs w:val="20"/>
    </w:rPr>
    <w:tblPr>
      <w:tblCellMar>
        <w:left w:w="115" w:type="dxa"/>
        <w:right w:w="115" w:type="dxa"/>
      </w:tblCellMar>
    </w:tblPr>
    <w:tcPr>
      <w:shd w:val="clear" w:color="auto" w:fill="D9E2F3"/>
    </w:tcPr>
  </w:style>
  <w:style w:type="table" w:customStyle="1" w:styleId="12">
    <w:name w:val="12"/>
    <w:basedOn w:val="TableNormal5"/>
    <w:rPr>
      <w:color w:val="2F5496"/>
      <w:sz w:val="20"/>
      <w:szCs w:val="20"/>
    </w:rPr>
    <w:tblPr>
      <w:tblCellMar>
        <w:left w:w="115" w:type="dxa"/>
        <w:right w:w="115" w:type="dxa"/>
      </w:tblCellMar>
    </w:tblPr>
    <w:tcPr>
      <w:shd w:val="clear" w:color="auto" w:fill="D9E2F3"/>
    </w:tcPr>
  </w:style>
  <w:style w:type="table" w:customStyle="1" w:styleId="10">
    <w:name w:val="10"/>
    <w:basedOn w:val="TableNormal5"/>
    <w:rPr>
      <w:color w:val="2F5496"/>
      <w:sz w:val="20"/>
      <w:szCs w:val="20"/>
    </w:rPr>
    <w:tblPr>
      <w:tblCellMar>
        <w:left w:w="115" w:type="dxa"/>
        <w:right w:w="115" w:type="dxa"/>
      </w:tblCellMar>
    </w:tblPr>
    <w:tcPr>
      <w:shd w:val="clear" w:color="auto" w:fill="D9E2F3"/>
    </w:tcPr>
  </w:style>
  <w:style w:type="table" w:customStyle="1" w:styleId="9">
    <w:name w:val="9"/>
    <w:basedOn w:val="TableNormal5"/>
    <w:rPr>
      <w:color w:val="2F5496"/>
      <w:sz w:val="20"/>
      <w:szCs w:val="20"/>
    </w:rPr>
    <w:tblPr>
      <w:tblCellMar>
        <w:left w:w="115" w:type="dxa"/>
        <w:right w:w="115" w:type="dxa"/>
      </w:tblCellMar>
    </w:tblPr>
    <w:tcPr>
      <w:shd w:val="clear" w:color="auto" w:fill="D9E2F3"/>
    </w:tcPr>
  </w:style>
  <w:style w:type="table" w:customStyle="1" w:styleId="7">
    <w:name w:val="7"/>
    <w:basedOn w:val="TableNormal5"/>
    <w:rPr>
      <w:color w:val="2F5496"/>
      <w:sz w:val="20"/>
      <w:szCs w:val="20"/>
    </w:rPr>
    <w:tblPr>
      <w:tblCellMar>
        <w:left w:w="115" w:type="dxa"/>
        <w:right w:w="115" w:type="dxa"/>
      </w:tblCellMar>
    </w:tblPr>
    <w:tcPr>
      <w:shd w:val="clear" w:color="auto" w:fill="D9E2F3"/>
    </w:tcPr>
  </w:style>
  <w:style w:type="table" w:customStyle="1" w:styleId="6">
    <w:name w:val="6"/>
    <w:basedOn w:val="TableNormal5"/>
    <w:rPr>
      <w:color w:val="2F5496"/>
      <w:sz w:val="20"/>
      <w:szCs w:val="20"/>
    </w:rPr>
    <w:tblPr>
      <w:tblCellMar>
        <w:left w:w="115" w:type="dxa"/>
        <w:right w:w="115" w:type="dxa"/>
      </w:tblCellMar>
    </w:tblPr>
    <w:tcPr>
      <w:shd w:val="clear" w:color="auto" w:fill="D9E2F3"/>
    </w:tcPr>
  </w:style>
  <w:style w:type="table" w:customStyle="1" w:styleId="5">
    <w:name w:val="5"/>
    <w:basedOn w:val="TableNormal5"/>
    <w:rPr>
      <w:color w:val="2F5496"/>
      <w:sz w:val="20"/>
      <w:szCs w:val="20"/>
    </w:rPr>
    <w:tblPr>
      <w:tblCellMar>
        <w:left w:w="115" w:type="dxa"/>
        <w:right w:w="115" w:type="dxa"/>
      </w:tblCellMar>
    </w:tblPr>
    <w:tcPr>
      <w:shd w:val="clear" w:color="auto" w:fill="D9E2F3"/>
    </w:tcPr>
  </w:style>
  <w:style w:type="table" w:customStyle="1" w:styleId="4">
    <w:name w:val="4"/>
    <w:basedOn w:val="TableNormal5"/>
    <w:rPr>
      <w:color w:val="2F5496"/>
      <w:sz w:val="20"/>
      <w:szCs w:val="20"/>
    </w:rPr>
    <w:tblPr>
      <w:tblCellMar>
        <w:left w:w="115" w:type="dxa"/>
        <w:right w:w="115" w:type="dxa"/>
      </w:tblCellMar>
    </w:tblPr>
    <w:tcPr>
      <w:shd w:val="clear" w:color="auto" w:fill="D9E2F3"/>
    </w:tcPr>
  </w:style>
  <w:style w:type="table" w:customStyle="1" w:styleId="3">
    <w:name w:val="3"/>
    <w:basedOn w:val="TableNormal5"/>
    <w:rPr>
      <w:color w:val="2F5496"/>
      <w:sz w:val="20"/>
      <w:szCs w:val="20"/>
    </w:rPr>
    <w:tblPr>
      <w:tblCellMar>
        <w:left w:w="115" w:type="dxa"/>
        <w:right w:w="115" w:type="dxa"/>
      </w:tblCellMar>
    </w:tblPr>
    <w:tcPr>
      <w:shd w:val="clear" w:color="auto" w:fill="D9E2F3"/>
    </w:tcPr>
  </w:style>
  <w:style w:type="table" w:customStyle="1" w:styleId="2">
    <w:name w:val="2"/>
    <w:basedOn w:val="TableNormal5"/>
    <w:rPr>
      <w:color w:val="2F5496"/>
      <w:sz w:val="20"/>
      <w:szCs w:val="20"/>
    </w:rPr>
    <w:tblPr>
      <w:tblCellMar>
        <w:left w:w="115" w:type="dxa"/>
        <w:right w:w="115" w:type="dxa"/>
      </w:tblCellMar>
    </w:tblPr>
    <w:tcPr>
      <w:shd w:val="clear" w:color="auto" w:fill="D9E2F3"/>
    </w:tcPr>
  </w:style>
  <w:style w:type="table" w:customStyle="1" w:styleId="1">
    <w:name w:val="1"/>
    <w:basedOn w:val="TableNormal5"/>
    <w:rPr>
      <w:color w:val="2F5496"/>
      <w:sz w:val="20"/>
      <w:szCs w:val="20"/>
    </w:rPr>
    <w:tblPr>
      <w:tblCellMar>
        <w:left w:w="115" w:type="dxa"/>
        <w:right w:w="115" w:type="dxa"/>
      </w:tblCellMar>
    </w:tblPr>
    <w:tcPr>
      <w:shd w:val="clear" w:color="auto" w:fill="D9E2F3"/>
    </w:tcPr>
  </w:style>
  <w:style w:type="table" w:customStyle="1" w:styleId="11">
    <w:name w:val="11"/>
    <w:basedOn w:val="TableauNormal"/>
    <w:rPr>
      <w:color w:val="2F5496"/>
      <w:lang w:eastAsia="zh-CN"/>
    </w:rPr>
    <w:tblPr>
      <w:tblCellMar>
        <w:top w:w="100" w:type="dxa"/>
        <w:left w:w="115" w:type="dxa"/>
        <w:bottom w:w="100" w:type="dxa"/>
        <w:right w:w="115" w:type="dxa"/>
      </w:tblCellMar>
    </w:tblPr>
    <w:tcPr>
      <w:shd w:val="clear" w:color="auto" w:fill="D9E2F3"/>
    </w:tcPr>
  </w:style>
  <w:style w:type="character" w:customStyle="1" w:styleId="button-container">
    <w:name w:val="button-container"/>
    <w:basedOn w:val="Policepardfaut"/>
  </w:style>
  <w:style w:type="table" w:customStyle="1" w:styleId="35">
    <w:name w:val="35"/>
    <w:basedOn w:val="TableNormal11"/>
    <w:rPr>
      <w:lang w:eastAsia="zh-CN"/>
    </w:rPr>
    <w:tblPr>
      <w:tblCellMar>
        <w:left w:w="115" w:type="dxa"/>
        <w:right w:w="115" w:type="dxa"/>
      </w:tblCellMar>
    </w:tblPr>
  </w:style>
  <w:style w:type="table" w:customStyle="1" w:styleId="13">
    <w:name w:val="13"/>
    <w:basedOn w:val="TableauNormal"/>
    <w:rPr>
      <w:color w:val="2F5496"/>
      <w:lang w:eastAsia="zh-CN"/>
    </w:rPr>
    <w:tblPr>
      <w:tblCellMar>
        <w:top w:w="100" w:type="dxa"/>
        <w:left w:w="115" w:type="dxa"/>
        <w:bottom w:w="100" w:type="dxa"/>
        <w:right w:w="115" w:type="dxa"/>
      </w:tblCellMar>
    </w:tblPr>
    <w:tcPr>
      <w:shd w:val="clear" w:color="auto" w:fill="D9E2F3"/>
    </w:tcPr>
  </w:style>
  <w:style w:type="table" w:customStyle="1" w:styleId="PlainTable21">
    <w:name w:val="Plain Table 21"/>
    <w:basedOn w:val="TableauNormal"/>
    <w:uiPriority w:val="42"/>
    <w:rPr>
      <w:rFonts w:ascii="Calibri" w:eastAsia="Calibri" w:hAnsi="Calibri"/>
      <w:kern w:val="2"/>
      <w:sz w:val="22"/>
      <w:szCs w:val="22"/>
      <w:lang w:eastAsia="en-US"/>
    </w:rPr>
    <w:tblPr>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DefaultCar">
    <w:name w:val="Default Car"/>
    <w:rPr>
      <w:rFonts w:ascii="Calibri" w:hAnsi="Calibri" w:cs="Calibri"/>
      <w:color w:val="000000"/>
      <w:kern w:val="0"/>
    </w:rPr>
  </w:style>
  <w:style w:type="table" w:customStyle="1" w:styleId="8">
    <w:name w:val="8"/>
    <w:basedOn w:val="TableauNormal"/>
    <w:rPr>
      <w:color w:val="2F5496"/>
      <w:lang w:eastAsia="zh-CN"/>
    </w:rPr>
    <w:tblPr>
      <w:tblCellMar>
        <w:top w:w="100" w:type="dxa"/>
        <w:left w:w="115" w:type="dxa"/>
        <w:bottom w:w="100" w:type="dxa"/>
        <w:right w:w="115" w:type="dxa"/>
      </w:tblCellMar>
    </w:tblPr>
    <w:tcPr>
      <w:shd w:val="clear" w:color="auto" w:fill="D9E2F3"/>
    </w:tcPr>
  </w:style>
  <w:style w:type="character" w:customStyle="1" w:styleId="vuuxrf">
    <w:name w:val="vuuxrf"/>
    <w:basedOn w:val="Policepardfaut"/>
  </w:style>
  <w:style w:type="character" w:customStyle="1" w:styleId="ylgvce">
    <w:name w:val="ylgvce"/>
    <w:basedOn w:val="Policepardfaut"/>
  </w:style>
  <w:style w:type="character" w:customStyle="1" w:styleId="UnresolvedMention1">
    <w:name w:val="Unresolved Mention1"/>
    <w:uiPriority w:val="99"/>
    <w:semiHidden/>
    <w:unhideWhenUsed/>
    <w:rPr>
      <w:color w:val="605E5C"/>
      <w:shd w:val="clear" w:color="auto" w:fill="E1DFDD"/>
    </w:rPr>
  </w:style>
  <w:style w:type="table" w:customStyle="1" w:styleId="32">
    <w:name w:val="32"/>
    <w:basedOn w:val="TableauNormal"/>
    <w:rPr>
      <w:lang w:eastAsia="zh-CN"/>
    </w:rPr>
    <w:tblPr>
      <w:tblCellMar>
        <w:left w:w="115" w:type="dxa"/>
        <w:right w:w="115" w:type="dxa"/>
      </w:tblCellMar>
    </w:tblPr>
  </w:style>
  <w:style w:type="paragraph" w:customStyle="1" w:styleId="WPSOffice1">
    <w:name w:val="WPSOffice手动目录 1"/>
  </w:style>
  <w:style w:type="paragraph" w:customStyle="1" w:styleId="WPSOffice2">
    <w:name w:val="WPSOffice手动目录 2"/>
    <w:pPr>
      <w:ind w:leftChars="200" w:left="200"/>
    </w:pPr>
  </w:style>
  <w:style w:type="paragraph" w:customStyle="1" w:styleId="WPSOffice3">
    <w:name w:val="WPSOffice手动目录 3"/>
    <w:pPr>
      <w:ind w:leftChars="400" w:left="400"/>
    </w:pPr>
  </w:style>
  <w:style w:type="paragraph" w:customStyle="1" w:styleId="Style3">
    <w:name w:val="Style3"/>
    <w:basedOn w:val="Normal"/>
    <w:next w:val="Normal"/>
    <w:pPr>
      <w:ind w:right="550"/>
    </w:pPr>
    <w:rPr>
      <w:rFonts w:eastAsia="SimSun"/>
      <w:sz w:val="28"/>
      <w:szCs w:val="28"/>
      <w:shd w:val="clear" w:color="auto" w:fill="FFFFFF"/>
    </w:rPr>
  </w:style>
  <w:style w:type="paragraph" w:customStyle="1" w:styleId="Rvision1">
    <w:name w:val="Révision1"/>
    <w:hidden/>
    <w:uiPriority w:val="99"/>
    <w:unhideWhenUsed/>
    <w:rPr>
      <w:sz w:val="24"/>
      <w:szCs w:val="24"/>
    </w:rPr>
  </w:style>
  <w:style w:type="paragraph" w:styleId="Citationintense">
    <w:name w:val="Intense Quote"/>
    <w:basedOn w:val="Normal"/>
    <w:next w:val="Normal"/>
    <w:link w:val="CitationintenseCar"/>
    <w:uiPriority w:val="30"/>
    <w:qFormat/>
    <w:pPr>
      <w:pBdr>
        <w:top w:val="single" w:sz="4" w:space="10" w:color="0F4761"/>
        <w:bottom w:val="single" w:sz="4" w:space="10" w:color="0F4761"/>
      </w:pBdr>
      <w:spacing w:before="360" w:after="360"/>
      <w:ind w:left="864" w:right="864"/>
      <w:jc w:val="center"/>
    </w:pPr>
    <w:rPr>
      <w:rFonts w:eastAsia="SimSun"/>
      <w:i/>
      <w:iCs/>
      <w:color w:val="0F4761"/>
      <w:lang w:eastAsia="zh-CN"/>
    </w:rPr>
  </w:style>
  <w:style w:type="character" w:customStyle="1" w:styleId="CitationintenseCar">
    <w:name w:val="Citation intense Car"/>
    <w:link w:val="Citationintense"/>
    <w:uiPriority w:val="30"/>
    <w:rPr>
      <w:i/>
      <w:iCs/>
      <w:color w:val="0F4761"/>
      <w:sz w:val="24"/>
      <w:szCs w:val="24"/>
      <w:lang w:val="fr-FR" w:eastAsia="zh-CN"/>
    </w:rPr>
  </w:style>
  <w:style w:type="character" w:customStyle="1" w:styleId="Mentionnonrsolue3">
    <w:name w:val="Mention non résolue3"/>
    <w:basedOn w:val="Policepardfau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media/image7.png"/><Relationship Id="rId42" Type="http://schemas.openxmlformats.org/officeDocument/2006/relationships/image" Target="media/image28.png"/><Relationship Id="rId47" Type="http://schemas.openxmlformats.org/officeDocument/2006/relationships/image" Target="media/image33.png"/><Relationship Id="rId63" Type="http://schemas.openxmlformats.org/officeDocument/2006/relationships/image" Target="media/image49.png"/><Relationship Id="rId68" Type="http://schemas.openxmlformats.org/officeDocument/2006/relationships/image" Target="media/image54.png"/><Relationship Id="rId16" Type="http://schemas.openxmlformats.org/officeDocument/2006/relationships/footer" Target="footer2.xml"/><Relationship Id="rId11" Type="http://schemas.openxmlformats.org/officeDocument/2006/relationships/image" Target="media/image2.jpeg"/><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png"/><Relationship Id="rId66" Type="http://schemas.openxmlformats.org/officeDocument/2006/relationships/image" Target="media/image52.png"/><Relationship Id="rId74" Type="http://schemas.openxmlformats.org/officeDocument/2006/relationships/image" Target="media/image60.png"/><Relationship Id="rId79" Type="http://schemas.openxmlformats.org/officeDocument/2006/relationships/theme" Target="theme/theme1.xml"/><Relationship Id="rId5" Type="http://schemas.openxmlformats.org/officeDocument/2006/relationships/styles" Target="styles.xml"/><Relationship Id="rId61" Type="http://schemas.openxmlformats.org/officeDocument/2006/relationships/image" Target="media/image47.png"/><Relationship Id="rId19" Type="http://schemas.openxmlformats.org/officeDocument/2006/relationships/image" Target="media/image5.png"/><Relationship Id="rId14" Type="http://schemas.openxmlformats.org/officeDocument/2006/relationships/header" Target="header1.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42.png"/><Relationship Id="rId64" Type="http://schemas.openxmlformats.org/officeDocument/2006/relationships/image" Target="media/image50.png"/><Relationship Id="rId69" Type="http://schemas.openxmlformats.org/officeDocument/2006/relationships/image" Target="media/image55.png"/><Relationship Id="rId77" Type="http://schemas.openxmlformats.org/officeDocument/2006/relationships/footer" Target="footer4.xml"/><Relationship Id="rId8" Type="http://schemas.openxmlformats.org/officeDocument/2006/relationships/footnotes" Target="footnotes.xml"/><Relationship Id="rId51" Type="http://schemas.openxmlformats.org/officeDocument/2006/relationships/image" Target="media/image37.png"/><Relationship Id="rId72" Type="http://schemas.openxmlformats.org/officeDocument/2006/relationships/image" Target="media/image58.png"/><Relationship Id="rId3" Type="http://schemas.openxmlformats.org/officeDocument/2006/relationships/customXml" Target="../customXml/item3.xml"/><Relationship Id="rId12" Type="http://schemas.openxmlformats.org/officeDocument/2006/relationships/image" Target="media/image3.jpeg"/><Relationship Id="rId17" Type="http://schemas.openxmlformats.org/officeDocument/2006/relationships/footer" Target="footer3.xml"/><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5.png"/><Relationship Id="rId67" Type="http://schemas.openxmlformats.org/officeDocument/2006/relationships/image" Target="media/image53.png"/><Relationship Id="rId20" Type="http://schemas.openxmlformats.org/officeDocument/2006/relationships/image" Target="media/image6.png"/><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image" Target="media/image48.png"/><Relationship Id="rId70" Type="http://schemas.openxmlformats.org/officeDocument/2006/relationships/image" Target="media/image56.png"/><Relationship Id="rId75" Type="http://schemas.openxmlformats.org/officeDocument/2006/relationships/image" Target="media/image61.emf"/><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 Id="rId10" Type="http://schemas.openxmlformats.org/officeDocument/2006/relationships/image" Target="media/image1.png"/><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image" Target="media/image51.png"/><Relationship Id="rId73" Type="http://schemas.openxmlformats.org/officeDocument/2006/relationships/image" Target="media/image59.png"/><Relationship Id="rId78"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iresco-cm.org/" TargetMode="External"/><Relationship Id="rId18" Type="http://schemas.openxmlformats.org/officeDocument/2006/relationships/image" Target="media/image4.jpeg"/><Relationship Id="rId39" Type="http://schemas.openxmlformats.org/officeDocument/2006/relationships/image" Target="media/image25.png"/><Relationship Id="rId34" Type="http://schemas.openxmlformats.org/officeDocument/2006/relationships/image" Target="media/image20.png"/><Relationship Id="rId50" Type="http://schemas.openxmlformats.org/officeDocument/2006/relationships/image" Target="media/image36.png"/><Relationship Id="rId55" Type="http://schemas.openxmlformats.org/officeDocument/2006/relationships/image" Target="media/image41.png"/><Relationship Id="rId76" Type="http://schemas.openxmlformats.org/officeDocument/2006/relationships/image" Target="media/image62.jpeg"/><Relationship Id="rId7" Type="http://schemas.openxmlformats.org/officeDocument/2006/relationships/webSettings" Target="webSettings.xml"/><Relationship Id="rId71" Type="http://schemas.openxmlformats.org/officeDocument/2006/relationships/image" Target="media/image57.png"/><Relationship Id="rId2" Type="http://schemas.openxmlformats.org/officeDocument/2006/relationships/customXml" Target="../customXml/item2.xml"/><Relationship Id="rId29" Type="http://schemas.openxmlformats.org/officeDocument/2006/relationships/image" Target="media/image15.png"/></Relationships>
</file>

<file path=word/_rels/footnotes.xml.rels><?xml version="1.0" encoding="UTF-8" standalone="yes"?>
<Relationships xmlns="http://schemas.openxmlformats.org/package/2006/relationships"><Relationship Id="rId8" Type="http://schemas.openxmlformats.org/officeDocument/2006/relationships/hyperlink" Target="https://www.oecd.org/fr/fiscalite/politiques-fiscales/mobilisation-des-recettes-fiscales-pour-le-financement-de-la-sante-aucameroun.pdf" TargetMode="External"/><Relationship Id="rId13" Type="http://schemas.openxmlformats.org/officeDocument/2006/relationships/hyperlink" Target="https://www.un.org/fr/observances/female-genital-mutilation-day" TargetMode="External"/><Relationship Id="rId18" Type="http://schemas.openxmlformats.org/officeDocument/2006/relationships/hyperlink" Target="https://www.un.org/fr/observances/rural-women-day" TargetMode="External"/><Relationship Id="rId3" Type="http://schemas.openxmlformats.org/officeDocument/2006/relationships/hyperlink" Target="https://www.spm.gov.cm/site/?q=fr/document/code-general-des-collectivites-territoriales-decentralisees" TargetMode="External"/><Relationship Id="rId21" Type="http://schemas.openxmlformats.org/officeDocument/2006/relationships/hyperlink" Target="https://www.wfp.org/countries/cameroon" TargetMode="External"/><Relationship Id="rId7" Type="http://schemas.openxmlformats.org/officeDocument/2006/relationships/hyperlink" Target="https://www.oecd.org/fr/fiscalite/politiques-fiscales/mobilisation-des-recettes-fiscales-pour-le-financement-de-la-sante-aucameroun.pdf" TargetMode="External"/><Relationship Id="rId12" Type="http://schemas.openxmlformats.org/officeDocument/2006/relationships/hyperlink" Target="https://projets-integrateurs-cemac.com/" TargetMode="External"/><Relationship Id="rId17" Type="http://schemas.openxmlformats.org/officeDocument/2006/relationships/hyperlink" Target="https://www.un.org/fr/observances/girl-child-day" TargetMode="External"/><Relationship Id="rId2" Type="http://schemas.openxmlformats.org/officeDocument/2006/relationships/hyperlink" Target="https://freedomhouse.org/country/cameroon" TargetMode="External"/><Relationship Id="rId16" Type="http://schemas.openxmlformats.org/officeDocument/2006/relationships/hyperlink" Target="https://www.un.org/fr/observances/widows-day" TargetMode="External"/><Relationship Id="rId20" Type="http://schemas.openxmlformats.org/officeDocument/2006/relationships/hyperlink" Target="https://www.susu.africa/blog/article/la-malnutrition-au-cameroun" TargetMode="External"/><Relationship Id="rId1" Type="http://schemas.openxmlformats.org/officeDocument/2006/relationships/hyperlink" Target="https://www.prc.cm/fr/constitution" TargetMode="External"/><Relationship Id="rId6" Type="http://schemas.openxmlformats.org/officeDocument/2006/relationships/hyperlink" Target="https://donnees.banquemondiale.org/indicator/SE.XPD.TOTL.GD.ZS?locations=CM" TargetMode="External"/><Relationship Id="rId11" Type="http://schemas.openxmlformats.org/officeDocument/2006/relationships/hyperlink" Target="https://www.unicef.org/cameroon/fr/eau-hygi%C3%A8ne-et-assainissement" TargetMode="External"/><Relationship Id="rId5" Type="http://schemas.openxmlformats.org/officeDocument/2006/relationships/hyperlink" Target="https://donnees.banquemondiale.org/indicator/SE.XPD.TOTL.GD.ZS?locations=CM" TargetMode="External"/><Relationship Id="rId15" Type="http://schemas.openxmlformats.org/officeDocument/2006/relationships/hyperlink" Target="https://www.un.org/fr/observances/end-sexual-violence-in-conflict-day" TargetMode="External"/><Relationship Id="rId23" Type="http://schemas.openxmlformats.org/officeDocument/2006/relationships/hyperlink" Target="https://www.cm.undp.org/" TargetMode="External"/><Relationship Id="rId10" Type="http://schemas.openxmlformats.org/officeDocument/2006/relationships/hyperlink" Target="https://album-social.com/2024/11/19/menages-financent-depenses-sante/" TargetMode="External"/><Relationship Id="rId19" Type="http://schemas.openxmlformats.org/officeDocument/2006/relationships/hyperlink" Target="https://www.afro.who.int/fr/countries/cameroon/news/couverture-sante-universelle-plus-de-2-millions-de-personnes-enrolees" TargetMode="External"/><Relationship Id="rId4" Type="http://schemas.openxmlformats.org/officeDocument/2006/relationships/hyperlink" Target="https://donnees.banquemondiale.org/indicator/SE.XPD.TOTL.GD.ZS?locations=CM" TargetMode="External"/><Relationship Id="rId9" Type="http://schemas.openxmlformats.org/officeDocument/2006/relationships/hyperlink" Target="https://album-social.com/2024/11/19/menages-financent-depenses-sante/" TargetMode="External"/><Relationship Id="rId14" Type="http://schemas.openxmlformats.org/officeDocument/2006/relationships/hyperlink" Target="https://www.un.org/fr/observances/women-and-girls-in-science-day" TargetMode="External"/><Relationship Id="rId22" Type="http://schemas.openxmlformats.org/officeDocument/2006/relationships/hyperlink" Target="https://www.unicef.org/cameroo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4LZErvAxoZieQ85QZd9SpRM6T4Q==">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</go:docsCustomData>
</go:gDocsCustomXmlDataStorage>
</file>

<file path=customXml/itemProps1.xml><?xml version="1.0" encoding="utf-8"?>
<ds:datastoreItem xmlns:ds="http://schemas.openxmlformats.org/officeDocument/2006/customXml" ds:itemID="{E223FB7E-D32D-9943-A1DC-61B6B713EE2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8b77875e-5908-45a0-9cb4-dec9ae074618}" enabled="1" method="Privileged" siteId="{0f9e35db-544f-4f60-bdcc-5ea416e6dc70}" removed="0"/>
</clbl:labelList>
</file>

<file path=docProps/app.xml><?xml version="1.0" encoding="utf-8"?>
<Properties xmlns="http://schemas.openxmlformats.org/officeDocument/2006/extended-properties" xmlns:vt="http://schemas.openxmlformats.org/officeDocument/2006/docPropsVTypes">
  <Template>Normal</Template>
  <TotalTime>5</TotalTime>
  <Pages>76</Pages>
  <Words>40616</Words>
  <Characters>223389</Characters>
  <Application>Microsoft Office Word</Application>
  <DocSecurity>0</DocSecurity>
  <Lines>1861</Lines>
  <Paragraphs>526</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263479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Leger Foyet</dc:creator>
  <cp:keywords/>
  <dc:description/>
  <cp:lastModifiedBy>Cedric Verich Teyonou Ngande</cp:lastModifiedBy>
  <cp:revision>5</cp:revision>
  <cp:lastPrinted>2025-08-26T07:52:00Z</cp:lastPrinted>
  <dcterms:created xsi:type="dcterms:W3CDTF">2025-10-20T11:05:00Z</dcterms:created>
  <dcterms:modified xsi:type="dcterms:W3CDTF">2025-10-26T06:54:00Z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c2585bb20d1f7ae0a58fce9ffbe1224d16361877af87b84ec40fd84761b7c088</vt:lpwstr>
  </property>
  <property fmtid="{D5CDD505-2E9C-101B-9397-08002B2CF9AE}" pid="3" name="KSOProductBuildVer">
    <vt:lpwstr>3084-12.2.0.21936</vt:lpwstr>
  </property>
  <property fmtid="{D5CDD505-2E9C-101B-9397-08002B2CF9AE}" pid="4" name="ICV">
    <vt:lpwstr>736ED0B8E16D46AC86FBDE3292BA6087_13</vt:lpwstr>
  </property>
</Properties>
</file>